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sdt>
      <w:sdtPr>
        <w:rPr>
          <w:rFonts w:ascii="宋体" w:hAnsi="宋体"/>
          <w:b/>
          <w:bCs/>
          <w:color w:val="auto"/>
          <w:sz w:val="44"/>
          <w:szCs w:val="52"/>
        </w:rPr>
        <w:id w:val="147459195"/>
        <w:docPartObj>
          <w:docPartGallery w:val="Table of Contents"/>
          <w:docPartUnique/>
        </w:docPartObj>
      </w:sdtPr>
      <w:sdtEndPr>
        <w:rPr>
          <w:rFonts w:hint="eastAsia" w:ascii="Times New Roman" w:hAnsi="Times New Roman"/>
          <w:b/>
          <w:bCs/>
          <w:color w:val="auto"/>
          <w:sz w:val="24"/>
          <w:szCs w:val="24"/>
        </w:rPr>
      </w:sdtEndPr>
      <w:sdtContent>
        <w:p>
          <w:pPr>
            <w:spacing w:line="240" w:lineRule="auto"/>
            <w:ind w:firstLine="0" w:firstLineChars="0"/>
            <w:jc w:val="center"/>
            <w:rPr>
              <w:b/>
              <w:bCs/>
              <w:color w:val="auto"/>
              <w:sz w:val="52"/>
              <w:szCs w:val="52"/>
            </w:rPr>
          </w:pPr>
          <w:bookmarkStart w:id="0" w:name="_Toc476921772"/>
          <w:bookmarkStart w:id="1" w:name="_Toc295120997"/>
          <w:bookmarkStart w:id="2" w:name="_Toc189424845"/>
          <w:bookmarkStart w:id="3" w:name="_Toc269574511"/>
          <w:bookmarkStart w:id="4" w:name="_Toc329183024"/>
          <w:bookmarkStart w:id="5" w:name="_Toc269468332"/>
          <w:bookmarkStart w:id="6" w:name="_Toc366760140"/>
          <w:bookmarkStart w:id="7" w:name="_Toc485578871"/>
          <w:bookmarkStart w:id="8" w:name="_Toc477187192"/>
          <w:bookmarkStart w:id="9" w:name="_Toc477160777"/>
          <w:r>
            <w:rPr>
              <w:rFonts w:ascii="宋体" w:hAnsi="宋体"/>
              <w:b/>
              <w:bCs/>
              <w:color w:val="auto"/>
              <w:sz w:val="44"/>
              <w:szCs w:val="52"/>
            </w:rPr>
            <w:t>目</w:t>
          </w:r>
          <w:r>
            <w:rPr>
              <w:rFonts w:hint="eastAsia" w:ascii="宋体" w:hAnsi="宋体"/>
              <w:b/>
              <w:bCs/>
              <w:color w:val="auto"/>
              <w:sz w:val="44"/>
              <w:szCs w:val="52"/>
            </w:rPr>
            <w:t xml:space="preserve"> </w:t>
          </w:r>
          <w:r>
            <w:rPr>
              <w:rFonts w:ascii="宋体" w:hAnsi="宋体"/>
              <w:b/>
              <w:bCs/>
              <w:color w:val="auto"/>
              <w:sz w:val="44"/>
              <w:szCs w:val="52"/>
            </w:rPr>
            <w:t>录</w:t>
          </w:r>
        </w:p>
        <w:p>
          <w:pPr>
            <w:pStyle w:val="52"/>
            <w:tabs>
              <w:tab w:val="right" w:leader="dot" w:pos="8732"/>
            </w:tabs>
            <w:spacing w:line="360" w:lineRule="auto"/>
            <w:rPr>
              <w:b/>
              <w:color w:val="auto"/>
              <w:sz w:val="24"/>
              <w:szCs w:val="24"/>
            </w:rPr>
          </w:pPr>
          <w:r>
            <w:rPr>
              <w:rFonts w:hint="eastAsia"/>
              <w:color w:val="auto"/>
            </w:rPr>
            <w:fldChar w:fldCharType="begin"/>
          </w:r>
          <w:r>
            <w:rPr>
              <w:rFonts w:hint="eastAsia"/>
              <w:color w:val="auto"/>
            </w:rPr>
            <w:instrText xml:space="preserve">TOC \o "1-2" \h \u </w:instrText>
          </w:r>
          <w:r>
            <w:rPr>
              <w:rFonts w:hint="eastAsia"/>
              <w:color w:val="auto"/>
            </w:rPr>
            <w:fldChar w:fldCharType="separate"/>
          </w:r>
          <w:r>
            <w:rPr>
              <w:color w:val="auto"/>
            </w:rPr>
            <w:fldChar w:fldCharType="begin"/>
          </w:r>
          <w:r>
            <w:rPr>
              <w:color w:val="auto"/>
            </w:rPr>
            <w:instrText xml:space="preserve"> HYPERLINK \l "_Toc10132" </w:instrText>
          </w:r>
          <w:r>
            <w:rPr>
              <w:color w:val="auto"/>
            </w:rPr>
            <w:fldChar w:fldCharType="separate"/>
          </w:r>
          <w:r>
            <w:rPr>
              <w:b/>
              <w:color w:val="auto"/>
              <w:sz w:val="24"/>
              <w:szCs w:val="24"/>
            </w:rPr>
            <w:t xml:space="preserve">第一章 </w:t>
          </w:r>
          <w:r>
            <w:rPr>
              <w:rFonts w:hint="eastAsia"/>
              <w:b/>
              <w:color w:val="auto"/>
              <w:sz w:val="24"/>
              <w:szCs w:val="24"/>
            </w:rPr>
            <w:t xml:space="preserve"> </w:t>
          </w:r>
          <w:r>
            <w:rPr>
              <w:b/>
              <w:color w:val="auto"/>
              <w:sz w:val="24"/>
              <w:szCs w:val="24"/>
            </w:rPr>
            <w:t xml:space="preserve"> </w:t>
          </w:r>
          <w:r>
            <w:rPr>
              <w:rFonts w:hint="eastAsia"/>
              <w:b/>
              <w:color w:val="auto"/>
              <w:sz w:val="24"/>
              <w:szCs w:val="24"/>
            </w:rPr>
            <w:t>概  述</w:t>
          </w:r>
          <w:r>
            <w:rPr>
              <w:b/>
              <w:color w:val="auto"/>
              <w:sz w:val="24"/>
              <w:szCs w:val="24"/>
            </w:rPr>
            <w:tab/>
          </w:r>
          <w:r>
            <w:rPr>
              <w:b/>
              <w:color w:val="auto"/>
              <w:sz w:val="24"/>
              <w:szCs w:val="24"/>
            </w:rPr>
            <w:fldChar w:fldCharType="begin"/>
          </w:r>
          <w:r>
            <w:rPr>
              <w:b/>
              <w:color w:val="auto"/>
              <w:sz w:val="24"/>
              <w:szCs w:val="24"/>
            </w:rPr>
            <w:instrText xml:space="preserve"> PAGEREF _Toc10132 </w:instrText>
          </w:r>
          <w:r>
            <w:rPr>
              <w:b/>
              <w:color w:val="auto"/>
              <w:sz w:val="24"/>
              <w:szCs w:val="24"/>
            </w:rPr>
            <w:fldChar w:fldCharType="separate"/>
          </w:r>
          <w:r>
            <w:rPr>
              <w:b/>
              <w:color w:val="auto"/>
              <w:sz w:val="24"/>
              <w:szCs w:val="24"/>
            </w:rPr>
            <w:t>1</w:t>
          </w:r>
          <w:r>
            <w:rPr>
              <w:b/>
              <w:color w:val="auto"/>
              <w:sz w:val="24"/>
              <w:szCs w:val="24"/>
            </w:rPr>
            <w:fldChar w:fldCharType="end"/>
          </w:r>
          <w:r>
            <w:rPr>
              <w:b/>
              <w:color w:val="auto"/>
              <w:sz w:val="24"/>
              <w:szCs w:val="24"/>
            </w:rPr>
            <w:fldChar w:fldCharType="end"/>
          </w:r>
        </w:p>
        <w:p>
          <w:pPr>
            <w:pStyle w:val="53"/>
            <w:tabs>
              <w:tab w:val="right" w:leader="dot" w:pos="8732"/>
            </w:tabs>
            <w:spacing w:line="360" w:lineRule="auto"/>
            <w:ind w:left="480"/>
            <w:rPr>
              <w:color w:val="auto"/>
              <w:sz w:val="24"/>
              <w:szCs w:val="24"/>
            </w:rPr>
          </w:pPr>
          <w:r>
            <w:rPr>
              <w:color w:val="auto"/>
            </w:rPr>
            <w:fldChar w:fldCharType="begin"/>
          </w:r>
          <w:r>
            <w:rPr>
              <w:color w:val="auto"/>
            </w:rPr>
            <w:instrText xml:space="preserve"> HYPERLINK \l "_Toc5699" </w:instrText>
          </w:r>
          <w:r>
            <w:rPr>
              <w:color w:val="auto"/>
            </w:rPr>
            <w:fldChar w:fldCharType="separate"/>
          </w:r>
          <w:r>
            <w:rPr>
              <w:rFonts w:hint="eastAsia"/>
              <w:color w:val="auto"/>
              <w:sz w:val="24"/>
              <w:szCs w:val="24"/>
            </w:rPr>
            <w:t xml:space="preserve">1.1 </w:t>
          </w:r>
          <w:r>
            <w:rPr>
              <w:color w:val="auto"/>
              <w:sz w:val="24"/>
              <w:szCs w:val="24"/>
            </w:rPr>
            <w:t>项目</w:t>
          </w:r>
          <w:r>
            <w:rPr>
              <w:rFonts w:hint="eastAsia"/>
              <w:color w:val="auto"/>
              <w:sz w:val="24"/>
              <w:szCs w:val="24"/>
            </w:rPr>
            <w:t>由来</w:t>
          </w:r>
          <w:r>
            <w:rPr>
              <w:color w:val="auto"/>
              <w:sz w:val="24"/>
              <w:szCs w:val="24"/>
            </w:rPr>
            <w:tab/>
          </w:r>
          <w:r>
            <w:rPr>
              <w:color w:val="auto"/>
              <w:sz w:val="24"/>
              <w:szCs w:val="24"/>
            </w:rPr>
            <w:fldChar w:fldCharType="begin"/>
          </w:r>
          <w:r>
            <w:rPr>
              <w:color w:val="auto"/>
              <w:sz w:val="24"/>
              <w:szCs w:val="24"/>
            </w:rPr>
            <w:instrText xml:space="preserve"> PAGEREF _Toc5699 </w:instrText>
          </w:r>
          <w:r>
            <w:rPr>
              <w:color w:val="auto"/>
              <w:sz w:val="24"/>
              <w:szCs w:val="24"/>
            </w:rPr>
            <w:fldChar w:fldCharType="separate"/>
          </w:r>
          <w:r>
            <w:rPr>
              <w:color w:val="auto"/>
              <w:sz w:val="24"/>
              <w:szCs w:val="24"/>
            </w:rPr>
            <w:t>1</w:t>
          </w:r>
          <w:r>
            <w:rPr>
              <w:color w:val="auto"/>
              <w:sz w:val="24"/>
              <w:szCs w:val="24"/>
            </w:rPr>
            <w:fldChar w:fldCharType="end"/>
          </w:r>
          <w:r>
            <w:rPr>
              <w:color w:val="auto"/>
              <w:sz w:val="24"/>
              <w:szCs w:val="24"/>
            </w:rPr>
            <w:fldChar w:fldCharType="end"/>
          </w:r>
        </w:p>
        <w:p>
          <w:pPr>
            <w:pStyle w:val="53"/>
            <w:tabs>
              <w:tab w:val="right" w:leader="dot" w:pos="8732"/>
            </w:tabs>
            <w:spacing w:line="360" w:lineRule="auto"/>
            <w:ind w:left="480"/>
            <w:rPr>
              <w:color w:val="auto"/>
              <w:sz w:val="24"/>
              <w:szCs w:val="24"/>
            </w:rPr>
          </w:pPr>
          <w:r>
            <w:rPr>
              <w:color w:val="auto"/>
            </w:rPr>
            <w:fldChar w:fldCharType="begin"/>
          </w:r>
          <w:r>
            <w:rPr>
              <w:color w:val="auto"/>
            </w:rPr>
            <w:instrText xml:space="preserve"> HYPERLINK \l "_Toc29542" </w:instrText>
          </w:r>
          <w:r>
            <w:rPr>
              <w:color w:val="auto"/>
            </w:rPr>
            <w:fldChar w:fldCharType="separate"/>
          </w:r>
          <w:r>
            <w:rPr>
              <w:rFonts w:hint="eastAsia"/>
              <w:color w:val="auto"/>
              <w:sz w:val="24"/>
              <w:szCs w:val="24"/>
            </w:rPr>
            <w:t>1.2环境影响评价的工作过程</w:t>
          </w:r>
          <w:r>
            <w:rPr>
              <w:color w:val="auto"/>
              <w:sz w:val="24"/>
              <w:szCs w:val="24"/>
            </w:rPr>
            <w:tab/>
          </w:r>
          <w:r>
            <w:rPr>
              <w:color w:val="auto"/>
              <w:sz w:val="24"/>
              <w:szCs w:val="24"/>
            </w:rPr>
            <w:fldChar w:fldCharType="begin"/>
          </w:r>
          <w:r>
            <w:rPr>
              <w:color w:val="auto"/>
              <w:sz w:val="24"/>
              <w:szCs w:val="24"/>
            </w:rPr>
            <w:instrText xml:space="preserve"> PAGEREF _Toc29542 </w:instrText>
          </w:r>
          <w:r>
            <w:rPr>
              <w:color w:val="auto"/>
              <w:sz w:val="24"/>
              <w:szCs w:val="24"/>
            </w:rPr>
            <w:fldChar w:fldCharType="separate"/>
          </w:r>
          <w:r>
            <w:rPr>
              <w:color w:val="auto"/>
              <w:sz w:val="24"/>
              <w:szCs w:val="24"/>
            </w:rPr>
            <w:t>2</w:t>
          </w:r>
          <w:r>
            <w:rPr>
              <w:color w:val="auto"/>
              <w:sz w:val="24"/>
              <w:szCs w:val="24"/>
            </w:rPr>
            <w:fldChar w:fldCharType="end"/>
          </w:r>
          <w:r>
            <w:rPr>
              <w:color w:val="auto"/>
              <w:sz w:val="24"/>
              <w:szCs w:val="24"/>
            </w:rPr>
            <w:fldChar w:fldCharType="end"/>
          </w:r>
        </w:p>
        <w:p>
          <w:pPr>
            <w:pStyle w:val="53"/>
            <w:tabs>
              <w:tab w:val="right" w:leader="dot" w:pos="8732"/>
            </w:tabs>
            <w:spacing w:line="360" w:lineRule="auto"/>
            <w:ind w:left="480"/>
            <w:rPr>
              <w:color w:val="auto"/>
              <w:sz w:val="24"/>
              <w:szCs w:val="24"/>
            </w:rPr>
          </w:pPr>
          <w:r>
            <w:rPr>
              <w:color w:val="auto"/>
            </w:rPr>
            <w:fldChar w:fldCharType="begin"/>
          </w:r>
          <w:r>
            <w:rPr>
              <w:color w:val="auto"/>
            </w:rPr>
            <w:instrText xml:space="preserve"> HYPERLINK \l "_Toc21020" </w:instrText>
          </w:r>
          <w:r>
            <w:rPr>
              <w:color w:val="auto"/>
            </w:rPr>
            <w:fldChar w:fldCharType="separate"/>
          </w:r>
          <w:r>
            <w:rPr>
              <w:rFonts w:hint="eastAsia"/>
              <w:color w:val="auto"/>
              <w:sz w:val="24"/>
              <w:szCs w:val="24"/>
            </w:rPr>
            <w:t>1.3</w:t>
          </w:r>
          <w:r>
            <w:rPr>
              <w:color w:val="auto"/>
              <w:sz w:val="24"/>
              <w:szCs w:val="24"/>
            </w:rPr>
            <w:t>项目特点</w:t>
          </w:r>
          <w:r>
            <w:rPr>
              <w:color w:val="auto"/>
              <w:sz w:val="24"/>
              <w:szCs w:val="24"/>
            </w:rPr>
            <w:tab/>
          </w:r>
          <w:r>
            <w:rPr>
              <w:color w:val="auto"/>
              <w:sz w:val="24"/>
              <w:szCs w:val="24"/>
            </w:rPr>
            <w:fldChar w:fldCharType="begin"/>
          </w:r>
          <w:r>
            <w:rPr>
              <w:color w:val="auto"/>
              <w:sz w:val="24"/>
              <w:szCs w:val="24"/>
            </w:rPr>
            <w:instrText xml:space="preserve"> PAGEREF _Toc21020 </w:instrText>
          </w:r>
          <w:r>
            <w:rPr>
              <w:color w:val="auto"/>
              <w:sz w:val="24"/>
              <w:szCs w:val="24"/>
            </w:rPr>
            <w:fldChar w:fldCharType="separate"/>
          </w:r>
          <w:r>
            <w:rPr>
              <w:color w:val="auto"/>
              <w:sz w:val="24"/>
              <w:szCs w:val="24"/>
            </w:rPr>
            <w:t>2</w:t>
          </w:r>
          <w:r>
            <w:rPr>
              <w:color w:val="auto"/>
              <w:sz w:val="24"/>
              <w:szCs w:val="24"/>
            </w:rPr>
            <w:fldChar w:fldCharType="end"/>
          </w:r>
          <w:r>
            <w:rPr>
              <w:color w:val="auto"/>
              <w:sz w:val="24"/>
              <w:szCs w:val="24"/>
            </w:rPr>
            <w:fldChar w:fldCharType="end"/>
          </w:r>
        </w:p>
        <w:p>
          <w:pPr>
            <w:pStyle w:val="53"/>
            <w:tabs>
              <w:tab w:val="right" w:leader="dot" w:pos="8732"/>
            </w:tabs>
            <w:spacing w:line="360" w:lineRule="auto"/>
            <w:ind w:left="480"/>
            <w:rPr>
              <w:color w:val="auto"/>
              <w:sz w:val="24"/>
              <w:szCs w:val="24"/>
            </w:rPr>
          </w:pPr>
          <w:r>
            <w:rPr>
              <w:color w:val="auto"/>
            </w:rPr>
            <w:fldChar w:fldCharType="begin"/>
          </w:r>
          <w:r>
            <w:rPr>
              <w:color w:val="auto"/>
            </w:rPr>
            <w:instrText xml:space="preserve"> HYPERLINK \l "_Toc16015" </w:instrText>
          </w:r>
          <w:r>
            <w:rPr>
              <w:color w:val="auto"/>
            </w:rPr>
            <w:fldChar w:fldCharType="separate"/>
          </w:r>
          <w:r>
            <w:rPr>
              <w:rFonts w:hint="eastAsia"/>
              <w:color w:val="auto"/>
              <w:sz w:val="24"/>
              <w:szCs w:val="24"/>
            </w:rPr>
            <w:t>1.4分析判定情况</w:t>
          </w:r>
          <w:r>
            <w:rPr>
              <w:color w:val="auto"/>
              <w:sz w:val="24"/>
              <w:szCs w:val="24"/>
            </w:rPr>
            <w:tab/>
          </w:r>
          <w:r>
            <w:rPr>
              <w:color w:val="auto"/>
              <w:sz w:val="24"/>
              <w:szCs w:val="24"/>
            </w:rPr>
            <w:fldChar w:fldCharType="begin"/>
          </w:r>
          <w:r>
            <w:rPr>
              <w:color w:val="auto"/>
              <w:sz w:val="24"/>
              <w:szCs w:val="24"/>
            </w:rPr>
            <w:instrText xml:space="preserve"> PAGEREF _Toc16015 </w:instrText>
          </w:r>
          <w:r>
            <w:rPr>
              <w:color w:val="auto"/>
              <w:sz w:val="24"/>
              <w:szCs w:val="24"/>
            </w:rPr>
            <w:fldChar w:fldCharType="separate"/>
          </w:r>
          <w:r>
            <w:rPr>
              <w:color w:val="auto"/>
              <w:sz w:val="24"/>
              <w:szCs w:val="24"/>
            </w:rPr>
            <w:t>3</w:t>
          </w:r>
          <w:r>
            <w:rPr>
              <w:color w:val="auto"/>
              <w:sz w:val="24"/>
              <w:szCs w:val="24"/>
            </w:rPr>
            <w:fldChar w:fldCharType="end"/>
          </w:r>
          <w:r>
            <w:rPr>
              <w:color w:val="auto"/>
              <w:sz w:val="24"/>
              <w:szCs w:val="24"/>
            </w:rPr>
            <w:fldChar w:fldCharType="end"/>
          </w:r>
        </w:p>
        <w:p>
          <w:pPr>
            <w:pStyle w:val="53"/>
            <w:tabs>
              <w:tab w:val="right" w:leader="dot" w:pos="8732"/>
            </w:tabs>
            <w:spacing w:line="360" w:lineRule="auto"/>
            <w:ind w:left="480"/>
            <w:rPr>
              <w:color w:val="auto"/>
              <w:sz w:val="24"/>
              <w:szCs w:val="24"/>
            </w:rPr>
          </w:pPr>
          <w:r>
            <w:rPr>
              <w:color w:val="auto"/>
            </w:rPr>
            <w:fldChar w:fldCharType="begin"/>
          </w:r>
          <w:r>
            <w:rPr>
              <w:color w:val="auto"/>
            </w:rPr>
            <w:instrText xml:space="preserve"> HYPERLINK \l "_Toc24227" </w:instrText>
          </w:r>
          <w:r>
            <w:rPr>
              <w:color w:val="auto"/>
            </w:rPr>
            <w:fldChar w:fldCharType="separate"/>
          </w:r>
          <w:r>
            <w:rPr>
              <w:rFonts w:hint="eastAsia"/>
              <w:color w:val="auto"/>
              <w:sz w:val="24"/>
              <w:szCs w:val="24"/>
            </w:rPr>
            <w:t>1.5 关注的主要问题</w:t>
          </w:r>
          <w:r>
            <w:rPr>
              <w:color w:val="auto"/>
              <w:sz w:val="24"/>
              <w:szCs w:val="24"/>
            </w:rPr>
            <w:tab/>
          </w:r>
          <w:r>
            <w:rPr>
              <w:color w:val="auto"/>
              <w:sz w:val="24"/>
              <w:szCs w:val="24"/>
            </w:rPr>
            <w:fldChar w:fldCharType="begin"/>
          </w:r>
          <w:r>
            <w:rPr>
              <w:color w:val="auto"/>
              <w:sz w:val="24"/>
              <w:szCs w:val="24"/>
            </w:rPr>
            <w:instrText xml:space="preserve"> PAGEREF _Toc24227 </w:instrText>
          </w:r>
          <w:r>
            <w:rPr>
              <w:color w:val="auto"/>
              <w:sz w:val="24"/>
              <w:szCs w:val="24"/>
            </w:rPr>
            <w:fldChar w:fldCharType="separate"/>
          </w:r>
          <w:r>
            <w:rPr>
              <w:color w:val="auto"/>
              <w:sz w:val="24"/>
              <w:szCs w:val="24"/>
            </w:rPr>
            <w:t>6</w:t>
          </w:r>
          <w:r>
            <w:rPr>
              <w:color w:val="auto"/>
              <w:sz w:val="24"/>
              <w:szCs w:val="24"/>
            </w:rPr>
            <w:fldChar w:fldCharType="end"/>
          </w:r>
          <w:r>
            <w:rPr>
              <w:color w:val="auto"/>
              <w:sz w:val="24"/>
              <w:szCs w:val="24"/>
            </w:rPr>
            <w:fldChar w:fldCharType="end"/>
          </w:r>
        </w:p>
        <w:p>
          <w:pPr>
            <w:pStyle w:val="53"/>
            <w:tabs>
              <w:tab w:val="right" w:leader="dot" w:pos="8732"/>
            </w:tabs>
            <w:spacing w:line="360" w:lineRule="auto"/>
            <w:ind w:left="480"/>
            <w:rPr>
              <w:color w:val="auto"/>
              <w:sz w:val="24"/>
              <w:szCs w:val="24"/>
            </w:rPr>
          </w:pPr>
          <w:r>
            <w:rPr>
              <w:color w:val="auto"/>
            </w:rPr>
            <w:fldChar w:fldCharType="begin"/>
          </w:r>
          <w:r>
            <w:rPr>
              <w:color w:val="auto"/>
            </w:rPr>
            <w:instrText xml:space="preserve"> HYPERLINK \l "_Toc4238" </w:instrText>
          </w:r>
          <w:r>
            <w:rPr>
              <w:color w:val="auto"/>
            </w:rPr>
            <w:fldChar w:fldCharType="separate"/>
          </w:r>
          <w:r>
            <w:rPr>
              <w:rFonts w:hint="eastAsia"/>
              <w:color w:val="auto"/>
              <w:sz w:val="24"/>
              <w:szCs w:val="24"/>
            </w:rPr>
            <w:t>1.6 结论</w:t>
          </w:r>
          <w:r>
            <w:rPr>
              <w:color w:val="auto"/>
              <w:sz w:val="24"/>
              <w:szCs w:val="24"/>
            </w:rPr>
            <w:tab/>
          </w:r>
          <w:r>
            <w:rPr>
              <w:color w:val="auto"/>
              <w:sz w:val="24"/>
              <w:szCs w:val="24"/>
            </w:rPr>
            <w:fldChar w:fldCharType="begin"/>
          </w:r>
          <w:r>
            <w:rPr>
              <w:color w:val="auto"/>
              <w:sz w:val="24"/>
              <w:szCs w:val="24"/>
            </w:rPr>
            <w:instrText xml:space="preserve"> PAGEREF _Toc4238 </w:instrText>
          </w:r>
          <w:r>
            <w:rPr>
              <w:color w:val="auto"/>
              <w:sz w:val="24"/>
              <w:szCs w:val="24"/>
            </w:rPr>
            <w:fldChar w:fldCharType="separate"/>
          </w:r>
          <w:r>
            <w:rPr>
              <w:color w:val="auto"/>
              <w:sz w:val="24"/>
              <w:szCs w:val="24"/>
            </w:rPr>
            <w:t>7</w:t>
          </w:r>
          <w:r>
            <w:rPr>
              <w:color w:val="auto"/>
              <w:sz w:val="24"/>
              <w:szCs w:val="24"/>
            </w:rPr>
            <w:fldChar w:fldCharType="end"/>
          </w:r>
          <w:r>
            <w:rPr>
              <w:color w:val="auto"/>
              <w:sz w:val="24"/>
              <w:szCs w:val="24"/>
            </w:rPr>
            <w:fldChar w:fldCharType="end"/>
          </w:r>
        </w:p>
        <w:p>
          <w:pPr>
            <w:pStyle w:val="53"/>
            <w:tabs>
              <w:tab w:val="right" w:leader="dot" w:pos="8732"/>
            </w:tabs>
            <w:spacing w:line="360" w:lineRule="auto"/>
            <w:ind w:left="0" w:leftChars="0"/>
            <w:rPr>
              <w:b/>
              <w:bCs/>
              <w:color w:val="auto"/>
              <w:sz w:val="24"/>
              <w:szCs w:val="24"/>
            </w:rPr>
          </w:pPr>
          <w:r>
            <w:rPr>
              <w:color w:val="auto"/>
            </w:rPr>
            <w:fldChar w:fldCharType="begin"/>
          </w:r>
          <w:r>
            <w:rPr>
              <w:color w:val="auto"/>
            </w:rPr>
            <w:instrText xml:space="preserve"> HYPERLINK \l "_Toc15624" </w:instrText>
          </w:r>
          <w:r>
            <w:rPr>
              <w:color w:val="auto"/>
            </w:rPr>
            <w:fldChar w:fldCharType="separate"/>
          </w:r>
          <w:r>
            <w:rPr>
              <w:rFonts w:hint="eastAsia" w:ascii="黑体" w:hAnsi="黑体"/>
              <w:b/>
              <w:bCs/>
              <w:color w:val="auto"/>
              <w:sz w:val="24"/>
              <w:szCs w:val="24"/>
            </w:rPr>
            <w:t>第二章  总论</w:t>
          </w:r>
          <w:r>
            <w:rPr>
              <w:b/>
              <w:bCs/>
              <w:color w:val="auto"/>
              <w:sz w:val="24"/>
              <w:szCs w:val="24"/>
            </w:rPr>
            <w:tab/>
          </w:r>
          <w:r>
            <w:rPr>
              <w:b/>
              <w:bCs/>
              <w:color w:val="auto"/>
              <w:sz w:val="24"/>
              <w:szCs w:val="24"/>
            </w:rPr>
            <w:fldChar w:fldCharType="begin"/>
          </w:r>
          <w:r>
            <w:rPr>
              <w:b/>
              <w:bCs/>
              <w:color w:val="auto"/>
              <w:sz w:val="24"/>
              <w:szCs w:val="24"/>
            </w:rPr>
            <w:instrText xml:space="preserve"> PAGEREF _Toc15624 </w:instrText>
          </w:r>
          <w:r>
            <w:rPr>
              <w:b/>
              <w:bCs/>
              <w:color w:val="auto"/>
              <w:sz w:val="24"/>
              <w:szCs w:val="24"/>
            </w:rPr>
            <w:fldChar w:fldCharType="separate"/>
          </w:r>
          <w:r>
            <w:rPr>
              <w:b/>
              <w:bCs/>
              <w:color w:val="auto"/>
              <w:sz w:val="24"/>
              <w:szCs w:val="24"/>
            </w:rPr>
            <w:t>8</w:t>
          </w:r>
          <w:r>
            <w:rPr>
              <w:b/>
              <w:bCs/>
              <w:color w:val="auto"/>
              <w:sz w:val="24"/>
              <w:szCs w:val="24"/>
            </w:rPr>
            <w:fldChar w:fldCharType="end"/>
          </w:r>
          <w:r>
            <w:rPr>
              <w:b/>
              <w:bCs/>
              <w:color w:val="auto"/>
              <w:sz w:val="24"/>
              <w:szCs w:val="24"/>
            </w:rPr>
            <w:fldChar w:fldCharType="end"/>
          </w:r>
        </w:p>
        <w:p>
          <w:pPr>
            <w:pStyle w:val="53"/>
            <w:tabs>
              <w:tab w:val="right" w:leader="dot" w:pos="8732"/>
            </w:tabs>
            <w:spacing w:line="360" w:lineRule="auto"/>
            <w:ind w:left="480"/>
            <w:rPr>
              <w:color w:val="auto"/>
              <w:sz w:val="24"/>
              <w:szCs w:val="24"/>
            </w:rPr>
          </w:pPr>
          <w:r>
            <w:rPr>
              <w:color w:val="auto"/>
            </w:rPr>
            <w:fldChar w:fldCharType="begin"/>
          </w:r>
          <w:r>
            <w:rPr>
              <w:color w:val="auto"/>
            </w:rPr>
            <w:instrText xml:space="preserve"> HYPERLINK \l "_Toc18132" </w:instrText>
          </w:r>
          <w:r>
            <w:rPr>
              <w:color w:val="auto"/>
            </w:rPr>
            <w:fldChar w:fldCharType="separate"/>
          </w:r>
          <w:r>
            <w:rPr>
              <w:color w:val="auto"/>
              <w:sz w:val="24"/>
              <w:szCs w:val="24"/>
            </w:rPr>
            <w:t>2.1 编制依据</w:t>
          </w:r>
          <w:r>
            <w:rPr>
              <w:color w:val="auto"/>
              <w:sz w:val="24"/>
              <w:szCs w:val="24"/>
            </w:rPr>
            <w:tab/>
          </w:r>
          <w:r>
            <w:rPr>
              <w:color w:val="auto"/>
              <w:sz w:val="24"/>
              <w:szCs w:val="24"/>
            </w:rPr>
            <w:fldChar w:fldCharType="begin"/>
          </w:r>
          <w:r>
            <w:rPr>
              <w:color w:val="auto"/>
              <w:sz w:val="24"/>
              <w:szCs w:val="24"/>
            </w:rPr>
            <w:instrText xml:space="preserve"> PAGEREF _Toc18132 </w:instrText>
          </w:r>
          <w:r>
            <w:rPr>
              <w:color w:val="auto"/>
              <w:sz w:val="24"/>
              <w:szCs w:val="24"/>
            </w:rPr>
            <w:fldChar w:fldCharType="separate"/>
          </w:r>
          <w:r>
            <w:rPr>
              <w:color w:val="auto"/>
              <w:sz w:val="24"/>
              <w:szCs w:val="24"/>
            </w:rPr>
            <w:t>8</w:t>
          </w:r>
          <w:r>
            <w:rPr>
              <w:color w:val="auto"/>
              <w:sz w:val="24"/>
              <w:szCs w:val="24"/>
            </w:rPr>
            <w:fldChar w:fldCharType="end"/>
          </w:r>
          <w:r>
            <w:rPr>
              <w:color w:val="auto"/>
              <w:sz w:val="24"/>
              <w:szCs w:val="24"/>
            </w:rPr>
            <w:fldChar w:fldCharType="end"/>
          </w:r>
        </w:p>
        <w:p>
          <w:pPr>
            <w:pStyle w:val="53"/>
            <w:tabs>
              <w:tab w:val="right" w:leader="dot" w:pos="8732"/>
            </w:tabs>
            <w:spacing w:line="360" w:lineRule="auto"/>
            <w:ind w:left="480"/>
            <w:rPr>
              <w:color w:val="auto"/>
              <w:sz w:val="24"/>
              <w:szCs w:val="24"/>
            </w:rPr>
          </w:pPr>
          <w:r>
            <w:rPr>
              <w:color w:val="auto"/>
            </w:rPr>
            <w:fldChar w:fldCharType="begin"/>
          </w:r>
          <w:r>
            <w:rPr>
              <w:color w:val="auto"/>
            </w:rPr>
            <w:instrText xml:space="preserve"> HYPERLINK \l "_Toc14836" </w:instrText>
          </w:r>
          <w:r>
            <w:rPr>
              <w:color w:val="auto"/>
            </w:rPr>
            <w:fldChar w:fldCharType="separate"/>
          </w:r>
          <w:r>
            <w:rPr>
              <w:color w:val="auto"/>
              <w:sz w:val="24"/>
              <w:szCs w:val="24"/>
            </w:rPr>
            <w:t>2.2</w:t>
          </w:r>
          <w:r>
            <w:rPr>
              <w:rFonts w:hint="eastAsia"/>
              <w:color w:val="auto"/>
              <w:sz w:val="24"/>
              <w:szCs w:val="24"/>
            </w:rPr>
            <w:t xml:space="preserve"> 评价对象及目的</w:t>
          </w:r>
          <w:r>
            <w:rPr>
              <w:color w:val="auto"/>
              <w:sz w:val="24"/>
              <w:szCs w:val="24"/>
            </w:rPr>
            <w:tab/>
          </w:r>
          <w:r>
            <w:rPr>
              <w:color w:val="auto"/>
              <w:sz w:val="24"/>
              <w:szCs w:val="24"/>
            </w:rPr>
            <w:fldChar w:fldCharType="begin"/>
          </w:r>
          <w:r>
            <w:rPr>
              <w:color w:val="auto"/>
              <w:sz w:val="24"/>
              <w:szCs w:val="24"/>
            </w:rPr>
            <w:instrText xml:space="preserve"> PAGEREF _Toc14836 </w:instrText>
          </w:r>
          <w:r>
            <w:rPr>
              <w:color w:val="auto"/>
              <w:sz w:val="24"/>
              <w:szCs w:val="24"/>
            </w:rPr>
            <w:fldChar w:fldCharType="separate"/>
          </w:r>
          <w:r>
            <w:rPr>
              <w:color w:val="auto"/>
              <w:sz w:val="24"/>
              <w:szCs w:val="24"/>
            </w:rPr>
            <w:t>11</w:t>
          </w:r>
          <w:r>
            <w:rPr>
              <w:color w:val="auto"/>
              <w:sz w:val="24"/>
              <w:szCs w:val="24"/>
            </w:rPr>
            <w:fldChar w:fldCharType="end"/>
          </w:r>
          <w:r>
            <w:rPr>
              <w:color w:val="auto"/>
              <w:sz w:val="24"/>
              <w:szCs w:val="24"/>
            </w:rPr>
            <w:fldChar w:fldCharType="end"/>
          </w:r>
        </w:p>
        <w:p>
          <w:pPr>
            <w:pStyle w:val="53"/>
            <w:tabs>
              <w:tab w:val="right" w:leader="dot" w:pos="8732"/>
            </w:tabs>
            <w:spacing w:line="360" w:lineRule="auto"/>
            <w:ind w:left="480"/>
            <w:rPr>
              <w:color w:val="auto"/>
              <w:sz w:val="24"/>
              <w:szCs w:val="24"/>
            </w:rPr>
          </w:pPr>
          <w:r>
            <w:rPr>
              <w:color w:val="auto"/>
            </w:rPr>
            <w:fldChar w:fldCharType="begin"/>
          </w:r>
          <w:r>
            <w:rPr>
              <w:color w:val="auto"/>
            </w:rPr>
            <w:instrText xml:space="preserve"> HYPERLINK \l "_Toc13437" </w:instrText>
          </w:r>
          <w:r>
            <w:rPr>
              <w:color w:val="auto"/>
            </w:rPr>
            <w:fldChar w:fldCharType="separate"/>
          </w:r>
          <w:r>
            <w:rPr>
              <w:color w:val="auto"/>
              <w:sz w:val="24"/>
              <w:szCs w:val="24"/>
            </w:rPr>
            <w:t>2.3 环境影响因素识别及评价因子筛选</w:t>
          </w:r>
          <w:r>
            <w:rPr>
              <w:color w:val="auto"/>
              <w:sz w:val="24"/>
              <w:szCs w:val="24"/>
            </w:rPr>
            <w:tab/>
          </w:r>
          <w:r>
            <w:rPr>
              <w:color w:val="auto"/>
              <w:sz w:val="24"/>
              <w:szCs w:val="24"/>
            </w:rPr>
            <w:fldChar w:fldCharType="begin"/>
          </w:r>
          <w:r>
            <w:rPr>
              <w:color w:val="auto"/>
              <w:sz w:val="24"/>
              <w:szCs w:val="24"/>
            </w:rPr>
            <w:instrText xml:space="preserve"> PAGEREF _Toc13437 </w:instrText>
          </w:r>
          <w:r>
            <w:rPr>
              <w:color w:val="auto"/>
              <w:sz w:val="24"/>
              <w:szCs w:val="24"/>
            </w:rPr>
            <w:fldChar w:fldCharType="separate"/>
          </w:r>
          <w:r>
            <w:rPr>
              <w:color w:val="auto"/>
              <w:sz w:val="24"/>
              <w:szCs w:val="24"/>
            </w:rPr>
            <w:t>11</w:t>
          </w:r>
          <w:r>
            <w:rPr>
              <w:color w:val="auto"/>
              <w:sz w:val="24"/>
              <w:szCs w:val="24"/>
            </w:rPr>
            <w:fldChar w:fldCharType="end"/>
          </w:r>
          <w:r>
            <w:rPr>
              <w:color w:val="auto"/>
              <w:sz w:val="24"/>
              <w:szCs w:val="24"/>
            </w:rPr>
            <w:fldChar w:fldCharType="end"/>
          </w:r>
        </w:p>
        <w:p>
          <w:pPr>
            <w:pStyle w:val="53"/>
            <w:tabs>
              <w:tab w:val="right" w:leader="dot" w:pos="8732"/>
            </w:tabs>
            <w:spacing w:line="360" w:lineRule="auto"/>
            <w:ind w:left="480"/>
            <w:rPr>
              <w:color w:val="auto"/>
              <w:sz w:val="24"/>
              <w:szCs w:val="24"/>
            </w:rPr>
          </w:pPr>
          <w:r>
            <w:rPr>
              <w:color w:val="auto"/>
            </w:rPr>
            <w:fldChar w:fldCharType="begin"/>
          </w:r>
          <w:r>
            <w:rPr>
              <w:color w:val="auto"/>
            </w:rPr>
            <w:instrText xml:space="preserve"> HYPERLINK \l "_Toc30937" </w:instrText>
          </w:r>
          <w:r>
            <w:rPr>
              <w:color w:val="auto"/>
            </w:rPr>
            <w:fldChar w:fldCharType="separate"/>
          </w:r>
          <w:r>
            <w:rPr>
              <w:color w:val="auto"/>
              <w:sz w:val="24"/>
              <w:szCs w:val="24"/>
            </w:rPr>
            <w:t>2.4 评价标准</w:t>
          </w:r>
          <w:r>
            <w:rPr>
              <w:color w:val="auto"/>
              <w:sz w:val="24"/>
              <w:szCs w:val="24"/>
            </w:rPr>
            <w:tab/>
          </w:r>
          <w:r>
            <w:rPr>
              <w:color w:val="auto"/>
              <w:sz w:val="24"/>
              <w:szCs w:val="24"/>
            </w:rPr>
            <w:fldChar w:fldCharType="begin"/>
          </w:r>
          <w:r>
            <w:rPr>
              <w:color w:val="auto"/>
              <w:sz w:val="24"/>
              <w:szCs w:val="24"/>
            </w:rPr>
            <w:instrText xml:space="preserve"> PAGEREF _Toc30937 </w:instrText>
          </w:r>
          <w:r>
            <w:rPr>
              <w:color w:val="auto"/>
              <w:sz w:val="24"/>
              <w:szCs w:val="24"/>
            </w:rPr>
            <w:fldChar w:fldCharType="separate"/>
          </w:r>
          <w:r>
            <w:rPr>
              <w:color w:val="auto"/>
              <w:sz w:val="24"/>
              <w:szCs w:val="24"/>
            </w:rPr>
            <w:t>12</w:t>
          </w:r>
          <w:r>
            <w:rPr>
              <w:color w:val="auto"/>
              <w:sz w:val="24"/>
              <w:szCs w:val="24"/>
            </w:rPr>
            <w:fldChar w:fldCharType="end"/>
          </w:r>
          <w:r>
            <w:rPr>
              <w:color w:val="auto"/>
              <w:sz w:val="24"/>
              <w:szCs w:val="24"/>
            </w:rPr>
            <w:fldChar w:fldCharType="end"/>
          </w:r>
        </w:p>
        <w:p>
          <w:pPr>
            <w:pStyle w:val="53"/>
            <w:tabs>
              <w:tab w:val="right" w:leader="dot" w:pos="8732"/>
            </w:tabs>
            <w:spacing w:line="360" w:lineRule="auto"/>
            <w:ind w:left="480"/>
            <w:rPr>
              <w:color w:val="auto"/>
              <w:sz w:val="24"/>
              <w:szCs w:val="24"/>
            </w:rPr>
          </w:pPr>
          <w:r>
            <w:rPr>
              <w:color w:val="auto"/>
            </w:rPr>
            <w:fldChar w:fldCharType="begin"/>
          </w:r>
          <w:r>
            <w:rPr>
              <w:color w:val="auto"/>
            </w:rPr>
            <w:instrText xml:space="preserve"> HYPERLINK \l "_Toc16591" </w:instrText>
          </w:r>
          <w:r>
            <w:rPr>
              <w:color w:val="auto"/>
            </w:rPr>
            <w:fldChar w:fldCharType="separate"/>
          </w:r>
          <w:r>
            <w:rPr>
              <w:color w:val="auto"/>
              <w:sz w:val="24"/>
              <w:szCs w:val="24"/>
            </w:rPr>
            <w:t xml:space="preserve">2.5 </w:t>
          </w:r>
          <w:r>
            <w:rPr>
              <w:rFonts w:hint="eastAsia"/>
              <w:color w:val="auto"/>
              <w:sz w:val="24"/>
              <w:szCs w:val="24"/>
            </w:rPr>
            <w:t>评价等级及评价范围</w:t>
          </w:r>
          <w:r>
            <w:rPr>
              <w:color w:val="auto"/>
              <w:sz w:val="24"/>
              <w:szCs w:val="24"/>
            </w:rPr>
            <w:tab/>
          </w:r>
          <w:r>
            <w:rPr>
              <w:color w:val="auto"/>
              <w:sz w:val="24"/>
              <w:szCs w:val="24"/>
            </w:rPr>
            <w:fldChar w:fldCharType="begin"/>
          </w:r>
          <w:r>
            <w:rPr>
              <w:color w:val="auto"/>
              <w:sz w:val="24"/>
              <w:szCs w:val="24"/>
            </w:rPr>
            <w:instrText xml:space="preserve"> PAGEREF _Toc16591 </w:instrText>
          </w:r>
          <w:r>
            <w:rPr>
              <w:color w:val="auto"/>
              <w:sz w:val="24"/>
              <w:szCs w:val="24"/>
            </w:rPr>
            <w:fldChar w:fldCharType="separate"/>
          </w:r>
          <w:r>
            <w:rPr>
              <w:color w:val="auto"/>
              <w:sz w:val="24"/>
              <w:szCs w:val="24"/>
            </w:rPr>
            <w:t>15</w:t>
          </w:r>
          <w:r>
            <w:rPr>
              <w:color w:val="auto"/>
              <w:sz w:val="24"/>
              <w:szCs w:val="24"/>
            </w:rPr>
            <w:fldChar w:fldCharType="end"/>
          </w:r>
          <w:r>
            <w:rPr>
              <w:color w:val="auto"/>
              <w:sz w:val="24"/>
              <w:szCs w:val="24"/>
            </w:rPr>
            <w:fldChar w:fldCharType="end"/>
          </w:r>
        </w:p>
        <w:p>
          <w:pPr>
            <w:pStyle w:val="53"/>
            <w:tabs>
              <w:tab w:val="right" w:leader="dot" w:pos="8732"/>
            </w:tabs>
            <w:spacing w:line="360" w:lineRule="auto"/>
            <w:ind w:left="480"/>
            <w:rPr>
              <w:color w:val="auto"/>
              <w:sz w:val="24"/>
              <w:szCs w:val="24"/>
            </w:rPr>
          </w:pPr>
          <w:r>
            <w:rPr>
              <w:color w:val="auto"/>
            </w:rPr>
            <w:fldChar w:fldCharType="begin"/>
          </w:r>
          <w:r>
            <w:rPr>
              <w:color w:val="auto"/>
            </w:rPr>
            <w:instrText xml:space="preserve"> HYPERLINK \l "_Toc22271" </w:instrText>
          </w:r>
          <w:r>
            <w:rPr>
              <w:color w:val="auto"/>
            </w:rPr>
            <w:fldChar w:fldCharType="separate"/>
          </w:r>
          <w:r>
            <w:rPr>
              <w:color w:val="auto"/>
              <w:sz w:val="24"/>
              <w:szCs w:val="24"/>
            </w:rPr>
            <w:t>2.6 环境保护目标</w:t>
          </w:r>
          <w:r>
            <w:rPr>
              <w:color w:val="auto"/>
              <w:sz w:val="24"/>
              <w:szCs w:val="24"/>
            </w:rPr>
            <w:tab/>
          </w:r>
          <w:r>
            <w:rPr>
              <w:color w:val="auto"/>
              <w:sz w:val="24"/>
              <w:szCs w:val="24"/>
            </w:rPr>
            <w:fldChar w:fldCharType="begin"/>
          </w:r>
          <w:r>
            <w:rPr>
              <w:color w:val="auto"/>
              <w:sz w:val="24"/>
              <w:szCs w:val="24"/>
            </w:rPr>
            <w:instrText xml:space="preserve"> PAGEREF _Toc22271 </w:instrText>
          </w:r>
          <w:r>
            <w:rPr>
              <w:color w:val="auto"/>
              <w:sz w:val="24"/>
              <w:szCs w:val="24"/>
            </w:rPr>
            <w:fldChar w:fldCharType="separate"/>
          </w:r>
          <w:r>
            <w:rPr>
              <w:color w:val="auto"/>
              <w:sz w:val="24"/>
              <w:szCs w:val="24"/>
            </w:rPr>
            <w:t>18</w:t>
          </w:r>
          <w:r>
            <w:rPr>
              <w:color w:val="auto"/>
              <w:sz w:val="24"/>
              <w:szCs w:val="24"/>
            </w:rPr>
            <w:fldChar w:fldCharType="end"/>
          </w:r>
          <w:r>
            <w:rPr>
              <w:color w:val="auto"/>
              <w:sz w:val="24"/>
              <w:szCs w:val="24"/>
            </w:rPr>
            <w:fldChar w:fldCharType="end"/>
          </w:r>
        </w:p>
        <w:p>
          <w:pPr>
            <w:pStyle w:val="53"/>
            <w:tabs>
              <w:tab w:val="right" w:leader="dot" w:pos="8732"/>
            </w:tabs>
            <w:spacing w:line="360" w:lineRule="auto"/>
            <w:ind w:left="480"/>
            <w:rPr>
              <w:color w:val="auto"/>
              <w:sz w:val="24"/>
              <w:szCs w:val="24"/>
            </w:rPr>
          </w:pPr>
          <w:r>
            <w:rPr>
              <w:color w:val="auto"/>
            </w:rPr>
            <w:fldChar w:fldCharType="begin"/>
          </w:r>
          <w:r>
            <w:rPr>
              <w:color w:val="auto"/>
            </w:rPr>
            <w:instrText xml:space="preserve"> HYPERLINK \l "_Toc676" </w:instrText>
          </w:r>
          <w:r>
            <w:rPr>
              <w:color w:val="auto"/>
            </w:rPr>
            <w:fldChar w:fldCharType="separate"/>
          </w:r>
          <w:r>
            <w:rPr>
              <w:color w:val="auto"/>
              <w:sz w:val="24"/>
              <w:szCs w:val="24"/>
            </w:rPr>
            <w:t>2.7政策相符性分析</w:t>
          </w:r>
          <w:r>
            <w:rPr>
              <w:color w:val="auto"/>
              <w:sz w:val="24"/>
              <w:szCs w:val="24"/>
            </w:rPr>
            <w:tab/>
          </w:r>
          <w:r>
            <w:rPr>
              <w:color w:val="auto"/>
              <w:sz w:val="24"/>
              <w:szCs w:val="24"/>
            </w:rPr>
            <w:fldChar w:fldCharType="begin"/>
          </w:r>
          <w:r>
            <w:rPr>
              <w:color w:val="auto"/>
              <w:sz w:val="24"/>
              <w:szCs w:val="24"/>
            </w:rPr>
            <w:instrText xml:space="preserve"> PAGEREF _Toc676 </w:instrText>
          </w:r>
          <w:r>
            <w:rPr>
              <w:color w:val="auto"/>
              <w:sz w:val="24"/>
              <w:szCs w:val="24"/>
            </w:rPr>
            <w:fldChar w:fldCharType="separate"/>
          </w:r>
          <w:r>
            <w:rPr>
              <w:color w:val="auto"/>
              <w:sz w:val="24"/>
              <w:szCs w:val="24"/>
            </w:rPr>
            <w:t>20</w:t>
          </w:r>
          <w:r>
            <w:rPr>
              <w:color w:val="auto"/>
              <w:sz w:val="24"/>
              <w:szCs w:val="24"/>
            </w:rPr>
            <w:fldChar w:fldCharType="end"/>
          </w:r>
          <w:r>
            <w:rPr>
              <w:color w:val="auto"/>
              <w:sz w:val="24"/>
              <w:szCs w:val="24"/>
            </w:rPr>
            <w:fldChar w:fldCharType="end"/>
          </w:r>
        </w:p>
        <w:p>
          <w:pPr>
            <w:pStyle w:val="53"/>
            <w:tabs>
              <w:tab w:val="right" w:leader="dot" w:pos="8732"/>
            </w:tabs>
            <w:spacing w:line="360" w:lineRule="auto"/>
            <w:ind w:left="480"/>
            <w:rPr>
              <w:color w:val="auto"/>
              <w:sz w:val="24"/>
              <w:szCs w:val="24"/>
            </w:rPr>
          </w:pPr>
          <w:r>
            <w:rPr>
              <w:color w:val="auto"/>
            </w:rPr>
            <w:fldChar w:fldCharType="begin"/>
          </w:r>
          <w:r>
            <w:rPr>
              <w:color w:val="auto"/>
            </w:rPr>
            <w:instrText xml:space="preserve"> HYPERLINK \l "_Toc19396" </w:instrText>
          </w:r>
          <w:r>
            <w:rPr>
              <w:color w:val="auto"/>
            </w:rPr>
            <w:fldChar w:fldCharType="separate"/>
          </w:r>
          <w:r>
            <w:rPr>
              <w:color w:val="auto"/>
              <w:sz w:val="24"/>
              <w:szCs w:val="24"/>
            </w:rPr>
            <w:t>2.</w:t>
          </w:r>
          <w:r>
            <w:rPr>
              <w:rFonts w:hint="eastAsia"/>
              <w:color w:val="auto"/>
              <w:sz w:val="24"/>
              <w:szCs w:val="24"/>
            </w:rPr>
            <w:t>8</w:t>
          </w:r>
          <w:r>
            <w:rPr>
              <w:color w:val="auto"/>
              <w:sz w:val="24"/>
              <w:szCs w:val="24"/>
            </w:rPr>
            <w:t xml:space="preserve"> </w:t>
          </w:r>
          <w:r>
            <w:rPr>
              <w:rFonts w:hint="eastAsia"/>
              <w:color w:val="auto"/>
              <w:sz w:val="24"/>
              <w:szCs w:val="24"/>
            </w:rPr>
            <w:t>评价专题章节设置</w:t>
          </w:r>
          <w:r>
            <w:rPr>
              <w:color w:val="auto"/>
              <w:sz w:val="24"/>
              <w:szCs w:val="24"/>
            </w:rPr>
            <w:tab/>
          </w:r>
          <w:r>
            <w:rPr>
              <w:color w:val="auto"/>
              <w:sz w:val="24"/>
              <w:szCs w:val="24"/>
            </w:rPr>
            <w:fldChar w:fldCharType="begin"/>
          </w:r>
          <w:r>
            <w:rPr>
              <w:color w:val="auto"/>
              <w:sz w:val="24"/>
              <w:szCs w:val="24"/>
            </w:rPr>
            <w:instrText xml:space="preserve"> PAGEREF _Toc19396 </w:instrText>
          </w:r>
          <w:r>
            <w:rPr>
              <w:color w:val="auto"/>
              <w:sz w:val="24"/>
              <w:szCs w:val="24"/>
            </w:rPr>
            <w:fldChar w:fldCharType="separate"/>
          </w:r>
          <w:r>
            <w:rPr>
              <w:color w:val="auto"/>
              <w:sz w:val="24"/>
              <w:szCs w:val="24"/>
            </w:rPr>
            <w:t>31</w:t>
          </w:r>
          <w:r>
            <w:rPr>
              <w:color w:val="auto"/>
              <w:sz w:val="24"/>
              <w:szCs w:val="24"/>
            </w:rPr>
            <w:fldChar w:fldCharType="end"/>
          </w:r>
          <w:r>
            <w:rPr>
              <w:color w:val="auto"/>
              <w:sz w:val="24"/>
              <w:szCs w:val="24"/>
            </w:rPr>
            <w:fldChar w:fldCharType="end"/>
          </w:r>
        </w:p>
        <w:p>
          <w:pPr>
            <w:pStyle w:val="53"/>
            <w:tabs>
              <w:tab w:val="right" w:leader="dot" w:pos="8732"/>
            </w:tabs>
            <w:spacing w:line="360" w:lineRule="auto"/>
            <w:ind w:left="480"/>
            <w:rPr>
              <w:color w:val="auto"/>
              <w:sz w:val="24"/>
              <w:szCs w:val="24"/>
            </w:rPr>
          </w:pPr>
          <w:r>
            <w:rPr>
              <w:color w:val="auto"/>
            </w:rPr>
            <w:fldChar w:fldCharType="begin"/>
          </w:r>
          <w:r>
            <w:rPr>
              <w:color w:val="auto"/>
            </w:rPr>
            <w:instrText xml:space="preserve"> HYPERLINK \l "_Toc2090" </w:instrText>
          </w:r>
          <w:r>
            <w:rPr>
              <w:color w:val="auto"/>
            </w:rPr>
            <w:fldChar w:fldCharType="separate"/>
          </w:r>
          <w:r>
            <w:rPr>
              <w:color w:val="auto"/>
              <w:sz w:val="24"/>
              <w:szCs w:val="24"/>
            </w:rPr>
            <w:t>2.</w:t>
          </w:r>
          <w:r>
            <w:rPr>
              <w:rFonts w:hint="eastAsia"/>
              <w:color w:val="auto"/>
              <w:sz w:val="24"/>
              <w:szCs w:val="24"/>
            </w:rPr>
            <w:t>9</w:t>
          </w:r>
          <w:r>
            <w:rPr>
              <w:color w:val="auto"/>
              <w:sz w:val="24"/>
              <w:szCs w:val="24"/>
            </w:rPr>
            <w:t xml:space="preserve"> 评价工作程序</w:t>
          </w:r>
          <w:r>
            <w:rPr>
              <w:color w:val="auto"/>
              <w:sz w:val="24"/>
              <w:szCs w:val="24"/>
            </w:rPr>
            <w:tab/>
          </w:r>
          <w:r>
            <w:rPr>
              <w:color w:val="auto"/>
              <w:sz w:val="24"/>
              <w:szCs w:val="24"/>
            </w:rPr>
            <w:fldChar w:fldCharType="begin"/>
          </w:r>
          <w:r>
            <w:rPr>
              <w:color w:val="auto"/>
              <w:sz w:val="24"/>
              <w:szCs w:val="24"/>
            </w:rPr>
            <w:instrText xml:space="preserve"> PAGEREF _Toc2090 </w:instrText>
          </w:r>
          <w:r>
            <w:rPr>
              <w:color w:val="auto"/>
              <w:sz w:val="24"/>
              <w:szCs w:val="24"/>
            </w:rPr>
            <w:fldChar w:fldCharType="separate"/>
          </w:r>
          <w:r>
            <w:rPr>
              <w:color w:val="auto"/>
              <w:sz w:val="24"/>
              <w:szCs w:val="24"/>
            </w:rPr>
            <w:t>38</w:t>
          </w:r>
          <w:r>
            <w:rPr>
              <w:color w:val="auto"/>
              <w:sz w:val="24"/>
              <w:szCs w:val="24"/>
            </w:rPr>
            <w:fldChar w:fldCharType="end"/>
          </w:r>
          <w:r>
            <w:rPr>
              <w:color w:val="auto"/>
              <w:sz w:val="24"/>
              <w:szCs w:val="24"/>
            </w:rPr>
            <w:fldChar w:fldCharType="end"/>
          </w:r>
        </w:p>
        <w:p>
          <w:pPr>
            <w:pStyle w:val="52"/>
            <w:tabs>
              <w:tab w:val="right" w:leader="dot" w:pos="8732"/>
            </w:tabs>
            <w:spacing w:line="360" w:lineRule="auto"/>
            <w:rPr>
              <w:b/>
              <w:color w:val="auto"/>
              <w:sz w:val="24"/>
              <w:szCs w:val="24"/>
            </w:rPr>
          </w:pPr>
          <w:r>
            <w:rPr>
              <w:color w:val="auto"/>
            </w:rPr>
            <w:fldChar w:fldCharType="begin"/>
          </w:r>
          <w:r>
            <w:rPr>
              <w:color w:val="auto"/>
            </w:rPr>
            <w:instrText xml:space="preserve"> HYPERLINK \l "_Toc22488" </w:instrText>
          </w:r>
          <w:r>
            <w:rPr>
              <w:color w:val="auto"/>
            </w:rPr>
            <w:fldChar w:fldCharType="separate"/>
          </w:r>
          <w:r>
            <w:rPr>
              <w:rFonts w:eastAsia="黑体"/>
              <w:b/>
              <w:color w:val="auto"/>
              <w:sz w:val="24"/>
              <w:szCs w:val="24"/>
            </w:rPr>
            <w:t>第三章  工程分析</w:t>
          </w:r>
          <w:r>
            <w:rPr>
              <w:b/>
              <w:color w:val="auto"/>
              <w:sz w:val="24"/>
              <w:szCs w:val="24"/>
            </w:rPr>
            <w:tab/>
          </w:r>
          <w:r>
            <w:rPr>
              <w:b/>
              <w:color w:val="auto"/>
              <w:sz w:val="24"/>
              <w:szCs w:val="24"/>
            </w:rPr>
            <w:fldChar w:fldCharType="begin"/>
          </w:r>
          <w:r>
            <w:rPr>
              <w:b/>
              <w:color w:val="auto"/>
              <w:sz w:val="24"/>
              <w:szCs w:val="24"/>
            </w:rPr>
            <w:instrText xml:space="preserve"> PAGEREF _Toc22488 </w:instrText>
          </w:r>
          <w:r>
            <w:rPr>
              <w:b/>
              <w:color w:val="auto"/>
              <w:sz w:val="24"/>
              <w:szCs w:val="24"/>
            </w:rPr>
            <w:fldChar w:fldCharType="separate"/>
          </w:r>
          <w:r>
            <w:rPr>
              <w:b/>
              <w:color w:val="auto"/>
              <w:sz w:val="24"/>
              <w:szCs w:val="24"/>
            </w:rPr>
            <w:t>40</w:t>
          </w:r>
          <w:r>
            <w:rPr>
              <w:b/>
              <w:color w:val="auto"/>
              <w:sz w:val="24"/>
              <w:szCs w:val="24"/>
            </w:rPr>
            <w:fldChar w:fldCharType="end"/>
          </w:r>
          <w:r>
            <w:rPr>
              <w:b/>
              <w:color w:val="auto"/>
              <w:sz w:val="24"/>
              <w:szCs w:val="24"/>
            </w:rPr>
            <w:fldChar w:fldCharType="end"/>
          </w:r>
        </w:p>
        <w:p>
          <w:pPr>
            <w:pStyle w:val="53"/>
            <w:tabs>
              <w:tab w:val="right" w:leader="dot" w:pos="8732"/>
            </w:tabs>
            <w:spacing w:line="360" w:lineRule="auto"/>
            <w:ind w:left="480"/>
            <w:rPr>
              <w:color w:val="auto"/>
              <w:sz w:val="24"/>
              <w:szCs w:val="24"/>
            </w:rPr>
          </w:pPr>
          <w:r>
            <w:rPr>
              <w:color w:val="auto"/>
            </w:rPr>
            <w:fldChar w:fldCharType="begin"/>
          </w:r>
          <w:r>
            <w:rPr>
              <w:color w:val="auto"/>
            </w:rPr>
            <w:instrText xml:space="preserve"> HYPERLINK \l "_Toc13726" </w:instrText>
          </w:r>
          <w:r>
            <w:rPr>
              <w:color w:val="auto"/>
            </w:rPr>
            <w:fldChar w:fldCharType="separate"/>
          </w:r>
          <w:r>
            <w:rPr>
              <w:color w:val="auto"/>
              <w:sz w:val="24"/>
              <w:szCs w:val="24"/>
            </w:rPr>
            <w:t>3.1 拟建项目工程概况</w:t>
          </w:r>
          <w:r>
            <w:rPr>
              <w:color w:val="auto"/>
              <w:sz w:val="24"/>
              <w:szCs w:val="24"/>
            </w:rPr>
            <w:tab/>
          </w:r>
          <w:r>
            <w:rPr>
              <w:color w:val="auto"/>
              <w:sz w:val="24"/>
              <w:szCs w:val="24"/>
            </w:rPr>
            <w:fldChar w:fldCharType="begin"/>
          </w:r>
          <w:r>
            <w:rPr>
              <w:color w:val="auto"/>
              <w:sz w:val="24"/>
              <w:szCs w:val="24"/>
            </w:rPr>
            <w:instrText xml:space="preserve"> PAGEREF _Toc13726 </w:instrText>
          </w:r>
          <w:r>
            <w:rPr>
              <w:color w:val="auto"/>
              <w:sz w:val="24"/>
              <w:szCs w:val="24"/>
            </w:rPr>
            <w:fldChar w:fldCharType="separate"/>
          </w:r>
          <w:r>
            <w:rPr>
              <w:color w:val="auto"/>
              <w:sz w:val="24"/>
              <w:szCs w:val="24"/>
            </w:rPr>
            <w:t>40</w:t>
          </w:r>
          <w:r>
            <w:rPr>
              <w:color w:val="auto"/>
              <w:sz w:val="24"/>
              <w:szCs w:val="24"/>
            </w:rPr>
            <w:fldChar w:fldCharType="end"/>
          </w:r>
          <w:r>
            <w:rPr>
              <w:color w:val="auto"/>
              <w:sz w:val="24"/>
              <w:szCs w:val="24"/>
            </w:rPr>
            <w:fldChar w:fldCharType="end"/>
          </w:r>
        </w:p>
        <w:p>
          <w:pPr>
            <w:pStyle w:val="53"/>
            <w:tabs>
              <w:tab w:val="right" w:leader="dot" w:pos="8732"/>
            </w:tabs>
            <w:spacing w:line="360" w:lineRule="auto"/>
            <w:ind w:left="480"/>
            <w:rPr>
              <w:color w:val="auto"/>
              <w:sz w:val="24"/>
              <w:szCs w:val="24"/>
            </w:rPr>
          </w:pPr>
          <w:r>
            <w:rPr>
              <w:color w:val="auto"/>
            </w:rPr>
            <w:fldChar w:fldCharType="begin"/>
          </w:r>
          <w:r>
            <w:rPr>
              <w:color w:val="auto"/>
            </w:rPr>
            <w:instrText xml:space="preserve"> HYPERLINK \l "_Toc25484" </w:instrText>
          </w:r>
          <w:r>
            <w:rPr>
              <w:color w:val="auto"/>
            </w:rPr>
            <w:fldChar w:fldCharType="separate"/>
          </w:r>
          <w:r>
            <w:rPr>
              <w:color w:val="auto"/>
              <w:sz w:val="24"/>
              <w:szCs w:val="24"/>
            </w:rPr>
            <w:t>3.2项目工艺流程</w:t>
          </w:r>
          <w:r>
            <w:rPr>
              <w:color w:val="auto"/>
              <w:sz w:val="24"/>
              <w:szCs w:val="24"/>
            </w:rPr>
            <w:tab/>
          </w:r>
          <w:r>
            <w:rPr>
              <w:color w:val="auto"/>
              <w:sz w:val="24"/>
              <w:szCs w:val="24"/>
            </w:rPr>
            <w:fldChar w:fldCharType="begin"/>
          </w:r>
          <w:r>
            <w:rPr>
              <w:color w:val="auto"/>
              <w:sz w:val="24"/>
              <w:szCs w:val="24"/>
            </w:rPr>
            <w:instrText xml:space="preserve"> PAGEREF _Toc25484 </w:instrText>
          </w:r>
          <w:r>
            <w:rPr>
              <w:color w:val="auto"/>
              <w:sz w:val="24"/>
              <w:szCs w:val="24"/>
            </w:rPr>
            <w:fldChar w:fldCharType="separate"/>
          </w:r>
          <w:r>
            <w:rPr>
              <w:color w:val="auto"/>
              <w:sz w:val="24"/>
              <w:szCs w:val="24"/>
            </w:rPr>
            <w:t>56</w:t>
          </w:r>
          <w:r>
            <w:rPr>
              <w:color w:val="auto"/>
              <w:sz w:val="24"/>
              <w:szCs w:val="24"/>
            </w:rPr>
            <w:fldChar w:fldCharType="end"/>
          </w:r>
          <w:r>
            <w:rPr>
              <w:color w:val="auto"/>
              <w:sz w:val="24"/>
              <w:szCs w:val="24"/>
            </w:rPr>
            <w:fldChar w:fldCharType="end"/>
          </w:r>
        </w:p>
        <w:p>
          <w:pPr>
            <w:pStyle w:val="53"/>
            <w:tabs>
              <w:tab w:val="right" w:leader="dot" w:pos="8732"/>
            </w:tabs>
            <w:spacing w:line="360" w:lineRule="auto"/>
            <w:ind w:left="480"/>
            <w:rPr>
              <w:color w:val="auto"/>
              <w:sz w:val="24"/>
              <w:szCs w:val="24"/>
            </w:rPr>
          </w:pPr>
          <w:r>
            <w:rPr>
              <w:color w:val="auto"/>
            </w:rPr>
            <w:fldChar w:fldCharType="begin"/>
          </w:r>
          <w:r>
            <w:rPr>
              <w:color w:val="auto"/>
            </w:rPr>
            <w:instrText xml:space="preserve"> HYPERLINK \l "_Toc15088" </w:instrText>
          </w:r>
          <w:r>
            <w:rPr>
              <w:color w:val="auto"/>
            </w:rPr>
            <w:fldChar w:fldCharType="separate"/>
          </w:r>
          <w:r>
            <w:rPr>
              <w:color w:val="auto"/>
              <w:sz w:val="24"/>
              <w:szCs w:val="24"/>
            </w:rPr>
            <w:t>3.3 主要产污环节分析</w:t>
          </w:r>
          <w:r>
            <w:rPr>
              <w:color w:val="auto"/>
              <w:sz w:val="24"/>
              <w:szCs w:val="24"/>
            </w:rPr>
            <w:tab/>
          </w:r>
          <w:r>
            <w:rPr>
              <w:color w:val="auto"/>
              <w:sz w:val="24"/>
              <w:szCs w:val="24"/>
            </w:rPr>
            <w:fldChar w:fldCharType="begin"/>
          </w:r>
          <w:r>
            <w:rPr>
              <w:color w:val="auto"/>
              <w:sz w:val="24"/>
              <w:szCs w:val="24"/>
            </w:rPr>
            <w:instrText xml:space="preserve"> PAGEREF _Toc15088 </w:instrText>
          </w:r>
          <w:r>
            <w:rPr>
              <w:color w:val="auto"/>
              <w:sz w:val="24"/>
              <w:szCs w:val="24"/>
            </w:rPr>
            <w:fldChar w:fldCharType="separate"/>
          </w:r>
          <w:r>
            <w:rPr>
              <w:color w:val="auto"/>
              <w:sz w:val="24"/>
              <w:szCs w:val="24"/>
            </w:rPr>
            <w:t>72</w:t>
          </w:r>
          <w:r>
            <w:rPr>
              <w:color w:val="auto"/>
              <w:sz w:val="24"/>
              <w:szCs w:val="24"/>
            </w:rPr>
            <w:fldChar w:fldCharType="end"/>
          </w:r>
          <w:r>
            <w:rPr>
              <w:color w:val="auto"/>
              <w:sz w:val="24"/>
              <w:szCs w:val="24"/>
            </w:rPr>
            <w:fldChar w:fldCharType="end"/>
          </w:r>
        </w:p>
        <w:p>
          <w:pPr>
            <w:pStyle w:val="53"/>
            <w:tabs>
              <w:tab w:val="right" w:leader="dot" w:pos="8732"/>
            </w:tabs>
            <w:spacing w:line="360" w:lineRule="auto"/>
            <w:ind w:left="480"/>
            <w:rPr>
              <w:color w:val="auto"/>
              <w:sz w:val="24"/>
              <w:szCs w:val="24"/>
            </w:rPr>
          </w:pPr>
          <w:r>
            <w:rPr>
              <w:color w:val="auto"/>
            </w:rPr>
            <w:fldChar w:fldCharType="begin"/>
          </w:r>
          <w:r>
            <w:rPr>
              <w:color w:val="auto"/>
            </w:rPr>
            <w:instrText xml:space="preserve"> HYPERLINK \l "_Toc11371" </w:instrText>
          </w:r>
          <w:r>
            <w:rPr>
              <w:color w:val="auto"/>
            </w:rPr>
            <w:fldChar w:fldCharType="separate"/>
          </w:r>
          <w:r>
            <w:rPr>
              <w:color w:val="auto"/>
              <w:sz w:val="24"/>
              <w:szCs w:val="24"/>
            </w:rPr>
            <w:t>3.4 项目主要污染物产排情况</w:t>
          </w:r>
          <w:r>
            <w:rPr>
              <w:color w:val="auto"/>
              <w:sz w:val="24"/>
              <w:szCs w:val="24"/>
            </w:rPr>
            <w:tab/>
          </w:r>
          <w:r>
            <w:rPr>
              <w:color w:val="auto"/>
              <w:sz w:val="24"/>
              <w:szCs w:val="24"/>
            </w:rPr>
            <w:fldChar w:fldCharType="begin"/>
          </w:r>
          <w:r>
            <w:rPr>
              <w:color w:val="auto"/>
              <w:sz w:val="24"/>
              <w:szCs w:val="24"/>
            </w:rPr>
            <w:instrText xml:space="preserve"> PAGEREF _Toc11371 </w:instrText>
          </w:r>
          <w:r>
            <w:rPr>
              <w:color w:val="auto"/>
              <w:sz w:val="24"/>
              <w:szCs w:val="24"/>
            </w:rPr>
            <w:fldChar w:fldCharType="separate"/>
          </w:r>
          <w:r>
            <w:rPr>
              <w:color w:val="auto"/>
              <w:sz w:val="24"/>
              <w:szCs w:val="24"/>
            </w:rPr>
            <w:t>85</w:t>
          </w:r>
          <w:r>
            <w:rPr>
              <w:color w:val="auto"/>
              <w:sz w:val="24"/>
              <w:szCs w:val="24"/>
            </w:rPr>
            <w:fldChar w:fldCharType="end"/>
          </w:r>
          <w:r>
            <w:rPr>
              <w:color w:val="auto"/>
              <w:sz w:val="24"/>
              <w:szCs w:val="24"/>
            </w:rPr>
            <w:fldChar w:fldCharType="end"/>
          </w:r>
        </w:p>
        <w:p>
          <w:pPr>
            <w:pStyle w:val="52"/>
            <w:tabs>
              <w:tab w:val="right" w:leader="dot" w:pos="8732"/>
            </w:tabs>
            <w:spacing w:line="360" w:lineRule="auto"/>
            <w:rPr>
              <w:b/>
              <w:color w:val="auto"/>
              <w:sz w:val="24"/>
              <w:szCs w:val="24"/>
            </w:rPr>
          </w:pPr>
          <w:r>
            <w:rPr>
              <w:color w:val="auto"/>
            </w:rPr>
            <w:fldChar w:fldCharType="begin"/>
          </w:r>
          <w:r>
            <w:rPr>
              <w:color w:val="auto"/>
            </w:rPr>
            <w:instrText xml:space="preserve"> HYPERLINK \l "_Toc24433" </w:instrText>
          </w:r>
          <w:r>
            <w:rPr>
              <w:color w:val="auto"/>
            </w:rPr>
            <w:fldChar w:fldCharType="separate"/>
          </w:r>
          <w:r>
            <w:rPr>
              <w:b/>
              <w:color w:val="auto"/>
              <w:sz w:val="24"/>
              <w:szCs w:val="24"/>
            </w:rPr>
            <w:t>第四章  区域环境概况及环境质量现状评价</w:t>
          </w:r>
          <w:r>
            <w:rPr>
              <w:b/>
              <w:color w:val="auto"/>
              <w:sz w:val="24"/>
              <w:szCs w:val="24"/>
            </w:rPr>
            <w:tab/>
          </w:r>
          <w:r>
            <w:rPr>
              <w:b/>
              <w:color w:val="auto"/>
              <w:sz w:val="24"/>
              <w:szCs w:val="24"/>
            </w:rPr>
            <w:fldChar w:fldCharType="begin"/>
          </w:r>
          <w:r>
            <w:rPr>
              <w:b/>
              <w:color w:val="auto"/>
              <w:sz w:val="24"/>
              <w:szCs w:val="24"/>
            </w:rPr>
            <w:instrText xml:space="preserve"> PAGEREF _Toc24433 </w:instrText>
          </w:r>
          <w:r>
            <w:rPr>
              <w:b/>
              <w:color w:val="auto"/>
              <w:sz w:val="24"/>
              <w:szCs w:val="24"/>
            </w:rPr>
            <w:fldChar w:fldCharType="separate"/>
          </w:r>
          <w:r>
            <w:rPr>
              <w:b/>
              <w:color w:val="auto"/>
              <w:sz w:val="24"/>
              <w:szCs w:val="24"/>
            </w:rPr>
            <w:t>87</w:t>
          </w:r>
          <w:r>
            <w:rPr>
              <w:b/>
              <w:color w:val="auto"/>
              <w:sz w:val="24"/>
              <w:szCs w:val="24"/>
            </w:rPr>
            <w:fldChar w:fldCharType="end"/>
          </w:r>
          <w:r>
            <w:rPr>
              <w:b/>
              <w:color w:val="auto"/>
              <w:sz w:val="24"/>
              <w:szCs w:val="24"/>
            </w:rPr>
            <w:fldChar w:fldCharType="end"/>
          </w:r>
        </w:p>
        <w:p>
          <w:pPr>
            <w:pStyle w:val="53"/>
            <w:tabs>
              <w:tab w:val="right" w:leader="dot" w:pos="8732"/>
            </w:tabs>
            <w:spacing w:line="360" w:lineRule="auto"/>
            <w:ind w:left="480"/>
            <w:rPr>
              <w:color w:val="auto"/>
              <w:sz w:val="24"/>
              <w:szCs w:val="24"/>
            </w:rPr>
          </w:pPr>
          <w:r>
            <w:rPr>
              <w:color w:val="auto"/>
            </w:rPr>
            <w:fldChar w:fldCharType="begin"/>
          </w:r>
          <w:r>
            <w:rPr>
              <w:color w:val="auto"/>
            </w:rPr>
            <w:instrText xml:space="preserve"> HYPERLINK \l "_Toc9392" </w:instrText>
          </w:r>
          <w:r>
            <w:rPr>
              <w:color w:val="auto"/>
            </w:rPr>
            <w:fldChar w:fldCharType="separate"/>
          </w:r>
          <w:r>
            <w:rPr>
              <w:rFonts w:hint="eastAsia"/>
              <w:bCs/>
              <w:color w:val="auto"/>
              <w:sz w:val="24"/>
              <w:szCs w:val="24"/>
            </w:rPr>
            <w:t>4</w:t>
          </w:r>
          <w:r>
            <w:rPr>
              <w:bCs/>
              <w:color w:val="auto"/>
              <w:sz w:val="24"/>
              <w:szCs w:val="24"/>
            </w:rPr>
            <w:t>.1 区域环境质量概况</w:t>
          </w:r>
          <w:r>
            <w:rPr>
              <w:color w:val="auto"/>
              <w:sz w:val="24"/>
              <w:szCs w:val="24"/>
            </w:rPr>
            <w:tab/>
          </w:r>
          <w:r>
            <w:rPr>
              <w:color w:val="auto"/>
              <w:sz w:val="24"/>
              <w:szCs w:val="24"/>
            </w:rPr>
            <w:fldChar w:fldCharType="begin"/>
          </w:r>
          <w:r>
            <w:rPr>
              <w:color w:val="auto"/>
              <w:sz w:val="24"/>
              <w:szCs w:val="24"/>
            </w:rPr>
            <w:instrText xml:space="preserve"> PAGEREF _Toc9392 </w:instrText>
          </w:r>
          <w:r>
            <w:rPr>
              <w:color w:val="auto"/>
              <w:sz w:val="24"/>
              <w:szCs w:val="24"/>
            </w:rPr>
            <w:fldChar w:fldCharType="separate"/>
          </w:r>
          <w:r>
            <w:rPr>
              <w:color w:val="auto"/>
              <w:sz w:val="24"/>
              <w:szCs w:val="24"/>
            </w:rPr>
            <w:t>87</w:t>
          </w:r>
          <w:r>
            <w:rPr>
              <w:color w:val="auto"/>
              <w:sz w:val="24"/>
              <w:szCs w:val="24"/>
            </w:rPr>
            <w:fldChar w:fldCharType="end"/>
          </w:r>
          <w:r>
            <w:rPr>
              <w:color w:val="auto"/>
              <w:sz w:val="24"/>
              <w:szCs w:val="24"/>
            </w:rPr>
            <w:fldChar w:fldCharType="end"/>
          </w:r>
        </w:p>
        <w:p>
          <w:pPr>
            <w:pStyle w:val="53"/>
            <w:tabs>
              <w:tab w:val="right" w:leader="dot" w:pos="8732"/>
            </w:tabs>
            <w:spacing w:line="360" w:lineRule="auto"/>
            <w:ind w:left="480"/>
            <w:rPr>
              <w:color w:val="auto"/>
              <w:sz w:val="24"/>
              <w:szCs w:val="24"/>
            </w:rPr>
          </w:pPr>
          <w:r>
            <w:rPr>
              <w:color w:val="auto"/>
            </w:rPr>
            <w:fldChar w:fldCharType="begin"/>
          </w:r>
          <w:r>
            <w:rPr>
              <w:color w:val="auto"/>
            </w:rPr>
            <w:instrText xml:space="preserve"> HYPERLINK \l "_Toc7155" </w:instrText>
          </w:r>
          <w:r>
            <w:rPr>
              <w:color w:val="auto"/>
            </w:rPr>
            <w:fldChar w:fldCharType="separate"/>
          </w:r>
          <w:r>
            <w:rPr>
              <w:color w:val="auto"/>
              <w:sz w:val="24"/>
              <w:szCs w:val="24"/>
            </w:rPr>
            <w:t>4.</w:t>
          </w:r>
          <w:r>
            <w:rPr>
              <w:rFonts w:hint="eastAsia"/>
              <w:color w:val="auto"/>
              <w:sz w:val="24"/>
              <w:szCs w:val="24"/>
            </w:rPr>
            <w:t>2</w:t>
          </w:r>
          <w:r>
            <w:rPr>
              <w:color w:val="auto"/>
              <w:sz w:val="24"/>
              <w:szCs w:val="24"/>
            </w:rPr>
            <w:t xml:space="preserve">  环境质量现状调查与评价</w:t>
          </w:r>
          <w:r>
            <w:rPr>
              <w:color w:val="auto"/>
              <w:sz w:val="24"/>
              <w:szCs w:val="24"/>
            </w:rPr>
            <w:tab/>
          </w:r>
          <w:r>
            <w:rPr>
              <w:color w:val="auto"/>
              <w:sz w:val="24"/>
              <w:szCs w:val="24"/>
            </w:rPr>
            <w:fldChar w:fldCharType="begin"/>
          </w:r>
          <w:r>
            <w:rPr>
              <w:color w:val="auto"/>
              <w:sz w:val="24"/>
              <w:szCs w:val="24"/>
            </w:rPr>
            <w:instrText xml:space="preserve"> PAGEREF _Toc7155 </w:instrText>
          </w:r>
          <w:r>
            <w:rPr>
              <w:color w:val="auto"/>
              <w:sz w:val="24"/>
              <w:szCs w:val="24"/>
            </w:rPr>
            <w:fldChar w:fldCharType="separate"/>
          </w:r>
          <w:r>
            <w:rPr>
              <w:color w:val="auto"/>
              <w:sz w:val="24"/>
              <w:szCs w:val="24"/>
            </w:rPr>
            <w:t>91</w:t>
          </w:r>
          <w:r>
            <w:rPr>
              <w:color w:val="auto"/>
              <w:sz w:val="24"/>
              <w:szCs w:val="24"/>
            </w:rPr>
            <w:fldChar w:fldCharType="end"/>
          </w:r>
          <w:r>
            <w:rPr>
              <w:color w:val="auto"/>
              <w:sz w:val="24"/>
              <w:szCs w:val="24"/>
            </w:rPr>
            <w:fldChar w:fldCharType="end"/>
          </w:r>
        </w:p>
        <w:p>
          <w:pPr>
            <w:pStyle w:val="52"/>
            <w:tabs>
              <w:tab w:val="right" w:leader="dot" w:pos="8732"/>
            </w:tabs>
            <w:spacing w:line="360" w:lineRule="auto"/>
            <w:rPr>
              <w:b/>
              <w:color w:val="auto"/>
              <w:sz w:val="24"/>
              <w:szCs w:val="24"/>
            </w:rPr>
          </w:pPr>
          <w:r>
            <w:rPr>
              <w:color w:val="auto"/>
            </w:rPr>
            <w:fldChar w:fldCharType="begin"/>
          </w:r>
          <w:r>
            <w:rPr>
              <w:color w:val="auto"/>
            </w:rPr>
            <w:instrText xml:space="preserve"> HYPERLINK \l "_Toc31576" </w:instrText>
          </w:r>
          <w:r>
            <w:rPr>
              <w:color w:val="auto"/>
            </w:rPr>
            <w:fldChar w:fldCharType="separate"/>
          </w:r>
          <w:r>
            <w:rPr>
              <w:rFonts w:eastAsia="黑体"/>
              <w:b/>
              <w:color w:val="auto"/>
              <w:sz w:val="24"/>
              <w:szCs w:val="24"/>
            </w:rPr>
            <w:t>第五章  环境质量影响预测与评价</w:t>
          </w:r>
          <w:r>
            <w:rPr>
              <w:b/>
              <w:color w:val="auto"/>
              <w:sz w:val="24"/>
              <w:szCs w:val="24"/>
            </w:rPr>
            <w:tab/>
          </w:r>
          <w:r>
            <w:rPr>
              <w:b/>
              <w:color w:val="auto"/>
              <w:sz w:val="24"/>
              <w:szCs w:val="24"/>
            </w:rPr>
            <w:fldChar w:fldCharType="begin"/>
          </w:r>
          <w:r>
            <w:rPr>
              <w:b/>
              <w:color w:val="auto"/>
              <w:sz w:val="24"/>
              <w:szCs w:val="24"/>
            </w:rPr>
            <w:instrText xml:space="preserve"> PAGEREF _Toc31576 </w:instrText>
          </w:r>
          <w:r>
            <w:rPr>
              <w:b/>
              <w:color w:val="auto"/>
              <w:sz w:val="24"/>
              <w:szCs w:val="24"/>
            </w:rPr>
            <w:fldChar w:fldCharType="separate"/>
          </w:r>
          <w:r>
            <w:rPr>
              <w:b/>
              <w:color w:val="auto"/>
              <w:sz w:val="24"/>
              <w:szCs w:val="24"/>
            </w:rPr>
            <w:t>105</w:t>
          </w:r>
          <w:r>
            <w:rPr>
              <w:b/>
              <w:color w:val="auto"/>
              <w:sz w:val="24"/>
              <w:szCs w:val="24"/>
            </w:rPr>
            <w:fldChar w:fldCharType="end"/>
          </w:r>
          <w:r>
            <w:rPr>
              <w:b/>
              <w:color w:val="auto"/>
              <w:sz w:val="24"/>
              <w:szCs w:val="24"/>
            </w:rPr>
            <w:fldChar w:fldCharType="end"/>
          </w:r>
        </w:p>
        <w:p>
          <w:pPr>
            <w:pStyle w:val="53"/>
            <w:tabs>
              <w:tab w:val="right" w:leader="dot" w:pos="8732"/>
            </w:tabs>
            <w:spacing w:line="360" w:lineRule="auto"/>
            <w:ind w:left="480"/>
            <w:rPr>
              <w:color w:val="auto"/>
              <w:sz w:val="24"/>
              <w:szCs w:val="24"/>
            </w:rPr>
          </w:pPr>
          <w:r>
            <w:rPr>
              <w:color w:val="auto"/>
            </w:rPr>
            <w:fldChar w:fldCharType="begin"/>
          </w:r>
          <w:r>
            <w:rPr>
              <w:color w:val="auto"/>
            </w:rPr>
            <w:instrText xml:space="preserve"> HYPERLINK \l "_Toc32528" </w:instrText>
          </w:r>
          <w:r>
            <w:rPr>
              <w:color w:val="auto"/>
            </w:rPr>
            <w:fldChar w:fldCharType="separate"/>
          </w:r>
          <w:r>
            <w:rPr>
              <w:rFonts w:eastAsia="黑体"/>
              <w:color w:val="auto"/>
              <w:sz w:val="24"/>
              <w:szCs w:val="24"/>
            </w:rPr>
            <w:t xml:space="preserve">5.1 </w:t>
          </w:r>
          <w:r>
            <w:rPr>
              <w:rFonts w:hAnsi="黑体" w:eastAsia="黑体"/>
              <w:color w:val="auto"/>
              <w:sz w:val="24"/>
              <w:szCs w:val="24"/>
            </w:rPr>
            <w:t>施工期环境影响分析</w:t>
          </w:r>
          <w:r>
            <w:rPr>
              <w:color w:val="auto"/>
              <w:sz w:val="24"/>
              <w:szCs w:val="24"/>
            </w:rPr>
            <w:tab/>
          </w:r>
          <w:r>
            <w:rPr>
              <w:color w:val="auto"/>
              <w:sz w:val="24"/>
              <w:szCs w:val="24"/>
            </w:rPr>
            <w:fldChar w:fldCharType="begin"/>
          </w:r>
          <w:r>
            <w:rPr>
              <w:color w:val="auto"/>
              <w:sz w:val="24"/>
              <w:szCs w:val="24"/>
            </w:rPr>
            <w:instrText xml:space="preserve"> PAGEREF _Toc32528 </w:instrText>
          </w:r>
          <w:r>
            <w:rPr>
              <w:color w:val="auto"/>
              <w:sz w:val="24"/>
              <w:szCs w:val="24"/>
            </w:rPr>
            <w:fldChar w:fldCharType="separate"/>
          </w:r>
          <w:r>
            <w:rPr>
              <w:color w:val="auto"/>
              <w:sz w:val="24"/>
              <w:szCs w:val="24"/>
            </w:rPr>
            <w:t>105</w:t>
          </w:r>
          <w:r>
            <w:rPr>
              <w:color w:val="auto"/>
              <w:sz w:val="24"/>
              <w:szCs w:val="24"/>
            </w:rPr>
            <w:fldChar w:fldCharType="end"/>
          </w:r>
          <w:r>
            <w:rPr>
              <w:color w:val="auto"/>
              <w:sz w:val="24"/>
              <w:szCs w:val="24"/>
            </w:rPr>
            <w:fldChar w:fldCharType="end"/>
          </w:r>
        </w:p>
        <w:p>
          <w:pPr>
            <w:pStyle w:val="53"/>
            <w:tabs>
              <w:tab w:val="right" w:leader="dot" w:pos="8732"/>
            </w:tabs>
            <w:spacing w:line="360" w:lineRule="auto"/>
            <w:ind w:left="480"/>
            <w:rPr>
              <w:color w:val="auto"/>
              <w:sz w:val="24"/>
              <w:szCs w:val="24"/>
            </w:rPr>
          </w:pPr>
          <w:r>
            <w:rPr>
              <w:color w:val="auto"/>
            </w:rPr>
            <w:fldChar w:fldCharType="begin"/>
          </w:r>
          <w:r>
            <w:rPr>
              <w:color w:val="auto"/>
            </w:rPr>
            <w:instrText xml:space="preserve"> HYPERLINK \l "_Toc31203" </w:instrText>
          </w:r>
          <w:r>
            <w:rPr>
              <w:color w:val="auto"/>
            </w:rPr>
            <w:fldChar w:fldCharType="separate"/>
          </w:r>
          <w:r>
            <w:rPr>
              <w:rFonts w:eastAsia="黑体"/>
              <w:color w:val="auto"/>
              <w:sz w:val="24"/>
              <w:szCs w:val="24"/>
            </w:rPr>
            <w:t>5.</w:t>
          </w:r>
          <w:r>
            <w:rPr>
              <w:rFonts w:hint="eastAsia" w:eastAsia="黑体"/>
              <w:color w:val="auto"/>
              <w:sz w:val="24"/>
              <w:szCs w:val="24"/>
            </w:rPr>
            <w:t>2营运期环境影响分析</w:t>
          </w:r>
          <w:r>
            <w:rPr>
              <w:color w:val="auto"/>
              <w:sz w:val="24"/>
              <w:szCs w:val="24"/>
            </w:rPr>
            <w:tab/>
          </w:r>
          <w:r>
            <w:rPr>
              <w:color w:val="auto"/>
              <w:sz w:val="24"/>
              <w:szCs w:val="24"/>
            </w:rPr>
            <w:fldChar w:fldCharType="begin"/>
          </w:r>
          <w:r>
            <w:rPr>
              <w:color w:val="auto"/>
              <w:sz w:val="24"/>
              <w:szCs w:val="24"/>
            </w:rPr>
            <w:instrText xml:space="preserve"> PAGEREF _Toc31203 </w:instrText>
          </w:r>
          <w:r>
            <w:rPr>
              <w:color w:val="auto"/>
              <w:sz w:val="24"/>
              <w:szCs w:val="24"/>
            </w:rPr>
            <w:fldChar w:fldCharType="separate"/>
          </w:r>
          <w:r>
            <w:rPr>
              <w:color w:val="auto"/>
              <w:sz w:val="24"/>
              <w:szCs w:val="24"/>
            </w:rPr>
            <w:t>109</w:t>
          </w:r>
          <w:r>
            <w:rPr>
              <w:color w:val="auto"/>
              <w:sz w:val="24"/>
              <w:szCs w:val="24"/>
            </w:rPr>
            <w:fldChar w:fldCharType="end"/>
          </w:r>
          <w:r>
            <w:rPr>
              <w:color w:val="auto"/>
              <w:sz w:val="24"/>
              <w:szCs w:val="24"/>
            </w:rPr>
            <w:fldChar w:fldCharType="end"/>
          </w:r>
        </w:p>
        <w:p>
          <w:pPr>
            <w:pStyle w:val="53"/>
            <w:tabs>
              <w:tab w:val="right" w:leader="dot" w:pos="8732"/>
            </w:tabs>
            <w:spacing w:line="360" w:lineRule="auto"/>
            <w:ind w:left="480"/>
            <w:rPr>
              <w:color w:val="auto"/>
              <w:sz w:val="24"/>
              <w:szCs w:val="24"/>
            </w:rPr>
          </w:pPr>
          <w:r>
            <w:rPr>
              <w:color w:val="auto"/>
            </w:rPr>
            <w:fldChar w:fldCharType="begin"/>
          </w:r>
          <w:r>
            <w:rPr>
              <w:color w:val="auto"/>
            </w:rPr>
            <w:instrText xml:space="preserve"> HYPERLINK \l "_Toc29803" </w:instrText>
          </w:r>
          <w:r>
            <w:rPr>
              <w:color w:val="auto"/>
            </w:rPr>
            <w:fldChar w:fldCharType="separate"/>
          </w:r>
          <w:r>
            <w:rPr>
              <w:rFonts w:eastAsia="黑体"/>
              <w:color w:val="auto"/>
              <w:sz w:val="24"/>
              <w:szCs w:val="24"/>
            </w:rPr>
            <w:t>5.</w:t>
          </w:r>
          <w:r>
            <w:rPr>
              <w:rFonts w:hint="eastAsia" w:eastAsia="黑体"/>
              <w:color w:val="auto"/>
              <w:sz w:val="24"/>
              <w:szCs w:val="24"/>
            </w:rPr>
            <w:t>3</w:t>
          </w:r>
          <w:r>
            <w:rPr>
              <w:rFonts w:eastAsia="黑体"/>
              <w:color w:val="auto"/>
              <w:sz w:val="24"/>
              <w:szCs w:val="24"/>
            </w:rPr>
            <w:t xml:space="preserve">  环境风险分析</w:t>
          </w:r>
          <w:r>
            <w:rPr>
              <w:color w:val="auto"/>
              <w:sz w:val="24"/>
              <w:szCs w:val="24"/>
            </w:rPr>
            <w:tab/>
          </w:r>
          <w:r>
            <w:rPr>
              <w:color w:val="auto"/>
              <w:sz w:val="24"/>
              <w:szCs w:val="24"/>
            </w:rPr>
            <w:fldChar w:fldCharType="begin"/>
          </w:r>
          <w:r>
            <w:rPr>
              <w:color w:val="auto"/>
              <w:sz w:val="24"/>
              <w:szCs w:val="24"/>
            </w:rPr>
            <w:instrText xml:space="preserve"> PAGEREF _Toc29803 </w:instrText>
          </w:r>
          <w:r>
            <w:rPr>
              <w:color w:val="auto"/>
              <w:sz w:val="24"/>
              <w:szCs w:val="24"/>
            </w:rPr>
            <w:fldChar w:fldCharType="separate"/>
          </w:r>
          <w:r>
            <w:rPr>
              <w:color w:val="auto"/>
              <w:sz w:val="24"/>
              <w:szCs w:val="24"/>
            </w:rPr>
            <w:t>167</w:t>
          </w:r>
          <w:r>
            <w:rPr>
              <w:color w:val="auto"/>
              <w:sz w:val="24"/>
              <w:szCs w:val="24"/>
            </w:rPr>
            <w:fldChar w:fldCharType="end"/>
          </w:r>
          <w:r>
            <w:rPr>
              <w:color w:val="auto"/>
              <w:sz w:val="24"/>
              <w:szCs w:val="24"/>
            </w:rPr>
            <w:fldChar w:fldCharType="end"/>
          </w:r>
        </w:p>
        <w:p>
          <w:pPr>
            <w:pStyle w:val="52"/>
            <w:tabs>
              <w:tab w:val="right" w:leader="dot" w:pos="8732"/>
            </w:tabs>
            <w:spacing w:line="360" w:lineRule="auto"/>
            <w:rPr>
              <w:b/>
              <w:color w:val="auto"/>
              <w:sz w:val="24"/>
              <w:szCs w:val="24"/>
            </w:rPr>
          </w:pPr>
          <w:r>
            <w:rPr>
              <w:color w:val="auto"/>
            </w:rPr>
            <w:fldChar w:fldCharType="begin"/>
          </w:r>
          <w:r>
            <w:rPr>
              <w:color w:val="auto"/>
            </w:rPr>
            <w:instrText xml:space="preserve"> HYPERLINK \l "_Toc3876" </w:instrText>
          </w:r>
          <w:r>
            <w:rPr>
              <w:color w:val="auto"/>
            </w:rPr>
            <w:fldChar w:fldCharType="separate"/>
          </w:r>
          <w:r>
            <w:rPr>
              <w:b/>
              <w:color w:val="auto"/>
              <w:sz w:val="24"/>
              <w:szCs w:val="24"/>
            </w:rPr>
            <w:t>第六章  防污减污措施评价</w:t>
          </w:r>
          <w:r>
            <w:rPr>
              <w:b/>
              <w:color w:val="auto"/>
              <w:sz w:val="24"/>
              <w:szCs w:val="24"/>
            </w:rPr>
            <w:tab/>
          </w:r>
          <w:r>
            <w:rPr>
              <w:b/>
              <w:color w:val="auto"/>
              <w:sz w:val="24"/>
              <w:szCs w:val="24"/>
            </w:rPr>
            <w:fldChar w:fldCharType="begin"/>
          </w:r>
          <w:r>
            <w:rPr>
              <w:b/>
              <w:color w:val="auto"/>
              <w:sz w:val="24"/>
              <w:szCs w:val="24"/>
            </w:rPr>
            <w:instrText xml:space="preserve"> PAGEREF _Toc3876 </w:instrText>
          </w:r>
          <w:r>
            <w:rPr>
              <w:b/>
              <w:color w:val="auto"/>
              <w:sz w:val="24"/>
              <w:szCs w:val="24"/>
            </w:rPr>
            <w:fldChar w:fldCharType="separate"/>
          </w:r>
          <w:r>
            <w:rPr>
              <w:b/>
              <w:color w:val="auto"/>
              <w:sz w:val="24"/>
              <w:szCs w:val="24"/>
            </w:rPr>
            <w:t>177</w:t>
          </w:r>
          <w:r>
            <w:rPr>
              <w:b/>
              <w:color w:val="auto"/>
              <w:sz w:val="24"/>
              <w:szCs w:val="24"/>
            </w:rPr>
            <w:fldChar w:fldCharType="end"/>
          </w:r>
          <w:r>
            <w:rPr>
              <w:b/>
              <w:color w:val="auto"/>
              <w:sz w:val="24"/>
              <w:szCs w:val="24"/>
            </w:rPr>
            <w:fldChar w:fldCharType="end"/>
          </w:r>
        </w:p>
        <w:p>
          <w:pPr>
            <w:pStyle w:val="53"/>
            <w:tabs>
              <w:tab w:val="right" w:leader="dot" w:pos="8732"/>
            </w:tabs>
            <w:spacing w:line="360" w:lineRule="auto"/>
            <w:ind w:left="480"/>
            <w:rPr>
              <w:color w:val="auto"/>
              <w:sz w:val="24"/>
              <w:szCs w:val="24"/>
            </w:rPr>
          </w:pPr>
          <w:r>
            <w:rPr>
              <w:color w:val="auto"/>
            </w:rPr>
            <w:fldChar w:fldCharType="begin"/>
          </w:r>
          <w:r>
            <w:rPr>
              <w:color w:val="auto"/>
            </w:rPr>
            <w:instrText xml:space="preserve"> HYPERLINK \l "_Toc14268" </w:instrText>
          </w:r>
          <w:r>
            <w:rPr>
              <w:color w:val="auto"/>
            </w:rPr>
            <w:fldChar w:fldCharType="separate"/>
          </w:r>
          <w:r>
            <w:rPr>
              <w:color w:val="auto"/>
              <w:sz w:val="24"/>
              <w:szCs w:val="24"/>
            </w:rPr>
            <w:t xml:space="preserve">6.1  </w:t>
          </w:r>
          <w:r>
            <w:rPr>
              <w:rFonts w:hint="eastAsia"/>
              <w:color w:val="auto"/>
              <w:sz w:val="24"/>
              <w:szCs w:val="24"/>
            </w:rPr>
            <w:t>施工期污染防治措施</w:t>
          </w:r>
          <w:r>
            <w:rPr>
              <w:color w:val="auto"/>
              <w:sz w:val="24"/>
              <w:szCs w:val="24"/>
            </w:rPr>
            <w:tab/>
          </w:r>
          <w:r>
            <w:rPr>
              <w:color w:val="auto"/>
              <w:sz w:val="24"/>
              <w:szCs w:val="24"/>
            </w:rPr>
            <w:fldChar w:fldCharType="begin"/>
          </w:r>
          <w:r>
            <w:rPr>
              <w:color w:val="auto"/>
              <w:sz w:val="24"/>
              <w:szCs w:val="24"/>
            </w:rPr>
            <w:instrText xml:space="preserve"> PAGEREF _Toc14268 </w:instrText>
          </w:r>
          <w:r>
            <w:rPr>
              <w:color w:val="auto"/>
              <w:sz w:val="24"/>
              <w:szCs w:val="24"/>
            </w:rPr>
            <w:fldChar w:fldCharType="separate"/>
          </w:r>
          <w:r>
            <w:rPr>
              <w:color w:val="auto"/>
              <w:sz w:val="24"/>
              <w:szCs w:val="24"/>
            </w:rPr>
            <w:t>177</w:t>
          </w:r>
          <w:r>
            <w:rPr>
              <w:color w:val="auto"/>
              <w:sz w:val="24"/>
              <w:szCs w:val="24"/>
            </w:rPr>
            <w:fldChar w:fldCharType="end"/>
          </w:r>
          <w:r>
            <w:rPr>
              <w:color w:val="auto"/>
              <w:sz w:val="24"/>
              <w:szCs w:val="24"/>
            </w:rPr>
            <w:fldChar w:fldCharType="end"/>
          </w:r>
        </w:p>
        <w:p>
          <w:pPr>
            <w:pStyle w:val="53"/>
            <w:tabs>
              <w:tab w:val="right" w:leader="dot" w:pos="8732"/>
            </w:tabs>
            <w:spacing w:line="360" w:lineRule="auto"/>
            <w:ind w:left="480"/>
            <w:rPr>
              <w:color w:val="auto"/>
              <w:sz w:val="24"/>
              <w:szCs w:val="24"/>
            </w:rPr>
          </w:pPr>
          <w:r>
            <w:rPr>
              <w:color w:val="auto"/>
            </w:rPr>
            <w:fldChar w:fldCharType="begin"/>
          </w:r>
          <w:r>
            <w:rPr>
              <w:color w:val="auto"/>
            </w:rPr>
            <w:instrText xml:space="preserve"> HYPERLINK \l "_Toc14559" </w:instrText>
          </w:r>
          <w:r>
            <w:rPr>
              <w:color w:val="auto"/>
            </w:rPr>
            <w:fldChar w:fldCharType="separate"/>
          </w:r>
          <w:r>
            <w:rPr>
              <w:color w:val="auto"/>
              <w:sz w:val="24"/>
              <w:szCs w:val="24"/>
            </w:rPr>
            <w:t>6.2  本次工程防污减污措施评价</w:t>
          </w:r>
          <w:r>
            <w:rPr>
              <w:color w:val="auto"/>
              <w:sz w:val="24"/>
              <w:szCs w:val="24"/>
            </w:rPr>
            <w:tab/>
          </w:r>
          <w:r>
            <w:rPr>
              <w:color w:val="auto"/>
              <w:sz w:val="24"/>
              <w:szCs w:val="24"/>
            </w:rPr>
            <w:fldChar w:fldCharType="begin"/>
          </w:r>
          <w:r>
            <w:rPr>
              <w:color w:val="auto"/>
              <w:sz w:val="24"/>
              <w:szCs w:val="24"/>
            </w:rPr>
            <w:instrText xml:space="preserve"> PAGEREF _Toc14559 </w:instrText>
          </w:r>
          <w:r>
            <w:rPr>
              <w:color w:val="auto"/>
              <w:sz w:val="24"/>
              <w:szCs w:val="24"/>
            </w:rPr>
            <w:fldChar w:fldCharType="separate"/>
          </w:r>
          <w:r>
            <w:rPr>
              <w:color w:val="auto"/>
              <w:sz w:val="24"/>
              <w:szCs w:val="24"/>
            </w:rPr>
            <w:t>179</w:t>
          </w:r>
          <w:r>
            <w:rPr>
              <w:color w:val="auto"/>
              <w:sz w:val="24"/>
              <w:szCs w:val="24"/>
            </w:rPr>
            <w:fldChar w:fldCharType="end"/>
          </w:r>
          <w:r>
            <w:rPr>
              <w:color w:val="auto"/>
              <w:sz w:val="24"/>
              <w:szCs w:val="24"/>
            </w:rPr>
            <w:fldChar w:fldCharType="end"/>
          </w:r>
        </w:p>
        <w:p>
          <w:pPr>
            <w:pStyle w:val="53"/>
            <w:tabs>
              <w:tab w:val="right" w:leader="dot" w:pos="8732"/>
            </w:tabs>
            <w:spacing w:line="360" w:lineRule="auto"/>
            <w:ind w:left="480"/>
            <w:rPr>
              <w:color w:val="auto"/>
              <w:sz w:val="24"/>
              <w:szCs w:val="24"/>
            </w:rPr>
          </w:pPr>
          <w:r>
            <w:rPr>
              <w:color w:val="auto"/>
            </w:rPr>
            <w:fldChar w:fldCharType="begin"/>
          </w:r>
          <w:r>
            <w:rPr>
              <w:color w:val="auto"/>
            </w:rPr>
            <w:instrText xml:space="preserve"> HYPERLINK \l "_Toc27872" </w:instrText>
          </w:r>
          <w:r>
            <w:rPr>
              <w:color w:val="auto"/>
            </w:rPr>
            <w:fldChar w:fldCharType="separate"/>
          </w:r>
          <w:r>
            <w:rPr>
              <w:color w:val="auto"/>
              <w:sz w:val="24"/>
              <w:szCs w:val="24"/>
            </w:rPr>
            <w:t>6.</w:t>
          </w:r>
          <w:r>
            <w:rPr>
              <w:rFonts w:hint="eastAsia"/>
              <w:color w:val="auto"/>
              <w:sz w:val="24"/>
              <w:szCs w:val="24"/>
            </w:rPr>
            <w:t>3</w:t>
          </w:r>
          <w:r>
            <w:rPr>
              <w:color w:val="auto"/>
              <w:sz w:val="24"/>
              <w:szCs w:val="24"/>
            </w:rPr>
            <w:t xml:space="preserve"> 污染防治环保投资估算</w:t>
          </w:r>
          <w:r>
            <w:rPr>
              <w:color w:val="auto"/>
              <w:sz w:val="24"/>
              <w:szCs w:val="24"/>
            </w:rPr>
            <w:tab/>
          </w:r>
          <w:r>
            <w:rPr>
              <w:color w:val="auto"/>
              <w:sz w:val="24"/>
              <w:szCs w:val="24"/>
            </w:rPr>
            <w:fldChar w:fldCharType="begin"/>
          </w:r>
          <w:r>
            <w:rPr>
              <w:color w:val="auto"/>
              <w:sz w:val="24"/>
              <w:szCs w:val="24"/>
            </w:rPr>
            <w:instrText xml:space="preserve"> PAGEREF _Toc27872 </w:instrText>
          </w:r>
          <w:r>
            <w:rPr>
              <w:color w:val="auto"/>
              <w:sz w:val="24"/>
              <w:szCs w:val="24"/>
            </w:rPr>
            <w:fldChar w:fldCharType="separate"/>
          </w:r>
          <w:r>
            <w:rPr>
              <w:color w:val="auto"/>
              <w:sz w:val="24"/>
              <w:szCs w:val="24"/>
            </w:rPr>
            <w:t>200</w:t>
          </w:r>
          <w:r>
            <w:rPr>
              <w:color w:val="auto"/>
              <w:sz w:val="24"/>
              <w:szCs w:val="24"/>
            </w:rPr>
            <w:fldChar w:fldCharType="end"/>
          </w:r>
          <w:r>
            <w:rPr>
              <w:color w:val="auto"/>
              <w:sz w:val="24"/>
              <w:szCs w:val="24"/>
            </w:rPr>
            <w:fldChar w:fldCharType="end"/>
          </w:r>
        </w:p>
        <w:p>
          <w:pPr>
            <w:pStyle w:val="52"/>
            <w:tabs>
              <w:tab w:val="right" w:leader="dot" w:pos="8732"/>
            </w:tabs>
            <w:spacing w:line="360" w:lineRule="auto"/>
            <w:rPr>
              <w:b/>
              <w:color w:val="auto"/>
              <w:sz w:val="24"/>
              <w:szCs w:val="24"/>
            </w:rPr>
          </w:pPr>
          <w:r>
            <w:rPr>
              <w:color w:val="auto"/>
            </w:rPr>
            <w:fldChar w:fldCharType="begin"/>
          </w:r>
          <w:r>
            <w:rPr>
              <w:color w:val="auto"/>
            </w:rPr>
            <w:instrText xml:space="preserve"> HYPERLINK \l "_Toc29195" </w:instrText>
          </w:r>
          <w:r>
            <w:rPr>
              <w:color w:val="auto"/>
            </w:rPr>
            <w:fldChar w:fldCharType="separate"/>
          </w:r>
          <w:r>
            <w:rPr>
              <w:rFonts w:hint="eastAsia" w:eastAsia="黑体"/>
              <w:b/>
              <w:color w:val="auto"/>
              <w:sz w:val="24"/>
              <w:szCs w:val="24"/>
            </w:rPr>
            <w:t>第七章  场址及总图布置可行性分析</w:t>
          </w:r>
          <w:r>
            <w:rPr>
              <w:b/>
              <w:color w:val="auto"/>
              <w:sz w:val="24"/>
              <w:szCs w:val="24"/>
            </w:rPr>
            <w:tab/>
          </w:r>
          <w:r>
            <w:rPr>
              <w:b/>
              <w:color w:val="auto"/>
              <w:sz w:val="24"/>
              <w:szCs w:val="24"/>
            </w:rPr>
            <w:fldChar w:fldCharType="begin"/>
          </w:r>
          <w:r>
            <w:rPr>
              <w:b/>
              <w:color w:val="auto"/>
              <w:sz w:val="24"/>
              <w:szCs w:val="24"/>
            </w:rPr>
            <w:instrText xml:space="preserve"> PAGEREF _Toc29195 </w:instrText>
          </w:r>
          <w:r>
            <w:rPr>
              <w:b/>
              <w:color w:val="auto"/>
              <w:sz w:val="24"/>
              <w:szCs w:val="24"/>
            </w:rPr>
            <w:fldChar w:fldCharType="separate"/>
          </w:r>
          <w:r>
            <w:rPr>
              <w:b/>
              <w:color w:val="auto"/>
              <w:sz w:val="24"/>
              <w:szCs w:val="24"/>
            </w:rPr>
            <w:t>202</w:t>
          </w:r>
          <w:r>
            <w:rPr>
              <w:b/>
              <w:color w:val="auto"/>
              <w:sz w:val="24"/>
              <w:szCs w:val="24"/>
            </w:rPr>
            <w:fldChar w:fldCharType="end"/>
          </w:r>
          <w:r>
            <w:rPr>
              <w:b/>
              <w:color w:val="auto"/>
              <w:sz w:val="24"/>
              <w:szCs w:val="24"/>
            </w:rPr>
            <w:fldChar w:fldCharType="end"/>
          </w:r>
        </w:p>
        <w:p>
          <w:pPr>
            <w:pStyle w:val="53"/>
            <w:tabs>
              <w:tab w:val="right" w:leader="dot" w:pos="8732"/>
            </w:tabs>
            <w:spacing w:line="360" w:lineRule="auto"/>
            <w:ind w:left="480"/>
            <w:rPr>
              <w:color w:val="auto"/>
              <w:sz w:val="24"/>
              <w:szCs w:val="24"/>
            </w:rPr>
          </w:pPr>
          <w:r>
            <w:rPr>
              <w:color w:val="auto"/>
            </w:rPr>
            <w:fldChar w:fldCharType="begin"/>
          </w:r>
          <w:r>
            <w:rPr>
              <w:color w:val="auto"/>
            </w:rPr>
            <w:instrText xml:space="preserve"> HYPERLINK \l "_Toc26799" </w:instrText>
          </w:r>
          <w:r>
            <w:rPr>
              <w:color w:val="auto"/>
            </w:rPr>
            <w:fldChar w:fldCharType="separate"/>
          </w:r>
          <w:r>
            <w:rPr>
              <w:rFonts w:hint="eastAsia"/>
              <w:color w:val="auto"/>
              <w:sz w:val="24"/>
              <w:szCs w:val="24"/>
            </w:rPr>
            <w:t>7.1 无公害食品基地</w:t>
          </w:r>
          <w:r>
            <w:rPr>
              <w:color w:val="auto"/>
              <w:sz w:val="24"/>
              <w:szCs w:val="24"/>
            </w:rPr>
            <w:t>建设环境保护措施</w:t>
          </w:r>
          <w:r>
            <w:rPr>
              <w:color w:val="auto"/>
              <w:sz w:val="24"/>
              <w:szCs w:val="24"/>
            </w:rPr>
            <w:tab/>
          </w:r>
          <w:r>
            <w:rPr>
              <w:color w:val="auto"/>
              <w:sz w:val="24"/>
              <w:szCs w:val="24"/>
            </w:rPr>
            <w:fldChar w:fldCharType="begin"/>
          </w:r>
          <w:r>
            <w:rPr>
              <w:color w:val="auto"/>
              <w:sz w:val="24"/>
              <w:szCs w:val="24"/>
            </w:rPr>
            <w:instrText xml:space="preserve"> PAGEREF _Toc26799 </w:instrText>
          </w:r>
          <w:r>
            <w:rPr>
              <w:color w:val="auto"/>
              <w:sz w:val="24"/>
              <w:szCs w:val="24"/>
            </w:rPr>
            <w:fldChar w:fldCharType="separate"/>
          </w:r>
          <w:r>
            <w:rPr>
              <w:color w:val="auto"/>
              <w:sz w:val="24"/>
              <w:szCs w:val="24"/>
            </w:rPr>
            <w:t>202</w:t>
          </w:r>
          <w:r>
            <w:rPr>
              <w:color w:val="auto"/>
              <w:sz w:val="24"/>
              <w:szCs w:val="24"/>
            </w:rPr>
            <w:fldChar w:fldCharType="end"/>
          </w:r>
          <w:r>
            <w:rPr>
              <w:color w:val="auto"/>
              <w:sz w:val="24"/>
              <w:szCs w:val="24"/>
            </w:rPr>
            <w:fldChar w:fldCharType="end"/>
          </w:r>
        </w:p>
        <w:p>
          <w:pPr>
            <w:pStyle w:val="53"/>
            <w:tabs>
              <w:tab w:val="right" w:leader="dot" w:pos="8732"/>
            </w:tabs>
            <w:spacing w:line="360" w:lineRule="auto"/>
            <w:ind w:left="480"/>
            <w:rPr>
              <w:color w:val="auto"/>
              <w:sz w:val="24"/>
              <w:szCs w:val="24"/>
            </w:rPr>
          </w:pPr>
          <w:r>
            <w:rPr>
              <w:color w:val="auto"/>
            </w:rPr>
            <w:fldChar w:fldCharType="begin"/>
          </w:r>
          <w:r>
            <w:rPr>
              <w:color w:val="auto"/>
            </w:rPr>
            <w:instrText xml:space="preserve"> HYPERLINK \l "_Toc30025" </w:instrText>
          </w:r>
          <w:r>
            <w:rPr>
              <w:color w:val="auto"/>
            </w:rPr>
            <w:fldChar w:fldCharType="separate"/>
          </w:r>
          <w:r>
            <w:rPr>
              <w:rFonts w:hint="eastAsia"/>
              <w:color w:val="auto"/>
              <w:sz w:val="24"/>
              <w:szCs w:val="24"/>
            </w:rPr>
            <w:t>7.2 场</w:t>
          </w:r>
          <w:r>
            <w:rPr>
              <w:color w:val="auto"/>
              <w:sz w:val="24"/>
              <w:szCs w:val="24"/>
            </w:rPr>
            <w:t>址</w:t>
          </w:r>
          <w:r>
            <w:rPr>
              <w:rFonts w:hint="eastAsia"/>
              <w:color w:val="auto"/>
              <w:sz w:val="24"/>
              <w:szCs w:val="24"/>
            </w:rPr>
            <w:t>选择及厂区平面布置合理性</w:t>
          </w:r>
          <w:r>
            <w:rPr>
              <w:color w:val="auto"/>
              <w:sz w:val="24"/>
              <w:szCs w:val="24"/>
            </w:rPr>
            <w:t>分析</w:t>
          </w:r>
          <w:r>
            <w:rPr>
              <w:color w:val="auto"/>
              <w:sz w:val="24"/>
              <w:szCs w:val="24"/>
            </w:rPr>
            <w:tab/>
          </w:r>
          <w:r>
            <w:rPr>
              <w:color w:val="auto"/>
              <w:sz w:val="24"/>
              <w:szCs w:val="24"/>
            </w:rPr>
            <w:fldChar w:fldCharType="begin"/>
          </w:r>
          <w:r>
            <w:rPr>
              <w:color w:val="auto"/>
              <w:sz w:val="24"/>
              <w:szCs w:val="24"/>
            </w:rPr>
            <w:instrText xml:space="preserve"> PAGEREF _Toc30025 </w:instrText>
          </w:r>
          <w:r>
            <w:rPr>
              <w:color w:val="auto"/>
              <w:sz w:val="24"/>
              <w:szCs w:val="24"/>
            </w:rPr>
            <w:fldChar w:fldCharType="separate"/>
          </w:r>
          <w:r>
            <w:rPr>
              <w:color w:val="auto"/>
              <w:sz w:val="24"/>
              <w:szCs w:val="24"/>
            </w:rPr>
            <w:t>202</w:t>
          </w:r>
          <w:r>
            <w:rPr>
              <w:color w:val="auto"/>
              <w:sz w:val="24"/>
              <w:szCs w:val="24"/>
            </w:rPr>
            <w:fldChar w:fldCharType="end"/>
          </w:r>
          <w:r>
            <w:rPr>
              <w:color w:val="auto"/>
              <w:sz w:val="24"/>
              <w:szCs w:val="24"/>
            </w:rPr>
            <w:fldChar w:fldCharType="end"/>
          </w:r>
        </w:p>
        <w:p>
          <w:pPr>
            <w:pStyle w:val="52"/>
            <w:tabs>
              <w:tab w:val="right" w:leader="dot" w:pos="8732"/>
            </w:tabs>
            <w:spacing w:line="360" w:lineRule="auto"/>
            <w:rPr>
              <w:b/>
              <w:color w:val="auto"/>
              <w:sz w:val="24"/>
              <w:szCs w:val="24"/>
            </w:rPr>
          </w:pPr>
          <w:r>
            <w:rPr>
              <w:color w:val="auto"/>
            </w:rPr>
            <w:fldChar w:fldCharType="begin"/>
          </w:r>
          <w:r>
            <w:rPr>
              <w:color w:val="auto"/>
            </w:rPr>
            <w:instrText xml:space="preserve"> HYPERLINK \l "_Toc13599" </w:instrText>
          </w:r>
          <w:r>
            <w:rPr>
              <w:color w:val="auto"/>
            </w:rPr>
            <w:fldChar w:fldCharType="separate"/>
          </w:r>
          <w:r>
            <w:rPr>
              <w:rFonts w:hint="eastAsia" w:eastAsia="黑体"/>
              <w:b/>
              <w:bCs/>
              <w:color w:val="auto"/>
              <w:sz w:val="24"/>
              <w:szCs w:val="24"/>
            </w:rPr>
            <w:t>第八章  环境经济损益分析</w:t>
          </w:r>
          <w:r>
            <w:rPr>
              <w:b/>
              <w:color w:val="auto"/>
              <w:sz w:val="24"/>
              <w:szCs w:val="24"/>
            </w:rPr>
            <w:tab/>
          </w:r>
          <w:r>
            <w:rPr>
              <w:b/>
              <w:color w:val="auto"/>
              <w:sz w:val="24"/>
              <w:szCs w:val="24"/>
            </w:rPr>
            <w:fldChar w:fldCharType="begin"/>
          </w:r>
          <w:r>
            <w:rPr>
              <w:b/>
              <w:color w:val="auto"/>
              <w:sz w:val="24"/>
              <w:szCs w:val="24"/>
            </w:rPr>
            <w:instrText xml:space="preserve"> PAGEREF _Toc13599 </w:instrText>
          </w:r>
          <w:r>
            <w:rPr>
              <w:b/>
              <w:color w:val="auto"/>
              <w:sz w:val="24"/>
              <w:szCs w:val="24"/>
            </w:rPr>
            <w:fldChar w:fldCharType="separate"/>
          </w:r>
          <w:r>
            <w:rPr>
              <w:b/>
              <w:color w:val="auto"/>
              <w:sz w:val="24"/>
              <w:szCs w:val="24"/>
            </w:rPr>
            <w:t>207</w:t>
          </w:r>
          <w:r>
            <w:rPr>
              <w:b/>
              <w:color w:val="auto"/>
              <w:sz w:val="24"/>
              <w:szCs w:val="24"/>
            </w:rPr>
            <w:fldChar w:fldCharType="end"/>
          </w:r>
          <w:r>
            <w:rPr>
              <w:b/>
              <w:color w:val="auto"/>
              <w:sz w:val="24"/>
              <w:szCs w:val="24"/>
            </w:rPr>
            <w:fldChar w:fldCharType="end"/>
          </w:r>
        </w:p>
        <w:p>
          <w:pPr>
            <w:pStyle w:val="53"/>
            <w:tabs>
              <w:tab w:val="right" w:leader="dot" w:pos="8732"/>
            </w:tabs>
            <w:spacing w:line="360" w:lineRule="auto"/>
            <w:ind w:left="480"/>
            <w:rPr>
              <w:color w:val="auto"/>
              <w:sz w:val="24"/>
              <w:szCs w:val="24"/>
            </w:rPr>
          </w:pPr>
          <w:r>
            <w:rPr>
              <w:color w:val="auto"/>
            </w:rPr>
            <w:fldChar w:fldCharType="begin"/>
          </w:r>
          <w:r>
            <w:rPr>
              <w:color w:val="auto"/>
            </w:rPr>
            <w:instrText xml:space="preserve"> HYPERLINK \l "_Toc24353" </w:instrText>
          </w:r>
          <w:r>
            <w:rPr>
              <w:color w:val="auto"/>
            </w:rPr>
            <w:fldChar w:fldCharType="separate"/>
          </w:r>
          <w:r>
            <w:rPr>
              <w:rFonts w:hint="eastAsia"/>
              <w:bCs/>
              <w:color w:val="auto"/>
              <w:sz w:val="24"/>
              <w:szCs w:val="24"/>
            </w:rPr>
            <w:t>8.1环保投资估算</w:t>
          </w:r>
          <w:r>
            <w:rPr>
              <w:color w:val="auto"/>
              <w:sz w:val="24"/>
              <w:szCs w:val="24"/>
            </w:rPr>
            <w:tab/>
          </w:r>
          <w:r>
            <w:rPr>
              <w:color w:val="auto"/>
              <w:sz w:val="24"/>
              <w:szCs w:val="24"/>
            </w:rPr>
            <w:fldChar w:fldCharType="begin"/>
          </w:r>
          <w:r>
            <w:rPr>
              <w:color w:val="auto"/>
              <w:sz w:val="24"/>
              <w:szCs w:val="24"/>
            </w:rPr>
            <w:instrText xml:space="preserve"> PAGEREF _Toc24353 </w:instrText>
          </w:r>
          <w:r>
            <w:rPr>
              <w:color w:val="auto"/>
              <w:sz w:val="24"/>
              <w:szCs w:val="24"/>
            </w:rPr>
            <w:fldChar w:fldCharType="separate"/>
          </w:r>
          <w:r>
            <w:rPr>
              <w:color w:val="auto"/>
              <w:sz w:val="24"/>
              <w:szCs w:val="24"/>
            </w:rPr>
            <w:t>207</w:t>
          </w:r>
          <w:r>
            <w:rPr>
              <w:color w:val="auto"/>
              <w:sz w:val="24"/>
              <w:szCs w:val="24"/>
            </w:rPr>
            <w:fldChar w:fldCharType="end"/>
          </w:r>
          <w:r>
            <w:rPr>
              <w:color w:val="auto"/>
              <w:sz w:val="24"/>
              <w:szCs w:val="24"/>
            </w:rPr>
            <w:fldChar w:fldCharType="end"/>
          </w:r>
        </w:p>
        <w:p>
          <w:pPr>
            <w:pStyle w:val="53"/>
            <w:tabs>
              <w:tab w:val="right" w:leader="dot" w:pos="8732"/>
            </w:tabs>
            <w:spacing w:line="360" w:lineRule="auto"/>
            <w:ind w:left="480"/>
            <w:rPr>
              <w:color w:val="auto"/>
              <w:sz w:val="24"/>
              <w:szCs w:val="24"/>
            </w:rPr>
          </w:pPr>
          <w:r>
            <w:rPr>
              <w:color w:val="auto"/>
            </w:rPr>
            <w:fldChar w:fldCharType="begin"/>
          </w:r>
          <w:r>
            <w:rPr>
              <w:color w:val="auto"/>
            </w:rPr>
            <w:instrText xml:space="preserve"> HYPERLINK \l "_Toc5436" </w:instrText>
          </w:r>
          <w:r>
            <w:rPr>
              <w:color w:val="auto"/>
            </w:rPr>
            <w:fldChar w:fldCharType="separate"/>
          </w:r>
          <w:r>
            <w:rPr>
              <w:rFonts w:hint="eastAsia"/>
              <w:bCs/>
              <w:color w:val="auto"/>
              <w:sz w:val="24"/>
              <w:szCs w:val="24"/>
            </w:rPr>
            <w:t>8</w:t>
          </w:r>
          <w:r>
            <w:rPr>
              <w:bCs/>
              <w:color w:val="auto"/>
              <w:sz w:val="24"/>
              <w:szCs w:val="24"/>
            </w:rPr>
            <w:t>.</w:t>
          </w:r>
          <w:r>
            <w:rPr>
              <w:rFonts w:hint="eastAsia"/>
              <w:bCs/>
              <w:color w:val="auto"/>
              <w:sz w:val="24"/>
              <w:szCs w:val="24"/>
            </w:rPr>
            <w:t>2 环境影响</w:t>
          </w:r>
          <w:r>
            <w:rPr>
              <w:bCs/>
              <w:color w:val="auto"/>
              <w:sz w:val="24"/>
              <w:szCs w:val="24"/>
            </w:rPr>
            <w:t>经济</w:t>
          </w:r>
          <w:r>
            <w:rPr>
              <w:rFonts w:hint="eastAsia"/>
              <w:bCs/>
              <w:color w:val="auto"/>
              <w:sz w:val="24"/>
              <w:szCs w:val="24"/>
            </w:rPr>
            <w:t>损</w:t>
          </w:r>
          <w:r>
            <w:rPr>
              <w:bCs/>
              <w:color w:val="auto"/>
              <w:sz w:val="24"/>
              <w:szCs w:val="24"/>
            </w:rPr>
            <w:t>益分析</w:t>
          </w:r>
          <w:r>
            <w:rPr>
              <w:color w:val="auto"/>
              <w:sz w:val="24"/>
              <w:szCs w:val="24"/>
            </w:rPr>
            <w:tab/>
          </w:r>
          <w:r>
            <w:rPr>
              <w:color w:val="auto"/>
              <w:sz w:val="24"/>
              <w:szCs w:val="24"/>
            </w:rPr>
            <w:fldChar w:fldCharType="begin"/>
          </w:r>
          <w:r>
            <w:rPr>
              <w:color w:val="auto"/>
              <w:sz w:val="24"/>
              <w:szCs w:val="24"/>
            </w:rPr>
            <w:instrText xml:space="preserve"> PAGEREF _Toc5436 </w:instrText>
          </w:r>
          <w:r>
            <w:rPr>
              <w:color w:val="auto"/>
              <w:sz w:val="24"/>
              <w:szCs w:val="24"/>
            </w:rPr>
            <w:fldChar w:fldCharType="separate"/>
          </w:r>
          <w:r>
            <w:rPr>
              <w:color w:val="auto"/>
              <w:sz w:val="24"/>
              <w:szCs w:val="24"/>
            </w:rPr>
            <w:t>207</w:t>
          </w:r>
          <w:r>
            <w:rPr>
              <w:color w:val="auto"/>
              <w:sz w:val="24"/>
              <w:szCs w:val="24"/>
            </w:rPr>
            <w:fldChar w:fldCharType="end"/>
          </w:r>
          <w:r>
            <w:rPr>
              <w:color w:val="auto"/>
              <w:sz w:val="24"/>
              <w:szCs w:val="24"/>
            </w:rPr>
            <w:fldChar w:fldCharType="end"/>
          </w:r>
        </w:p>
        <w:p>
          <w:pPr>
            <w:pStyle w:val="53"/>
            <w:tabs>
              <w:tab w:val="right" w:leader="dot" w:pos="8732"/>
            </w:tabs>
            <w:spacing w:line="360" w:lineRule="auto"/>
            <w:ind w:left="480"/>
            <w:rPr>
              <w:color w:val="auto"/>
              <w:sz w:val="24"/>
              <w:szCs w:val="24"/>
            </w:rPr>
          </w:pPr>
          <w:r>
            <w:rPr>
              <w:color w:val="auto"/>
            </w:rPr>
            <w:fldChar w:fldCharType="begin"/>
          </w:r>
          <w:r>
            <w:rPr>
              <w:color w:val="auto"/>
            </w:rPr>
            <w:instrText xml:space="preserve"> HYPERLINK \l "_Toc17525" </w:instrText>
          </w:r>
          <w:r>
            <w:rPr>
              <w:color w:val="auto"/>
            </w:rPr>
            <w:fldChar w:fldCharType="separate"/>
          </w:r>
          <w:r>
            <w:rPr>
              <w:rFonts w:hint="eastAsia"/>
              <w:bCs/>
              <w:color w:val="auto"/>
              <w:sz w:val="24"/>
              <w:szCs w:val="24"/>
            </w:rPr>
            <w:t>8.3 项目经济效益分析</w:t>
          </w:r>
          <w:r>
            <w:rPr>
              <w:color w:val="auto"/>
              <w:sz w:val="24"/>
              <w:szCs w:val="24"/>
            </w:rPr>
            <w:tab/>
          </w:r>
          <w:r>
            <w:rPr>
              <w:color w:val="auto"/>
              <w:sz w:val="24"/>
              <w:szCs w:val="24"/>
            </w:rPr>
            <w:fldChar w:fldCharType="begin"/>
          </w:r>
          <w:r>
            <w:rPr>
              <w:color w:val="auto"/>
              <w:sz w:val="24"/>
              <w:szCs w:val="24"/>
            </w:rPr>
            <w:instrText xml:space="preserve"> PAGEREF _Toc17525 </w:instrText>
          </w:r>
          <w:r>
            <w:rPr>
              <w:color w:val="auto"/>
              <w:sz w:val="24"/>
              <w:szCs w:val="24"/>
            </w:rPr>
            <w:fldChar w:fldCharType="separate"/>
          </w:r>
          <w:r>
            <w:rPr>
              <w:color w:val="auto"/>
              <w:sz w:val="24"/>
              <w:szCs w:val="24"/>
            </w:rPr>
            <w:t>208</w:t>
          </w:r>
          <w:r>
            <w:rPr>
              <w:color w:val="auto"/>
              <w:sz w:val="24"/>
              <w:szCs w:val="24"/>
            </w:rPr>
            <w:fldChar w:fldCharType="end"/>
          </w:r>
          <w:r>
            <w:rPr>
              <w:color w:val="auto"/>
              <w:sz w:val="24"/>
              <w:szCs w:val="24"/>
            </w:rPr>
            <w:fldChar w:fldCharType="end"/>
          </w:r>
        </w:p>
        <w:p>
          <w:pPr>
            <w:pStyle w:val="53"/>
            <w:tabs>
              <w:tab w:val="right" w:leader="dot" w:pos="8732"/>
            </w:tabs>
            <w:spacing w:line="360" w:lineRule="auto"/>
            <w:ind w:left="480"/>
            <w:rPr>
              <w:color w:val="auto"/>
              <w:sz w:val="24"/>
              <w:szCs w:val="24"/>
            </w:rPr>
          </w:pPr>
          <w:r>
            <w:rPr>
              <w:color w:val="auto"/>
            </w:rPr>
            <w:fldChar w:fldCharType="begin"/>
          </w:r>
          <w:r>
            <w:rPr>
              <w:color w:val="auto"/>
            </w:rPr>
            <w:instrText xml:space="preserve"> HYPERLINK \l "_Toc14434" </w:instrText>
          </w:r>
          <w:r>
            <w:rPr>
              <w:color w:val="auto"/>
            </w:rPr>
            <w:fldChar w:fldCharType="separate"/>
          </w:r>
          <w:r>
            <w:rPr>
              <w:rFonts w:hint="eastAsia"/>
              <w:bCs/>
              <w:color w:val="auto"/>
              <w:sz w:val="24"/>
              <w:szCs w:val="24"/>
            </w:rPr>
            <w:t>8</w:t>
          </w:r>
          <w:r>
            <w:rPr>
              <w:bCs/>
              <w:color w:val="auto"/>
              <w:sz w:val="24"/>
              <w:szCs w:val="24"/>
            </w:rPr>
            <w:t>.</w:t>
          </w:r>
          <w:r>
            <w:rPr>
              <w:rFonts w:hint="eastAsia"/>
              <w:bCs/>
              <w:color w:val="auto"/>
              <w:sz w:val="24"/>
              <w:szCs w:val="24"/>
            </w:rPr>
            <w:t>4</w:t>
          </w:r>
          <w:r>
            <w:rPr>
              <w:bCs/>
              <w:color w:val="auto"/>
              <w:sz w:val="24"/>
              <w:szCs w:val="24"/>
            </w:rPr>
            <w:t xml:space="preserve"> </w:t>
          </w:r>
          <w:r>
            <w:rPr>
              <w:rFonts w:hint="eastAsia"/>
              <w:bCs/>
              <w:color w:val="auto"/>
              <w:sz w:val="24"/>
              <w:szCs w:val="24"/>
            </w:rPr>
            <w:t>环境效益</w:t>
          </w:r>
          <w:r>
            <w:rPr>
              <w:bCs/>
              <w:color w:val="auto"/>
              <w:sz w:val="24"/>
              <w:szCs w:val="24"/>
            </w:rPr>
            <w:t>分析</w:t>
          </w:r>
          <w:r>
            <w:rPr>
              <w:color w:val="auto"/>
              <w:sz w:val="24"/>
              <w:szCs w:val="24"/>
            </w:rPr>
            <w:tab/>
          </w:r>
          <w:r>
            <w:rPr>
              <w:color w:val="auto"/>
              <w:sz w:val="24"/>
              <w:szCs w:val="24"/>
            </w:rPr>
            <w:fldChar w:fldCharType="begin"/>
          </w:r>
          <w:r>
            <w:rPr>
              <w:color w:val="auto"/>
              <w:sz w:val="24"/>
              <w:szCs w:val="24"/>
            </w:rPr>
            <w:instrText xml:space="preserve"> PAGEREF _Toc14434 </w:instrText>
          </w:r>
          <w:r>
            <w:rPr>
              <w:color w:val="auto"/>
              <w:sz w:val="24"/>
              <w:szCs w:val="24"/>
            </w:rPr>
            <w:fldChar w:fldCharType="separate"/>
          </w:r>
          <w:r>
            <w:rPr>
              <w:color w:val="auto"/>
              <w:sz w:val="24"/>
              <w:szCs w:val="24"/>
            </w:rPr>
            <w:t>209</w:t>
          </w:r>
          <w:r>
            <w:rPr>
              <w:color w:val="auto"/>
              <w:sz w:val="24"/>
              <w:szCs w:val="24"/>
            </w:rPr>
            <w:fldChar w:fldCharType="end"/>
          </w:r>
          <w:r>
            <w:rPr>
              <w:color w:val="auto"/>
              <w:sz w:val="24"/>
              <w:szCs w:val="24"/>
            </w:rPr>
            <w:fldChar w:fldCharType="end"/>
          </w:r>
        </w:p>
        <w:p>
          <w:pPr>
            <w:pStyle w:val="53"/>
            <w:tabs>
              <w:tab w:val="right" w:leader="dot" w:pos="8732"/>
            </w:tabs>
            <w:spacing w:line="360" w:lineRule="auto"/>
            <w:ind w:left="480"/>
            <w:rPr>
              <w:color w:val="auto"/>
              <w:sz w:val="24"/>
              <w:szCs w:val="24"/>
            </w:rPr>
          </w:pPr>
          <w:r>
            <w:rPr>
              <w:color w:val="auto"/>
            </w:rPr>
            <w:fldChar w:fldCharType="begin"/>
          </w:r>
          <w:r>
            <w:rPr>
              <w:color w:val="auto"/>
            </w:rPr>
            <w:instrText xml:space="preserve"> HYPERLINK \l "_Toc13631" </w:instrText>
          </w:r>
          <w:r>
            <w:rPr>
              <w:color w:val="auto"/>
            </w:rPr>
            <w:fldChar w:fldCharType="separate"/>
          </w:r>
          <w:r>
            <w:rPr>
              <w:rFonts w:hint="eastAsia"/>
              <w:bCs/>
              <w:color w:val="auto"/>
              <w:sz w:val="24"/>
              <w:szCs w:val="24"/>
            </w:rPr>
            <w:t>8</w:t>
          </w:r>
          <w:r>
            <w:rPr>
              <w:bCs/>
              <w:color w:val="auto"/>
              <w:sz w:val="24"/>
              <w:szCs w:val="24"/>
            </w:rPr>
            <w:t>.</w:t>
          </w:r>
          <w:r>
            <w:rPr>
              <w:rFonts w:hint="eastAsia"/>
              <w:bCs/>
              <w:color w:val="auto"/>
              <w:sz w:val="24"/>
              <w:szCs w:val="24"/>
            </w:rPr>
            <w:t>5</w:t>
          </w:r>
          <w:r>
            <w:rPr>
              <w:bCs/>
              <w:color w:val="auto"/>
              <w:sz w:val="24"/>
              <w:szCs w:val="24"/>
            </w:rPr>
            <w:t xml:space="preserve"> 社会</w:t>
          </w:r>
          <w:r>
            <w:rPr>
              <w:rFonts w:hint="eastAsia"/>
              <w:bCs/>
              <w:color w:val="auto"/>
              <w:sz w:val="24"/>
              <w:szCs w:val="24"/>
            </w:rPr>
            <w:t>效益</w:t>
          </w:r>
          <w:r>
            <w:rPr>
              <w:bCs/>
              <w:color w:val="auto"/>
              <w:sz w:val="24"/>
              <w:szCs w:val="24"/>
            </w:rPr>
            <w:t>分析</w:t>
          </w:r>
          <w:r>
            <w:rPr>
              <w:color w:val="auto"/>
              <w:sz w:val="24"/>
              <w:szCs w:val="24"/>
            </w:rPr>
            <w:tab/>
          </w:r>
          <w:r>
            <w:rPr>
              <w:color w:val="auto"/>
              <w:sz w:val="24"/>
              <w:szCs w:val="24"/>
            </w:rPr>
            <w:fldChar w:fldCharType="begin"/>
          </w:r>
          <w:r>
            <w:rPr>
              <w:color w:val="auto"/>
              <w:sz w:val="24"/>
              <w:szCs w:val="24"/>
            </w:rPr>
            <w:instrText xml:space="preserve"> PAGEREF _Toc13631 </w:instrText>
          </w:r>
          <w:r>
            <w:rPr>
              <w:color w:val="auto"/>
              <w:sz w:val="24"/>
              <w:szCs w:val="24"/>
            </w:rPr>
            <w:fldChar w:fldCharType="separate"/>
          </w:r>
          <w:r>
            <w:rPr>
              <w:color w:val="auto"/>
              <w:sz w:val="24"/>
              <w:szCs w:val="24"/>
            </w:rPr>
            <w:t>210</w:t>
          </w:r>
          <w:r>
            <w:rPr>
              <w:color w:val="auto"/>
              <w:sz w:val="24"/>
              <w:szCs w:val="24"/>
            </w:rPr>
            <w:fldChar w:fldCharType="end"/>
          </w:r>
          <w:r>
            <w:rPr>
              <w:color w:val="auto"/>
              <w:sz w:val="24"/>
              <w:szCs w:val="24"/>
            </w:rPr>
            <w:fldChar w:fldCharType="end"/>
          </w:r>
        </w:p>
        <w:p>
          <w:pPr>
            <w:pStyle w:val="53"/>
            <w:tabs>
              <w:tab w:val="right" w:leader="dot" w:pos="8732"/>
            </w:tabs>
            <w:spacing w:line="360" w:lineRule="auto"/>
            <w:ind w:left="480"/>
            <w:rPr>
              <w:color w:val="auto"/>
              <w:sz w:val="24"/>
              <w:szCs w:val="24"/>
            </w:rPr>
          </w:pPr>
          <w:r>
            <w:rPr>
              <w:color w:val="auto"/>
            </w:rPr>
            <w:fldChar w:fldCharType="begin"/>
          </w:r>
          <w:r>
            <w:rPr>
              <w:color w:val="auto"/>
            </w:rPr>
            <w:instrText xml:space="preserve"> HYPERLINK \l "_Toc23654" </w:instrText>
          </w:r>
          <w:r>
            <w:rPr>
              <w:color w:val="auto"/>
            </w:rPr>
            <w:fldChar w:fldCharType="separate"/>
          </w:r>
          <w:r>
            <w:rPr>
              <w:rFonts w:hint="eastAsia"/>
              <w:bCs/>
              <w:color w:val="auto"/>
              <w:sz w:val="24"/>
              <w:szCs w:val="24"/>
            </w:rPr>
            <w:t>8</w:t>
          </w:r>
          <w:r>
            <w:rPr>
              <w:bCs/>
              <w:color w:val="auto"/>
              <w:sz w:val="24"/>
              <w:szCs w:val="24"/>
            </w:rPr>
            <w:t>.</w:t>
          </w:r>
          <w:r>
            <w:rPr>
              <w:rFonts w:hint="eastAsia"/>
              <w:bCs/>
              <w:color w:val="auto"/>
              <w:sz w:val="24"/>
              <w:szCs w:val="24"/>
            </w:rPr>
            <w:t>6</w:t>
          </w:r>
          <w:r>
            <w:rPr>
              <w:bCs/>
              <w:color w:val="auto"/>
              <w:sz w:val="24"/>
              <w:szCs w:val="24"/>
            </w:rPr>
            <w:t xml:space="preserve"> </w:t>
          </w:r>
          <w:r>
            <w:rPr>
              <w:rFonts w:hint="eastAsia"/>
              <w:bCs/>
              <w:color w:val="auto"/>
              <w:sz w:val="24"/>
              <w:szCs w:val="24"/>
            </w:rPr>
            <w:t>生态效益分析</w:t>
          </w:r>
          <w:r>
            <w:rPr>
              <w:color w:val="auto"/>
              <w:sz w:val="24"/>
              <w:szCs w:val="24"/>
            </w:rPr>
            <w:tab/>
          </w:r>
          <w:r>
            <w:rPr>
              <w:color w:val="auto"/>
              <w:sz w:val="24"/>
              <w:szCs w:val="24"/>
            </w:rPr>
            <w:fldChar w:fldCharType="begin"/>
          </w:r>
          <w:r>
            <w:rPr>
              <w:color w:val="auto"/>
              <w:sz w:val="24"/>
              <w:szCs w:val="24"/>
            </w:rPr>
            <w:instrText xml:space="preserve"> PAGEREF _Toc23654 </w:instrText>
          </w:r>
          <w:r>
            <w:rPr>
              <w:color w:val="auto"/>
              <w:sz w:val="24"/>
              <w:szCs w:val="24"/>
            </w:rPr>
            <w:fldChar w:fldCharType="separate"/>
          </w:r>
          <w:r>
            <w:rPr>
              <w:color w:val="auto"/>
              <w:sz w:val="24"/>
              <w:szCs w:val="24"/>
            </w:rPr>
            <w:t>211</w:t>
          </w:r>
          <w:r>
            <w:rPr>
              <w:color w:val="auto"/>
              <w:sz w:val="24"/>
              <w:szCs w:val="24"/>
            </w:rPr>
            <w:fldChar w:fldCharType="end"/>
          </w:r>
          <w:r>
            <w:rPr>
              <w:color w:val="auto"/>
              <w:sz w:val="24"/>
              <w:szCs w:val="24"/>
            </w:rPr>
            <w:fldChar w:fldCharType="end"/>
          </w:r>
        </w:p>
        <w:p>
          <w:pPr>
            <w:pStyle w:val="53"/>
            <w:tabs>
              <w:tab w:val="right" w:leader="dot" w:pos="8732"/>
            </w:tabs>
            <w:spacing w:line="360" w:lineRule="auto"/>
            <w:ind w:left="480"/>
            <w:rPr>
              <w:color w:val="auto"/>
              <w:sz w:val="24"/>
              <w:szCs w:val="24"/>
            </w:rPr>
          </w:pPr>
          <w:r>
            <w:rPr>
              <w:color w:val="auto"/>
            </w:rPr>
            <w:fldChar w:fldCharType="begin"/>
          </w:r>
          <w:r>
            <w:rPr>
              <w:color w:val="auto"/>
            </w:rPr>
            <w:instrText xml:space="preserve"> HYPERLINK \l "_Toc22186" </w:instrText>
          </w:r>
          <w:r>
            <w:rPr>
              <w:color w:val="auto"/>
            </w:rPr>
            <w:fldChar w:fldCharType="separate"/>
          </w:r>
          <w:r>
            <w:rPr>
              <w:rFonts w:hint="eastAsia"/>
              <w:bCs/>
              <w:color w:val="auto"/>
              <w:sz w:val="24"/>
              <w:szCs w:val="24"/>
            </w:rPr>
            <w:t>8</w:t>
          </w:r>
          <w:r>
            <w:rPr>
              <w:bCs/>
              <w:color w:val="auto"/>
              <w:sz w:val="24"/>
              <w:szCs w:val="24"/>
            </w:rPr>
            <w:t>.7</w:t>
          </w:r>
          <w:r>
            <w:rPr>
              <w:rFonts w:hint="eastAsia"/>
              <w:bCs/>
              <w:color w:val="auto"/>
              <w:sz w:val="24"/>
              <w:szCs w:val="24"/>
            </w:rPr>
            <w:t>本项目环境经济损益分析</w:t>
          </w:r>
          <w:r>
            <w:rPr>
              <w:color w:val="auto"/>
              <w:sz w:val="24"/>
              <w:szCs w:val="24"/>
            </w:rPr>
            <w:tab/>
          </w:r>
          <w:r>
            <w:rPr>
              <w:color w:val="auto"/>
              <w:sz w:val="24"/>
              <w:szCs w:val="24"/>
            </w:rPr>
            <w:fldChar w:fldCharType="begin"/>
          </w:r>
          <w:r>
            <w:rPr>
              <w:color w:val="auto"/>
              <w:sz w:val="24"/>
              <w:szCs w:val="24"/>
            </w:rPr>
            <w:instrText xml:space="preserve"> PAGEREF _Toc22186 </w:instrText>
          </w:r>
          <w:r>
            <w:rPr>
              <w:color w:val="auto"/>
              <w:sz w:val="24"/>
              <w:szCs w:val="24"/>
            </w:rPr>
            <w:fldChar w:fldCharType="separate"/>
          </w:r>
          <w:r>
            <w:rPr>
              <w:color w:val="auto"/>
              <w:sz w:val="24"/>
              <w:szCs w:val="24"/>
            </w:rPr>
            <w:t>211</w:t>
          </w:r>
          <w:r>
            <w:rPr>
              <w:color w:val="auto"/>
              <w:sz w:val="24"/>
              <w:szCs w:val="24"/>
            </w:rPr>
            <w:fldChar w:fldCharType="end"/>
          </w:r>
          <w:r>
            <w:rPr>
              <w:color w:val="auto"/>
              <w:sz w:val="24"/>
              <w:szCs w:val="24"/>
            </w:rPr>
            <w:fldChar w:fldCharType="end"/>
          </w:r>
        </w:p>
        <w:p>
          <w:pPr>
            <w:pStyle w:val="53"/>
            <w:tabs>
              <w:tab w:val="right" w:leader="dot" w:pos="8732"/>
            </w:tabs>
            <w:spacing w:line="360" w:lineRule="auto"/>
            <w:ind w:left="480"/>
            <w:rPr>
              <w:color w:val="auto"/>
              <w:sz w:val="24"/>
              <w:szCs w:val="24"/>
            </w:rPr>
          </w:pPr>
          <w:r>
            <w:rPr>
              <w:color w:val="auto"/>
            </w:rPr>
            <w:fldChar w:fldCharType="begin"/>
          </w:r>
          <w:r>
            <w:rPr>
              <w:color w:val="auto"/>
            </w:rPr>
            <w:instrText xml:space="preserve"> HYPERLINK \l "_Toc32232" </w:instrText>
          </w:r>
          <w:r>
            <w:rPr>
              <w:color w:val="auto"/>
            </w:rPr>
            <w:fldChar w:fldCharType="separate"/>
          </w:r>
          <w:r>
            <w:rPr>
              <w:rFonts w:hint="eastAsia"/>
              <w:bCs/>
              <w:color w:val="auto"/>
              <w:sz w:val="24"/>
              <w:szCs w:val="24"/>
            </w:rPr>
            <w:t>8.8 环境经济损益分析结论</w:t>
          </w:r>
          <w:r>
            <w:rPr>
              <w:color w:val="auto"/>
              <w:sz w:val="24"/>
              <w:szCs w:val="24"/>
            </w:rPr>
            <w:tab/>
          </w:r>
          <w:r>
            <w:rPr>
              <w:color w:val="auto"/>
              <w:sz w:val="24"/>
              <w:szCs w:val="24"/>
            </w:rPr>
            <w:fldChar w:fldCharType="begin"/>
          </w:r>
          <w:r>
            <w:rPr>
              <w:color w:val="auto"/>
              <w:sz w:val="24"/>
              <w:szCs w:val="24"/>
            </w:rPr>
            <w:instrText xml:space="preserve"> PAGEREF _Toc32232 </w:instrText>
          </w:r>
          <w:r>
            <w:rPr>
              <w:color w:val="auto"/>
              <w:sz w:val="24"/>
              <w:szCs w:val="24"/>
            </w:rPr>
            <w:fldChar w:fldCharType="separate"/>
          </w:r>
          <w:r>
            <w:rPr>
              <w:color w:val="auto"/>
              <w:sz w:val="24"/>
              <w:szCs w:val="24"/>
            </w:rPr>
            <w:t>211</w:t>
          </w:r>
          <w:r>
            <w:rPr>
              <w:color w:val="auto"/>
              <w:sz w:val="24"/>
              <w:szCs w:val="24"/>
            </w:rPr>
            <w:fldChar w:fldCharType="end"/>
          </w:r>
          <w:r>
            <w:rPr>
              <w:color w:val="auto"/>
              <w:sz w:val="24"/>
              <w:szCs w:val="24"/>
            </w:rPr>
            <w:fldChar w:fldCharType="end"/>
          </w:r>
        </w:p>
        <w:p>
          <w:pPr>
            <w:pStyle w:val="52"/>
            <w:tabs>
              <w:tab w:val="right" w:leader="dot" w:pos="8732"/>
            </w:tabs>
            <w:spacing w:line="360" w:lineRule="auto"/>
            <w:rPr>
              <w:b/>
              <w:color w:val="auto"/>
              <w:sz w:val="24"/>
              <w:szCs w:val="24"/>
            </w:rPr>
          </w:pPr>
          <w:r>
            <w:rPr>
              <w:color w:val="auto"/>
            </w:rPr>
            <w:fldChar w:fldCharType="begin"/>
          </w:r>
          <w:r>
            <w:rPr>
              <w:color w:val="auto"/>
            </w:rPr>
            <w:instrText xml:space="preserve"> HYPERLINK \l "_Toc22146" </w:instrText>
          </w:r>
          <w:r>
            <w:rPr>
              <w:color w:val="auto"/>
            </w:rPr>
            <w:fldChar w:fldCharType="separate"/>
          </w:r>
          <w:r>
            <w:rPr>
              <w:rFonts w:eastAsia="黑体"/>
              <w:b/>
              <w:bCs/>
              <w:color w:val="auto"/>
              <w:kern w:val="44"/>
              <w:sz w:val="24"/>
              <w:szCs w:val="24"/>
            </w:rPr>
            <w:t>第</w:t>
          </w:r>
          <w:r>
            <w:rPr>
              <w:rFonts w:hint="eastAsia" w:eastAsia="黑体"/>
              <w:b/>
              <w:bCs/>
              <w:color w:val="auto"/>
              <w:kern w:val="44"/>
              <w:sz w:val="24"/>
              <w:szCs w:val="24"/>
            </w:rPr>
            <w:t>九</w:t>
          </w:r>
          <w:r>
            <w:rPr>
              <w:rFonts w:eastAsia="黑体"/>
              <w:b/>
              <w:bCs/>
              <w:color w:val="auto"/>
              <w:kern w:val="44"/>
              <w:sz w:val="24"/>
              <w:szCs w:val="24"/>
            </w:rPr>
            <w:t>章  环境管理</w:t>
          </w:r>
          <w:r>
            <w:rPr>
              <w:rFonts w:hint="eastAsia" w:eastAsia="黑体"/>
              <w:b/>
              <w:bCs/>
              <w:color w:val="auto"/>
              <w:kern w:val="44"/>
              <w:sz w:val="24"/>
              <w:szCs w:val="24"/>
            </w:rPr>
            <w:t>与监测计划</w:t>
          </w:r>
          <w:r>
            <w:rPr>
              <w:b/>
              <w:color w:val="auto"/>
              <w:sz w:val="24"/>
              <w:szCs w:val="24"/>
            </w:rPr>
            <w:tab/>
          </w:r>
          <w:r>
            <w:rPr>
              <w:b/>
              <w:color w:val="auto"/>
              <w:sz w:val="24"/>
              <w:szCs w:val="24"/>
            </w:rPr>
            <w:fldChar w:fldCharType="begin"/>
          </w:r>
          <w:r>
            <w:rPr>
              <w:b/>
              <w:color w:val="auto"/>
              <w:sz w:val="24"/>
              <w:szCs w:val="24"/>
            </w:rPr>
            <w:instrText xml:space="preserve"> PAGEREF _Toc22146 </w:instrText>
          </w:r>
          <w:r>
            <w:rPr>
              <w:b/>
              <w:color w:val="auto"/>
              <w:sz w:val="24"/>
              <w:szCs w:val="24"/>
            </w:rPr>
            <w:fldChar w:fldCharType="separate"/>
          </w:r>
          <w:r>
            <w:rPr>
              <w:b/>
              <w:color w:val="auto"/>
              <w:sz w:val="24"/>
              <w:szCs w:val="24"/>
            </w:rPr>
            <w:t>213</w:t>
          </w:r>
          <w:r>
            <w:rPr>
              <w:b/>
              <w:color w:val="auto"/>
              <w:sz w:val="24"/>
              <w:szCs w:val="24"/>
            </w:rPr>
            <w:fldChar w:fldCharType="end"/>
          </w:r>
          <w:r>
            <w:rPr>
              <w:b/>
              <w:color w:val="auto"/>
              <w:sz w:val="24"/>
              <w:szCs w:val="24"/>
            </w:rPr>
            <w:fldChar w:fldCharType="end"/>
          </w:r>
        </w:p>
        <w:p>
          <w:pPr>
            <w:pStyle w:val="53"/>
            <w:tabs>
              <w:tab w:val="right" w:leader="dot" w:pos="8732"/>
            </w:tabs>
            <w:spacing w:line="360" w:lineRule="auto"/>
            <w:ind w:left="480"/>
            <w:rPr>
              <w:color w:val="auto"/>
              <w:sz w:val="24"/>
              <w:szCs w:val="24"/>
            </w:rPr>
          </w:pPr>
          <w:r>
            <w:rPr>
              <w:color w:val="auto"/>
            </w:rPr>
            <w:fldChar w:fldCharType="begin"/>
          </w:r>
          <w:r>
            <w:rPr>
              <w:color w:val="auto"/>
            </w:rPr>
            <w:instrText xml:space="preserve"> HYPERLINK \l "_Toc28775" </w:instrText>
          </w:r>
          <w:r>
            <w:rPr>
              <w:color w:val="auto"/>
            </w:rPr>
            <w:fldChar w:fldCharType="separate"/>
          </w:r>
          <w:r>
            <w:rPr>
              <w:rFonts w:hint="eastAsia"/>
              <w:bCs/>
              <w:color w:val="auto"/>
              <w:sz w:val="24"/>
              <w:szCs w:val="24"/>
            </w:rPr>
            <w:t>9</w:t>
          </w:r>
          <w:r>
            <w:rPr>
              <w:bCs/>
              <w:color w:val="auto"/>
              <w:sz w:val="24"/>
              <w:szCs w:val="24"/>
            </w:rPr>
            <w:t>.1 环境管理计划</w:t>
          </w:r>
          <w:r>
            <w:rPr>
              <w:color w:val="auto"/>
              <w:sz w:val="24"/>
              <w:szCs w:val="24"/>
            </w:rPr>
            <w:tab/>
          </w:r>
          <w:r>
            <w:rPr>
              <w:color w:val="auto"/>
              <w:sz w:val="24"/>
              <w:szCs w:val="24"/>
            </w:rPr>
            <w:fldChar w:fldCharType="begin"/>
          </w:r>
          <w:r>
            <w:rPr>
              <w:color w:val="auto"/>
              <w:sz w:val="24"/>
              <w:szCs w:val="24"/>
            </w:rPr>
            <w:instrText xml:space="preserve"> PAGEREF _Toc28775 </w:instrText>
          </w:r>
          <w:r>
            <w:rPr>
              <w:color w:val="auto"/>
              <w:sz w:val="24"/>
              <w:szCs w:val="24"/>
            </w:rPr>
            <w:fldChar w:fldCharType="separate"/>
          </w:r>
          <w:r>
            <w:rPr>
              <w:color w:val="auto"/>
              <w:sz w:val="24"/>
              <w:szCs w:val="24"/>
            </w:rPr>
            <w:t>213</w:t>
          </w:r>
          <w:r>
            <w:rPr>
              <w:color w:val="auto"/>
              <w:sz w:val="24"/>
              <w:szCs w:val="24"/>
            </w:rPr>
            <w:fldChar w:fldCharType="end"/>
          </w:r>
          <w:r>
            <w:rPr>
              <w:color w:val="auto"/>
              <w:sz w:val="24"/>
              <w:szCs w:val="24"/>
            </w:rPr>
            <w:fldChar w:fldCharType="end"/>
          </w:r>
        </w:p>
        <w:p>
          <w:pPr>
            <w:pStyle w:val="53"/>
            <w:tabs>
              <w:tab w:val="right" w:leader="dot" w:pos="8732"/>
            </w:tabs>
            <w:spacing w:line="360" w:lineRule="auto"/>
            <w:ind w:left="480"/>
            <w:rPr>
              <w:color w:val="auto"/>
              <w:sz w:val="24"/>
              <w:szCs w:val="24"/>
            </w:rPr>
          </w:pPr>
          <w:r>
            <w:rPr>
              <w:color w:val="auto"/>
            </w:rPr>
            <w:fldChar w:fldCharType="begin"/>
          </w:r>
          <w:r>
            <w:rPr>
              <w:color w:val="auto"/>
            </w:rPr>
            <w:instrText xml:space="preserve"> HYPERLINK \l "_Toc19340" </w:instrText>
          </w:r>
          <w:r>
            <w:rPr>
              <w:color w:val="auto"/>
            </w:rPr>
            <w:fldChar w:fldCharType="separate"/>
          </w:r>
          <w:r>
            <w:rPr>
              <w:rFonts w:hint="eastAsia"/>
              <w:bCs/>
              <w:color w:val="auto"/>
              <w:sz w:val="24"/>
              <w:szCs w:val="24"/>
            </w:rPr>
            <w:t>9.2污染物排放清单</w:t>
          </w:r>
          <w:r>
            <w:rPr>
              <w:color w:val="auto"/>
              <w:sz w:val="24"/>
              <w:szCs w:val="24"/>
            </w:rPr>
            <w:tab/>
          </w:r>
          <w:r>
            <w:rPr>
              <w:color w:val="auto"/>
              <w:sz w:val="24"/>
              <w:szCs w:val="24"/>
            </w:rPr>
            <w:fldChar w:fldCharType="begin"/>
          </w:r>
          <w:r>
            <w:rPr>
              <w:color w:val="auto"/>
              <w:sz w:val="24"/>
              <w:szCs w:val="24"/>
            </w:rPr>
            <w:instrText xml:space="preserve"> PAGEREF _Toc19340 </w:instrText>
          </w:r>
          <w:r>
            <w:rPr>
              <w:color w:val="auto"/>
              <w:sz w:val="24"/>
              <w:szCs w:val="24"/>
            </w:rPr>
            <w:fldChar w:fldCharType="separate"/>
          </w:r>
          <w:r>
            <w:rPr>
              <w:color w:val="auto"/>
              <w:sz w:val="24"/>
              <w:szCs w:val="24"/>
            </w:rPr>
            <w:t>215</w:t>
          </w:r>
          <w:r>
            <w:rPr>
              <w:color w:val="auto"/>
              <w:sz w:val="24"/>
              <w:szCs w:val="24"/>
            </w:rPr>
            <w:fldChar w:fldCharType="end"/>
          </w:r>
          <w:r>
            <w:rPr>
              <w:color w:val="auto"/>
              <w:sz w:val="24"/>
              <w:szCs w:val="24"/>
            </w:rPr>
            <w:fldChar w:fldCharType="end"/>
          </w:r>
        </w:p>
        <w:p>
          <w:pPr>
            <w:pStyle w:val="53"/>
            <w:tabs>
              <w:tab w:val="right" w:leader="dot" w:pos="8732"/>
            </w:tabs>
            <w:spacing w:line="360" w:lineRule="auto"/>
            <w:ind w:left="480"/>
            <w:rPr>
              <w:color w:val="auto"/>
              <w:sz w:val="24"/>
              <w:szCs w:val="24"/>
            </w:rPr>
          </w:pPr>
          <w:r>
            <w:rPr>
              <w:color w:val="auto"/>
            </w:rPr>
            <w:fldChar w:fldCharType="begin"/>
          </w:r>
          <w:r>
            <w:rPr>
              <w:color w:val="auto"/>
            </w:rPr>
            <w:instrText xml:space="preserve"> HYPERLINK \l "_Toc17362" </w:instrText>
          </w:r>
          <w:r>
            <w:rPr>
              <w:color w:val="auto"/>
            </w:rPr>
            <w:fldChar w:fldCharType="separate"/>
          </w:r>
          <w:r>
            <w:rPr>
              <w:rFonts w:hint="eastAsia"/>
              <w:bCs/>
              <w:color w:val="auto"/>
              <w:sz w:val="24"/>
              <w:szCs w:val="24"/>
            </w:rPr>
            <w:t>9</w:t>
          </w:r>
          <w:r>
            <w:rPr>
              <w:bCs/>
              <w:color w:val="auto"/>
              <w:sz w:val="24"/>
              <w:szCs w:val="24"/>
            </w:rPr>
            <w:t>.</w:t>
          </w:r>
          <w:r>
            <w:rPr>
              <w:rFonts w:hint="eastAsia"/>
              <w:bCs/>
              <w:color w:val="auto"/>
              <w:sz w:val="24"/>
              <w:szCs w:val="24"/>
            </w:rPr>
            <w:t>3</w:t>
          </w:r>
          <w:r>
            <w:rPr>
              <w:bCs/>
              <w:color w:val="auto"/>
              <w:sz w:val="24"/>
              <w:szCs w:val="24"/>
            </w:rPr>
            <w:t xml:space="preserve"> 环境监测制度建议</w:t>
          </w:r>
          <w:r>
            <w:rPr>
              <w:color w:val="auto"/>
              <w:sz w:val="24"/>
              <w:szCs w:val="24"/>
            </w:rPr>
            <w:tab/>
          </w:r>
          <w:r>
            <w:rPr>
              <w:color w:val="auto"/>
              <w:sz w:val="24"/>
              <w:szCs w:val="24"/>
            </w:rPr>
            <w:fldChar w:fldCharType="begin"/>
          </w:r>
          <w:r>
            <w:rPr>
              <w:color w:val="auto"/>
              <w:sz w:val="24"/>
              <w:szCs w:val="24"/>
            </w:rPr>
            <w:instrText xml:space="preserve"> PAGEREF _Toc17362 </w:instrText>
          </w:r>
          <w:r>
            <w:rPr>
              <w:color w:val="auto"/>
              <w:sz w:val="24"/>
              <w:szCs w:val="24"/>
            </w:rPr>
            <w:fldChar w:fldCharType="separate"/>
          </w:r>
          <w:r>
            <w:rPr>
              <w:color w:val="auto"/>
              <w:sz w:val="24"/>
              <w:szCs w:val="24"/>
            </w:rPr>
            <w:t>219</w:t>
          </w:r>
          <w:r>
            <w:rPr>
              <w:color w:val="auto"/>
              <w:sz w:val="24"/>
              <w:szCs w:val="24"/>
            </w:rPr>
            <w:fldChar w:fldCharType="end"/>
          </w:r>
          <w:r>
            <w:rPr>
              <w:color w:val="auto"/>
              <w:sz w:val="24"/>
              <w:szCs w:val="24"/>
            </w:rPr>
            <w:fldChar w:fldCharType="end"/>
          </w:r>
        </w:p>
        <w:p>
          <w:pPr>
            <w:pStyle w:val="53"/>
            <w:tabs>
              <w:tab w:val="right" w:leader="dot" w:pos="8732"/>
            </w:tabs>
            <w:spacing w:line="360" w:lineRule="auto"/>
            <w:ind w:left="480"/>
            <w:rPr>
              <w:color w:val="auto"/>
              <w:sz w:val="24"/>
              <w:szCs w:val="24"/>
            </w:rPr>
          </w:pPr>
          <w:r>
            <w:rPr>
              <w:color w:val="auto"/>
            </w:rPr>
            <w:fldChar w:fldCharType="begin"/>
          </w:r>
          <w:r>
            <w:rPr>
              <w:color w:val="auto"/>
            </w:rPr>
            <w:instrText xml:space="preserve"> HYPERLINK \l "_Toc29006" </w:instrText>
          </w:r>
          <w:r>
            <w:rPr>
              <w:color w:val="auto"/>
            </w:rPr>
            <w:fldChar w:fldCharType="separate"/>
          </w:r>
          <w:r>
            <w:rPr>
              <w:rFonts w:hint="eastAsia"/>
              <w:bCs/>
              <w:color w:val="auto"/>
              <w:sz w:val="24"/>
              <w:szCs w:val="24"/>
            </w:rPr>
            <w:t>9</w:t>
          </w:r>
          <w:r>
            <w:rPr>
              <w:bCs/>
              <w:color w:val="auto"/>
              <w:sz w:val="24"/>
              <w:szCs w:val="24"/>
            </w:rPr>
            <w:t>.</w:t>
          </w:r>
          <w:r>
            <w:rPr>
              <w:rFonts w:hint="eastAsia"/>
              <w:bCs/>
              <w:color w:val="auto"/>
              <w:sz w:val="24"/>
              <w:szCs w:val="24"/>
            </w:rPr>
            <w:t>4</w:t>
          </w:r>
          <w:r>
            <w:rPr>
              <w:bCs/>
              <w:color w:val="auto"/>
              <w:sz w:val="24"/>
              <w:szCs w:val="24"/>
            </w:rPr>
            <w:t xml:space="preserve"> 环保竣工验收内容</w:t>
          </w:r>
          <w:r>
            <w:rPr>
              <w:color w:val="auto"/>
              <w:sz w:val="24"/>
              <w:szCs w:val="24"/>
            </w:rPr>
            <w:tab/>
          </w:r>
          <w:r>
            <w:rPr>
              <w:color w:val="auto"/>
              <w:sz w:val="24"/>
              <w:szCs w:val="24"/>
            </w:rPr>
            <w:fldChar w:fldCharType="begin"/>
          </w:r>
          <w:r>
            <w:rPr>
              <w:color w:val="auto"/>
              <w:sz w:val="24"/>
              <w:szCs w:val="24"/>
            </w:rPr>
            <w:instrText xml:space="preserve"> PAGEREF _Toc29006 </w:instrText>
          </w:r>
          <w:r>
            <w:rPr>
              <w:color w:val="auto"/>
              <w:sz w:val="24"/>
              <w:szCs w:val="24"/>
            </w:rPr>
            <w:fldChar w:fldCharType="separate"/>
          </w:r>
          <w:r>
            <w:rPr>
              <w:color w:val="auto"/>
              <w:sz w:val="24"/>
              <w:szCs w:val="24"/>
            </w:rPr>
            <w:t>220</w:t>
          </w:r>
          <w:r>
            <w:rPr>
              <w:color w:val="auto"/>
              <w:sz w:val="24"/>
              <w:szCs w:val="24"/>
            </w:rPr>
            <w:fldChar w:fldCharType="end"/>
          </w:r>
          <w:r>
            <w:rPr>
              <w:color w:val="auto"/>
              <w:sz w:val="24"/>
              <w:szCs w:val="24"/>
            </w:rPr>
            <w:fldChar w:fldCharType="end"/>
          </w:r>
        </w:p>
        <w:p>
          <w:pPr>
            <w:pStyle w:val="53"/>
            <w:tabs>
              <w:tab w:val="right" w:leader="dot" w:pos="8732"/>
            </w:tabs>
            <w:spacing w:line="360" w:lineRule="auto"/>
            <w:ind w:left="480"/>
            <w:rPr>
              <w:color w:val="auto"/>
              <w:sz w:val="24"/>
              <w:szCs w:val="24"/>
            </w:rPr>
          </w:pPr>
          <w:r>
            <w:rPr>
              <w:color w:val="auto"/>
            </w:rPr>
            <w:fldChar w:fldCharType="begin"/>
          </w:r>
          <w:r>
            <w:rPr>
              <w:color w:val="auto"/>
            </w:rPr>
            <w:instrText xml:space="preserve"> HYPERLINK \l "_Toc19362" </w:instrText>
          </w:r>
          <w:r>
            <w:rPr>
              <w:color w:val="auto"/>
            </w:rPr>
            <w:fldChar w:fldCharType="separate"/>
          </w:r>
          <w:r>
            <w:rPr>
              <w:rFonts w:hint="eastAsia"/>
              <w:bCs/>
              <w:color w:val="auto"/>
              <w:sz w:val="24"/>
              <w:szCs w:val="24"/>
            </w:rPr>
            <w:t>9.5污染物排放总量管理</w:t>
          </w:r>
          <w:r>
            <w:rPr>
              <w:color w:val="auto"/>
              <w:sz w:val="24"/>
              <w:szCs w:val="24"/>
            </w:rPr>
            <w:tab/>
          </w:r>
          <w:r>
            <w:rPr>
              <w:color w:val="auto"/>
              <w:sz w:val="24"/>
              <w:szCs w:val="24"/>
            </w:rPr>
            <w:fldChar w:fldCharType="begin"/>
          </w:r>
          <w:r>
            <w:rPr>
              <w:color w:val="auto"/>
              <w:sz w:val="24"/>
              <w:szCs w:val="24"/>
            </w:rPr>
            <w:instrText xml:space="preserve"> PAGEREF _Toc19362 </w:instrText>
          </w:r>
          <w:r>
            <w:rPr>
              <w:color w:val="auto"/>
              <w:sz w:val="24"/>
              <w:szCs w:val="24"/>
            </w:rPr>
            <w:fldChar w:fldCharType="separate"/>
          </w:r>
          <w:r>
            <w:rPr>
              <w:color w:val="auto"/>
              <w:sz w:val="24"/>
              <w:szCs w:val="24"/>
            </w:rPr>
            <w:t>220</w:t>
          </w:r>
          <w:r>
            <w:rPr>
              <w:color w:val="auto"/>
              <w:sz w:val="24"/>
              <w:szCs w:val="24"/>
            </w:rPr>
            <w:fldChar w:fldCharType="end"/>
          </w:r>
          <w:r>
            <w:rPr>
              <w:color w:val="auto"/>
              <w:sz w:val="24"/>
              <w:szCs w:val="24"/>
            </w:rPr>
            <w:fldChar w:fldCharType="end"/>
          </w:r>
        </w:p>
        <w:p>
          <w:pPr>
            <w:pStyle w:val="52"/>
            <w:tabs>
              <w:tab w:val="right" w:leader="dot" w:pos="8732"/>
            </w:tabs>
            <w:spacing w:line="360" w:lineRule="auto"/>
            <w:rPr>
              <w:b/>
              <w:color w:val="auto"/>
              <w:sz w:val="24"/>
              <w:szCs w:val="24"/>
            </w:rPr>
          </w:pPr>
          <w:r>
            <w:rPr>
              <w:color w:val="auto"/>
            </w:rPr>
            <w:fldChar w:fldCharType="begin"/>
          </w:r>
          <w:r>
            <w:rPr>
              <w:color w:val="auto"/>
            </w:rPr>
            <w:instrText xml:space="preserve"> HYPERLINK \l "_Toc25409" </w:instrText>
          </w:r>
          <w:r>
            <w:rPr>
              <w:color w:val="auto"/>
            </w:rPr>
            <w:fldChar w:fldCharType="separate"/>
          </w:r>
          <w:r>
            <w:rPr>
              <w:b/>
              <w:color w:val="auto"/>
              <w:sz w:val="24"/>
              <w:szCs w:val="24"/>
            </w:rPr>
            <w:t>第</w:t>
          </w:r>
          <w:r>
            <w:rPr>
              <w:rFonts w:hint="eastAsia"/>
              <w:b/>
              <w:color w:val="auto"/>
              <w:sz w:val="24"/>
              <w:szCs w:val="24"/>
            </w:rPr>
            <w:t>十</w:t>
          </w:r>
          <w:r>
            <w:rPr>
              <w:b/>
              <w:color w:val="auto"/>
              <w:sz w:val="24"/>
              <w:szCs w:val="24"/>
            </w:rPr>
            <w:t>章  结论与建议</w:t>
          </w:r>
          <w:r>
            <w:rPr>
              <w:b/>
              <w:color w:val="auto"/>
              <w:sz w:val="24"/>
              <w:szCs w:val="24"/>
            </w:rPr>
            <w:tab/>
          </w:r>
          <w:r>
            <w:rPr>
              <w:b/>
              <w:color w:val="auto"/>
              <w:sz w:val="24"/>
              <w:szCs w:val="24"/>
            </w:rPr>
            <w:fldChar w:fldCharType="begin"/>
          </w:r>
          <w:r>
            <w:rPr>
              <w:b/>
              <w:color w:val="auto"/>
              <w:sz w:val="24"/>
              <w:szCs w:val="24"/>
            </w:rPr>
            <w:instrText xml:space="preserve"> PAGEREF _Toc25409 </w:instrText>
          </w:r>
          <w:r>
            <w:rPr>
              <w:b/>
              <w:color w:val="auto"/>
              <w:sz w:val="24"/>
              <w:szCs w:val="24"/>
            </w:rPr>
            <w:fldChar w:fldCharType="separate"/>
          </w:r>
          <w:r>
            <w:rPr>
              <w:b/>
              <w:color w:val="auto"/>
              <w:sz w:val="24"/>
              <w:szCs w:val="24"/>
            </w:rPr>
            <w:t>224</w:t>
          </w:r>
          <w:r>
            <w:rPr>
              <w:b/>
              <w:color w:val="auto"/>
              <w:sz w:val="24"/>
              <w:szCs w:val="24"/>
            </w:rPr>
            <w:fldChar w:fldCharType="end"/>
          </w:r>
          <w:r>
            <w:rPr>
              <w:b/>
              <w:color w:val="auto"/>
              <w:sz w:val="24"/>
              <w:szCs w:val="24"/>
            </w:rPr>
            <w:fldChar w:fldCharType="end"/>
          </w:r>
        </w:p>
        <w:p>
          <w:pPr>
            <w:pStyle w:val="53"/>
            <w:tabs>
              <w:tab w:val="right" w:leader="dot" w:pos="8732"/>
            </w:tabs>
            <w:spacing w:line="360" w:lineRule="auto"/>
            <w:ind w:left="480"/>
            <w:rPr>
              <w:color w:val="auto"/>
              <w:sz w:val="24"/>
              <w:szCs w:val="24"/>
            </w:rPr>
          </w:pPr>
          <w:r>
            <w:rPr>
              <w:color w:val="auto"/>
            </w:rPr>
            <w:fldChar w:fldCharType="begin"/>
          </w:r>
          <w:r>
            <w:rPr>
              <w:color w:val="auto"/>
            </w:rPr>
            <w:instrText xml:space="preserve"> HYPERLINK \l "_Toc31682" </w:instrText>
          </w:r>
          <w:r>
            <w:rPr>
              <w:color w:val="auto"/>
            </w:rPr>
            <w:fldChar w:fldCharType="separate"/>
          </w:r>
          <w:r>
            <w:rPr>
              <w:rFonts w:hint="eastAsia"/>
              <w:color w:val="auto"/>
              <w:sz w:val="24"/>
              <w:szCs w:val="24"/>
            </w:rPr>
            <w:t>10</w:t>
          </w:r>
          <w:r>
            <w:rPr>
              <w:color w:val="auto"/>
              <w:sz w:val="24"/>
              <w:szCs w:val="24"/>
            </w:rPr>
            <w:t>.1  结论</w:t>
          </w:r>
          <w:r>
            <w:rPr>
              <w:color w:val="auto"/>
              <w:sz w:val="24"/>
              <w:szCs w:val="24"/>
            </w:rPr>
            <w:tab/>
          </w:r>
          <w:r>
            <w:rPr>
              <w:color w:val="auto"/>
              <w:sz w:val="24"/>
              <w:szCs w:val="24"/>
            </w:rPr>
            <w:fldChar w:fldCharType="begin"/>
          </w:r>
          <w:r>
            <w:rPr>
              <w:color w:val="auto"/>
              <w:sz w:val="24"/>
              <w:szCs w:val="24"/>
            </w:rPr>
            <w:instrText xml:space="preserve"> PAGEREF _Toc31682 </w:instrText>
          </w:r>
          <w:r>
            <w:rPr>
              <w:color w:val="auto"/>
              <w:sz w:val="24"/>
              <w:szCs w:val="24"/>
            </w:rPr>
            <w:fldChar w:fldCharType="separate"/>
          </w:r>
          <w:r>
            <w:rPr>
              <w:color w:val="auto"/>
              <w:sz w:val="24"/>
              <w:szCs w:val="24"/>
            </w:rPr>
            <w:t>224</w:t>
          </w:r>
          <w:r>
            <w:rPr>
              <w:color w:val="auto"/>
              <w:sz w:val="24"/>
              <w:szCs w:val="24"/>
            </w:rPr>
            <w:fldChar w:fldCharType="end"/>
          </w:r>
          <w:r>
            <w:rPr>
              <w:color w:val="auto"/>
              <w:sz w:val="24"/>
              <w:szCs w:val="24"/>
            </w:rPr>
            <w:fldChar w:fldCharType="end"/>
          </w:r>
        </w:p>
        <w:p>
          <w:pPr>
            <w:pStyle w:val="53"/>
            <w:tabs>
              <w:tab w:val="right" w:leader="dot" w:pos="8732"/>
            </w:tabs>
            <w:spacing w:line="360" w:lineRule="auto"/>
            <w:ind w:left="480"/>
            <w:rPr>
              <w:color w:val="auto"/>
            </w:rPr>
          </w:pPr>
          <w:r>
            <w:rPr>
              <w:color w:val="auto"/>
            </w:rPr>
            <w:fldChar w:fldCharType="begin"/>
          </w:r>
          <w:r>
            <w:rPr>
              <w:color w:val="auto"/>
            </w:rPr>
            <w:instrText xml:space="preserve"> HYPERLINK \l "_Toc23186" </w:instrText>
          </w:r>
          <w:r>
            <w:rPr>
              <w:color w:val="auto"/>
            </w:rPr>
            <w:fldChar w:fldCharType="separate"/>
          </w:r>
          <w:r>
            <w:rPr>
              <w:rFonts w:hint="eastAsia"/>
              <w:color w:val="auto"/>
              <w:sz w:val="24"/>
              <w:szCs w:val="24"/>
            </w:rPr>
            <w:t>10</w:t>
          </w:r>
          <w:r>
            <w:rPr>
              <w:color w:val="auto"/>
              <w:sz w:val="24"/>
              <w:szCs w:val="24"/>
            </w:rPr>
            <w:t>.2  建议</w:t>
          </w:r>
          <w:r>
            <w:rPr>
              <w:color w:val="auto"/>
              <w:sz w:val="24"/>
              <w:szCs w:val="24"/>
            </w:rPr>
            <w:tab/>
          </w:r>
          <w:r>
            <w:rPr>
              <w:color w:val="auto"/>
              <w:sz w:val="24"/>
              <w:szCs w:val="24"/>
            </w:rPr>
            <w:fldChar w:fldCharType="begin"/>
          </w:r>
          <w:r>
            <w:rPr>
              <w:color w:val="auto"/>
              <w:sz w:val="24"/>
              <w:szCs w:val="24"/>
            </w:rPr>
            <w:instrText xml:space="preserve"> PAGEREF _Toc23186 </w:instrText>
          </w:r>
          <w:r>
            <w:rPr>
              <w:color w:val="auto"/>
              <w:sz w:val="24"/>
              <w:szCs w:val="24"/>
            </w:rPr>
            <w:fldChar w:fldCharType="separate"/>
          </w:r>
          <w:r>
            <w:rPr>
              <w:color w:val="auto"/>
              <w:sz w:val="24"/>
              <w:szCs w:val="24"/>
            </w:rPr>
            <w:t>228</w:t>
          </w:r>
          <w:r>
            <w:rPr>
              <w:color w:val="auto"/>
              <w:sz w:val="24"/>
              <w:szCs w:val="24"/>
            </w:rPr>
            <w:fldChar w:fldCharType="end"/>
          </w:r>
          <w:r>
            <w:rPr>
              <w:color w:val="auto"/>
              <w:sz w:val="24"/>
              <w:szCs w:val="24"/>
            </w:rPr>
            <w:fldChar w:fldCharType="end"/>
          </w:r>
        </w:p>
        <w:p>
          <w:pPr>
            <w:ind w:firstLine="482"/>
            <w:rPr>
              <w:b/>
              <w:color w:val="auto"/>
            </w:rPr>
          </w:pPr>
          <w:r>
            <w:rPr>
              <w:rFonts w:hint="eastAsia"/>
              <w:b/>
              <w:color w:val="auto"/>
            </w:rPr>
            <w:fldChar w:fldCharType="end"/>
          </w:r>
        </w:p>
        <w:p>
          <w:pPr>
            <w:ind w:firstLine="482"/>
            <w:rPr>
              <w:b/>
              <w:color w:val="auto"/>
            </w:rPr>
          </w:pPr>
        </w:p>
        <w:p>
          <w:pPr>
            <w:autoSpaceDE w:val="0"/>
            <w:autoSpaceDN w:val="0"/>
            <w:snapToGrid/>
            <w:ind w:firstLine="0" w:firstLineChars="0"/>
            <w:jc w:val="left"/>
            <w:rPr>
              <w:b/>
              <w:bCs/>
              <w:color w:val="auto"/>
              <w:kern w:val="0"/>
            </w:rPr>
          </w:pPr>
        </w:p>
        <w:p>
          <w:pPr>
            <w:autoSpaceDE w:val="0"/>
            <w:autoSpaceDN w:val="0"/>
            <w:snapToGrid/>
            <w:ind w:firstLine="0" w:firstLineChars="0"/>
            <w:jc w:val="left"/>
            <w:rPr>
              <w:b/>
              <w:bCs/>
              <w:color w:val="auto"/>
              <w:kern w:val="0"/>
            </w:rPr>
          </w:pPr>
          <w:r>
            <w:rPr>
              <w:b/>
              <w:bCs/>
              <w:color w:val="auto"/>
              <w:kern w:val="0"/>
            </w:rPr>
            <w:t>附图：</w:t>
          </w:r>
        </w:p>
        <w:p>
          <w:pPr>
            <w:autoSpaceDE w:val="0"/>
            <w:autoSpaceDN w:val="0"/>
            <w:snapToGrid/>
            <w:ind w:firstLine="0" w:firstLineChars="0"/>
            <w:jc w:val="left"/>
            <w:rPr>
              <w:color w:val="auto"/>
              <w:kern w:val="0"/>
            </w:rPr>
          </w:pPr>
          <w:r>
            <w:rPr>
              <w:color w:val="auto"/>
              <w:kern w:val="0"/>
            </w:rPr>
            <w:t xml:space="preserve">附图一   </w:t>
          </w:r>
          <w:r>
            <w:rPr>
              <w:rFonts w:hint="eastAsia"/>
              <w:color w:val="auto"/>
              <w:kern w:val="0"/>
            </w:rPr>
            <w:t>本</w:t>
          </w:r>
          <w:r>
            <w:rPr>
              <w:color w:val="auto"/>
              <w:kern w:val="0"/>
            </w:rPr>
            <w:t>项目地理位置图</w:t>
          </w:r>
        </w:p>
        <w:p>
          <w:pPr>
            <w:autoSpaceDE w:val="0"/>
            <w:autoSpaceDN w:val="0"/>
            <w:snapToGrid/>
            <w:ind w:firstLine="0" w:firstLineChars="0"/>
            <w:jc w:val="left"/>
            <w:rPr>
              <w:color w:val="auto"/>
              <w:kern w:val="0"/>
            </w:rPr>
          </w:pPr>
          <w:bookmarkStart w:id="10" w:name="_Toc5334"/>
          <w:bookmarkStart w:id="11" w:name="_Toc9934"/>
          <w:bookmarkStart w:id="12" w:name="_Toc14505_WPSOffice_Level1"/>
          <w:bookmarkStart w:id="13" w:name="_Toc24525_WPSOffice_Level1"/>
          <w:bookmarkStart w:id="14" w:name="_Toc9418_WPSOffice_Level1"/>
          <w:bookmarkStart w:id="15" w:name="_Toc2092_WPSOffice_Level1"/>
          <w:bookmarkStart w:id="16" w:name="_Toc3248_WPSOffice_Level1"/>
          <w:bookmarkStart w:id="17" w:name="_Toc9392_WPSOffice_Level1"/>
          <w:bookmarkStart w:id="18" w:name="_Toc20710_WPSOffice_Level1"/>
          <w:bookmarkStart w:id="19" w:name="_Toc18828_WPSOffice_Level1"/>
          <w:bookmarkStart w:id="20" w:name="_Toc7613"/>
          <w:r>
            <w:rPr>
              <w:color w:val="auto"/>
              <w:kern w:val="0"/>
            </w:rPr>
            <w:t xml:space="preserve">附件二   </w:t>
          </w:r>
          <w:bookmarkEnd w:id="10"/>
          <w:bookmarkEnd w:id="11"/>
          <w:bookmarkEnd w:id="12"/>
          <w:bookmarkEnd w:id="13"/>
          <w:bookmarkEnd w:id="14"/>
          <w:bookmarkEnd w:id="15"/>
          <w:bookmarkEnd w:id="16"/>
          <w:bookmarkEnd w:id="17"/>
          <w:bookmarkEnd w:id="18"/>
          <w:bookmarkEnd w:id="19"/>
          <w:bookmarkEnd w:id="20"/>
          <w:r>
            <w:rPr>
              <w:color w:val="auto"/>
              <w:kern w:val="0"/>
            </w:rPr>
            <w:t>项目周边环境示意图</w:t>
          </w:r>
        </w:p>
        <w:p>
          <w:pPr>
            <w:autoSpaceDE w:val="0"/>
            <w:autoSpaceDN w:val="0"/>
            <w:snapToGrid/>
            <w:ind w:firstLine="0" w:firstLineChars="0"/>
            <w:jc w:val="left"/>
            <w:rPr>
              <w:color w:val="auto"/>
              <w:kern w:val="0"/>
            </w:rPr>
          </w:pPr>
          <w:r>
            <w:rPr>
              <w:color w:val="auto"/>
              <w:kern w:val="0"/>
            </w:rPr>
            <w:t>附图三   项目</w:t>
          </w:r>
          <w:r>
            <w:rPr>
              <w:rFonts w:hint="eastAsia"/>
              <w:color w:val="auto"/>
              <w:kern w:val="0"/>
            </w:rPr>
            <w:t>平面布置图</w:t>
          </w:r>
        </w:p>
        <w:p>
          <w:pPr>
            <w:autoSpaceDE w:val="0"/>
            <w:autoSpaceDN w:val="0"/>
            <w:snapToGrid/>
            <w:ind w:firstLine="0" w:firstLineChars="0"/>
            <w:jc w:val="left"/>
            <w:rPr>
              <w:color w:val="auto"/>
              <w:kern w:val="0"/>
            </w:rPr>
          </w:pPr>
          <w:r>
            <w:rPr>
              <w:color w:val="auto"/>
              <w:kern w:val="0"/>
            </w:rPr>
            <w:t>附图</w:t>
          </w:r>
          <w:r>
            <w:rPr>
              <w:rFonts w:hint="eastAsia"/>
              <w:color w:val="auto"/>
              <w:kern w:val="0"/>
            </w:rPr>
            <w:t>四</w:t>
          </w:r>
          <w:r>
            <w:rPr>
              <w:color w:val="auto"/>
              <w:kern w:val="0"/>
            </w:rPr>
            <w:t xml:space="preserve">   </w:t>
          </w:r>
          <w:r>
            <w:rPr>
              <w:rFonts w:hint="eastAsia"/>
              <w:color w:val="auto"/>
              <w:kern w:val="0"/>
            </w:rPr>
            <w:t>项目分区防渗示意图</w:t>
          </w:r>
        </w:p>
        <w:p>
          <w:pPr>
            <w:autoSpaceDE w:val="0"/>
            <w:autoSpaceDN w:val="0"/>
            <w:snapToGrid/>
            <w:ind w:firstLine="0" w:firstLineChars="0"/>
            <w:jc w:val="left"/>
            <w:rPr>
              <w:color w:val="auto"/>
              <w:kern w:val="0"/>
            </w:rPr>
          </w:pPr>
          <w:r>
            <w:rPr>
              <w:color w:val="auto"/>
              <w:kern w:val="0"/>
            </w:rPr>
            <w:t>附图</w:t>
          </w:r>
          <w:r>
            <w:rPr>
              <w:rFonts w:hint="eastAsia"/>
              <w:color w:val="auto"/>
              <w:kern w:val="0"/>
            </w:rPr>
            <w:t>五</w:t>
          </w:r>
          <w:r>
            <w:rPr>
              <w:color w:val="auto"/>
              <w:kern w:val="0"/>
            </w:rPr>
            <w:t xml:space="preserve">   项目</w:t>
          </w:r>
          <w:r>
            <w:rPr>
              <w:rFonts w:hint="eastAsia"/>
              <w:color w:val="auto"/>
              <w:kern w:val="0"/>
            </w:rPr>
            <w:t>监测点位</w:t>
          </w:r>
          <w:r>
            <w:rPr>
              <w:color w:val="auto"/>
              <w:kern w:val="0"/>
            </w:rPr>
            <w:t>图</w:t>
          </w:r>
        </w:p>
        <w:p>
          <w:pPr>
            <w:autoSpaceDE w:val="0"/>
            <w:autoSpaceDN w:val="0"/>
            <w:snapToGrid/>
            <w:ind w:firstLine="0" w:firstLineChars="0"/>
            <w:jc w:val="left"/>
            <w:rPr>
              <w:color w:val="auto"/>
              <w:kern w:val="0"/>
            </w:rPr>
          </w:pPr>
          <w:r>
            <w:rPr>
              <w:color w:val="auto"/>
              <w:kern w:val="0"/>
            </w:rPr>
            <w:t>附图</w:t>
          </w:r>
          <w:r>
            <w:rPr>
              <w:rFonts w:hint="eastAsia"/>
              <w:color w:val="auto"/>
              <w:kern w:val="0"/>
            </w:rPr>
            <w:t>六</w:t>
          </w:r>
          <w:r>
            <w:rPr>
              <w:color w:val="auto"/>
              <w:kern w:val="0"/>
            </w:rPr>
            <w:t xml:space="preserve">   </w:t>
          </w:r>
          <w:r>
            <w:rPr>
              <w:rFonts w:hint="eastAsia"/>
              <w:color w:val="auto"/>
              <w:kern w:val="0"/>
            </w:rPr>
            <w:t>本项目水系图</w:t>
          </w:r>
        </w:p>
        <w:p>
          <w:pPr>
            <w:autoSpaceDE w:val="0"/>
            <w:autoSpaceDN w:val="0"/>
            <w:snapToGrid/>
            <w:ind w:firstLine="0" w:firstLineChars="0"/>
            <w:jc w:val="left"/>
            <w:rPr>
              <w:color w:val="auto"/>
              <w:kern w:val="0"/>
            </w:rPr>
          </w:pPr>
          <w:r>
            <w:rPr>
              <w:rFonts w:hint="eastAsia"/>
              <w:color w:val="auto"/>
              <w:kern w:val="0"/>
            </w:rPr>
            <w:t>附图七   本项目风险、大气、地下水评价范围图</w:t>
          </w:r>
        </w:p>
        <w:p>
          <w:pPr>
            <w:autoSpaceDE w:val="0"/>
            <w:autoSpaceDN w:val="0"/>
            <w:snapToGrid/>
            <w:ind w:firstLine="0" w:firstLineChars="0"/>
            <w:jc w:val="left"/>
            <w:rPr>
              <w:color w:val="auto"/>
              <w:kern w:val="0"/>
            </w:rPr>
          </w:pPr>
          <w:bookmarkStart w:id="21" w:name="_Toc21113_WPSOffice_Level1"/>
          <w:bookmarkStart w:id="22" w:name="_Toc3232_WPSOffice_Level1"/>
          <w:bookmarkStart w:id="23" w:name="_Toc24528_WPSOffice_Level1"/>
          <w:bookmarkStart w:id="24" w:name="_Toc5365_WPSOffice_Level1"/>
          <w:bookmarkStart w:id="25" w:name="_Toc1081_WPSOffice_Level1"/>
          <w:bookmarkStart w:id="26" w:name="_Toc7216_WPSOffice_Level1"/>
          <w:bookmarkStart w:id="27" w:name="_Toc28827"/>
          <w:bookmarkStart w:id="28" w:name="_Toc14638"/>
          <w:bookmarkStart w:id="29" w:name="_Toc25284_WPSOffice_Level1"/>
          <w:bookmarkStart w:id="30" w:name="_Toc31578_WPSOffice_Level1"/>
          <w:bookmarkStart w:id="31" w:name="_Toc8714"/>
          <w:r>
            <w:rPr>
              <w:rFonts w:hint="eastAsia"/>
              <w:color w:val="auto"/>
              <w:kern w:val="0"/>
            </w:rPr>
            <w:t>附图八  本项目卫生防护距离包络图</w:t>
          </w:r>
        </w:p>
        <w:p>
          <w:pPr>
            <w:autoSpaceDE w:val="0"/>
            <w:autoSpaceDN w:val="0"/>
            <w:snapToGrid/>
            <w:ind w:firstLine="0" w:firstLineChars="0"/>
            <w:jc w:val="left"/>
            <w:rPr>
              <w:color w:val="auto"/>
              <w:kern w:val="0"/>
            </w:rPr>
          </w:pPr>
          <w:r>
            <w:rPr>
              <w:rFonts w:hint="eastAsia"/>
              <w:color w:val="auto"/>
              <w:kern w:val="0"/>
            </w:rPr>
            <w:t>附图九  本项目现状照片图</w:t>
          </w:r>
        </w:p>
        <w:p>
          <w:pPr>
            <w:autoSpaceDE w:val="0"/>
            <w:autoSpaceDN w:val="0"/>
            <w:snapToGrid/>
            <w:ind w:firstLine="0" w:firstLineChars="0"/>
            <w:jc w:val="left"/>
            <w:rPr>
              <w:color w:val="auto"/>
              <w:kern w:val="0"/>
            </w:rPr>
          </w:pPr>
          <w:r>
            <w:rPr>
              <w:rFonts w:hint="eastAsia"/>
              <w:color w:val="auto"/>
              <w:kern w:val="0"/>
            </w:rPr>
            <w:t>附件：</w:t>
          </w:r>
          <w:bookmarkEnd w:id="21"/>
          <w:bookmarkEnd w:id="22"/>
          <w:bookmarkEnd w:id="23"/>
          <w:bookmarkEnd w:id="24"/>
          <w:bookmarkEnd w:id="25"/>
          <w:bookmarkEnd w:id="26"/>
          <w:bookmarkEnd w:id="27"/>
          <w:bookmarkEnd w:id="28"/>
          <w:bookmarkEnd w:id="29"/>
          <w:bookmarkEnd w:id="30"/>
          <w:bookmarkEnd w:id="31"/>
        </w:p>
        <w:p>
          <w:pPr>
            <w:widowControl/>
            <w:autoSpaceDE w:val="0"/>
            <w:autoSpaceDN w:val="0"/>
            <w:adjustRightInd/>
            <w:snapToGrid/>
            <w:ind w:firstLine="0" w:firstLineChars="0"/>
            <w:jc w:val="left"/>
            <w:rPr>
              <w:color w:val="auto"/>
              <w:kern w:val="0"/>
            </w:rPr>
          </w:pPr>
          <w:bookmarkStart w:id="32" w:name="_Toc9530_WPSOffice_Level1"/>
          <w:bookmarkStart w:id="33" w:name="_Toc6322_WPSOffice_Level1"/>
          <w:bookmarkStart w:id="34" w:name="_Toc21386_WPSOffice_Level1"/>
          <w:bookmarkStart w:id="35" w:name="_Toc18378_WPSOffice_Level1"/>
          <w:bookmarkStart w:id="36" w:name="_Toc16555_WPSOffice_Level1"/>
          <w:bookmarkStart w:id="37" w:name="_Toc15232_WPSOffice_Level1"/>
          <w:bookmarkStart w:id="38" w:name="_Toc19494"/>
          <w:bookmarkStart w:id="39" w:name="_Toc20372"/>
          <w:bookmarkStart w:id="40" w:name="_Toc14176"/>
          <w:bookmarkStart w:id="41" w:name="_Toc6913_WPSOffice_Level1"/>
          <w:bookmarkStart w:id="42" w:name="_Toc30958_WPSOffice_Level1"/>
          <w:r>
            <w:rPr>
              <w:rFonts w:hint="eastAsia"/>
              <w:color w:val="auto"/>
              <w:kern w:val="0"/>
            </w:rPr>
            <w:t>附件一    委托书</w:t>
          </w:r>
        </w:p>
        <w:p>
          <w:pPr>
            <w:autoSpaceDE w:val="0"/>
            <w:autoSpaceDN w:val="0"/>
            <w:snapToGrid/>
            <w:ind w:firstLine="0" w:firstLineChars="0"/>
            <w:jc w:val="left"/>
            <w:rPr>
              <w:color w:val="auto"/>
              <w:kern w:val="0"/>
            </w:rPr>
          </w:pPr>
          <w:r>
            <w:rPr>
              <w:rFonts w:hint="eastAsia"/>
              <w:color w:val="auto"/>
              <w:kern w:val="0"/>
            </w:rPr>
            <w:t>附件二    河南省企业投资项目备案证明</w:t>
          </w:r>
        </w:p>
        <w:p>
          <w:pPr>
            <w:autoSpaceDE w:val="0"/>
            <w:autoSpaceDN w:val="0"/>
            <w:snapToGrid/>
            <w:ind w:firstLine="0" w:firstLineChars="0"/>
            <w:jc w:val="left"/>
            <w:rPr>
              <w:color w:val="auto"/>
              <w:kern w:val="0"/>
            </w:rPr>
          </w:pPr>
          <w:r>
            <w:rPr>
              <w:color w:val="auto"/>
              <w:kern w:val="0"/>
            </w:rPr>
            <w:t>附件</w:t>
          </w:r>
          <w:r>
            <w:rPr>
              <w:rFonts w:hint="eastAsia"/>
              <w:color w:val="auto"/>
              <w:kern w:val="0"/>
            </w:rPr>
            <w:t>三</w:t>
          </w:r>
          <w:r>
            <w:rPr>
              <w:color w:val="auto"/>
              <w:kern w:val="0"/>
            </w:rPr>
            <w:t xml:space="preserve">    </w:t>
          </w:r>
          <w:r>
            <w:rPr>
              <w:rFonts w:hint="eastAsia"/>
              <w:color w:val="auto"/>
              <w:kern w:val="0"/>
            </w:rPr>
            <w:t>濮阳县农业农村局</w:t>
          </w:r>
          <w:r>
            <w:rPr>
              <w:color w:val="auto"/>
              <w:kern w:val="0"/>
            </w:rPr>
            <w:t>关于本项目不在畜禽禁养区的证明</w:t>
          </w:r>
        </w:p>
        <w:p>
          <w:pPr>
            <w:autoSpaceDE w:val="0"/>
            <w:autoSpaceDN w:val="0"/>
            <w:snapToGrid/>
            <w:ind w:firstLine="0" w:firstLineChars="0"/>
            <w:jc w:val="left"/>
            <w:rPr>
              <w:color w:val="auto"/>
              <w:kern w:val="0"/>
            </w:rPr>
          </w:pPr>
          <w:r>
            <w:rPr>
              <w:color w:val="auto"/>
              <w:kern w:val="0"/>
            </w:rPr>
            <w:t>附件</w:t>
          </w:r>
          <w:r>
            <w:rPr>
              <w:rFonts w:hint="eastAsia"/>
              <w:color w:val="auto"/>
              <w:kern w:val="0"/>
            </w:rPr>
            <w:t>四</w:t>
          </w:r>
          <w:r>
            <w:rPr>
              <w:color w:val="auto"/>
              <w:kern w:val="0"/>
            </w:rPr>
            <w:t xml:space="preserve">    </w:t>
          </w:r>
          <w:r>
            <w:rPr>
              <w:rFonts w:hint="eastAsia"/>
              <w:color w:val="auto"/>
              <w:kern w:val="0"/>
            </w:rPr>
            <w:t>濮阳县五星乡</w:t>
          </w:r>
          <w:r>
            <w:rPr>
              <w:color w:val="auto"/>
              <w:kern w:val="0"/>
            </w:rPr>
            <w:t>人民政府关于在卫生防护距离内不规划新建敏感点的证明</w:t>
          </w:r>
        </w:p>
        <w:p>
          <w:pPr>
            <w:autoSpaceDE w:val="0"/>
            <w:autoSpaceDN w:val="0"/>
            <w:snapToGrid/>
            <w:ind w:firstLine="0" w:firstLineChars="0"/>
            <w:jc w:val="left"/>
            <w:rPr>
              <w:color w:val="auto"/>
              <w:kern w:val="0"/>
            </w:rPr>
          </w:pPr>
          <w:r>
            <w:rPr>
              <w:color w:val="auto"/>
              <w:kern w:val="0"/>
            </w:rPr>
            <w:t>附件</w:t>
          </w:r>
          <w:r>
            <w:rPr>
              <w:rFonts w:hint="eastAsia"/>
              <w:color w:val="auto"/>
              <w:kern w:val="0"/>
            </w:rPr>
            <w:t>五</w:t>
          </w:r>
          <w:r>
            <w:rPr>
              <w:color w:val="auto"/>
              <w:kern w:val="0"/>
            </w:rPr>
            <w:t xml:space="preserve"> </w:t>
          </w:r>
          <w:r>
            <w:rPr>
              <w:rFonts w:hint="eastAsia"/>
              <w:color w:val="auto"/>
              <w:kern w:val="0"/>
            </w:rPr>
            <w:t xml:space="preserve">   濮阳县自然资源局用地选址情况的说明</w:t>
          </w:r>
        </w:p>
        <w:p>
          <w:pPr>
            <w:autoSpaceDE w:val="0"/>
            <w:autoSpaceDN w:val="0"/>
            <w:snapToGrid/>
            <w:ind w:firstLine="0" w:firstLineChars="0"/>
            <w:jc w:val="left"/>
            <w:rPr>
              <w:color w:val="auto"/>
              <w:kern w:val="0"/>
            </w:rPr>
          </w:pPr>
          <w:r>
            <w:rPr>
              <w:color w:val="auto"/>
              <w:kern w:val="0"/>
            </w:rPr>
            <w:t>附件</w:t>
          </w:r>
          <w:r>
            <w:rPr>
              <w:rFonts w:hint="eastAsia"/>
              <w:color w:val="auto"/>
              <w:kern w:val="0"/>
            </w:rPr>
            <w:t>六</w:t>
          </w:r>
          <w:r>
            <w:rPr>
              <w:color w:val="auto"/>
              <w:kern w:val="0"/>
            </w:rPr>
            <w:t xml:space="preserve">    </w:t>
          </w:r>
          <w:r>
            <w:rPr>
              <w:rFonts w:hint="eastAsia"/>
              <w:color w:val="auto"/>
              <w:kern w:val="0"/>
            </w:rPr>
            <w:t>河南中玖环保科技有限公司关于濮阳县三厂生猪养殖项目检测报告</w:t>
          </w:r>
        </w:p>
        <w:p>
          <w:pPr>
            <w:autoSpaceDE w:val="0"/>
            <w:autoSpaceDN w:val="0"/>
            <w:snapToGrid/>
            <w:ind w:firstLine="0" w:firstLineChars="0"/>
            <w:jc w:val="left"/>
            <w:rPr>
              <w:color w:val="auto"/>
              <w:kern w:val="0"/>
            </w:rPr>
          </w:pPr>
          <w:r>
            <w:rPr>
              <w:rFonts w:hint="eastAsia"/>
              <w:color w:val="auto"/>
              <w:kern w:val="0"/>
            </w:rPr>
            <w:t>附件七    河南中弘检测中心关于本项目地下水的检测报告</w:t>
          </w:r>
        </w:p>
        <w:p>
          <w:pPr>
            <w:autoSpaceDE w:val="0"/>
            <w:autoSpaceDN w:val="0"/>
            <w:snapToGrid/>
            <w:ind w:firstLine="0" w:firstLineChars="0"/>
            <w:jc w:val="left"/>
            <w:rPr>
              <w:color w:val="auto"/>
              <w:kern w:val="0"/>
            </w:rPr>
          </w:pPr>
          <w:r>
            <w:rPr>
              <w:rFonts w:hint="eastAsia"/>
              <w:color w:val="auto"/>
              <w:kern w:val="0"/>
            </w:rPr>
            <w:t>附件八    濮阳县五星乡同意接纳本项目沼液的证明</w:t>
          </w:r>
        </w:p>
        <w:p>
          <w:pPr>
            <w:ind w:firstLine="0" w:firstLineChars="0"/>
            <w:rPr>
              <w:color w:val="auto"/>
            </w:rPr>
            <w:sectPr>
              <w:headerReference r:id="rId3" w:type="default"/>
              <w:footerReference r:id="rId4" w:type="default"/>
              <w:pgSz w:w="11906" w:h="16838"/>
              <w:pgMar w:top="1587" w:right="1587" w:bottom="1587" w:left="1587" w:header="851" w:footer="992" w:gutter="0"/>
              <w:pgNumType w:fmt="upperRoman" w:start="1"/>
              <w:cols w:space="720" w:num="1"/>
              <w:docGrid w:linePitch="312" w:charSpace="0"/>
            </w:sectPr>
          </w:pPr>
        </w:p>
      </w:sdtContent>
    </w:sdt>
    <w:bookmarkEnd w:id="32"/>
    <w:bookmarkEnd w:id="33"/>
    <w:bookmarkEnd w:id="34"/>
    <w:bookmarkEnd w:id="35"/>
    <w:bookmarkEnd w:id="36"/>
    <w:bookmarkEnd w:id="37"/>
    <w:bookmarkEnd w:id="38"/>
    <w:bookmarkEnd w:id="39"/>
    <w:bookmarkEnd w:id="40"/>
    <w:bookmarkEnd w:id="41"/>
    <w:bookmarkEnd w:id="42"/>
    <w:p>
      <w:pPr>
        <w:pStyle w:val="4"/>
        <w:spacing w:line="360" w:lineRule="auto"/>
        <w:ind w:firstLine="0" w:firstLineChars="0"/>
        <w:rPr>
          <w:color w:val="auto"/>
        </w:rPr>
      </w:pPr>
      <w:bookmarkStart w:id="43" w:name="_Toc10132"/>
      <w:bookmarkStart w:id="44" w:name="_Toc31578"/>
      <w:r>
        <w:rPr>
          <w:color w:val="auto"/>
        </w:rPr>
        <w:t xml:space="preserve">第一章 </w:t>
      </w:r>
      <w:r>
        <w:rPr>
          <w:rFonts w:hint="eastAsia"/>
          <w:color w:val="auto"/>
        </w:rPr>
        <w:t xml:space="preserve"> </w:t>
      </w:r>
      <w:r>
        <w:rPr>
          <w:color w:val="auto"/>
        </w:rPr>
        <w:t xml:space="preserve"> </w:t>
      </w:r>
      <w:bookmarkEnd w:id="0"/>
      <w:bookmarkEnd w:id="1"/>
      <w:bookmarkEnd w:id="2"/>
      <w:bookmarkEnd w:id="3"/>
      <w:bookmarkEnd w:id="4"/>
      <w:bookmarkEnd w:id="5"/>
      <w:bookmarkEnd w:id="6"/>
      <w:r>
        <w:rPr>
          <w:rFonts w:hint="eastAsia"/>
          <w:color w:val="auto"/>
        </w:rPr>
        <w:t>概  述</w:t>
      </w:r>
      <w:bookmarkEnd w:id="7"/>
      <w:bookmarkEnd w:id="8"/>
      <w:bookmarkEnd w:id="9"/>
      <w:bookmarkEnd w:id="43"/>
      <w:bookmarkEnd w:id="44"/>
    </w:p>
    <w:p>
      <w:pPr>
        <w:pStyle w:val="32"/>
        <w:rPr>
          <w:color w:val="auto"/>
        </w:rPr>
      </w:pPr>
      <w:bookmarkStart w:id="45" w:name="_Toc269468333"/>
      <w:bookmarkStart w:id="46" w:name="_Toc366760141"/>
      <w:bookmarkStart w:id="47" w:name="_Toc295120998"/>
      <w:bookmarkStart w:id="48" w:name="_Toc269574512"/>
      <w:bookmarkStart w:id="49" w:name="_Toc329183025"/>
      <w:bookmarkStart w:id="50" w:name="_Toc189424846"/>
      <w:bookmarkStart w:id="51" w:name="_Toc5699"/>
      <w:bookmarkStart w:id="52" w:name="_Toc16378"/>
      <w:r>
        <w:rPr>
          <w:rFonts w:hint="eastAsia"/>
          <w:color w:val="auto"/>
        </w:rPr>
        <w:t xml:space="preserve">1.1 </w:t>
      </w:r>
      <w:bookmarkStart w:id="53" w:name="_Toc476921773"/>
      <w:bookmarkStart w:id="54" w:name="_Toc477160778"/>
      <w:bookmarkStart w:id="55" w:name="_Toc477187193"/>
      <w:bookmarkStart w:id="56" w:name="_Toc485578872"/>
      <w:r>
        <w:rPr>
          <w:color w:val="auto"/>
        </w:rPr>
        <w:t>项目</w:t>
      </w:r>
      <w:bookmarkEnd w:id="45"/>
      <w:bookmarkEnd w:id="46"/>
      <w:bookmarkEnd w:id="47"/>
      <w:bookmarkEnd w:id="48"/>
      <w:bookmarkEnd w:id="49"/>
      <w:bookmarkEnd w:id="50"/>
      <w:bookmarkEnd w:id="53"/>
      <w:bookmarkEnd w:id="54"/>
      <w:bookmarkEnd w:id="55"/>
      <w:bookmarkEnd w:id="56"/>
      <w:r>
        <w:rPr>
          <w:rFonts w:hint="eastAsia"/>
          <w:color w:val="auto"/>
        </w:rPr>
        <w:t>由来</w:t>
      </w:r>
      <w:bookmarkEnd w:id="51"/>
      <w:bookmarkEnd w:id="52"/>
    </w:p>
    <w:p>
      <w:pPr>
        <w:ind w:firstLine="480"/>
        <w:jc w:val="left"/>
        <w:rPr>
          <w:color w:val="auto"/>
        </w:rPr>
      </w:pPr>
      <w:r>
        <w:rPr>
          <w:color w:val="auto"/>
        </w:rPr>
        <w:t>畜牧业是农业的重要组成部分，其发展水平是一个国家农业发达程度的重要标志。同时，畜牧业是人类的动物性食品的主要来源，一个工业国家的人均畜产品量也是反映国家发达程度和衡量人民生活水平的主要标志之一</w:t>
      </w:r>
      <w:r>
        <w:rPr>
          <w:rFonts w:hint="eastAsia"/>
          <w:color w:val="auto"/>
        </w:rPr>
        <w:t>。</w:t>
      </w:r>
    </w:p>
    <w:p>
      <w:pPr>
        <w:ind w:firstLine="480"/>
        <w:jc w:val="left"/>
        <w:rPr>
          <w:color w:val="auto"/>
        </w:rPr>
      </w:pPr>
      <w:r>
        <w:rPr>
          <w:rFonts w:hint="eastAsia"/>
          <w:color w:val="auto"/>
        </w:rPr>
        <w:t>牧原食品股份有限公司是集约化养猪规模居全国前列的农业产业化国家重点龙头企业，始建于</w:t>
      </w:r>
      <w:r>
        <w:rPr>
          <w:color w:val="auto"/>
        </w:rPr>
        <w:t>1992</w:t>
      </w:r>
      <w:r>
        <w:rPr>
          <w:rFonts w:hint="eastAsia"/>
          <w:color w:val="auto"/>
        </w:rPr>
        <w:t>年，注册资本</w:t>
      </w:r>
      <w:r>
        <w:rPr>
          <w:color w:val="auto"/>
        </w:rPr>
        <w:t>2.42</w:t>
      </w:r>
      <w:r>
        <w:rPr>
          <w:rFonts w:hint="eastAsia"/>
          <w:color w:val="auto"/>
        </w:rPr>
        <w:t>亿元，拥有职工3万余人。主要产品为仔猪、种猪和商品猪。经过二十多年的发展和积累，本公司形成了以“自育、自繁、自养大规模一体”为特色的生猪养殖模式，形成了集饲料加工、生猪育种、种猪扩繁、商品猪饲养为一体的完整生猪产业链。</w:t>
      </w:r>
    </w:p>
    <w:p>
      <w:pPr>
        <w:ind w:firstLine="480"/>
        <w:rPr>
          <w:color w:val="auto"/>
        </w:rPr>
      </w:pPr>
      <w:r>
        <w:rPr>
          <w:rFonts w:hint="eastAsia"/>
          <w:color w:val="auto"/>
        </w:rPr>
        <w:t>2020年1月牧原食品股份有限公司注资了全资子公司濮阳县牧原农牧有限公司。为了促进农业产业结构调整和促进养殖业的发展，推动养殖专业化进程，推动农业增效、农民增收，濮阳县牧原农牧有限公司拟在河南省濮阳市濮阳县五星乡于屯村征地70.068亩，建设濮阳县牧原农牧有限公司濮阳县三厂生猪养殖项目（年出栏5万头生猪），设计规模为年出栏育肥猪5万头。</w:t>
      </w:r>
    </w:p>
    <w:p>
      <w:pPr>
        <w:pStyle w:val="3"/>
        <w:numPr>
          <w:ilvl w:val="0"/>
          <w:numId w:val="0"/>
        </w:numPr>
        <w:ind w:firstLine="480" w:firstLineChars="200"/>
        <w:rPr>
          <w:bCs/>
          <w:color w:val="auto"/>
          <w:spacing w:val="2"/>
          <w:sz w:val="24"/>
          <w:szCs w:val="24"/>
        </w:rPr>
      </w:pPr>
      <w:r>
        <w:rPr>
          <w:rFonts w:hint="eastAsia"/>
          <w:color w:val="auto"/>
          <w:sz w:val="24"/>
          <w:szCs w:val="24"/>
        </w:rPr>
        <w:t>根据</w:t>
      </w:r>
      <w:r>
        <w:rPr>
          <w:color w:val="auto"/>
          <w:sz w:val="24"/>
          <w:szCs w:val="24"/>
        </w:rPr>
        <w:t>《产业结构调整指导目录（201</w:t>
      </w:r>
      <w:r>
        <w:rPr>
          <w:rFonts w:hint="eastAsia"/>
          <w:color w:val="auto"/>
          <w:sz w:val="24"/>
          <w:szCs w:val="24"/>
        </w:rPr>
        <w:t>9</w:t>
      </w:r>
      <w:r>
        <w:rPr>
          <w:color w:val="auto"/>
          <w:sz w:val="24"/>
          <w:szCs w:val="24"/>
        </w:rPr>
        <w:t>年本）》</w:t>
      </w:r>
      <w:r>
        <w:rPr>
          <w:rFonts w:hint="eastAsia"/>
          <w:color w:val="auto"/>
          <w:sz w:val="24"/>
          <w:szCs w:val="24"/>
        </w:rPr>
        <w:t>，</w:t>
      </w:r>
      <w:r>
        <w:rPr>
          <w:color w:val="auto"/>
          <w:sz w:val="24"/>
          <w:szCs w:val="24"/>
        </w:rPr>
        <w:t>本项目属于</w:t>
      </w:r>
      <w:r>
        <w:rPr>
          <w:rFonts w:hint="eastAsia"/>
          <w:color w:val="auto"/>
          <w:sz w:val="24"/>
          <w:szCs w:val="24"/>
        </w:rPr>
        <w:t>“第一类</w:t>
      </w:r>
      <w:r>
        <w:rPr>
          <w:color w:val="auto"/>
          <w:sz w:val="24"/>
          <w:szCs w:val="24"/>
        </w:rPr>
        <w:t>鼓励类</w:t>
      </w:r>
      <w:r>
        <w:rPr>
          <w:rFonts w:hint="eastAsia"/>
          <w:color w:val="auto"/>
          <w:sz w:val="24"/>
          <w:szCs w:val="24"/>
        </w:rPr>
        <w:t xml:space="preserve"> 一农林业 4畜禽标准化规模养殖技术开发与应用”</w:t>
      </w:r>
      <w:r>
        <w:rPr>
          <w:color w:val="auto"/>
          <w:sz w:val="24"/>
          <w:szCs w:val="24"/>
        </w:rPr>
        <w:t>，因此项目的建设符合国家相关产业政策的要求。</w:t>
      </w:r>
      <w:r>
        <w:rPr>
          <w:rFonts w:hint="eastAsia"/>
          <w:color w:val="auto"/>
          <w:sz w:val="24"/>
          <w:szCs w:val="24"/>
          <w:highlight w:val="none"/>
        </w:rPr>
        <w:t>濮阳</w:t>
      </w:r>
      <w:r>
        <w:rPr>
          <w:color w:val="auto"/>
          <w:sz w:val="24"/>
          <w:szCs w:val="24"/>
          <w:highlight w:val="none"/>
        </w:rPr>
        <w:t>县发展和改革委员会于20</w:t>
      </w:r>
      <w:r>
        <w:rPr>
          <w:rFonts w:hint="eastAsia"/>
          <w:color w:val="auto"/>
          <w:sz w:val="24"/>
          <w:szCs w:val="24"/>
          <w:highlight w:val="none"/>
        </w:rPr>
        <w:t>20</w:t>
      </w:r>
      <w:r>
        <w:rPr>
          <w:color w:val="auto"/>
          <w:sz w:val="24"/>
          <w:szCs w:val="24"/>
          <w:highlight w:val="none"/>
        </w:rPr>
        <w:t>年</w:t>
      </w:r>
      <w:r>
        <w:rPr>
          <w:rFonts w:hint="eastAsia"/>
          <w:color w:val="auto"/>
          <w:sz w:val="24"/>
          <w:szCs w:val="24"/>
          <w:highlight w:val="none"/>
          <w:lang w:val="en-US" w:eastAsia="zh-CN"/>
        </w:rPr>
        <w:t>10</w:t>
      </w:r>
      <w:r>
        <w:rPr>
          <w:color w:val="auto"/>
          <w:sz w:val="24"/>
          <w:szCs w:val="24"/>
          <w:highlight w:val="none"/>
        </w:rPr>
        <w:t>月</w:t>
      </w:r>
      <w:r>
        <w:rPr>
          <w:rFonts w:hint="eastAsia"/>
          <w:color w:val="auto"/>
          <w:sz w:val="24"/>
          <w:szCs w:val="24"/>
          <w:highlight w:val="none"/>
          <w:lang w:val="en-US" w:eastAsia="zh-CN"/>
        </w:rPr>
        <w:t>1</w:t>
      </w:r>
      <w:r>
        <w:rPr>
          <w:rFonts w:hint="eastAsia"/>
          <w:color w:val="auto"/>
          <w:sz w:val="24"/>
          <w:szCs w:val="24"/>
          <w:highlight w:val="none"/>
        </w:rPr>
        <w:t>3</w:t>
      </w:r>
      <w:r>
        <w:rPr>
          <w:color w:val="auto"/>
          <w:sz w:val="24"/>
          <w:szCs w:val="24"/>
          <w:highlight w:val="none"/>
        </w:rPr>
        <w:t>日准予本项目备案，项目代码为</w:t>
      </w:r>
      <w:r>
        <w:rPr>
          <w:rFonts w:hint="eastAsia"/>
          <w:color w:val="auto"/>
          <w:sz w:val="24"/>
          <w:szCs w:val="24"/>
          <w:highlight w:val="none"/>
        </w:rPr>
        <w:t>2020-410928-03-03-088379</w:t>
      </w:r>
      <w:r>
        <w:rPr>
          <w:color w:val="auto"/>
          <w:sz w:val="24"/>
          <w:szCs w:val="24"/>
          <w:highlight w:val="none"/>
        </w:rPr>
        <w:t>，本</w:t>
      </w:r>
      <w:r>
        <w:rPr>
          <w:color w:val="auto"/>
          <w:sz w:val="24"/>
          <w:szCs w:val="24"/>
        </w:rPr>
        <w:t>项目的建设符合当前国家产业政策要求。</w:t>
      </w:r>
    </w:p>
    <w:p>
      <w:pPr>
        <w:ind w:firstLine="480"/>
        <w:jc w:val="left"/>
        <w:rPr>
          <w:color w:val="auto"/>
        </w:rPr>
      </w:pPr>
      <w:r>
        <w:rPr>
          <w:rFonts w:hint="eastAsia"/>
          <w:color w:val="auto"/>
        </w:rPr>
        <w:t>对照《建设项目环境影响评价分类管理名录》（环境保护部令第44号）</w:t>
      </w:r>
      <w:r>
        <w:rPr>
          <w:color w:val="auto"/>
        </w:rPr>
        <w:t>及《关于修改&lt;建设项目环境影响评价分类管理名录&gt;部分内容的决定》（生态环境部令 第1号）的相关要求</w:t>
      </w:r>
      <w:r>
        <w:rPr>
          <w:rFonts w:hint="eastAsia"/>
          <w:color w:val="auto"/>
        </w:rPr>
        <w:t>），本项目</w:t>
      </w:r>
      <w:r>
        <w:rPr>
          <w:rFonts w:hint="eastAsia"/>
          <w:color w:val="auto"/>
          <w:kern w:val="0"/>
        </w:rPr>
        <w:t>年出栏育肥猪5</w:t>
      </w:r>
      <w:r>
        <w:rPr>
          <w:color w:val="auto"/>
          <w:kern w:val="0"/>
        </w:rPr>
        <w:t>万头</w:t>
      </w:r>
      <w:r>
        <w:rPr>
          <w:rFonts w:hint="eastAsia"/>
          <w:color w:val="auto"/>
          <w:kern w:val="0"/>
        </w:rPr>
        <w:t>，</w:t>
      </w:r>
      <w:r>
        <w:rPr>
          <w:rFonts w:hint="eastAsia"/>
          <w:color w:val="auto"/>
        </w:rPr>
        <w:t>该项目属“一、畜牧业1、畜禽养殖场、养殖小区”中“年出栏生猪5000头及以上”，环评类别为报告书。受濮阳县牧原农牧有限公司的委托，河南朵易环保科技有限公司承担该项目的环境影响报告书编制工作（委托书见附件一）。</w:t>
      </w:r>
    </w:p>
    <w:p>
      <w:pPr>
        <w:ind w:firstLine="480"/>
        <w:jc w:val="left"/>
        <w:rPr>
          <w:color w:val="auto"/>
        </w:rPr>
      </w:pPr>
      <w:r>
        <w:rPr>
          <w:rFonts w:hint="eastAsia"/>
          <w:color w:val="auto"/>
        </w:rPr>
        <w:t>我司接受委托后，收集有关的资料，进行现场踏勘调查，了解厂址及周边环境概况，并组织对现场各环境要素进行检测，分析和实测工程相关污染因素，经预测和评价，本着科学、规范、客观、公正的原则，编制完成了该项目的环境影响报告书。</w:t>
      </w:r>
    </w:p>
    <w:p>
      <w:pPr>
        <w:pStyle w:val="32"/>
        <w:rPr>
          <w:color w:val="auto"/>
        </w:rPr>
      </w:pPr>
      <w:bookmarkStart w:id="57" w:name="_Toc29542"/>
      <w:bookmarkStart w:id="58" w:name="_Toc4720"/>
      <w:bookmarkStart w:id="59" w:name="_Toc87953648"/>
      <w:bookmarkStart w:id="60" w:name="_Toc366760143"/>
      <w:bookmarkStart w:id="61" w:name="_Toc85000135"/>
      <w:bookmarkStart w:id="62" w:name="_Toc16778376"/>
      <w:bookmarkStart w:id="63" w:name="_Toc269574514"/>
      <w:bookmarkStart w:id="64" w:name="_Toc269468335"/>
      <w:bookmarkStart w:id="65" w:name="_Toc52414740"/>
      <w:bookmarkStart w:id="66" w:name="_Toc189424851"/>
      <w:bookmarkStart w:id="67" w:name="_Toc295121000"/>
      <w:bookmarkStart w:id="68" w:name="_Toc329183027"/>
      <w:bookmarkStart w:id="69" w:name="_Toc16431525"/>
      <w:bookmarkStart w:id="70" w:name="_Toc40667001"/>
      <w:r>
        <w:rPr>
          <w:rFonts w:hint="eastAsia"/>
          <w:color w:val="auto"/>
        </w:rPr>
        <w:t>1.2环境影响评价的工作过程</w:t>
      </w:r>
      <w:bookmarkEnd w:id="57"/>
      <w:bookmarkEnd w:id="58"/>
    </w:p>
    <w:p>
      <w:pPr>
        <w:ind w:firstLine="480"/>
        <w:rPr>
          <w:color w:val="auto"/>
        </w:rPr>
      </w:pPr>
      <w:r>
        <w:rPr>
          <w:rFonts w:hint="eastAsia"/>
          <w:color w:val="auto"/>
        </w:rPr>
        <w:t>（1）2020年9月13日，濮阳县牧原农牧有限公司委托我公司开展环境影响评价工作；</w:t>
      </w:r>
    </w:p>
    <w:p>
      <w:pPr>
        <w:ind w:firstLine="480"/>
        <w:rPr>
          <w:color w:val="auto"/>
        </w:rPr>
      </w:pPr>
      <w:r>
        <w:rPr>
          <w:rFonts w:hint="eastAsia"/>
          <w:color w:val="auto"/>
        </w:rPr>
        <w:t>（2）本次地下水环境质量现状调查利用河南中弘检测中心于</w:t>
      </w:r>
      <w:r>
        <w:rPr>
          <w:color w:val="auto"/>
        </w:rPr>
        <w:t>20</w:t>
      </w:r>
      <w:r>
        <w:rPr>
          <w:rFonts w:hint="eastAsia"/>
          <w:color w:val="auto"/>
        </w:rPr>
        <w:t>20年9月15日～</w:t>
      </w:r>
      <w:r>
        <w:rPr>
          <w:color w:val="auto"/>
        </w:rPr>
        <w:t>20</w:t>
      </w:r>
      <w:r>
        <w:rPr>
          <w:rFonts w:hint="eastAsia"/>
          <w:color w:val="auto"/>
        </w:rPr>
        <w:t>20年9月24日对区域环境的现状监测数据，环境空气</w:t>
      </w:r>
      <w:r>
        <w:rPr>
          <w:color w:val="auto"/>
        </w:rPr>
        <w:t>、</w:t>
      </w:r>
      <w:r>
        <w:rPr>
          <w:rFonts w:hint="eastAsia"/>
          <w:color w:val="auto"/>
        </w:rPr>
        <w:t>噪声、土壤现状调查利用河南中玖环保科技有限公司于</w:t>
      </w:r>
      <w:r>
        <w:rPr>
          <w:color w:val="auto"/>
        </w:rPr>
        <w:t>20</w:t>
      </w:r>
      <w:r>
        <w:rPr>
          <w:rFonts w:hint="eastAsia"/>
          <w:color w:val="auto"/>
        </w:rPr>
        <w:t>20年9月15日-9月25日对区域环境的现状监测数据，以对区域环境质量做出分析和评价；</w:t>
      </w:r>
    </w:p>
    <w:p>
      <w:pPr>
        <w:ind w:firstLine="480"/>
        <w:rPr>
          <w:color w:val="auto"/>
        </w:rPr>
      </w:pPr>
      <w:r>
        <w:rPr>
          <w:rFonts w:hint="eastAsia"/>
          <w:color w:val="auto"/>
        </w:rPr>
        <w:t>（</w:t>
      </w:r>
      <w:r>
        <w:rPr>
          <w:color w:val="auto"/>
        </w:rPr>
        <w:t>3</w:t>
      </w:r>
      <w:r>
        <w:rPr>
          <w:rFonts w:hint="eastAsia"/>
          <w:color w:val="auto"/>
        </w:rPr>
        <w:t>））濮阳县牧原农牧有限公司按照《环境影响评价公众参与办法》（《环境影响评价公众参与办法》（生态环境部令第4号））的要求，</w:t>
      </w:r>
      <w:r>
        <w:rPr>
          <w:color w:val="auto"/>
        </w:rPr>
        <w:t>于20</w:t>
      </w:r>
      <w:r>
        <w:rPr>
          <w:rFonts w:hint="eastAsia"/>
          <w:color w:val="auto"/>
        </w:rPr>
        <w:t>20</w:t>
      </w:r>
      <w:r>
        <w:rPr>
          <w:color w:val="auto"/>
        </w:rPr>
        <w:t>年</w:t>
      </w:r>
      <w:r>
        <w:rPr>
          <w:rFonts w:hint="eastAsia"/>
          <w:color w:val="auto"/>
        </w:rPr>
        <w:t>9</w:t>
      </w:r>
      <w:r>
        <w:rPr>
          <w:color w:val="auto"/>
        </w:rPr>
        <w:t>月</w:t>
      </w:r>
      <w:r>
        <w:rPr>
          <w:rFonts w:hint="eastAsia"/>
          <w:color w:val="auto"/>
        </w:rPr>
        <w:t>14</w:t>
      </w:r>
      <w:r>
        <w:rPr>
          <w:color w:val="auto"/>
        </w:rPr>
        <w:t>日在</w:t>
      </w:r>
      <w:r>
        <w:rPr>
          <w:rFonts w:hint="eastAsia"/>
          <w:color w:val="auto"/>
        </w:rPr>
        <w:t>环评互联网网站</w:t>
      </w:r>
      <w:r>
        <w:rPr>
          <w:color w:val="auto"/>
        </w:rPr>
        <w:t>上进行了一次公示；项目于20</w:t>
      </w:r>
      <w:r>
        <w:rPr>
          <w:rFonts w:hint="eastAsia"/>
          <w:color w:val="auto"/>
        </w:rPr>
        <w:t>20</w:t>
      </w:r>
      <w:r>
        <w:rPr>
          <w:color w:val="auto"/>
        </w:rPr>
        <w:t>年</w:t>
      </w:r>
      <w:r>
        <w:rPr>
          <w:rFonts w:hint="eastAsia"/>
          <w:color w:val="auto"/>
        </w:rPr>
        <w:t>9</w:t>
      </w:r>
      <w:r>
        <w:rPr>
          <w:color w:val="auto"/>
        </w:rPr>
        <w:t>月</w:t>
      </w:r>
      <w:r>
        <w:rPr>
          <w:rFonts w:hint="eastAsia"/>
          <w:color w:val="auto"/>
        </w:rPr>
        <w:t>23</w:t>
      </w:r>
      <w:r>
        <w:rPr>
          <w:color w:val="auto"/>
        </w:rPr>
        <w:t>日～20</w:t>
      </w:r>
      <w:r>
        <w:rPr>
          <w:rFonts w:hint="eastAsia"/>
          <w:color w:val="auto"/>
        </w:rPr>
        <w:t>20</w:t>
      </w:r>
      <w:r>
        <w:rPr>
          <w:color w:val="auto"/>
        </w:rPr>
        <w:t>年</w:t>
      </w:r>
      <w:r>
        <w:rPr>
          <w:rFonts w:hint="eastAsia"/>
          <w:color w:val="auto"/>
        </w:rPr>
        <w:t>10</w:t>
      </w:r>
      <w:r>
        <w:rPr>
          <w:color w:val="auto"/>
        </w:rPr>
        <w:t>月</w:t>
      </w:r>
      <w:r>
        <w:rPr>
          <w:rFonts w:hint="eastAsia"/>
          <w:color w:val="auto"/>
        </w:rPr>
        <w:t>12</w:t>
      </w:r>
      <w:r>
        <w:rPr>
          <w:color w:val="auto"/>
        </w:rPr>
        <w:t>日在</w:t>
      </w:r>
      <w:r>
        <w:rPr>
          <w:rFonts w:hint="eastAsia"/>
          <w:color w:val="auto"/>
        </w:rPr>
        <w:t>环评互联网网站</w:t>
      </w:r>
      <w:r>
        <w:rPr>
          <w:color w:val="auto"/>
        </w:rPr>
        <w:t>进行了二次公示，并于20</w:t>
      </w:r>
      <w:r>
        <w:rPr>
          <w:rFonts w:hint="eastAsia"/>
          <w:color w:val="auto"/>
        </w:rPr>
        <w:t>20</w:t>
      </w:r>
      <w:r>
        <w:rPr>
          <w:color w:val="auto"/>
        </w:rPr>
        <w:t>年</w:t>
      </w:r>
      <w:r>
        <w:rPr>
          <w:rFonts w:hint="eastAsia"/>
          <w:color w:val="auto"/>
        </w:rPr>
        <w:t>9</w:t>
      </w:r>
      <w:r>
        <w:rPr>
          <w:color w:val="auto"/>
        </w:rPr>
        <w:t>月</w:t>
      </w:r>
      <w:r>
        <w:rPr>
          <w:rFonts w:hint="eastAsia"/>
          <w:color w:val="auto"/>
        </w:rPr>
        <w:t>26</w:t>
      </w:r>
      <w:r>
        <w:rPr>
          <w:color w:val="auto"/>
        </w:rPr>
        <w:t>日和</w:t>
      </w:r>
      <w:r>
        <w:rPr>
          <w:rFonts w:hint="eastAsia"/>
          <w:color w:val="auto"/>
        </w:rPr>
        <w:t>2020年9</w:t>
      </w:r>
      <w:r>
        <w:rPr>
          <w:color w:val="auto"/>
        </w:rPr>
        <w:t>月</w:t>
      </w:r>
      <w:r>
        <w:rPr>
          <w:rFonts w:hint="eastAsia"/>
          <w:color w:val="auto"/>
        </w:rPr>
        <w:t>28</w:t>
      </w:r>
      <w:r>
        <w:rPr>
          <w:color w:val="auto"/>
        </w:rPr>
        <w:t>日在</w:t>
      </w:r>
      <w:r>
        <w:rPr>
          <w:rFonts w:hint="eastAsia"/>
          <w:color w:val="auto"/>
        </w:rPr>
        <w:t>中原石油报</w:t>
      </w:r>
      <w:r>
        <w:rPr>
          <w:color w:val="auto"/>
        </w:rPr>
        <w:t>进行了两次报纸公示</w:t>
      </w:r>
      <w:r>
        <w:rPr>
          <w:rFonts w:hint="eastAsia"/>
          <w:color w:val="auto"/>
        </w:rPr>
        <w:t>；</w:t>
      </w:r>
    </w:p>
    <w:p>
      <w:pPr>
        <w:ind w:firstLine="480"/>
        <w:rPr>
          <w:color w:val="auto"/>
        </w:rPr>
      </w:pPr>
      <w:r>
        <w:rPr>
          <w:rFonts w:hint="eastAsia"/>
          <w:color w:val="auto"/>
        </w:rPr>
        <w:t>（</w:t>
      </w:r>
      <w:r>
        <w:rPr>
          <w:color w:val="auto"/>
        </w:rPr>
        <w:t>4</w:t>
      </w:r>
      <w:r>
        <w:rPr>
          <w:rFonts w:hint="eastAsia"/>
          <w:color w:val="auto"/>
        </w:rPr>
        <w:t>）2020年10月，我公司完成了《濮阳县牧原农牧有限公司濮阳县三厂生猪养殖项目（年出栏5万头生猪）环境影响报告书》，上报濮阳市生态环境局。</w:t>
      </w:r>
    </w:p>
    <w:bookmarkEnd w:id="59"/>
    <w:bookmarkEnd w:id="60"/>
    <w:bookmarkEnd w:id="61"/>
    <w:bookmarkEnd w:id="62"/>
    <w:bookmarkEnd w:id="63"/>
    <w:bookmarkEnd w:id="64"/>
    <w:bookmarkEnd w:id="65"/>
    <w:bookmarkEnd w:id="66"/>
    <w:bookmarkEnd w:id="67"/>
    <w:bookmarkEnd w:id="68"/>
    <w:bookmarkEnd w:id="69"/>
    <w:bookmarkEnd w:id="70"/>
    <w:p>
      <w:pPr>
        <w:pStyle w:val="32"/>
        <w:rPr>
          <w:color w:val="auto"/>
        </w:rPr>
      </w:pPr>
      <w:bookmarkStart w:id="71" w:name="_Toc366760149"/>
      <w:bookmarkStart w:id="72" w:name="_Toc269574519"/>
      <w:bookmarkStart w:id="73" w:name="_Toc21020"/>
      <w:bookmarkStart w:id="74" w:name="_Toc329183033"/>
      <w:bookmarkStart w:id="75" w:name="_Toc477187196"/>
      <w:bookmarkStart w:id="76" w:name="_Toc476921776"/>
      <w:bookmarkStart w:id="77" w:name="_Toc269468340"/>
      <w:bookmarkStart w:id="78" w:name="_Toc15995"/>
      <w:bookmarkStart w:id="79" w:name="_Toc295121005"/>
      <w:bookmarkStart w:id="80" w:name="_Toc189424861"/>
      <w:bookmarkStart w:id="81" w:name="_Toc485578875"/>
      <w:bookmarkStart w:id="82" w:name="_Toc477160781"/>
      <w:bookmarkStart w:id="83" w:name="_Toc329183029"/>
      <w:bookmarkStart w:id="84" w:name="_Toc366760145"/>
      <w:bookmarkStart w:id="85" w:name="_Toc269574516"/>
      <w:bookmarkStart w:id="86" w:name="_Toc269468337"/>
      <w:bookmarkStart w:id="87" w:name="_Toc189424853"/>
      <w:bookmarkStart w:id="88" w:name="_Toc295121002"/>
      <w:r>
        <w:rPr>
          <w:rFonts w:hint="eastAsia"/>
          <w:color w:val="auto"/>
        </w:rPr>
        <w:t>1.3</w:t>
      </w:r>
      <w:r>
        <w:rPr>
          <w:color w:val="auto"/>
        </w:rPr>
        <w:t>项目特点</w:t>
      </w:r>
      <w:bookmarkEnd w:id="71"/>
      <w:bookmarkEnd w:id="72"/>
      <w:bookmarkEnd w:id="73"/>
      <w:bookmarkEnd w:id="74"/>
      <w:bookmarkEnd w:id="75"/>
      <w:bookmarkEnd w:id="76"/>
      <w:bookmarkEnd w:id="77"/>
      <w:bookmarkEnd w:id="78"/>
      <w:bookmarkEnd w:id="79"/>
      <w:bookmarkEnd w:id="80"/>
      <w:bookmarkEnd w:id="81"/>
      <w:bookmarkEnd w:id="82"/>
    </w:p>
    <w:p>
      <w:pPr>
        <w:pStyle w:val="3"/>
        <w:numPr>
          <w:ilvl w:val="0"/>
          <w:numId w:val="0"/>
        </w:numPr>
        <w:ind w:firstLine="480"/>
        <w:rPr>
          <w:b/>
          <w:bCs/>
          <w:color w:val="auto"/>
          <w:spacing w:val="2"/>
          <w:sz w:val="24"/>
          <w:szCs w:val="24"/>
          <w:highlight w:val="yellow"/>
          <w:u w:val="single"/>
        </w:rPr>
      </w:pPr>
      <w:r>
        <w:rPr>
          <w:rFonts w:hint="eastAsia"/>
          <w:bCs/>
          <w:color w:val="auto"/>
          <w:spacing w:val="2"/>
          <w:sz w:val="24"/>
          <w:szCs w:val="24"/>
        </w:rPr>
        <w:t>（1）</w:t>
      </w:r>
      <w:r>
        <w:rPr>
          <w:bCs/>
          <w:color w:val="auto"/>
          <w:spacing w:val="2"/>
          <w:sz w:val="24"/>
          <w:szCs w:val="24"/>
        </w:rPr>
        <w:t>本项目</w:t>
      </w:r>
      <w:r>
        <w:rPr>
          <w:rFonts w:hint="eastAsia"/>
          <w:bCs/>
          <w:color w:val="auto"/>
          <w:spacing w:val="2"/>
          <w:sz w:val="24"/>
          <w:szCs w:val="24"/>
        </w:rPr>
        <w:t>属于新建项目，年出栏5万头育肥猪，项目场址位于河南省濮阳市濮阳县五星乡于屯村东，根据濮阳县自然资源局出具的证明，该项目用地为</w:t>
      </w:r>
      <w:r>
        <w:rPr>
          <w:bCs/>
          <w:color w:val="auto"/>
          <w:spacing w:val="2"/>
          <w:sz w:val="24"/>
          <w:szCs w:val="24"/>
        </w:rPr>
        <w:t>一般</w:t>
      </w:r>
      <w:r>
        <w:rPr>
          <w:rFonts w:hint="eastAsia"/>
          <w:bCs/>
          <w:color w:val="auto"/>
          <w:spacing w:val="2"/>
          <w:sz w:val="24"/>
          <w:szCs w:val="24"/>
        </w:rPr>
        <w:t>耕地</w:t>
      </w:r>
      <w:r>
        <w:rPr>
          <w:bCs/>
          <w:color w:val="auto"/>
          <w:spacing w:val="2"/>
          <w:sz w:val="24"/>
          <w:szCs w:val="24"/>
        </w:rPr>
        <w:t>，选址符合规划要求，未占用基本农田</w:t>
      </w:r>
      <w:r>
        <w:rPr>
          <w:rFonts w:hint="eastAsia"/>
          <w:bCs/>
          <w:color w:val="auto"/>
          <w:spacing w:val="2"/>
          <w:sz w:val="24"/>
          <w:szCs w:val="24"/>
        </w:rPr>
        <w:t>。</w:t>
      </w:r>
    </w:p>
    <w:p>
      <w:pPr>
        <w:pStyle w:val="3"/>
        <w:numPr>
          <w:ilvl w:val="0"/>
          <w:numId w:val="0"/>
        </w:numPr>
        <w:ind w:firstLine="480" w:firstLineChars="200"/>
        <w:rPr>
          <w:bCs/>
          <w:color w:val="auto"/>
          <w:spacing w:val="2"/>
          <w:sz w:val="24"/>
          <w:szCs w:val="24"/>
        </w:rPr>
      </w:pPr>
      <w:r>
        <w:rPr>
          <w:rFonts w:hint="eastAsia"/>
          <w:color w:val="auto"/>
          <w:sz w:val="24"/>
        </w:rPr>
        <w:t>（2）主要建设保育育肥一体舍32栋，办公楼、食堂及配套附属设施和治污区等。</w:t>
      </w:r>
    </w:p>
    <w:p>
      <w:pPr>
        <w:pStyle w:val="3"/>
        <w:numPr>
          <w:ilvl w:val="0"/>
          <w:numId w:val="0"/>
        </w:numPr>
        <w:ind w:firstLine="480" w:firstLineChars="200"/>
        <w:rPr>
          <w:bCs/>
          <w:color w:val="auto"/>
          <w:spacing w:val="2"/>
          <w:sz w:val="24"/>
          <w:szCs w:val="24"/>
        </w:rPr>
      </w:pPr>
      <w:r>
        <w:rPr>
          <w:rFonts w:hint="eastAsia"/>
          <w:color w:val="auto"/>
          <w:sz w:val="24"/>
        </w:rPr>
        <w:t>（3）</w:t>
      </w:r>
      <w:r>
        <w:rPr>
          <w:color w:val="auto"/>
          <w:sz w:val="24"/>
        </w:rPr>
        <w:t>本项目属于</w:t>
      </w:r>
      <w:r>
        <w:rPr>
          <w:rFonts w:hint="eastAsia"/>
          <w:color w:val="auto"/>
          <w:sz w:val="24"/>
        </w:rPr>
        <w:t>“第一类</w:t>
      </w:r>
      <w:r>
        <w:rPr>
          <w:color w:val="auto"/>
          <w:sz w:val="24"/>
        </w:rPr>
        <w:t>鼓励类</w:t>
      </w:r>
      <w:r>
        <w:rPr>
          <w:rFonts w:hint="eastAsia"/>
          <w:color w:val="auto"/>
          <w:sz w:val="24"/>
        </w:rPr>
        <w:t xml:space="preserve"> 一农林业 4畜禽标准化规模养殖技术开发与应用”</w:t>
      </w:r>
      <w:r>
        <w:rPr>
          <w:color w:val="auto"/>
          <w:sz w:val="24"/>
        </w:rPr>
        <w:t>，因此本项目的建设符合国家相关产业政策的要求。</w:t>
      </w:r>
    </w:p>
    <w:p>
      <w:pPr>
        <w:pStyle w:val="3"/>
        <w:numPr>
          <w:ilvl w:val="0"/>
          <w:numId w:val="0"/>
        </w:numPr>
        <w:ind w:firstLine="456" w:firstLineChars="200"/>
        <w:rPr>
          <w:bCs/>
          <w:color w:val="auto"/>
          <w:spacing w:val="-2"/>
          <w:sz w:val="24"/>
          <w:szCs w:val="24"/>
        </w:rPr>
      </w:pPr>
      <w:r>
        <w:rPr>
          <w:rFonts w:hint="eastAsia"/>
          <w:bCs/>
          <w:color w:val="auto"/>
          <w:spacing w:val="-6"/>
          <w:sz w:val="24"/>
          <w:szCs w:val="24"/>
        </w:rPr>
        <w:t>（4）</w:t>
      </w:r>
      <w:r>
        <w:rPr>
          <w:bCs/>
          <w:color w:val="auto"/>
          <w:spacing w:val="-6"/>
          <w:sz w:val="24"/>
          <w:szCs w:val="24"/>
        </w:rPr>
        <w:t>本项目废气主要污染因子为</w:t>
      </w:r>
      <w:r>
        <w:rPr>
          <w:rFonts w:hint="eastAsia"/>
          <w:bCs/>
          <w:color w:val="auto"/>
          <w:spacing w:val="-2"/>
          <w:sz w:val="24"/>
          <w:szCs w:val="24"/>
        </w:rPr>
        <w:t>H</w:t>
      </w:r>
      <w:r>
        <w:rPr>
          <w:rFonts w:hint="eastAsia"/>
          <w:bCs/>
          <w:color w:val="auto"/>
          <w:spacing w:val="-2"/>
          <w:sz w:val="24"/>
          <w:szCs w:val="24"/>
          <w:vertAlign w:val="subscript"/>
        </w:rPr>
        <w:t>2</w:t>
      </w:r>
      <w:r>
        <w:rPr>
          <w:rFonts w:hint="eastAsia"/>
          <w:bCs/>
          <w:color w:val="auto"/>
          <w:spacing w:val="-2"/>
          <w:sz w:val="24"/>
          <w:szCs w:val="24"/>
        </w:rPr>
        <w:t>S、NH</w:t>
      </w:r>
      <w:r>
        <w:rPr>
          <w:rFonts w:hint="eastAsia"/>
          <w:bCs/>
          <w:color w:val="auto"/>
          <w:spacing w:val="-2"/>
          <w:sz w:val="24"/>
          <w:szCs w:val="24"/>
          <w:vertAlign w:val="subscript"/>
        </w:rPr>
        <w:t>3</w:t>
      </w:r>
      <w:r>
        <w:rPr>
          <w:bCs/>
          <w:color w:val="auto"/>
          <w:spacing w:val="-6"/>
          <w:sz w:val="24"/>
          <w:szCs w:val="24"/>
        </w:rPr>
        <w:t>。</w:t>
      </w:r>
    </w:p>
    <w:p>
      <w:pPr>
        <w:pStyle w:val="3"/>
        <w:numPr>
          <w:ilvl w:val="0"/>
          <w:numId w:val="0"/>
        </w:numPr>
        <w:ind w:firstLine="480" w:firstLineChars="200"/>
        <w:rPr>
          <w:b/>
          <w:bCs/>
          <w:color w:val="auto"/>
          <w:spacing w:val="-2"/>
          <w:sz w:val="24"/>
          <w:szCs w:val="24"/>
          <w:u w:val="single"/>
        </w:rPr>
      </w:pPr>
      <w:r>
        <w:rPr>
          <w:rFonts w:hint="eastAsia"/>
          <w:color w:val="auto"/>
          <w:sz w:val="24"/>
          <w:szCs w:val="24"/>
        </w:rPr>
        <w:t>（5）</w:t>
      </w:r>
      <w:r>
        <w:rPr>
          <w:color w:val="auto"/>
          <w:sz w:val="24"/>
          <w:szCs w:val="24"/>
        </w:rPr>
        <w:t>本项目废水</w:t>
      </w:r>
      <w:r>
        <w:rPr>
          <w:rFonts w:hint="eastAsia"/>
          <w:color w:val="auto"/>
          <w:sz w:val="24"/>
          <w:szCs w:val="24"/>
        </w:rPr>
        <w:t>主要为猪尿和猪舍冲洗废水，采用干清粪养殖工艺，废水经黑膜沼气池厌氧处理后进行还田利用，项目废水不外排。</w:t>
      </w:r>
    </w:p>
    <w:bookmarkEnd w:id="83"/>
    <w:bookmarkEnd w:id="84"/>
    <w:bookmarkEnd w:id="85"/>
    <w:bookmarkEnd w:id="86"/>
    <w:bookmarkEnd w:id="87"/>
    <w:bookmarkEnd w:id="88"/>
    <w:p>
      <w:pPr>
        <w:pStyle w:val="32"/>
        <w:rPr>
          <w:color w:val="auto"/>
        </w:rPr>
      </w:pPr>
      <w:bookmarkStart w:id="89" w:name="_Toc477160783"/>
      <w:bookmarkStart w:id="90" w:name="_Toc477187198"/>
      <w:bookmarkStart w:id="91" w:name="_Toc476921778"/>
      <w:bookmarkStart w:id="92" w:name="_Toc485578877"/>
      <w:bookmarkStart w:id="93" w:name="_Toc16015"/>
      <w:bookmarkStart w:id="94" w:name="_Toc709"/>
      <w:bookmarkStart w:id="95" w:name="_Toc77584923"/>
      <w:bookmarkStart w:id="96" w:name="_Toc42269133"/>
      <w:bookmarkStart w:id="97" w:name="_Toc53182363"/>
      <w:r>
        <w:rPr>
          <w:rFonts w:hint="eastAsia"/>
          <w:color w:val="auto"/>
        </w:rPr>
        <w:t>1.4分析判定情况</w:t>
      </w:r>
      <w:bookmarkEnd w:id="89"/>
      <w:bookmarkEnd w:id="90"/>
      <w:bookmarkEnd w:id="91"/>
      <w:bookmarkEnd w:id="92"/>
      <w:bookmarkEnd w:id="93"/>
      <w:bookmarkEnd w:id="94"/>
    </w:p>
    <w:p>
      <w:pPr>
        <w:pStyle w:val="6"/>
        <w:rPr>
          <w:color w:val="auto"/>
        </w:rPr>
      </w:pPr>
      <w:r>
        <w:rPr>
          <w:color w:val="auto"/>
        </w:rPr>
        <w:t>1.</w:t>
      </w:r>
      <w:r>
        <w:rPr>
          <w:rFonts w:hint="eastAsia"/>
          <w:color w:val="auto"/>
          <w:lang w:val="en-US"/>
        </w:rPr>
        <w:t>4</w:t>
      </w:r>
      <w:r>
        <w:rPr>
          <w:color w:val="auto"/>
        </w:rPr>
        <w:t>.1产业政策相符性分析判定</w:t>
      </w:r>
    </w:p>
    <w:p>
      <w:pPr>
        <w:pStyle w:val="3"/>
        <w:numPr>
          <w:ilvl w:val="0"/>
          <w:numId w:val="0"/>
        </w:numPr>
        <w:ind w:firstLine="480" w:firstLineChars="200"/>
        <w:rPr>
          <w:bCs/>
          <w:color w:val="auto"/>
          <w:spacing w:val="2"/>
          <w:sz w:val="24"/>
          <w:szCs w:val="24"/>
        </w:rPr>
      </w:pPr>
      <w:r>
        <w:rPr>
          <w:color w:val="auto"/>
          <w:sz w:val="24"/>
        </w:rPr>
        <w:t>根据《产业结构调整指导目录（201</w:t>
      </w:r>
      <w:r>
        <w:rPr>
          <w:rFonts w:hint="eastAsia"/>
          <w:color w:val="auto"/>
          <w:sz w:val="24"/>
        </w:rPr>
        <w:t>9</w:t>
      </w:r>
      <w:r>
        <w:rPr>
          <w:color w:val="auto"/>
          <w:sz w:val="24"/>
        </w:rPr>
        <w:t>年本）》，本项目属于</w:t>
      </w:r>
      <w:r>
        <w:rPr>
          <w:rFonts w:hint="eastAsia"/>
          <w:color w:val="auto"/>
          <w:sz w:val="24"/>
        </w:rPr>
        <w:t>“第一类</w:t>
      </w:r>
      <w:r>
        <w:rPr>
          <w:color w:val="auto"/>
          <w:sz w:val="24"/>
        </w:rPr>
        <w:t>鼓励类</w:t>
      </w:r>
      <w:r>
        <w:rPr>
          <w:rFonts w:hint="eastAsia"/>
          <w:color w:val="auto"/>
          <w:sz w:val="24"/>
        </w:rPr>
        <w:t xml:space="preserve"> 一农林业 4畜禽标准化规模养殖技术开发与应用”</w:t>
      </w:r>
      <w:r>
        <w:rPr>
          <w:color w:val="auto"/>
          <w:sz w:val="24"/>
        </w:rPr>
        <w:t>，因此本项目的建设符合国家相关产业政策的要求。</w:t>
      </w:r>
    </w:p>
    <w:p>
      <w:pPr>
        <w:pStyle w:val="6"/>
        <w:rPr>
          <w:color w:val="auto"/>
        </w:rPr>
      </w:pPr>
      <w:r>
        <w:rPr>
          <w:rFonts w:hint="eastAsia"/>
          <w:color w:val="auto"/>
        </w:rPr>
        <w:t>1.</w:t>
      </w:r>
      <w:r>
        <w:rPr>
          <w:rFonts w:hint="eastAsia"/>
          <w:color w:val="auto"/>
          <w:lang w:val="en-US"/>
        </w:rPr>
        <w:t>4</w:t>
      </w:r>
      <w:r>
        <w:rPr>
          <w:rFonts w:hint="eastAsia"/>
          <w:color w:val="auto"/>
        </w:rPr>
        <w:t>.2相关规划相符性分析判定</w:t>
      </w:r>
    </w:p>
    <w:p>
      <w:pPr>
        <w:ind w:firstLine="480"/>
        <w:rPr>
          <w:color w:val="auto"/>
        </w:rPr>
      </w:pPr>
      <w:r>
        <w:rPr>
          <w:rFonts w:hint="eastAsia"/>
          <w:color w:val="auto"/>
        </w:rPr>
        <w:t>1.4.2.1项目与濮阳县城乡总体规划的</w:t>
      </w:r>
      <w:r>
        <w:rPr>
          <w:color w:val="auto"/>
        </w:rPr>
        <w:t>相符性</w:t>
      </w:r>
    </w:p>
    <w:p>
      <w:pPr>
        <w:pStyle w:val="3"/>
        <w:numPr>
          <w:ilvl w:val="0"/>
          <w:numId w:val="0"/>
        </w:numPr>
        <w:ind w:firstLine="480" w:firstLineChars="200"/>
        <w:rPr>
          <w:color w:val="auto"/>
          <w:sz w:val="24"/>
        </w:rPr>
      </w:pPr>
      <w:r>
        <w:rPr>
          <w:color w:val="auto"/>
          <w:sz w:val="24"/>
        </w:rPr>
        <w:t>本项目位于</w:t>
      </w:r>
      <w:r>
        <w:rPr>
          <w:rFonts w:hint="eastAsia"/>
          <w:bCs/>
          <w:color w:val="auto"/>
          <w:spacing w:val="2"/>
          <w:sz w:val="24"/>
          <w:szCs w:val="24"/>
        </w:rPr>
        <w:t>河南省濮阳市濮阳县五星乡于屯村东</w:t>
      </w:r>
      <w:r>
        <w:rPr>
          <w:color w:val="auto"/>
          <w:sz w:val="24"/>
        </w:rPr>
        <w:t>，不在《</w:t>
      </w:r>
      <w:r>
        <w:rPr>
          <w:rFonts w:hint="eastAsia"/>
          <w:color w:val="auto"/>
          <w:sz w:val="24"/>
        </w:rPr>
        <w:t>濮阳县</w:t>
      </w:r>
      <w:r>
        <w:rPr>
          <w:color w:val="auto"/>
          <w:sz w:val="24"/>
        </w:rPr>
        <w:t>城</w:t>
      </w:r>
      <w:r>
        <w:rPr>
          <w:rFonts w:hint="eastAsia"/>
          <w:color w:val="auto"/>
          <w:sz w:val="24"/>
        </w:rPr>
        <w:t>乡</w:t>
      </w:r>
      <w:r>
        <w:rPr>
          <w:color w:val="auto"/>
          <w:sz w:val="24"/>
        </w:rPr>
        <w:t>总体规划》范围内</w:t>
      </w:r>
      <w:r>
        <w:rPr>
          <w:rFonts w:hint="eastAsia"/>
          <w:color w:val="auto"/>
          <w:sz w:val="24"/>
        </w:rPr>
        <w:t>，故本项目的建设不违背濮阳县城乡总体规划。</w:t>
      </w:r>
    </w:p>
    <w:p>
      <w:pPr>
        <w:ind w:firstLine="480"/>
        <w:rPr>
          <w:color w:val="auto"/>
        </w:rPr>
      </w:pPr>
      <w:r>
        <w:rPr>
          <w:rFonts w:hint="eastAsia"/>
          <w:color w:val="auto"/>
        </w:rPr>
        <w:t>1.4.2.2项目建设与五星乡土地利用总体规划的相符性分析</w:t>
      </w:r>
    </w:p>
    <w:p>
      <w:pPr>
        <w:ind w:firstLine="480"/>
        <w:rPr>
          <w:b/>
          <w:color w:val="auto"/>
          <w:u w:val="single"/>
        </w:rPr>
      </w:pPr>
      <w:r>
        <w:rPr>
          <w:rFonts w:hint="eastAsia"/>
          <w:color w:val="auto"/>
        </w:rPr>
        <w:t>本项目拟选场址位于</w:t>
      </w:r>
      <w:r>
        <w:rPr>
          <w:rFonts w:hint="eastAsia"/>
          <w:bCs/>
          <w:color w:val="auto"/>
          <w:spacing w:val="2"/>
        </w:rPr>
        <w:t>河南省濮阳市濮阳县五星乡于屯村东</w:t>
      </w:r>
      <w:r>
        <w:rPr>
          <w:rFonts w:hint="eastAsia"/>
          <w:color w:val="auto"/>
        </w:rPr>
        <w:t>，根据濮阳县五星乡自然资源局出具的证明，该项目用地为</w:t>
      </w:r>
      <w:r>
        <w:rPr>
          <w:color w:val="auto"/>
        </w:rPr>
        <w:t>一般</w:t>
      </w:r>
      <w:r>
        <w:rPr>
          <w:rFonts w:hint="eastAsia"/>
          <w:color w:val="auto"/>
        </w:rPr>
        <w:t>耕地</w:t>
      </w:r>
      <w:r>
        <w:rPr>
          <w:color w:val="auto"/>
        </w:rPr>
        <w:t>，选址符合规划要求，未占用基本农田</w:t>
      </w:r>
      <w:r>
        <w:rPr>
          <w:rFonts w:hint="eastAsia"/>
          <w:color w:val="auto"/>
        </w:rPr>
        <w:t>。</w:t>
      </w:r>
    </w:p>
    <w:p>
      <w:pPr>
        <w:ind w:firstLine="480"/>
        <w:rPr>
          <w:color w:val="auto"/>
        </w:rPr>
      </w:pPr>
      <w:r>
        <w:rPr>
          <w:rFonts w:hint="eastAsia"/>
          <w:color w:val="auto"/>
        </w:rPr>
        <w:t>1.4.2.3项目建设与《河南省畜牧业“十三五”发展规划》相符性分析</w:t>
      </w:r>
    </w:p>
    <w:p>
      <w:pPr>
        <w:pStyle w:val="3"/>
        <w:numPr>
          <w:ilvl w:val="0"/>
          <w:numId w:val="0"/>
        </w:numPr>
        <w:ind w:firstLine="480" w:firstLineChars="200"/>
        <w:rPr>
          <w:color w:val="auto"/>
          <w:sz w:val="24"/>
        </w:rPr>
      </w:pPr>
      <w:r>
        <w:rPr>
          <w:color w:val="auto"/>
          <w:sz w:val="24"/>
        </w:rPr>
        <w:t>本项目</w:t>
      </w:r>
      <w:r>
        <w:rPr>
          <w:rFonts w:hint="eastAsia"/>
          <w:color w:val="auto"/>
          <w:sz w:val="24"/>
        </w:rPr>
        <w:t>属于标准化养殖场建设项目，采用种养结合方式，可实现</w:t>
      </w:r>
      <w:r>
        <w:rPr>
          <w:color w:val="auto"/>
          <w:sz w:val="24"/>
        </w:rPr>
        <w:t>畜禽粪便就地、就近消纳</w:t>
      </w:r>
      <w:r>
        <w:rPr>
          <w:rFonts w:hint="eastAsia"/>
          <w:color w:val="auto"/>
          <w:sz w:val="24"/>
        </w:rPr>
        <w:t>。与</w:t>
      </w:r>
      <w:r>
        <w:rPr>
          <w:color w:val="auto"/>
          <w:sz w:val="24"/>
        </w:rPr>
        <w:t>《</w:t>
      </w:r>
      <w:r>
        <w:rPr>
          <w:rFonts w:hint="eastAsia"/>
          <w:color w:val="auto"/>
          <w:sz w:val="24"/>
        </w:rPr>
        <w:t>河南省</w:t>
      </w:r>
      <w:r>
        <w:rPr>
          <w:color w:val="auto"/>
          <w:sz w:val="24"/>
        </w:rPr>
        <w:t>畜牧业</w:t>
      </w:r>
      <w:r>
        <w:rPr>
          <w:rFonts w:hint="eastAsia"/>
          <w:color w:val="auto"/>
          <w:sz w:val="24"/>
        </w:rPr>
        <w:t>“十三五”发展</w:t>
      </w:r>
      <w:r>
        <w:rPr>
          <w:color w:val="auto"/>
          <w:sz w:val="24"/>
        </w:rPr>
        <w:t>规划》</w:t>
      </w:r>
      <w:r>
        <w:rPr>
          <w:rFonts w:hint="eastAsia"/>
          <w:color w:val="auto"/>
          <w:sz w:val="24"/>
        </w:rPr>
        <w:t>中的第（2）条中“</w:t>
      </w:r>
      <w:r>
        <w:rPr>
          <w:color w:val="auto"/>
          <w:sz w:val="24"/>
        </w:rPr>
        <w:t>重点抓好1万个养殖场标准化建设和改造</w:t>
      </w:r>
      <w:r>
        <w:rPr>
          <w:rFonts w:hint="eastAsia"/>
          <w:color w:val="auto"/>
          <w:sz w:val="24"/>
        </w:rPr>
        <w:t>”和第（3）条中“</w:t>
      </w:r>
      <w:r>
        <w:rPr>
          <w:color w:val="auto"/>
          <w:sz w:val="24"/>
        </w:rPr>
        <w:t>实施以养定种、种养结合，重点抓好国家粮改饲试点项目。鼓励支持畜牧龙头企业通过流转土地、订单生产等方式，促进粮经饲三元结构调整，实现畜禽粪便就地、就近消纳利用循环发展</w:t>
      </w:r>
      <w:r>
        <w:rPr>
          <w:rFonts w:hint="eastAsia"/>
          <w:color w:val="auto"/>
          <w:sz w:val="24"/>
        </w:rPr>
        <w:t>”相符。</w:t>
      </w:r>
    </w:p>
    <w:p>
      <w:pPr>
        <w:ind w:firstLine="480"/>
        <w:rPr>
          <w:color w:val="auto"/>
        </w:rPr>
      </w:pPr>
      <w:r>
        <w:rPr>
          <w:rFonts w:hint="eastAsia"/>
          <w:color w:val="auto"/>
        </w:rPr>
        <w:t>1.4.2.4 《河南省环保厅关于印发深化建设项目环境影响评价审批制度改革实施意见的通知》（豫环文【2015】33号）</w:t>
      </w:r>
    </w:p>
    <w:p>
      <w:pPr>
        <w:pStyle w:val="3"/>
        <w:numPr>
          <w:ilvl w:val="0"/>
          <w:numId w:val="0"/>
        </w:numPr>
        <w:ind w:firstLine="480" w:firstLineChars="200"/>
        <w:rPr>
          <w:color w:val="auto"/>
          <w:sz w:val="24"/>
        </w:rPr>
      </w:pPr>
      <w:r>
        <w:rPr>
          <w:color w:val="auto"/>
          <w:sz w:val="24"/>
        </w:rPr>
        <w:t>项目选址</w:t>
      </w:r>
      <w:r>
        <w:rPr>
          <w:rFonts w:hint="eastAsia"/>
          <w:color w:val="auto"/>
          <w:sz w:val="24"/>
        </w:rPr>
        <w:t>位于濮阳市濮阳县，属于重点开发区域</w:t>
      </w:r>
      <w:r>
        <w:rPr>
          <w:color w:val="auto"/>
          <w:sz w:val="24"/>
        </w:rPr>
        <w:t>，</w:t>
      </w:r>
      <w:r>
        <w:rPr>
          <w:rFonts w:hint="eastAsia"/>
          <w:color w:val="auto"/>
          <w:sz w:val="24"/>
        </w:rPr>
        <w:t>不属于大气污染防治重点单元，不属于《工业项目分类清单》中工业项目。区域地表水不属于《水污染防治重点单元》的区域内</w:t>
      </w:r>
      <w:r>
        <w:rPr>
          <w:color w:val="auto"/>
          <w:sz w:val="24"/>
        </w:rPr>
        <w:t>。本项目废水</w:t>
      </w:r>
      <w:r>
        <w:rPr>
          <w:rFonts w:hint="eastAsia"/>
          <w:color w:val="auto"/>
          <w:sz w:val="24"/>
        </w:rPr>
        <w:t>主要为猪尿和猪舍冲洗废水，采用干清粪养殖工艺，废水经黑膜沼气池厌氧处理后进行还田利用，项目废水不外排。项目的建设不违背功能区区划要求。</w:t>
      </w:r>
    </w:p>
    <w:p>
      <w:pPr>
        <w:pStyle w:val="2"/>
        <w:spacing w:before="0" w:after="0"/>
        <w:ind w:firstLine="480"/>
        <w:rPr>
          <w:color w:val="auto"/>
        </w:rPr>
      </w:pPr>
      <w:r>
        <w:rPr>
          <w:rFonts w:hint="eastAsia"/>
          <w:color w:val="auto"/>
        </w:rPr>
        <w:t>1.4.2.5饮用源地保护区规划</w:t>
      </w:r>
    </w:p>
    <w:p>
      <w:pPr>
        <w:pStyle w:val="3"/>
        <w:numPr>
          <w:ilvl w:val="0"/>
          <w:numId w:val="0"/>
        </w:numPr>
        <w:ind w:firstLine="480" w:firstLineChars="200"/>
        <w:rPr>
          <w:color w:val="auto"/>
          <w:sz w:val="24"/>
        </w:rPr>
      </w:pPr>
      <w:r>
        <w:rPr>
          <w:rFonts w:hint="eastAsia"/>
          <w:color w:val="auto"/>
          <w:sz w:val="24"/>
        </w:rPr>
        <w:t>本项目位于</w:t>
      </w:r>
      <w:r>
        <w:rPr>
          <w:rFonts w:hint="eastAsia"/>
          <w:bCs/>
          <w:color w:val="auto"/>
          <w:spacing w:val="2"/>
          <w:sz w:val="24"/>
          <w:szCs w:val="24"/>
        </w:rPr>
        <w:t>河南省濮阳市濮阳县五星乡于屯村东</w:t>
      </w:r>
      <w:r>
        <w:rPr>
          <w:rFonts w:hint="eastAsia"/>
          <w:color w:val="auto"/>
          <w:sz w:val="24"/>
        </w:rPr>
        <w:t>，经对比《河南省城市集中式饮用水源保护区划》、《河南省县级集中式饮用水水源保护区划》，本项目不在饮用水源地保护区范围内，其建设符合区域饮用水源地保护区规划要求。</w:t>
      </w:r>
    </w:p>
    <w:p>
      <w:pPr>
        <w:pStyle w:val="3"/>
        <w:numPr>
          <w:ilvl w:val="0"/>
          <w:numId w:val="0"/>
        </w:numPr>
        <w:ind w:firstLine="480" w:firstLineChars="200"/>
        <w:rPr>
          <w:color w:val="auto"/>
          <w:sz w:val="24"/>
        </w:rPr>
      </w:pPr>
      <w:r>
        <w:rPr>
          <w:rFonts w:hint="eastAsia"/>
          <w:color w:val="auto"/>
          <w:sz w:val="24"/>
        </w:rPr>
        <w:t>经对比《河南省人民政府办公厅关于印发河南省乡镇集中式饮用水水源保护区划的通知》（豫政办〔2016〕23号），本项目所在乡镇无集中式饮用水源保护井群。</w:t>
      </w:r>
    </w:p>
    <w:p>
      <w:pPr>
        <w:ind w:firstLine="480"/>
        <w:rPr>
          <w:color w:val="auto"/>
        </w:rPr>
      </w:pPr>
      <w:r>
        <w:rPr>
          <w:rFonts w:hint="eastAsia"/>
          <w:color w:val="auto"/>
        </w:rPr>
        <w:t>1.4.2.6项目与《濮阳县人民政府办公室关于印发濮阳县畜禽养殖禁养区限养区划分调整方案的通知》相符性分析</w:t>
      </w:r>
    </w:p>
    <w:p>
      <w:pPr>
        <w:pStyle w:val="3"/>
        <w:numPr>
          <w:ilvl w:val="0"/>
          <w:numId w:val="0"/>
        </w:numPr>
        <w:ind w:firstLine="480" w:firstLineChars="200"/>
        <w:rPr>
          <w:color w:val="auto"/>
          <w:sz w:val="24"/>
        </w:rPr>
      </w:pPr>
      <w:r>
        <w:rPr>
          <w:rFonts w:hint="eastAsia"/>
          <w:color w:val="auto"/>
          <w:sz w:val="24"/>
        </w:rPr>
        <w:t>本项目位于</w:t>
      </w:r>
      <w:r>
        <w:rPr>
          <w:rFonts w:hint="eastAsia"/>
          <w:bCs/>
          <w:color w:val="auto"/>
          <w:spacing w:val="2"/>
          <w:sz w:val="24"/>
          <w:szCs w:val="24"/>
        </w:rPr>
        <w:t>河南省濮阳市濮阳县五星乡于屯村东</w:t>
      </w:r>
      <w:r>
        <w:rPr>
          <w:rFonts w:hint="eastAsia"/>
          <w:color w:val="auto"/>
          <w:sz w:val="24"/>
        </w:rPr>
        <w:t>，依据现场勘查，距离本项目最近的环境敏感点为西北侧705m的</w:t>
      </w:r>
      <w:r>
        <w:rPr>
          <w:rFonts w:hint="eastAsia" w:hAnsi="宋体"/>
          <w:color w:val="auto"/>
          <w:sz w:val="24"/>
        </w:rPr>
        <w:t>七王庙村</w:t>
      </w:r>
      <w:r>
        <w:rPr>
          <w:rFonts w:hint="eastAsia"/>
          <w:color w:val="auto"/>
          <w:sz w:val="24"/>
        </w:rPr>
        <w:t>；项目养殖厂周边</w:t>
      </w:r>
      <w:r>
        <w:rPr>
          <w:color w:val="auto"/>
          <w:sz w:val="24"/>
        </w:rPr>
        <w:t>最近的水体为</w:t>
      </w:r>
      <w:r>
        <w:rPr>
          <w:rFonts w:hint="eastAsia"/>
          <w:color w:val="auto"/>
          <w:sz w:val="24"/>
        </w:rPr>
        <w:t>东</w:t>
      </w:r>
      <w:r>
        <w:rPr>
          <w:color w:val="auto"/>
          <w:sz w:val="24"/>
        </w:rPr>
        <w:t>侧</w:t>
      </w:r>
      <w:r>
        <w:rPr>
          <w:rFonts w:hint="eastAsia"/>
          <w:color w:val="auto"/>
          <w:sz w:val="24"/>
        </w:rPr>
        <w:t>965</w:t>
      </w:r>
      <w:r>
        <w:rPr>
          <w:color w:val="auto"/>
          <w:sz w:val="24"/>
        </w:rPr>
        <w:t>m的</w:t>
      </w:r>
      <w:r>
        <w:rPr>
          <w:rFonts w:hint="eastAsia"/>
          <w:color w:val="auto"/>
          <w:sz w:val="24"/>
        </w:rPr>
        <w:t>董楼沟。根据《濮阳县人民政府办公室关于印发濮阳县畜禽养殖禁养区限养区划分调整方案的通知》，同时根据濮阳县农业农村局</w:t>
      </w:r>
      <w:r>
        <w:rPr>
          <w:color w:val="auto"/>
          <w:sz w:val="24"/>
        </w:rPr>
        <w:t>出</w:t>
      </w:r>
      <w:r>
        <w:rPr>
          <w:rFonts w:hint="eastAsia"/>
          <w:color w:val="auto"/>
          <w:sz w:val="24"/>
        </w:rPr>
        <w:t>了相关</w:t>
      </w:r>
      <w:r>
        <w:rPr>
          <w:color w:val="auto"/>
          <w:sz w:val="24"/>
        </w:rPr>
        <w:t>证明</w:t>
      </w:r>
      <w:r>
        <w:rPr>
          <w:rFonts w:hint="eastAsia"/>
          <w:color w:val="auto"/>
          <w:sz w:val="24"/>
        </w:rPr>
        <w:t>，本项目不在禁养区范围内。项目建设符合《濮阳县人民政府办公室关于印发濮阳县畜禽养殖禁养区限养区划分调整方案的通知》。</w:t>
      </w:r>
    </w:p>
    <w:p>
      <w:pPr>
        <w:pStyle w:val="6"/>
        <w:rPr>
          <w:color w:val="auto"/>
        </w:rPr>
      </w:pPr>
      <w:r>
        <w:rPr>
          <w:rFonts w:hint="eastAsia"/>
          <w:color w:val="auto"/>
        </w:rPr>
        <w:t>1.</w:t>
      </w:r>
      <w:r>
        <w:rPr>
          <w:rFonts w:hint="eastAsia"/>
          <w:color w:val="auto"/>
          <w:lang w:val="en-US"/>
        </w:rPr>
        <w:t>4</w:t>
      </w:r>
      <w:r>
        <w:rPr>
          <w:rFonts w:hint="eastAsia"/>
          <w:color w:val="auto"/>
        </w:rPr>
        <w:t>.3环境影响分析判定</w:t>
      </w:r>
    </w:p>
    <w:p>
      <w:pPr>
        <w:ind w:firstLine="480"/>
        <w:rPr>
          <w:color w:val="auto"/>
        </w:rPr>
      </w:pPr>
      <w:r>
        <w:rPr>
          <w:rFonts w:hint="eastAsia"/>
          <w:color w:val="auto"/>
        </w:rPr>
        <w:t>1.4.3.1大气环境影响分析判定情况</w:t>
      </w:r>
    </w:p>
    <w:p>
      <w:pPr>
        <w:widowControl/>
        <w:ind w:firstLine="480"/>
        <w:jc w:val="left"/>
        <w:rPr>
          <w:color w:val="auto"/>
          <w:szCs w:val="20"/>
        </w:rPr>
      </w:pPr>
      <w:r>
        <w:rPr>
          <w:rFonts w:hint="eastAsia"/>
          <w:color w:val="auto"/>
          <w:szCs w:val="20"/>
        </w:rPr>
        <w:t>本项目大气环境影响评价等级为一级，评价范围为以场址为中心，边长为5km的矩形范围。</w:t>
      </w:r>
    </w:p>
    <w:p>
      <w:pPr>
        <w:widowControl/>
        <w:ind w:firstLine="480"/>
        <w:jc w:val="left"/>
        <w:rPr>
          <w:color w:val="auto"/>
          <w:szCs w:val="20"/>
        </w:rPr>
      </w:pPr>
      <w:r>
        <w:rPr>
          <w:rFonts w:hint="eastAsia"/>
          <w:color w:val="auto"/>
          <w:szCs w:val="20"/>
        </w:rPr>
        <w:t>经预测，本项目对周围环境空气质量有一定的影响，但不会改变当地的环境功能要求，本项目排放的废气污染物对环境空气的影响在可接受范围内，从大气环境影响角度考虑，本项目可行。</w:t>
      </w:r>
    </w:p>
    <w:p>
      <w:pPr>
        <w:ind w:firstLine="480"/>
        <w:rPr>
          <w:color w:val="auto"/>
        </w:rPr>
      </w:pPr>
      <w:r>
        <w:rPr>
          <w:rFonts w:hint="eastAsia"/>
          <w:color w:val="auto"/>
        </w:rPr>
        <w:t>1.4.3.2地表水环境影响分析判定情况</w:t>
      </w:r>
    </w:p>
    <w:p>
      <w:pPr>
        <w:ind w:firstLine="480"/>
        <w:rPr>
          <w:color w:val="auto"/>
        </w:rPr>
      </w:pPr>
      <w:r>
        <w:rPr>
          <w:rFonts w:hint="eastAsia"/>
          <w:color w:val="auto"/>
        </w:rPr>
        <w:t>本项目地表水环境影响评价等级为三级B，仅对地表水环境影响进行定性分析，经分析，本项目废水水质复杂程度属简单，主要污染物为COD、BOD</w:t>
      </w:r>
      <w:r>
        <w:rPr>
          <w:rFonts w:hint="eastAsia"/>
          <w:color w:val="auto"/>
          <w:vertAlign w:val="subscript"/>
        </w:rPr>
        <w:t>5</w:t>
      </w:r>
      <w:r>
        <w:rPr>
          <w:rFonts w:hint="eastAsia"/>
          <w:color w:val="auto"/>
        </w:rPr>
        <w:t>、NH</w:t>
      </w:r>
      <w:r>
        <w:rPr>
          <w:rFonts w:hint="eastAsia"/>
          <w:color w:val="auto"/>
          <w:vertAlign w:val="subscript"/>
        </w:rPr>
        <w:t>3</w:t>
      </w:r>
      <w:r>
        <w:rPr>
          <w:rFonts w:hint="eastAsia"/>
          <w:color w:val="auto"/>
        </w:rPr>
        <w:t>-N等，全部实现资源化利用，无废水外排，对周围环境影响较小。项目非正常废水采取措施的情况下，对地表水环境没有明显不利影响。</w:t>
      </w:r>
    </w:p>
    <w:p>
      <w:pPr>
        <w:ind w:firstLine="480"/>
        <w:rPr>
          <w:color w:val="auto"/>
        </w:rPr>
      </w:pPr>
      <w:r>
        <w:rPr>
          <w:rFonts w:hint="eastAsia"/>
          <w:color w:val="auto"/>
        </w:rPr>
        <w:t>1.4.3.3地下水环境影响分析判定情况</w:t>
      </w:r>
    </w:p>
    <w:p>
      <w:pPr>
        <w:pStyle w:val="3"/>
        <w:numPr>
          <w:ilvl w:val="0"/>
          <w:numId w:val="0"/>
        </w:numPr>
        <w:ind w:firstLine="480" w:firstLineChars="200"/>
        <w:rPr>
          <w:color w:val="auto"/>
          <w:sz w:val="24"/>
        </w:rPr>
      </w:pPr>
      <w:r>
        <w:rPr>
          <w:color w:val="auto"/>
          <w:sz w:val="24"/>
        </w:rPr>
        <w:t>本项目地下水评价等级确定为</w:t>
      </w:r>
      <w:r>
        <w:rPr>
          <w:rFonts w:hint="eastAsia"/>
          <w:color w:val="auto"/>
          <w:sz w:val="24"/>
        </w:rPr>
        <w:t>三</w:t>
      </w:r>
      <w:r>
        <w:rPr>
          <w:color w:val="auto"/>
          <w:sz w:val="24"/>
        </w:rPr>
        <w:t>级，</w:t>
      </w:r>
      <w:r>
        <w:rPr>
          <w:rFonts w:hint="eastAsia"/>
          <w:color w:val="auto"/>
          <w:sz w:val="24"/>
        </w:rPr>
        <w:t>评价范围以项目区西南侧1km，项目两侧1km，东北侧（下游）2km的区域，约6km</w:t>
      </w:r>
      <w:r>
        <w:rPr>
          <w:rFonts w:hint="eastAsia"/>
          <w:color w:val="auto"/>
          <w:sz w:val="24"/>
          <w:vertAlign w:val="superscript"/>
        </w:rPr>
        <w:t>2</w:t>
      </w:r>
      <w:r>
        <w:rPr>
          <w:rFonts w:hint="eastAsia"/>
          <w:color w:val="auto"/>
          <w:sz w:val="24"/>
        </w:rPr>
        <w:t>范围，满足二级评价要求，评价范围内存在集中式饮用水源。</w:t>
      </w:r>
    </w:p>
    <w:p>
      <w:pPr>
        <w:ind w:firstLine="480"/>
        <w:rPr>
          <w:rFonts w:ascii="Arial" w:hAnsi="Arial" w:cs="Arial"/>
          <w:color w:val="auto"/>
          <w:kern w:val="0"/>
        </w:rPr>
      </w:pPr>
      <w:r>
        <w:rPr>
          <w:rFonts w:hint="eastAsia"/>
          <w:color w:val="auto"/>
          <w:lang w:val="en-GB"/>
        </w:rPr>
        <w:t>经预测，厂区、沼液消纳区及施肥对地下水环境的影响较小，</w:t>
      </w:r>
      <w:r>
        <w:rPr>
          <w:rFonts w:ascii="Arial" w:hAnsi="Arial" w:cs="Arial"/>
          <w:color w:val="auto"/>
          <w:kern w:val="0"/>
        </w:rPr>
        <w:t>本项目采取了严格可靠的防渗防漏措施，同时制定了严格的环境管理和监测制度，预计对地下水环境影响</w:t>
      </w:r>
      <w:r>
        <w:rPr>
          <w:rFonts w:hint="eastAsia" w:ascii="Arial" w:hAnsi="Arial" w:cs="Arial"/>
          <w:color w:val="auto"/>
          <w:kern w:val="0"/>
        </w:rPr>
        <w:t>在可接受范围内</w:t>
      </w:r>
      <w:r>
        <w:rPr>
          <w:rFonts w:ascii="Arial" w:hAnsi="Arial" w:cs="Arial"/>
          <w:color w:val="auto"/>
          <w:kern w:val="0"/>
        </w:rPr>
        <w:t>。</w:t>
      </w:r>
    </w:p>
    <w:p>
      <w:pPr>
        <w:ind w:firstLine="480"/>
        <w:rPr>
          <w:color w:val="auto"/>
        </w:rPr>
      </w:pPr>
      <w:r>
        <w:rPr>
          <w:rFonts w:hint="eastAsia"/>
          <w:color w:val="auto"/>
        </w:rPr>
        <w:t>1.4.3.4声环境影响分析判定情况</w:t>
      </w:r>
    </w:p>
    <w:p>
      <w:pPr>
        <w:widowControl/>
        <w:ind w:firstLine="480"/>
        <w:jc w:val="left"/>
        <w:rPr>
          <w:rFonts w:hAnsi="Arial"/>
          <w:color w:val="auto"/>
          <w:kern w:val="0"/>
        </w:rPr>
      </w:pPr>
      <w:r>
        <w:rPr>
          <w:rFonts w:hAnsi="Arial"/>
          <w:color w:val="auto"/>
          <w:kern w:val="0"/>
        </w:rPr>
        <w:t>本项目声环境评价等级为</w:t>
      </w:r>
      <w:r>
        <w:rPr>
          <w:rFonts w:hint="eastAsia" w:hAnsi="Arial"/>
          <w:color w:val="auto"/>
          <w:kern w:val="0"/>
        </w:rPr>
        <w:t>二</w:t>
      </w:r>
      <w:r>
        <w:rPr>
          <w:rFonts w:hAnsi="Arial"/>
          <w:color w:val="auto"/>
          <w:kern w:val="0"/>
        </w:rPr>
        <w:t>级，评价范围为厂址边界外</w:t>
      </w:r>
      <w:r>
        <w:rPr>
          <w:color w:val="auto"/>
          <w:kern w:val="0"/>
        </w:rPr>
        <w:t>200m</w:t>
      </w:r>
      <w:r>
        <w:rPr>
          <w:rFonts w:hAnsi="Arial"/>
          <w:color w:val="auto"/>
          <w:kern w:val="0"/>
        </w:rPr>
        <w:t>。经预测分析，本项目厂界噪声可以满足《工业企业厂界环境噪声排放标准》（</w:t>
      </w:r>
      <w:r>
        <w:rPr>
          <w:color w:val="auto"/>
          <w:kern w:val="0"/>
        </w:rPr>
        <w:t>GB12348-2008</w:t>
      </w:r>
      <w:r>
        <w:rPr>
          <w:rFonts w:hAnsi="Arial"/>
          <w:color w:val="auto"/>
          <w:kern w:val="0"/>
        </w:rPr>
        <w:t>）</w:t>
      </w:r>
      <w:r>
        <w:rPr>
          <w:rFonts w:hint="eastAsia"/>
          <w:color w:val="auto"/>
          <w:kern w:val="0"/>
        </w:rPr>
        <w:t>2</w:t>
      </w:r>
      <w:r>
        <w:rPr>
          <w:rFonts w:hAnsi="Arial"/>
          <w:color w:val="auto"/>
          <w:kern w:val="0"/>
        </w:rPr>
        <w:t>类标准要求，同时周边声环境敏感点距本项目厂址距离</w:t>
      </w:r>
      <w:r>
        <w:rPr>
          <w:rFonts w:hint="eastAsia" w:hAnsi="Arial"/>
          <w:color w:val="auto"/>
          <w:kern w:val="0"/>
        </w:rPr>
        <w:t>超出</w:t>
      </w:r>
      <w:r>
        <w:rPr>
          <w:rFonts w:hAnsi="Arial"/>
          <w:color w:val="auto"/>
          <w:kern w:val="0"/>
        </w:rPr>
        <w:t>2</w:t>
      </w:r>
      <w:r>
        <w:rPr>
          <w:rFonts w:hint="eastAsia" w:hAnsi="Arial"/>
          <w:color w:val="auto"/>
          <w:kern w:val="0"/>
        </w:rPr>
        <w:t>00m</w:t>
      </w:r>
      <w:r>
        <w:rPr>
          <w:rFonts w:hAnsi="Arial"/>
          <w:color w:val="auto"/>
          <w:kern w:val="0"/>
        </w:rPr>
        <w:t>，本项目对区域声环境的影响</w:t>
      </w:r>
      <w:r>
        <w:rPr>
          <w:rFonts w:hint="eastAsia" w:hAnsi="Arial"/>
          <w:color w:val="auto"/>
          <w:kern w:val="0"/>
        </w:rPr>
        <w:t>在可接受范围内</w:t>
      </w:r>
      <w:r>
        <w:rPr>
          <w:rFonts w:hAnsi="Arial"/>
          <w:color w:val="auto"/>
          <w:kern w:val="0"/>
        </w:rPr>
        <w:t>。</w:t>
      </w:r>
    </w:p>
    <w:p>
      <w:pPr>
        <w:ind w:firstLine="480"/>
        <w:rPr>
          <w:color w:val="auto"/>
        </w:rPr>
      </w:pPr>
      <w:r>
        <w:rPr>
          <w:rFonts w:hint="eastAsia"/>
          <w:color w:val="auto"/>
        </w:rPr>
        <w:t>1.4.3.5固体废弃物环境影响分析判定情况</w:t>
      </w:r>
    </w:p>
    <w:p>
      <w:pPr>
        <w:widowControl/>
        <w:ind w:firstLine="480"/>
        <w:jc w:val="left"/>
        <w:rPr>
          <w:color w:val="auto"/>
          <w:kern w:val="0"/>
        </w:rPr>
      </w:pPr>
      <w:r>
        <w:rPr>
          <w:rFonts w:hint="eastAsia"/>
          <w:color w:val="auto"/>
          <w:kern w:val="0"/>
        </w:rPr>
        <w:t>本项目固废均得到综合利用或妥善处置，各类固体废弃物不会对环境产生明显不利影响。</w:t>
      </w:r>
    </w:p>
    <w:p>
      <w:pPr>
        <w:ind w:firstLine="480"/>
        <w:rPr>
          <w:color w:val="auto"/>
        </w:rPr>
      </w:pPr>
      <w:r>
        <w:rPr>
          <w:rFonts w:hint="eastAsia"/>
          <w:color w:val="auto"/>
        </w:rPr>
        <w:t>1.4.3.6环境风险分析判定情况</w:t>
      </w:r>
    </w:p>
    <w:p>
      <w:pPr>
        <w:ind w:firstLine="480"/>
        <w:rPr>
          <w:color w:val="auto"/>
        </w:rPr>
      </w:pPr>
      <w:r>
        <w:rPr>
          <w:rFonts w:hint="eastAsia"/>
          <w:color w:val="auto"/>
        </w:rPr>
        <w:t>本项目环境风险评价等级为简单分析。经分析，本项目环境风险主要表现在沼气发生泄漏或者燃烧爆炸，对环境空气产生的影响。在严格落实本环评提出的各项风险防范措施和事故应急预案后，该项目发生风险事故的可能进一步降低，其潜在的环境风险是可以接受的。</w:t>
      </w:r>
    </w:p>
    <w:p>
      <w:pPr>
        <w:ind w:firstLine="480"/>
        <w:rPr>
          <w:color w:val="auto"/>
        </w:rPr>
      </w:pPr>
      <w:r>
        <w:rPr>
          <w:rFonts w:hint="eastAsia"/>
          <w:color w:val="auto"/>
        </w:rPr>
        <w:t>1.4.3.7土壤环境影响分析判定情况</w:t>
      </w:r>
    </w:p>
    <w:p>
      <w:pPr>
        <w:widowControl/>
        <w:ind w:firstLine="480"/>
        <w:jc w:val="left"/>
        <w:rPr>
          <w:color w:val="auto"/>
        </w:rPr>
      </w:pPr>
      <w:r>
        <w:rPr>
          <w:rFonts w:hint="eastAsia"/>
          <w:color w:val="auto"/>
        </w:rPr>
        <w:t>本项目土壤评价等级为三级。</w:t>
      </w:r>
      <w:r>
        <w:rPr>
          <w:rFonts w:hint="eastAsia" w:ascii="宋体" w:hAnsi="宋体" w:cs="宋体"/>
          <w:color w:val="auto"/>
          <w:kern w:val="0"/>
          <w:lang w:bidi="ar"/>
        </w:rPr>
        <w:t>在采取相应的防渗措施后，满足《畜禽养殖业污染防治技术规范》（</w:t>
      </w:r>
      <w:r>
        <w:rPr>
          <w:color w:val="auto"/>
          <w:kern w:val="0"/>
          <w:lang w:bidi="ar"/>
        </w:rPr>
        <w:t>HJ/T81-2001</w:t>
      </w:r>
      <w:r>
        <w:rPr>
          <w:rFonts w:hint="eastAsia" w:ascii="宋体" w:hAnsi="宋体" w:cs="宋体"/>
          <w:color w:val="auto"/>
          <w:kern w:val="0"/>
          <w:lang w:bidi="ar"/>
        </w:rPr>
        <w:t>）要求。综上分析，本项目对土壤环境影响较小，对土壤环境的影响可接受。</w:t>
      </w:r>
    </w:p>
    <w:p>
      <w:pPr>
        <w:ind w:firstLine="480"/>
        <w:rPr>
          <w:color w:val="auto"/>
        </w:rPr>
      </w:pPr>
      <w:r>
        <w:rPr>
          <w:rFonts w:hint="eastAsia"/>
          <w:color w:val="auto"/>
        </w:rPr>
        <w:t>1.4.3.8施工期环境影响分析判定情况</w:t>
      </w:r>
    </w:p>
    <w:p>
      <w:pPr>
        <w:ind w:firstLine="468"/>
        <w:rPr>
          <w:color w:val="auto"/>
          <w:spacing w:val="-3"/>
        </w:rPr>
      </w:pPr>
      <w:r>
        <w:rPr>
          <w:rFonts w:hint="eastAsia"/>
          <w:color w:val="auto"/>
          <w:spacing w:val="-3"/>
        </w:rPr>
        <w:t>本项目施工期主要影响包括施工活动及运输产生的扬尘、施工机械及运输车辆产生的噪声、施工废水、施工人员产生的生活污水、施工工程产生的废渣和生活垃圾等固体废弃物。项目拟采取洒水、物料堆场覆盖、合理安排作业时间、修建沉淀池等措施等，可以有效降低项目施工对环境的不利影响，其影响程度可以接受。</w:t>
      </w:r>
    </w:p>
    <w:p>
      <w:pPr>
        <w:pStyle w:val="6"/>
        <w:rPr>
          <w:color w:val="auto"/>
        </w:rPr>
      </w:pPr>
      <w:r>
        <w:rPr>
          <w:rFonts w:hint="eastAsia"/>
          <w:color w:val="auto"/>
        </w:rPr>
        <w:t>1.</w:t>
      </w:r>
      <w:r>
        <w:rPr>
          <w:rFonts w:hint="eastAsia"/>
          <w:color w:val="auto"/>
          <w:lang w:val="en-US"/>
        </w:rPr>
        <w:t>4</w:t>
      </w:r>
      <w:r>
        <w:rPr>
          <w:rFonts w:hint="eastAsia"/>
          <w:color w:val="auto"/>
        </w:rPr>
        <w:t>.4厂址可行性分析判定</w:t>
      </w:r>
    </w:p>
    <w:p>
      <w:pPr>
        <w:widowControl/>
        <w:ind w:firstLine="480"/>
        <w:jc w:val="left"/>
        <w:rPr>
          <w:rFonts w:ascii="宋体" w:hAnsi="宋体" w:cs="宋体"/>
          <w:color w:val="auto"/>
          <w:kern w:val="0"/>
        </w:rPr>
      </w:pPr>
      <w:r>
        <w:rPr>
          <w:rFonts w:hint="eastAsia" w:ascii="宋体" w:hAnsi="宋体" w:cs="宋体"/>
          <w:color w:val="auto"/>
          <w:kern w:val="0"/>
        </w:rPr>
        <w:t>项目选址符合濮阳县城乡总体规划、濮阳县人民政府出具的《《濮阳县人民政府办公室关于印发濮阳县畜禽养殖禁养区限养区划分调整方案的通知》及《畜禽养殖业污染防治技术规范》（</w:t>
      </w:r>
      <w:r>
        <w:rPr>
          <w:rFonts w:ascii="TimesNewRomanPSMT" w:hAnsi="TimesNewRomanPSMT" w:eastAsia="TimesNewRomanPSMT" w:cs="TimesNewRomanPSMT"/>
          <w:color w:val="auto"/>
          <w:kern w:val="0"/>
        </w:rPr>
        <w:t>HJ/T81—2001</w:t>
      </w:r>
      <w:r>
        <w:rPr>
          <w:rFonts w:hint="eastAsia" w:ascii="宋体" w:hAnsi="宋体" w:cs="宋体"/>
          <w:color w:val="auto"/>
          <w:kern w:val="0"/>
        </w:rPr>
        <w:t>）的相关要求，该厂址具有较好的区位优势，厂区平面布置比较合理，污染物对周围环境无超标影响。评价综合分析后认为，从环保角度考虑，本项目在该地建设可行。</w:t>
      </w:r>
    </w:p>
    <w:p>
      <w:pPr>
        <w:widowControl/>
        <w:ind w:firstLine="480"/>
        <w:jc w:val="left"/>
        <w:rPr>
          <w:color w:val="auto"/>
        </w:rPr>
      </w:pPr>
      <w:r>
        <w:rPr>
          <w:rFonts w:hint="eastAsia" w:ascii="宋体" w:hAnsi="宋体" w:cs="宋体"/>
          <w:color w:val="auto"/>
          <w:kern w:val="0"/>
        </w:rPr>
        <w:t>本项目厂区平面布置实行生产区、办公区与污染治理区的三区分离，根据厂区现状布置情况，评价认为项目厂址平面布置可行，同时，要求建设时应严格按照《畜禽养殖业污染防治技术规范》（</w:t>
      </w:r>
      <w:r>
        <w:rPr>
          <w:rFonts w:ascii="TimesNewRomanPSMT" w:hAnsi="TimesNewRomanPSMT" w:eastAsia="TimesNewRomanPSMT" w:cs="TimesNewRomanPSMT"/>
          <w:color w:val="auto"/>
          <w:kern w:val="0"/>
        </w:rPr>
        <w:t>HJ/T81—2001</w:t>
      </w:r>
      <w:r>
        <w:rPr>
          <w:rFonts w:hint="eastAsia" w:ascii="宋体" w:hAnsi="宋体" w:cs="宋体"/>
          <w:color w:val="auto"/>
          <w:kern w:val="0"/>
        </w:rPr>
        <w:t>）要求进行布置。</w:t>
      </w:r>
    </w:p>
    <w:p>
      <w:pPr>
        <w:pStyle w:val="32"/>
        <w:spacing w:line="360" w:lineRule="auto"/>
        <w:rPr>
          <w:color w:val="auto"/>
        </w:rPr>
      </w:pPr>
      <w:bookmarkStart w:id="98" w:name="_Toc24227"/>
      <w:bookmarkStart w:id="99" w:name="_Toc1178"/>
      <w:r>
        <w:rPr>
          <w:rFonts w:hint="eastAsia"/>
          <w:color w:val="auto"/>
        </w:rPr>
        <w:t xml:space="preserve">1.5 </w:t>
      </w:r>
      <w:bookmarkStart w:id="100" w:name="_Toc477187199"/>
      <w:bookmarkStart w:id="101" w:name="_Toc476921779"/>
      <w:bookmarkStart w:id="102" w:name="_Toc485578878"/>
      <w:bookmarkStart w:id="103" w:name="_Toc477160784"/>
      <w:r>
        <w:rPr>
          <w:rFonts w:hint="eastAsia"/>
          <w:color w:val="auto"/>
        </w:rPr>
        <w:t>关注的主要问题</w:t>
      </w:r>
      <w:bookmarkEnd w:id="98"/>
      <w:bookmarkEnd w:id="99"/>
      <w:bookmarkEnd w:id="100"/>
      <w:bookmarkEnd w:id="101"/>
      <w:bookmarkEnd w:id="102"/>
      <w:bookmarkEnd w:id="103"/>
    </w:p>
    <w:p>
      <w:pPr>
        <w:widowControl/>
        <w:ind w:firstLine="480"/>
        <w:jc w:val="left"/>
        <w:rPr>
          <w:color w:val="auto"/>
          <w:kern w:val="0"/>
        </w:rPr>
      </w:pPr>
      <w:r>
        <w:rPr>
          <w:rFonts w:hAnsi="Arial"/>
          <w:color w:val="auto"/>
          <w:kern w:val="0"/>
        </w:rPr>
        <w:t>根据对项目工程分析及选址环境特征，确定本项目环境影响评价的重点如下：</w:t>
      </w:r>
    </w:p>
    <w:p>
      <w:pPr>
        <w:widowControl/>
        <w:ind w:firstLine="480"/>
        <w:jc w:val="left"/>
        <w:rPr>
          <w:color w:val="auto"/>
          <w:kern w:val="0"/>
        </w:rPr>
      </w:pPr>
      <w:r>
        <w:rPr>
          <w:rFonts w:hAnsi="Arial"/>
          <w:color w:val="auto"/>
          <w:kern w:val="0"/>
        </w:rPr>
        <w:t>（</w:t>
      </w:r>
      <w:r>
        <w:rPr>
          <w:color w:val="auto"/>
          <w:kern w:val="0"/>
        </w:rPr>
        <w:t>1</w:t>
      </w:r>
      <w:r>
        <w:rPr>
          <w:rFonts w:hAnsi="Arial"/>
          <w:color w:val="auto"/>
          <w:kern w:val="0"/>
        </w:rPr>
        <w:t>）工程分析</w:t>
      </w:r>
      <w:r>
        <w:rPr>
          <w:rFonts w:hint="eastAsia" w:hAnsi="Arial"/>
          <w:color w:val="auto"/>
          <w:kern w:val="0"/>
        </w:rPr>
        <w:t>：</w:t>
      </w:r>
      <w:r>
        <w:rPr>
          <w:rFonts w:hAnsi="Arial"/>
          <w:color w:val="auto"/>
          <w:kern w:val="0"/>
        </w:rPr>
        <w:t>针对养殖行业特点，调查分析废气、废水、固废等的污染物特性，重点核实项目污染物的排放源强和排放特征；</w:t>
      </w:r>
    </w:p>
    <w:p>
      <w:pPr>
        <w:widowControl/>
        <w:ind w:firstLine="480"/>
        <w:jc w:val="left"/>
        <w:rPr>
          <w:color w:val="auto"/>
          <w:kern w:val="0"/>
        </w:rPr>
      </w:pPr>
      <w:r>
        <w:rPr>
          <w:rFonts w:hAnsi="Arial"/>
          <w:color w:val="auto"/>
          <w:kern w:val="0"/>
        </w:rPr>
        <w:t>（</w:t>
      </w:r>
      <w:r>
        <w:rPr>
          <w:color w:val="auto"/>
          <w:kern w:val="0"/>
        </w:rPr>
        <w:t>2</w:t>
      </w:r>
      <w:r>
        <w:rPr>
          <w:rFonts w:hAnsi="Arial"/>
          <w:color w:val="auto"/>
          <w:kern w:val="0"/>
        </w:rPr>
        <w:t>）环境影响预测和评价：核实项目污染物的排放源强和排放特征，预测</w:t>
      </w:r>
      <w:r>
        <w:rPr>
          <w:rFonts w:hint="eastAsia" w:hAnsi="Arial"/>
          <w:color w:val="auto"/>
          <w:kern w:val="0"/>
        </w:rPr>
        <w:t>分析</w:t>
      </w:r>
      <w:r>
        <w:rPr>
          <w:rFonts w:hAnsi="Arial"/>
          <w:color w:val="auto"/>
          <w:kern w:val="0"/>
        </w:rPr>
        <w:t>项目建设完成后对评价区环境的影响范围和程度；</w:t>
      </w:r>
    </w:p>
    <w:p>
      <w:pPr>
        <w:widowControl/>
        <w:ind w:firstLine="480"/>
        <w:jc w:val="left"/>
        <w:rPr>
          <w:color w:val="auto"/>
          <w:kern w:val="0"/>
        </w:rPr>
      </w:pPr>
      <w:r>
        <w:rPr>
          <w:rFonts w:hAnsi="Arial"/>
          <w:color w:val="auto"/>
          <w:kern w:val="0"/>
        </w:rPr>
        <w:t>（</w:t>
      </w:r>
      <w:r>
        <w:rPr>
          <w:color w:val="auto"/>
          <w:kern w:val="0"/>
        </w:rPr>
        <w:t>3</w:t>
      </w:r>
      <w:r>
        <w:rPr>
          <w:rFonts w:hAnsi="Arial"/>
          <w:color w:val="auto"/>
          <w:kern w:val="0"/>
        </w:rPr>
        <w:t>）污染防治措施及技术经济论证：根据建设项目产生的污染物特点，充分分析污染治理措施的技术先进性、经济合理性及运行的可靠性、农养一体化实施的可靠性，提出相应的对策和措施建议。</w:t>
      </w:r>
    </w:p>
    <w:p>
      <w:pPr>
        <w:widowControl/>
        <w:ind w:firstLine="480"/>
        <w:jc w:val="left"/>
        <w:rPr>
          <w:color w:val="auto"/>
          <w:kern w:val="0"/>
        </w:rPr>
      </w:pPr>
      <w:r>
        <w:rPr>
          <w:rFonts w:hAnsi="Arial"/>
          <w:color w:val="auto"/>
          <w:kern w:val="0"/>
        </w:rPr>
        <w:t>（</w:t>
      </w:r>
      <w:r>
        <w:rPr>
          <w:color w:val="auto"/>
          <w:kern w:val="0"/>
        </w:rPr>
        <w:t>4</w:t>
      </w:r>
      <w:r>
        <w:rPr>
          <w:rFonts w:hAnsi="Arial"/>
          <w:color w:val="auto"/>
          <w:kern w:val="0"/>
        </w:rPr>
        <w:t>）项目选址可行性：根据《畜禽养殖业污染防治技术规范》（</w:t>
      </w:r>
      <w:r>
        <w:rPr>
          <w:color w:val="auto"/>
          <w:kern w:val="0"/>
        </w:rPr>
        <w:t>HJ/T81</w:t>
      </w:r>
      <w:r>
        <w:rPr>
          <w:rFonts w:hint="eastAsia"/>
          <w:color w:val="auto"/>
          <w:kern w:val="0"/>
        </w:rPr>
        <w:t>-</w:t>
      </w:r>
      <w:r>
        <w:rPr>
          <w:color w:val="auto"/>
          <w:kern w:val="0"/>
        </w:rPr>
        <w:t>2001</w:t>
      </w:r>
      <w:r>
        <w:rPr>
          <w:rFonts w:hAnsi="Arial"/>
          <w:color w:val="auto"/>
          <w:kern w:val="0"/>
        </w:rPr>
        <w:t>），以及</w:t>
      </w:r>
      <w:r>
        <w:rPr>
          <w:rFonts w:hint="eastAsia" w:ascii="宋体" w:hAnsi="宋体" w:cs="宋体"/>
          <w:color w:val="auto"/>
          <w:kern w:val="0"/>
        </w:rPr>
        <w:t>濮阳县人民政府出具的《关于印发濮阳县畜禽养殖禁养区限养区划分调整方案的通知》</w:t>
      </w:r>
      <w:r>
        <w:rPr>
          <w:rFonts w:hAnsi="Arial"/>
          <w:color w:val="auto"/>
          <w:kern w:val="0"/>
        </w:rPr>
        <w:t>的选址要求，充分论证本项目场址选址的合理性及可行性。</w:t>
      </w:r>
    </w:p>
    <w:p>
      <w:pPr>
        <w:pStyle w:val="32"/>
        <w:rPr>
          <w:color w:val="auto"/>
        </w:rPr>
      </w:pPr>
      <w:bookmarkStart w:id="104" w:name="_Toc10916"/>
      <w:bookmarkStart w:id="105" w:name="_Toc4238"/>
      <w:r>
        <w:rPr>
          <w:rFonts w:hint="eastAsia"/>
          <w:color w:val="auto"/>
        </w:rPr>
        <w:t xml:space="preserve">1.6 </w:t>
      </w:r>
      <w:bookmarkStart w:id="106" w:name="_Toc477187200"/>
      <w:bookmarkStart w:id="107" w:name="_Toc485578879"/>
      <w:bookmarkStart w:id="108" w:name="_Toc476921780"/>
      <w:bookmarkStart w:id="109" w:name="_Toc477160785"/>
      <w:r>
        <w:rPr>
          <w:rFonts w:hint="eastAsia"/>
          <w:color w:val="auto"/>
        </w:rPr>
        <w:t>结论</w:t>
      </w:r>
      <w:bookmarkEnd w:id="104"/>
      <w:bookmarkEnd w:id="105"/>
      <w:bookmarkEnd w:id="106"/>
      <w:bookmarkEnd w:id="107"/>
      <w:bookmarkEnd w:id="108"/>
      <w:bookmarkEnd w:id="109"/>
    </w:p>
    <w:bookmarkEnd w:id="95"/>
    <w:bookmarkEnd w:id="96"/>
    <w:bookmarkEnd w:id="97"/>
    <w:p>
      <w:pPr>
        <w:widowControl/>
        <w:ind w:firstLine="480"/>
        <w:jc w:val="left"/>
        <w:rPr>
          <w:color w:val="auto"/>
          <w:kern w:val="0"/>
        </w:rPr>
      </w:pPr>
      <w:r>
        <w:rPr>
          <w:rFonts w:hAnsi="Arial"/>
          <w:color w:val="auto"/>
          <w:kern w:val="0"/>
        </w:rPr>
        <w:t>（</w:t>
      </w:r>
      <w:r>
        <w:rPr>
          <w:color w:val="auto"/>
          <w:kern w:val="0"/>
        </w:rPr>
        <w:t>1</w:t>
      </w:r>
      <w:r>
        <w:rPr>
          <w:rFonts w:hAnsi="Arial"/>
          <w:color w:val="auto"/>
          <w:kern w:val="0"/>
        </w:rPr>
        <w:t>）项目建设符合国家产业政策和环保政策；</w:t>
      </w:r>
    </w:p>
    <w:p>
      <w:pPr>
        <w:widowControl/>
        <w:ind w:firstLine="480"/>
        <w:jc w:val="left"/>
        <w:rPr>
          <w:color w:val="auto"/>
          <w:kern w:val="0"/>
        </w:rPr>
      </w:pPr>
      <w:r>
        <w:rPr>
          <w:rFonts w:hAnsi="Arial"/>
          <w:color w:val="auto"/>
          <w:kern w:val="0"/>
        </w:rPr>
        <w:t>（</w:t>
      </w:r>
      <w:r>
        <w:rPr>
          <w:rFonts w:hint="eastAsia"/>
          <w:color w:val="auto"/>
          <w:kern w:val="0"/>
        </w:rPr>
        <w:t>2</w:t>
      </w:r>
      <w:r>
        <w:rPr>
          <w:rFonts w:hAnsi="Arial"/>
          <w:color w:val="auto"/>
          <w:kern w:val="0"/>
        </w:rPr>
        <w:t>）项目建设用地为规划的</w:t>
      </w:r>
      <w:r>
        <w:rPr>
          <w:rFonts w:hint="eastAsia" w:hAnsi="Arial"/>
          <w:color w:val="auto"/>
          <w:kern w:val="0"/>
        </w:rPr>
        <w:t>一般耕地</w:t>
      </w:r>
      <w:r>
        <w:rPr>
          <w:rFonts w:hAnsi="Arial"/>
          <w:color w:val="auto"/>
          <w:kern w:val="0"/>
        </w:rPr>
        <w:t>，用地性质符合规划要求；</w:t>
      </w:r>
    </w:p>
    <w:p>
      <w:pPr>
        <w:widowControl/>
        <w:ind w:firstLine="480"/>
        <w:jc w:val="left"/>
        <w:rPr>
          <w:color w:val="auto"/>
          <w:kern w:val="0"/>
        </w:rPr>
      </w:pPr>
      <w:r>
        <w:rPr>
          <w:rFonts w:hAnsi="Arial"/>
          <w:color w:val="auto"/>
          <w:kern w:val="0"/>
        </w:rPr>
        <w:t>（</w:t>
      </w:r>
      <w:r>
        <w:rPr>
          <w:rFonts w:hint="eastAsia"/>
          <w:color w:val="auto"/>
          <w:kern w:val="0"/>
        </w:rPr>
        <w:t>3</w:t>
      </w:r>
      <w:r>
        <w:rPr>
          <w:rFonts w:hAnsi="Arial"/>
          <w:color w:val="auto"/>
          <w:kern w:val="0"/>
        </w:rPr>
        <w:t>）项目拟选</w:t>
      </w:r>
      <w:r>
        <w:rPr>
          <w:rFonts w:hint="eastAsia" w:hAnsi="Arial"/>
          <w:color w:val="auto"/>
          <w:kern w:val="0"/>
        </w:rPr>
        <w:t>场址符合</w:t>
      </w:r>
      <w:r>
        <w:rPr>
          <w:rFonts w:hint="eastAsia"/>
          <w:color w:val="auto"/>
          <w:szCs w:val="20"/>
        </w:rPr>
        <w:t>《河南省畜牧业“十三五”发展规划》</w:t>
      </w:r>
      <w:r>
        <w:rPr>
          <w:rFonts w:hAnsi="Arial"/>
          <w:color w:val="auto"/>
          <w:kern w:val="0"/>
        </w:rPr>
        <w:t>要求；</w:t>
      </w:r>
    </w:p>
    <w:p>
      <w:pPr>
        <w:widowControl/>
        <w:ind w:firstLine="480"/>
        <w:jc w:val="left"/>
        <w:rPr>
          <w:color w:val="auto"/>
          <w:kern w:val="0"/>
        </w:rPr>
      </w:pPr>
      <w:r>
        <w:rPr>
          <w:rFonts w:hAnsi="Arial"/>
          <w:color w:val="auto"/>
          <w:kern w:val="0"/>
        </w:rPr>
        <w:t>（</w:t>
      </w:r>
      <w:r>
        <w:rPr>
          <w:rFonts w:hint="eastAsia"/>
          <w:color w:val="auto"/>
          <w:kern w:val="0"/>
        </w:rPr>
        <w:t>4</w:t>
      </w:r>
      <w:r>
        <w:rPr>
          <w:rFonts w:hAnsi="Arial"/>
          <w:color w:val="auto"/>
          <w:kern w:val="0"/>
        </w:rPr>
        <w:t>）项目距离当地饮用水水源距离较远，不会对其产生明显不利影响；</w:t>
      </w:r>
    </w:p>
    <w:p>
      <w:pPr>
        <w:widowControl/>
        <w:ind w:firstLine="480"/>
        <w:jc w:val="left"/>
        <w:rPr>
          <w:color w:val="auto"/>
          <w:kern w:val="0"/>
        </w:rPr>
      </w:pPr>
      <w:r>
        <w:rPr>
          <w:rFonts w:hAnsi="Arial"/>
          <w:color w:val="auto"/>
          <w:kern w:val="0"/>
        </w:rPr>
        <w:t>（</w:t>
      </w:r>
      <w:r>
        <w:rPr>
          <w:rFonts w:hint="eastAsia"/>
          <w:color w:val="auto"/>
          <w:kern w:val="0"/>
        </w:rPr>
        <w:t>5</w:t>
      </w:r>
      <w:r>
        <w:rPr>
          <w:rFonts w:hAnsi="Arial"/>
          <w:color w:val="auto"/>
          <w:kern w:val="0"/>
        </w:rPr>
        <w:t>）从项目的生产工艺装备水平和资源、能源利用水平来分析，总体可达到清洁生产国内先进水平；</w:t>
      </w:r>
    </w:p>
    <w:p>
      <w:pPr>
        <w:widowControl/>
        <w:ind w:firstLine="480"/>
        <w:jc w:val="left"/>
        <w:rPr>
          <w:color w:val="auto"/>
          <w:kern w:val="0"/>
        </w:rPr>
      </w:pPr>
      <w:r>
        <w:rPr>
          <w:rFonts w:hAnsi="Arial"/>
          <w:color w:val="auto"/>
          <w:kern w:val="0"/>
        </w:rPr>
        <w:t>（</w:t>
      </w:r>
      <w:r>
        <w:rPr>
          <w:rFonts w:hint="eastAsia"/>
          <w:color w:val="auto"/>
          <w:kern w:val="0"/>
        </w:rPr>
        <w:t>6</w:t>
      </w:r>
      <w:r>
        <w:rPr>
          <w:rFonts w:hAnsi="Arial"/>
          <w:color w:val="auto"/>
          <w:kern w:val="0"/>
        </w:rPr>
        <w:t>）项目过程控制和污染防治技术较完备，污染防治措施可行，在实施了可行性研究报告和本环评提出的污染治理措施后，各污染物均可以做到稳定、达标排放；</w:t>
      </w:r>
    </w:p>
    <w:p>
      <w:pPr>
        <w:widowControl/>
        <w:ind w:firstLine="480"/>
        <w:jc w:val="left"/>
        <w:rPr>
          <w:color w:val="auto"/>
          <w:kern w:val="0"/>
        </w:rPr>
      </w:pPr>
      <w:r>
        <w:rPr>
          <w:rFonts w:hAnsi="Arial"/>
          <w:color w:val="auto"/>
          <w:kern w:val="0"/>
        </w:rPr>
        <w:t>（</w:t>
      </w:r>
      <w:r>
        <w:rPr>
          <w:rFonts w:hint="eastAsia"/>
          <w:color w:val="auto"/>
          <w:kern w:val="0"/>
        </w:rPr>
        <w:t>7</w:t>
      </w:r>
      <w:r>
        <w:rPr>
          <w:rFonts w:hAnsi="Arial"/>
          <w:color w:val="auto"/>
          <w:kern w:val="0"/>
        </w:rPr>
        <w:t>）项目对区域环境空气、地表水、地下水、声环境和土壤环境的影响可以接受，因突发事故引起的环境风险在可接受范围内；</w:t>
      </w:r>
    </w:p>
    <w:p>
      <w:pPr>
        <w:widowControl/>
        <w:ind w:firstLine="480"/>
        <w:jc w:val="left"/>
        <w:rPr>
          <w:color w:val="auto"/>
          <w:kern w:val="0"/>
        </w:rPr>
      </w:pPr>
      <w:r>
        <w:rPr>
          <w:rFonts w:hAnsi="Arial"/>
          <w:color w:val="auto"/>
          <w:kern w:val="0"/>
        </w:rPr>
        <w:t>（</w:t>
      </w:r>
      <w:r>
        <w:rPr>
          <w:rFonts w:hint="eastAsia"/>
          <w:color w:val="auto"/>
          <w:kern w:val="0"/>
        </w:rPr>
        <w:t>8</w:t>
      </w:r>
      <w:r>
        <w:rPr>
          <w:rFonts w:hAnsi="Arial"/>
          <w:color w:val="auto"/>
          <w:kern w:val="0"/>
        </w:rPr>
        <w:t>）</w:t>
      </w:r>
      <w:r>
        <w:rPr>
          <w:rFonts w:hint="eastAsia" w:hAnsi="Arial"/>
          <w:color w:val="auto"/>
          <w:kern w:val="0"/>
        </w:rPr>
        <w:t>项目卫生</w:t>
      </w:r>
      <w:r>
        <w:rPr>
          <w:rFonts w:hAnsi="Arial"/>
          <w:color w:val="auto"/>
          <w:kern w:val="0"/>
        </w:rPr>
        <w:t>防护距离为</w:t>
      </w:r>
      <w:r>
        <w:rPr>
          <w:rFonts w:hint="eastAsia"/>
          <w:color w:val="auto"/>
          <w:kern w:val="0"/>
        </w:rPr>
        <w:t>5</w:t>
      </w:r>
      <w:r>
        <w:rPr>
          <w:color w:val="auto"/>
          <w:kern w:val="0"/>
        </w:rPr>
        <w:t>00m</w:t>
      </w:r>
      <w:r>
        <w:rPr>
          <w:rFonts w:hAnsi="Arial"/>
          <w:color w:val="auto"/>
          <w:kern w:val="0"/>
        </w:rPr>
        <w:t>，环境防护距离内没有居住区、基本农田保护区等环境敏感点；</w:t>
      </w:r>
    </w:p>
    <w:p>
      <w:pPr>
        <w:widowControl/>
        <w:ind w:firstLine="480"/>
        <w:jc w:val="left"/>
        <w:rPr>
          <w:color w:val="auto"/>
          <w:kern w:val="0"/>
        </w:rPr>
      </w:pPr>
      <w:r>
        <w:rPr>
          <w:rFonts w:hAnsi="Arial"/>
          <w:color w:val="auto"/>
          <w:kern w:val="0"/>
        </w:rPr>
        <w:t>（</w:t>
      </w:r>
      <w:r>
        <w:rPr>
          <w:rFonts w:hint="eastAsia" w:hAnsi="Arial"/>
          <w:color w:val="auto"/>
          <w:kern w:val="0"/>
        </w:rPr>
        <w:t>9</w:t>
      </w:r>
      <w:r>
        <w:rPr>
          <w:rFonts w:hAnsi="Arial"/>
          <w:color w:val="auto"/>
          <w:kern w:val="0"/>
        </w:rPr>
        <w:t>）当地政府承诺不在该项目卫生防护距离内布置新的环境敏感点。</w:t>
      </w:r>
    </w:p>
    <w:p>
      <w:pPr>
        <w:widowControl/>
        <w:ind w:firstLine="480"/>
        <w:jc w:val="left"/>
        <w:rPr>
          <w:rFonts w:hAnsi="Arial"/>
          <w:color w:val="auto"/>
          <w:kern w:val="0"/>
        </w:rPr>
      </w:pPr>
    </w:p>
    <w:p>
      <w:pPr>
        <w:widowControl/>
        <w:ind w:firstLine="482"/>
        <w:jc w:val="left"/>
        <w:rPr>
          <w:b/>
          <w:color w:val="auto"/>
          <w:kern w:val="0"/>
        </w:rPr>
      </w:pPr>
      <w:r>
        <w:rPr>
          <w:rFonts w:hAnsi="Arial"/>
          <w:b/>
          <w:color w:val="auto"/>
          <w:kern w:val="0"/>
        </w:rPr>
        <w:t>综上所述，</w:t>
      </w:r>
      <w:r>
        <w:rPr>
          <w:rFonts w:hint="eastAsia" w:hAnsi="Arial"/>
          <w:b/>
          <w:color w:val="auto"/>
          <w:kern w:val="0"/>
        </w:rPr>
        <w:t>濮阳县牧原农牧有限公司濮阳县三厂生猪养殖项目（年出</w:t>
      </w:r>
      <w:r>
        <w:rPr>
          <w:rFonts w:hAnsi="Arial"/>
          <w:b/>
          <w:color w:val="auto"/>
          <w:kern w:val="0"/>
        </w:rPr>
        <w:t>栏5万</w:t>
      </w:r>
      <w:r>
        <w:rPr>
          <w:rFonts w:hint="eastAsia" w:hAnsi="Arial"/>
          <w:b/>
          <w:color w:val="auto"/>
          <w:kern w:val="0"/>
        </w:rPr>
        <w:t>头生猪）</w:t>
      </w:r>
      <w:r>
        <w:rPr>
          <w:rFonts w:hAnsi="Arial"/>
          <w:b/>
          <w:color w:val="auto"/>
          <w:kern w:val="0"/>
        </w:rPr>
        <w:t>在认真执行</w:t>
      </w:r>
      <w:r>
        <w:rPr>
          <w:b/>
          <w:color w:val="auto"/>
          <w:kern w:val="0"/>
        </w:rPr>
        <w:t>“</w:t>
      </w:r>
      <w:r>
        <w:rPr>
          <w:rFonts w:hAnsi="Arial"/>
          <w:b/>
          <w:color w:val="auto"/>
          <w:kern w:val="0"/>
        </w:rPr>
        <w:t>三同时</w:t>
      </w:r>
      <w:r>
        <w:rPr>
          <w:b/>
          <w:color w:val="auto"/>
          <w:kern w:val="0"/>
        </w:rPr>
        <w:t>”</w:t>
      </w:r>
      <w:r>
        <w:rPr>
          <w:rFonts w:hAnsi="Arial"/>
          <w:b/>
          <w:color w:val="auto"/>
          <w:kern w:val="0"/>
        </w:rPr>
        <w:t>制度，落实评价提出的污染物防治措施及建议的前提下，从环保的角度考虑，该项目的建设可行。</w:t>
      </w:r>
    </w:p>
    <w:p>
      <w:pPr>
        <w:pStyle w:val="5"/>
        <w:spacing w:before="100" w:beforeAutospacing="1" w:after="100" w:afterAutospacing="1"/>
        <w:ind w:firstLine="0" w:firstLineChars="0"/>
        <w:jc w:val="center"/>
        <w:rPr>
          <w:rFonts w:ascii="黑体" w:hAnsi="黑体"/>
          <w:bCs w:val="0"/>
          <w:color w:val="auto"/>
          <w:sz w:val="44"/>
          <w:szCs w:val="44"/>
        </w:rPr>
        <w:sectPr>
          <w:headerReference r:id="rId5" w:type="default"/>
          <w:footerReference r:id="rId6" w:type="default"/>
          <w:pgSz w:w="11906" w:h="16838"/>
          <w:pgMar w:top="1984" w:right="1757" w:bottom="1701" w:left="1871" w:header="851" w:footer="992" w:gutter="0"/>
          <w:pgNumType w:start="1"/>
          <w:cols w:space="720" w:num="1"/>
          <w:docGrid w:linePitch="312" w:charSpace="0"/>
        </w:sectPr>
      </w:pPr>
      <w:bookmarkStart w:id="110" w:name="_Toc413827922"/>
      <w:bookmarkStart w:id="111" w:name="_Toc19539"/>
      <w:bookmarkStart w:id="112" w:name="_Toc15624"/>
      <w:bookmarkStart w:id="113" w:name="_Toc441490820"/>
      <w:bookmarkStart w:id="114" w:name="_Toc345417232"/>
    </w:p>
    <w:p>
      <w:pPr>
        <w:pStyle w:val="5"/>
        <w:spacing w:before="100" w:beforeAutospacing="1" w:after="100" w:afterAutospacing="1"/>
        <w:ind w:firstLine="0" w:firstLineChars="0"/>
        <w:jc w:val="center"/>
        <w:rPr>
          <w:rFonts w:ascii="黑体" w:hAnsi="黑体"/>
          <w:bCs w:val="0"/>
          <w:color w:val="auto"/>
          <w:sz w:val="44"/>
          <w:szCs w:val="44"/>
        </w:rPr>
      </w:pPr>
      <w:r>
        <w:rPr>
          <w:rFonts w:hint="eastAsia" w:ascii="黑体" w:hAnsi="黑体"/>
          <w:bCs w:val="0"/>
          <w:color w:val="auto"/>
          <w:sz w:val="44"/>
          <w:szCs w:val="44"/>
        </w:rPr>
        <w:t>第二章  总论</w:t>
      </w:r>
      <w:bookmarkEnd w:id="110"/>
      <w:bookmarkEnd w:id="111"/>
      <w:bookmarkEnd w:id="112"/>
      <w:bookmarkEnd w:id="113"/>
    </w:p>
    <w:bookmarkEnd w:id="114"/>
    <w:p>
      <w:pPr>
        <w:pStyle w:val="32"/>
        <w:rPr>
          <w:color w:val="auto"/>
        </w:rPr>
      </w:pPr>
      <w:bookmarkStart w:id="115" w:name="_Toc23057"/>
      <w:bookmarkStart w:id="116" w:name="_Toc402441857"/>
      <w:bookmarkStart w:id="117" w:name="_Toc441490822"/>
      <w:bookmarkStart w:id="118" w:name="_Toc413827924"/>
      <w:bookmarkStart w:id="119" w:name="_Toc18132"/>
      <w:r>
        <w:rPr>
          <w:color w:val="auto"/>
        </w:rPr>
        <w:t>2.1 编制依据</w:t>
      </w:r>
      <w:bookmarkEnd w:id="115"/>
      <w:bookmarkEnd w:id="116"/>
      <w:bookmarkEnd w:id="117"/>
      <w:bookmarkEnd w:id="118"/>
      <w:bookmarkEnd w:id="119"/>
    </w:p>
    <w:p>
      <w:pPr>
        <w:pStyle w:val="6"/>
        <w:rPr>
          <w:color w:val="auto"/>
        </w:rPr>
      </w:pPr>
      <w:bookmarkStart w:id="120" w:name="_Toc363720523"/>
      <w:bookmarkStart w:id="121" w:name="_Toc328371590"/>
      <w:bookmarkStart w:id="122" w:name="_Toc275448951"/>
      <w:bookmarkStart w:id="123" w:name="_Toc345417234"/>
      <w:bookmarkStart w:id="124" w:name="_Toc275449582"/>
      <w:bookmarkStart w:id="125" w:name="_Toc278310142"/>
      <w:bookmarkStart w:id="126" w:name="_Toc275796840"/>
      <w:bookmarkStart w:id="127" w:name="_Toc275796677"/>
      <w:r>
        <w:rPr>
          <w:color w:val="auto"/>
        </w:rPr>
        <w:t>2.1.1法律</w:t>
      </w:r>
      <w:bookmarkEnd w:id="120"/>
      <w:r>
        <w:rPr>
          <w:rFonts w:hint="eastAsia"/>
          <w:color w:val="auto"/>
        </w:rPr>
        <w:t>法规、</w:t>
      </w:r>
      <w:r>
        <w:rPr>
          <w:color w:val="auto"/>
        </w:rPr>
        <w:t>政策</w:t>
      </w:r>
    </w:p>
    <w:p>
      <w:pPr>
        <w:tabs>
          <w:tab w:val="left" w:pos="114"/>
        </w:tabs>
        <w:ind w:firstLine="480"/>
        <w:rPr>
          <w:rFonts w:hAnsi="宋体"/>
          <w:color w:val="auto"/>
        </w:rPr>
      </w:pPr>
      <w:r>
        <w:rPr>
          <w:rFonts w:hint="eastAsia" w:hAnsi="宋体"/>
          <w:color w:val="auto"/>
        </w:rPr>
        <w:t>（1）《中华人民共和国环境保护法》（2015年1月1日）；</w:t>
      </w:r>
    </w:p>
    <w:p>
      <w:pPr>
        <w:tabs>
          <w:tab w:val="left" w:pos="114"/>
        </w:tabs>
        <w:ind w:firstLine="480"/>
        <w:rPr>
          <w:rFonts w:hAnsi="宋体"/>
          <w:color w:val="auto"/>
        </w:rPr>
      </w:pPr>
      <w:r>
        <w:rPr>
          <w:rFonts w:hint="eastAsia" w:hAnsi="宋体"/>
          <w:color w:val="auto"/>
        </w:rPr>
        <w:t>（2）《中华人民共和国环境影响评价法》（2003年9月1日，2016年修正）；</w:t>
      </w:r>
    </w:p>
    <w:p>
      <w:pPr>
        <w:tabs>
          <w:tab w:val="left" w:pos="114"/>
        </w:tabs>
        <w:ind w:firstLine="480"/>
        <w:rPr>
          <w:rFonts w:hAnsi="宋体"/>
          <w:color w:val="auto"/>
        </w:rPr>
      </w:pPr>
      <w:r>
        <w:rPr>
          <w:rFonts w:hint="eastAsia" w:hAnsi="宋体"/>
          <w:color w:val="auto"/>
        </w:rPr>
        <w:t>（3）《建设项目环境保护管理条例》（国务院令第682号，2017年10月1日）；</w:t>
      </w:r>
    </w:p>
    <w:p>
      <w:pPr>
        <w:tabs>
          <w:tab w:val="left" w:pos="114"/>
        </w:tabs>
        <w:ind w:firstLine="480"/>
        <w:rPr>
          <w:rFonts w:hAnsi="宋体"/>
          <w:color w:val="auto"/>
        </w:rPr>
      </w:pPr>
      <w:r>
        <w:rPr>
          <w:rFonts w:hint="eastAsia" w:hAnsi="宋体"/>
          <w:color w:val="auto"/>
        </w:rPr>
        <w:t>（4）《中华人民共和国水污染防治法》（2017年修订，2018年1月1日）；</w:t>
      </w:r>
    </w:p>
    <w:p>
      <w:pPr>
        <w:tabs>
          <w:tab w:val="left" w:pos="114"/>
        </w:tabs>
        <w:ind w:firstLine="480"/>
        <w:rPr>
          <w:rFonts w:hAnsi="宋体"/>
          <w:color w:val="auto"/>
        </w:rPr>
      </w:pPr>
      <w:r>
        <w:rPr>
          <w:rFonts w:hint="eastAsia" w:hAnsi="宋体"/>
          <w:color w:val="auto"/>
        </w:rPr>
        <w:t>（5）《中华人民共和国大气污染防治法》（2015年8月29日修订）；</w:t>
      </w:r>
    </w:p>
    <w:p>
      <w:pPr>
        <w:tabs>
          <w:tab w:val="left" w:pos="114"/>
        </w:tabs>
        <w:ind w:firstLine="480"/>
        <w:rPr>
          <w:rFonts w:hAnsi="宋体"/>
          <w:color w:val="auto"/>
        </w:rPr>
      </w:pPr>
      <w:r>
        <w:rPr>
          <w:rFonts w:hint="eastAsia" w:hAnsi="宋体"/>
          <w:color w:val="auto"/>
        </w:rPr>
        <w:t>（6）《中华人民共和国环境噪声污染防治法》（2018年修订版）；</w:t>
      </w:r>
    </w:p>
    <w:p>
      <w:pPr>
        <w:tabs>
          <w:tab w:val="left" w:pos="114"/>
        </w:tabs>
        <w:ind w:firstLine="480"/>
        <w:rPr>
          <w:rFonts w:hAnsi="宋体"/>
          <w:color w:val="auto"/>
        </w:rPr>
      </w:pPr>
      <w:r>
        <w:rPr>
          <w:rFonts w:hint="eastAsia" w:hAnsi="宋体"/>
          <w:color w:val="auto"/>
        </w:rPr>
        <w:t>（7）《中华人民共和国固体废物污染环境防治法》（2016年11月7日修订）；</w:t>
      </w:r>
    </w:p>
    <w:p>
      <w:pPr>
        <w:tabs>
          <w:tab w:val="left" w:pos="114"/>
        </w:tabs>
        <w:ind w:firstLine="480"/>
        <w:rPr>
          <w:rFonts w:hAnsi="宋体"/>
          <w:color w:val="auto"/>
        </w:rPr>
      </w:pPr>
      <w:r>
        <w:rPr>
          <w:rFonts w:hint="eastAsia" w:hAnsi="宋体"/>
          <w:color w:val="auto"/>
        </w:rPr>
        <w:t>（8）《中华人民共和国土地管理法》（2004年8月28日）；</w:t>
      </w:r>
    </w:p>
    <w:p>
      <w:pPr>
        <w:tabs>
          <w:tab w:val="left" w:pos="114"/>
        </w:tabs>
        <w:ind w:firstLine="480"/>
        <w:rPr>
          <w:rFonts w:hAnsi="宋体"/>
          <w:color w:val="auto"/>
        </w:rPr>
      </w:pPr>
      <w:r>
        <w:rPr>
          <w:rFonts w:hint="eastAsia" w:hAnsi="宋体"/>
          <w:color w:val="auto"/>
        </w:rPr>
        <w:t>（9）《中华人民共和国动物防疫法》（2008年1月1日）；</w:t>
      </w:r>
    </w:p>
    <w:p>
      <w:pPr>
        <w:tabs>
          <w:tab w:val="left" w:pos="114"/>
        </w:tabs>
        <w:ind w:firstLine="480"/>
        <w:rPr>
          <w:rFonts w:hAnsi="宋体"/>
          <w:color w:val="auto"/>
        </w:rPr>
      </w:pPr>
      <w:r>
        <w:rPr>
          <w:rFonts w:hint="eastAsia" w:hAnsi="宋体"/>
          <w:color w:val="auto"/>
        </w:rPr>
        <w:t>（10）《畜禽规模养殖污染防治条例》（中华人民共和国国务院令第643号）；</w:t>
      </w:r>
    </w:p>
    <w:p>
      <w:pPr>
        <w:tabs>
          <w:tab w:val="left" w:pos="114"/>
        </w:tabs>
        <w:ind w:firstLine="480"/>
        <w:rPr>
          <w:rFonts w:hAnsi="宋体"/>
          <w:color w:val="auto"/>
        </w:rPr>
      </w:pPr>
      <w:r>
        <w:rPr>
          <w:rFonts w:hint="eastAsia" w:hAnsi="宋体"/>
          <w:color w:val="auto"/>
        </w:rPr>
        <w:t>（11）《基本农田保护条例》（国务院令第257号，1998年12月27日）；</w:t>
      </w:r>
    </w:p>
    <w:p>
      <w:pPr>
        <w:tabs>
          <w:tab w:val="left" w:pos="114"/>
        </w:tabs>
        <w:ind w:firstLine="480"/>
        <w:rPr>
          <w:rFonts w:hAnsi="宋体"/>
          <w:color w:val="auto"/>
        </w:rPr>
      </w:pPr>
      <w:r>
        <w:rPr>
          <w:rFonts w:hint="eastAsia" w:hAnsi="宋体"/>
          <w:color w:val="auto"/>
        </w:rPr>
        <w:t>（12）《建设项目环境影响评价分类管理名录》（中华人民共和国环境保护部令第44号）（2018年4月28日修订）；</w:t>
      </w:r>
    </w:p>
    <w:p>
      <w:pPr>
        <w:tabs>
          <w:tab w:val="left" w:pos="114"/>
        </w:tabs>
        <w:ind w:firstLine="480"/>
        <w:rPr>
          <w:rFonts w:hAnsi="宋体"/>
          <w:color w:val="auto"/>
        </w:rPr>
      </w:pPr>
      <w:r>
        <w:rPr>
          <w:rFonts w:hint="eastAsia" w:hAnsi="宋体"/>
          <w:color w:val="auto"/>
        </w:rPr>
        <w:t>（13）《环境影响评价公众参与办法》（生态环境部令第4号，2019年1月1日起实施）；</w:t>
      </w:r>
    </w:p>
    <w:p>
      <w:pPr>
        <w:ind w:firstLine="480"/>
        <w:rPr>
          <w:rFonts w:hAnsi="宋体"/>
          <w:color w:val="auto"/>
        </w:rPr>
      </w:pPr>
      <w:r>
        <w:rPr>
          <w:rFonts w:hint="eastAsia" w:hAnsi="宋体"/>
          <w:color w:val="auto"/>
        </w:rPr>
        <w:t>（14）《畜禽规模养殖污染防治条例》（中华人民共和国国务院令第643号）；</w:t>
      </w:r>
    </w:p>
    <w:p>
      <w:pPr>
        <w:ind w:firstLine="480"/>
        <w:rPr>
          <w:rFonts w:hAnsi="宋体"/>
          <w:color w:val="auto"/>
        </w:rPr>
      </w:pPr>
      <w:r>
        <w:rPr>
          <w:rFonts w:hint="eastAsia" w:hAnsi="宋体"/>
          <w:color w:val="auto"/>
        </w:rPr>
        <w:t>（15）《“十三五”生态环境保护规划》（国发〔2016〕65号，2016年11月24日）；</w:t>
      </w:r>
    </w:p>
    <w:p>
      <w:pPr>
        <w:ind w:firstLine="480"/>
        <w:rPr>
          <w:rFonts w:hAnsi="宋体"/>
          <w:color w:val="auto"/>
        </w:rPr>
      </w:pPr>
      <w:r>
        <w:rPr>
          <w:rFonts w:hint="eastAsia" w:hAnsi="宋体"/>
          <w:color w:val="auto"/>
        </w:rPr>
        <w:t>（16）《河南省“十三五”生态环境保护规划》（豫政办〔2017〕77号，201</w:t>
      </w:r>
      <w:r>
        <w:rPr>
          <w:rFonts w:hAnsi="宋体"/>
          <w:color w:val="auto"/>
        </w:rPr>
        <w:t>7</w:t>
      </w:r>
      <w:r>
        <w:rPr>
          <w:rFonts w:hint="eastAsia" w:hAnsi="宋体"/>
          <w:color w:val="auto"/>
        </w:rPr>
        <w:t>年</w:t>
      </w:r>
      <w:r>
        <w:rPr>
          <w:rFonts w:hAnsi="宋体"/>
          <w:color w:val="auto"/>
        </w:rPr>
        <w:t>6</w:t>
      </w:r>
      <w:r>
        <w:rPr>
          <w:rFonts w:hint="eastAsia" w:hAnsi="宋体"/>
          <w:color w:val="auto"/>
        </w:rPr>
        <w:t>月</w:t>
      </w:r>
      <w:r>
        <w:rPr>
          <w:rFonts w:hAnsi="宋体"/>
          <w:color w:val="auto"/>
        </w:rPr>
        <w:t>30</w:t>
      </w:r>
      <w:r>
        <w:rPr>
          <w:rFonts w:hint="eastAsia" w:hAnsi="宋体"/>
          <w:color w:val="auto"/>
        </w:rPr>
        <w:t>日）；</w:t>
      </w:r>
    </w:p>
    <w:p>
      <w:pPr>
        <w:ind w:firstLine="480"/>
        <w:rPr>
          <w:rFonts w:hAnsi="宋体"/>
          <w:color w:val="auto"/>
        </w:rPr>
      </w:pPr>
      <w:r>
        <w:rPr>
          <w:rFonts w:hint="eastAsia" w:hAnsi="宋体"/>
          <w:color w:val="auto"/>
        </w:rPr>
        <w:t>（17）《关于进一步加强环境影响评价管理防范环境风险的通知》（环发〔2012〕77号）；</w:t>
      </w:r>
    </w:p>
    <w:p>
      <w:pPr>
        <w:ind w:firstLine="480"/>
        <w:rPr>
          <w:rFonts w:hAnsi="宋体"/>
          <w:color w:val="auto"/>
        </w:rPr>
      </w:pPr>
      <w:r>
        <w:rPr>
          <w:rFonts w:hint="eastAsia" w:hAnsi="宋体"/>
          <w:color w:val="auto"/>
        </w:rPr>
        <w:t>（18）《关于切实加强风险防范严格环境影响评价管理的通知》（环发〔2012〕98号）；</w:t>
      </w:r>
    </w:p>
    <w:p>
      <w:pPr>
        <w:tabs>
          <w:tab w:val="left" w:pos="114"/>
        </w:tabs>
        <w:ind w:firstLine="480"/>
        <w:rPr>
          <w:rFonts w:hAnsi="宋体"/>
          <w:color w:val="auto"/>
        </w:rPr>
      </w:pPr>
      <w:r>
        <w:rPr>
          <w:rFonts w:hint="eastAsia" w:hAnsi="宋体"/>
          <w:color w:val="auto"/>
        </w:rPr>
        <w:t>（19）《农业部关于加快推进畜禽标准化规模养殖的意见》（农牧发</w:t>
      </w:r>
      <w:r>
        <w:rPr>
          <w:rFonts w:hAnsi="宋体"/>
          <w:color w:val="auto"/>
        </w:rPr>
        <w:t>〔201</w:t>
      </w:r>
      <w:r>
        <w:rPr>
          <w:rFonts w:hint="eastAsia" w:hAnsi="宋体"/>
          <w:color w:val="auto"/>
        </w:rPr>
        <w:t>0</w:t>
      </w:r>
      <w:r>
        <w:rPr>
          <w:rFonts w:hAnsi="宋体"/>
          <w:color w:val="auto"/>
        </w:rPr>
        <w:t>〕</w:t>
      </w:r>
      <w:r>
        <w:rPr>
          <w:rFonts w:hint="eastAsia" w:hAnsi="宋体"/>
          <w:color w:val="auto"/>
        </w:rPr>
        <w:t>6号）；</w:t>
      </w:r>
    </w:p>
    <w:p>
      <w:pPr>
        <w:tabs>
          <w:tab w:val="left" w:pos="114"/>
        </w:tabs>
        <w:ind w:firstLine="480"/>
        <w:rPr>
          <w:rFonts w:hAnsi="宋体"/>
          <w:color w:val="auto"/>
        </w:rPr>
      </w:pPr>
      <w:r>
        <w:rPr>
          <w:rFonts w:hint="eastAsia" w:hAnsi="宋体"/>
          <w:color w:val="auto"/>
        </w:rPr>
        <w:t>（20）《河南省环保厅省农业厅省畜牧局关于印发2014年河南省畜禽养殖主要污染物总量减排实施方案的通知》（</w:t>
      </w:r>
      <w:r>
        <w:rPr>
          <w:rFonts w:hAnsi="宋体"/>
          <w:color w:val="auto"/>
        </w:rPr>
        <w:t>豫环</w:t>
      </w:r>
      <w:r>
        <w:rPr>
          <w:rFonts w:hint="eastAsia" w:hAnsi="宋体"/>
          <w:color w:val="auto"/>
        </w:rPr>
        <w:t>文〔2014〕111</w:t>
      </w:r>
      <w:r>
        <w:rPr>
          <w:rFonts w:hAnsi="宋体"/>
          <w:color w:val="auto"/>
        </w:rPr>
        <w:t>号</w:t>
      </w:r>
      <w:r>
        <w:rPr>
          <w:rFonts w:hint="eastAsia" w:hAnsi="宋体"/>
          <w:color w:val="auto"/>
        </w:rPr>
        <w:t>）；</w:t>
      </w:r>
    </w:p>
    <w:p>
      <w:pPr>
        <w:tabs>
          <w:tab w:val="left" w:pos="114"/>
        </w:tabs>
        <w:ind w:firstLine="480"/>
        <w:rPr>
          <w:rFonts w:hAnsi="宋体"/>
          <w:color w:val="auto"/>
        </w:rPr>
      </w:pPr>
      <w:r>
        <w:rPr>
          <w:rFonts w:hint="eastAsia" w:hAnsi="宋体"/>
          <w:color w:val="auto"/>
        </w:rPr>
        <w:t>（21）河南省环保厅《畜禽养殖业污染源总量减排技术指导意见（试行）》（</w:t>
      </w:r>
      <w:r>
        <w:rPr>
          <w:rFonts w:hAnsi="宋体"/>
          <w:color w:val="auto"/>
        </w:rPr>
        <w:t>（豫环文</w:t>
      </w:r>
      <w:r>
        <w:rPr>
          <w:rFonts w:hint="eastAsia" w:hAnsi="宋体"/>
          <w:color w:val="auto"/>
        </w:rPr>
        <w:t>〔2012〕</w:t>
      </w:r>
      <w:r>
        <w:rPr>
          <w:rFonts w:hAnsi="宋体"/>
          <w:color w:val="auto"/>
        </w:rPr>
        <w:t>99号</w:t>
      </w:r>
      <w:r>
        <w:rPr>
          <w:rFonts w:hint="eastAsia" w:hAnsi="宋体"/>
          <w:color w:val="auto"/>
        </w:rPr>
        <w:t>）；</w:t>
      </w:r>
    </w:p>
    <w:p>
      <w:pPr>
        <w:ind w:firstLine="480"/>
        <w:rPr>
          <w:rFonts w:hAnsi="宋体"/>
          <w:color w:val="auto"/>
        </w:rPr>
      </w:pPr>
      <w:r>
        <w:rPr>
          <w:rFonts w:hint="eastAsia" w:hAnsi="宋体"/>
          <w:color w:val="auto"/>
        </w:rPr>
        <w:t>（22）</w:t>
      </w:r>
      <w:r>
        <w:rPr>
          <w:rFonts w:hint="eastAsia"/>
          <w:color w:val="auto"/>
        </w:rPr>
        <w:t>濮阳县人民政府办公室</w:t>
      </w:r>
      <w:r>
        <w:rPr>
          <w:rFonts w:hint="eastAsia" w:hAnsi="宋体"/>
          <w:color w:val="auto"/>
        </w:rPr>
        <w:t>出具的《</w:t>
      </w:r>
      <w:r>
        <w:rPr>
          <w:rFonts w:hint="eastAsia"/>
          <w:color w:val="auto"/>
        </w:rPr>
        <w:t>关于印发濮阳县畜禽养殖禁养区限养区划分调整方案的通知》（濮县政办[2020]2号）</w:t>
      </w:r>
    </w:p>
    <w:p>
      <w:pPr>
        <w:ind w:firstLine="480"/>
        <w:rPr>
          <w:rFonts w:hAnsi="宋体"/>
          <w:color w:val="auto"/>
        </w:rPr>
      </w:pPr>
      <w:r>
        <w:rPr>
          <w:rFonts w:hint="eastAsia" w:hAnsi="宋体"/>
          <w:color w:val="auto"/>
        </w:rPr>
        <w:t>（23）《濮阳市</w:t>
      </w:r>
      <w:r>
        <w:rPr>
          <w:rFonts w:hAnsi="宋体"/>
          <w:color w:val="auto"/>
        </w:rPr>
        <w:t>2019</w:t>
      </w:r>
      <w:r>
        <w:rPr>
          <w:rFonts w:hint="eastAsia" w:hAnsi="宋体"/>
          <w:color w:val="auto"/>
        </w:rPr>
        <w:t>年大气污染防治攻坚战实施方案》（濮环攻坚办〔</w:t>
      </w:r>
      <w:r>
        <w:rPr>
          <w:rFonts w:hAnsi="宋体"/>
          <w:color w:val="auto"/>
        </w:rPr>
        <w:t>2019</w:t>
      </w:r>
      <w:r>
        <w:rPr>
          <w:rFonts w:hint="eastAsia" w:hAnsi="宋体"/>
          <w:color w:val="auto"/>
        </w:rPr>
        <w:t>〕</w:t>
      </w:r>
      <w:r>
        <w:rPr>
          <w:rFonts w:hAnsi="宋体"/>
          <w:color w:val="auto"/>
        </w:rPr>
        <w:t>82</w:t>
      </w:r>
      <w:r>
        <w:rPr>
          <w:rFonts w:hint="eastAsia" w:hAnsi="宋体"/>
          <w:color w:val="auto"/>
        </w:rPr>
        <w:t>号）</w:t>
      </w:r>
    </w:p>
    <w:p>
      <w:pPr>
        <w:ind w:firstLine="480"/>
        <w:rPr>
          <w:rFonts w:hAnsi="宋体"/>
          <w:color w:val="auto"/>
        </w:rPr>
      </w:pPr>
      <w:r>
        <w:rPr>
          <w:rFonts w:hint="eastAsia" w:hAnsi="宋体"/>
          <w:color w:val="auto"/>
        </w:rPr>
        <w:t>（24）《关于印发畜禽养殖业污染源总量减排技术指导意见（试行）的通知》（豫环文[2012]99号）；</w:t>
      </w:r>
    </w:p>
    <w:p>
      <w:pPr>
        <w:ind w:firstLine="480"/>
        <w:rPr>
          <w:rFonts w:hAnsi="宋体"/>
          <w:color w:val="auto"/>
        </w:rPr>
      </w:pPr>
      <w:r>
        <w:rPr>
          <w:rFonts w:hint="eastAsia" w:hAnsi="宋体"/>
          <w:color w:val="auto"/>
        </w:rPr>
        <w:t>（25）《河南省人民政府办公厅关于印发河南省城市集中式饮用水源保护区划的通知》（豫政办[2007]125号）；</w:t>
      </w:r>
    </w:p>
    <w:p>
      <w:pPr>
        <w:ind w:firstLine="480"/>
        <w:rPr>
          <w:rFonts w:hAnsi="宋体"/>
          <w:color w:val="auto"/>
        </w:rPr>
      </w:pPr>
      <w:r>
        <w:rPr>
          <w:rFonts w:hint="eastAsia" w:hAnsi="宋体"/>
          <w:color w:val="auto"/>
        </w:rPr>
        <w:t>（26）《河南省人民政府办公厅关于印发河南省县级集中式饮用水水源保护区划的通知》（豫政办[2013]107号）；</w:t>
      </w:r>
    </w:p>
    <w:p>
      <w:pPr>
        <w:ind w:firstLine="480"/>
        <w:rPr>
          <w:rFonts w:hAnsi="宋体"/>
          <w:color w:val="auto"/>
        </w:rPr>
      </w:pPr>
      <w:r>
        <w:rPr>
          <w:rFonts w:hint="eastAsia" w:hAnsi="宋体"/>
          <w:color w:val="auto"/>
        </w:rPr>
        <w:t>（27）《河南省人民政府办公厅关于印发河南省乡镇集中式饮用水水源保护区划的通知》（豫政办[2016]23号）；</w:t>
      </w:r>
    </w:p>
    <w:p>
      <w:pPr>
        <w:ind w:firstLine="480"/>
        <w:rPr>
          <w:rFonts w:hAnsi="宋体"/>
          <w:color w:val="auto"/>
        </w:rPr>
      </w:pPr>
      <w:r>
        <w:rPr>
          <w:rFonts w:hint="eastAsia" w:hAnsi="宋体"/>
          <w:color w:val="auto"/>
        </w:rPr>
        <w:t>（28）《河南省人民政府关于印发河南省大气污染防治攻坚战8个专项实施方案的通知》（豫环攻坚办[2018]24号）；</w:t>
      </w:r>
    </w:p>
    <w:p>
      <w:pPr>
        <w:ind w:firstLine="480"/>
        <w:rPr>
          <w:rFonts w:hAnsi="宋体"/>
          <w:color w:val="auto"/>
        </w:rPr>
      </w:pPr>
      <w:r>
        <w:rPr>
          <w:rFonts w:hint="eastAsia" w:hAnsi="宋体"/>
          <w:color w:val="auto"/>
        </w:rPr>
        <w:t>（29）《濮阳市人民政府关于印发濮阳市碧水工程行动计划工作方案的通知》（濮政[2016]11号）；</w:t>
      </w:r>
    </w:p>
    <w:p>
      <w:pPr>
        <w:ind w:firstLine="480"/>
        <w:rPr>
          <w:rFonts w:hAnsi="宋体"/>
          <w:color w:val="auto"/>
        </w:rPr>
      </w:pPr>
      <w:r>
        <w:rPr>
          <w:rFonts w:hint="eastAsia" w:hAnsi="宋体"/>
          <w:color w:val="auto"/>
        </w:rPr>
        <w:t>（30）《河南省污染防治攻坚战领导小组办公室文件关于印发河南省2020年大气、水、土壤污染防治攻坚战实施方案的通知》（豫环攻坚办[2020]7号）。</w:t>
      </w:r>
    </w:p>
    <w:p>
      <w:pPr>
        <w:pStyle w:val="6"/>
        <w:rPr>
          <w:color w:val="auto"/>
        </w:rPr>
      </w:pPr>
      <w:bookmarkStart w:id="128" w:name="_Toc363720524"/>
      <w:r>
        <w:rPr>
          <w:color w:val="auto"/>
        </w:rPr>
        <w:t>2.1.2</w:t>
      </w:r>
      <w:bookmarkEnd w:id="128"/>
      <w:r>
        <w:rPr>
          <w:rFonts w:hint="eastAsia"/>
          <w:color w:val="auto"/>
        </w:rPr>
        <w:t>技术依据</w:t>
      </w:r>
    </w:p>
    <w:p>
      <w:pPr>
        <w:ind w:firstLine="480"/>
        <w:rPr>
          <w:rFonts w:hAnsi="宋体"/>
          <w:color w:val="auto"/>
        </w:rPr>
      </w:pPr>
      <w:r>
        <w:rPr>
          <w:rFonts w:hint="eastAsia" w:hAnsi="宋体"/>
          <w:color w:val="auto"/>
        </w:rPr>
        <w:t>（1）《环境影响评价技术导则—总纲》（HJ 2.1-2016）；</w:t>
      </w:r>
    </w:p>
    <w:bookmarkEnd w:id="121"/>
    <w:bookmarkEnd w:id="122"/>
    <w:bookmarkEnd w:id="123"/>
    <w:bookmarkEnd w:id="124"/>
    <w:bookmarkEnd w:id="125"/>
    <w:bookmarkEnd w:id="126"/>
    <w:bookmarkEnd w:id="127"/>
    <w:p>
      <w:pPr>
        <w:ind w:firstLine="480"/>
        <w:rPr>
          <w:rFonts w:hAnsi="宋体"/>
          <w:color w:val="auto"/>
        </w:rPr>
      </w:pPr>
      <w:r>
        <w:rPr>
          <w:rFonts w:hAnsi="宋体"/>
          <w:color w:val="auto"/>
        </w:rPr>
        <w:t>（2）《环境影响评价技术导则—大气环境》（HJ 2.2-2018）；</w:t>
      </w:r>
    </w:p>
    <w:p>
      <w:pPr>
        <w:ind w:firstLine="480"/>
        <w:rPr>
          <w:rFonts w:hAnsi="宋体"/>
          <w:color w:val="auto"/>
        </w:rPr>
      </w:pPr>
      <w:r>
        <w:rPr>
          <w:rFonts w:hAnsi="宋体"/>
          <w:color w:val="auto"/>
        </w:rPr>
        <w:t>（3）《环境影响评价技术导则—地表水环境》（HJ 2.3-201</w:t>
      </w:r>
      <w:r>
        <w:rPr>
          <w:rFonts w:hint="eastAsia" w:hAnsi="宋体"/>
          <w:color w:val="auto"/>
        </w:rPr>
        <w:t>8</w:t>
      </w:r>
      <w:r>
        <w:rPr>
          <w:rFonts w:hAnsi="宋体"/>
          <w:color w:val="auto"/>
        </w:rPr>
        <w:t>）；</w:t>
      </w:r>
    </w:p>
    <w:p>
      <w:pPr>
        <w:ind w:firstLine="480"/>
        <w:rPr>
          <w:rFonts w:hAnsi="宋体"/>
          <w:color w:val="auto"/>
        </w:rPr>
      </w:pPr>
      <w:r>
        <w:rPr>
          <w:rFonts w:hAnsi="宋体"/>
          <w:color w:val="auto"/>
        </w:rPr>
        <w:t>（4）《环境影响评价技术导则—声环境》（HJ 2.4-2009）；</w:t>
      </w:r>
    </w:p>
    <w:p>
      <w:pPr>
        <w:ind w:firstLine="480"/>
        <w:rPr>
          <w:rFonts w:hAnsi="宋体"/>
          <w:color w:val="auto"/>
        </w:rPr>
      </w:pPr>
      <w:r>
        <w:rPr>
          <w:rFonts w:hAnsi="宋体"/>
          <w:color w:val="auto"/>
        </w:rPr>
        <w:t>（5）《环境影响评价技术导则—地下水环境》（HJ 610-2016）；</w:t>
      </w:r>
    </w:p>
    <w:p>
      <w:pPr>
        <w:ind w:firstLine="480"/>
        <w:rPr>
          <w:rFonts w:hAnsi="宋体"/>
          <w:color w:val="auto"/>
        </w:rPr>
      </w:pPr>
      <w:r>
        <w:rPr>
          <w:rFonts w:hAnsi="宋体"/>
          <w:color w:val="auto"/>
        </w:rPr>
        <w:t>（6）《环境影响评价技术导则—生态影响》（HJ 19-2011）；</w:t>
      </w:r>
    </w:p>
    <w:p>
      <w:pPr>
        <w:ind w:firstLine="480"/>
        <w:rPr>
          <w:rFonts w:hAnsi="宋体"/>
          <w:color w:val="auto"/>
        </w:rPr>
      </w:pPr>
      <w:r>
        <w:rPr>
          <w:rFonts w:hAnsi="宋体"/>
          <w:color w:val="auto"/>
        </w:rPr>
        <w:t>（7）《建设项目环境风险评价技术导则》（HJ 169-2018）；</w:t>
      </w:r>
    </w:p>
    <w:p>
      <w:pPr>
        <w:ind w:firstLine="480"/>
        <w:rPr>
          <w:rFonts w:hAnsi="宋体"/>
          <w:color w:val="auto"/>
        </w:rPr>
      </w:pPr>
      <w:r>
        <w:rPr>
          <w:rFonts w:hAnsi="宋体"/>
          <w:color w:val="auto"/>
        </w:rPr>
        <w:t>（8）《畜禽养殖业污染防治技术规范》（HJ/T81-2001）；</w:t>
      </w:r>
    </w:p>
    <w:p>
      <w:pPr>
        <w:ind w:firstLine="480"/>
        <w:rPr>
          <w:rFonts w:hAnsi="宋体"/>
          <w:color w:val="auto"/>
        </w:rPr>
      </w:pPr>
      <w:r>
        <w:rPr>
          <w:rFonts w:hAnsi="宋体"/>
          <w:color w:val="auto"/>
        </w:rPr>
        <w:t>（9）《畜禽养殖业污染治理工程技术规范》（HJ497-2009）；</w:t>
      </w:r>
    </w:p>
    <w:p>
      <w:pPr>
        <w:ind w:firstLine="480"/>
        <w:rPr>
          <w:rFonts w:hAnsi="宋体"/>
          <w:color w:val="auto"/>
        </w:rPr>
      </w:pPr>
      <w:bookmarkStart w:id="129" w:name="_Toc328371592"/>
      <w:bookmarkStart w:id="130" w:name="_Toc275796679"/>
      <w:bookmarkStart w:id="131" w:name="_Toc345417236"/>
      <w:bookmarkStart w:id="132" w:name="_Toc275448953"/>
      <w:bookmarkStart w:id="133" w:name="_Toc278310144"/>
      <w:bookmarkStart w:id="134" w:name="_Toc275449584"/>
      <w:bookmarkStart w:id="135" w:name="_Toc275796842"/>
      <w:r>
        <w:rPr>
          <w:rFonts w:hAnsi="宋体"/>
          <w:color w:val="auto"/>
        </w:rPr>
        <w:t>（10）《畜禽养殖业污染防治技术政策》（环发[2010]151号）；</w:t>
      </w:r>
    </w:p>
    <w:p>
      <w:pPr>
        <w:ind w:firstLine="480"/>
        <w:rPr>
          <w:rFonts w:hAnsi="宋体"/>
          <w:color w:val="auto"/>
        </w:rPr>
      </w:pPr>
      <w:r>
        <w:rPr>
          <w:rFonts w:hAnsi="宋体"/>
          <w:color w:val="auto"/>
        </w:rPr>
        <w:t>（11）《畜禽养殖污水贮存设施设计要求》（GB/T26624-2011）；</w:t>
      </w:r>
    </w:p>
    <w:p>
      <w:pPr>
        <w:ind w:firstLine="480"/>
        <w:rPr>
          <w:rFonts w:hAnsi="宋体"/>
          <w:color w:val="auto"/>
        </w:rPr>
      </w:pPr>
      <w:r>
        <w:rPr>
          <w:rFonts w:hAnsi="宋体"/>
          <w:color w:val="auto"/>
        </w:rPr>
        <w:t>（12）《农业部关于印发&lt;病死及病害动物无害化处理技术规范&gt;的通知》（农医发[2017]25号）；</w:t>
      </w:r>
    </w:p>
    <w:p>
      <w:pPr>
        <w:ind w:firstLine="480"/>
        <w:rPr>
          <w:rFonts w:hAnsi="宋体"/>
          <w:color w:val="auto"/>
        </w:rPr>
      </w:pPr>
      <w:r>
        <w:rPr>
          <w:rFonts w:hAnsi="宋体"/>
          <w:color w:val="auto"/>
        </w:rPr>
        <w:t>（13）《关于进一步加强建设项目环境影响评价管理防范环境风险的通知》（环发[2012]77号；</w:t>
      </w:r>
    </w:p>
    <w:p>
      <w:pPr>
        <w:ind w:firstLine="480"/>
        <w:rPr>
          <w:rFonts w:hAnsi="宋体"/>
          <w:color w:val="auto"/>
        </w:rPr>
      </w:pPr>
      <w:r>
        <w:rPr>
          <w:rFonts w:hAnsi="宋体"/>
          <w:color w:val="auto"/>
        </w:rPr>
        <w:t>（14）《国务院关于印发水污染防治行动计划的通知》（国发[2015]17号）；</w:t>
      </w:r>
    </w:p>
    <w:p>
      <w:pPr>
        <w:ind w:firstLine="480"/>
        <w:rPr>
          <w:rFonts w:hAnsi="宋体"/>
          <w:color w:val="auto"/>
        </w:rPr>
      </w:pPr>
      <w:r>
        <w:rPr>
          <w:rFonts w:hAnsi="宋体"/>
          <w:color w:val="auto"/>
        </w:rPr>
        <w:t>（15）《国家危险废物名录》（环境保护部令第39号，2016年8月1日）；</w:t>
      </w:r>
    </w:p>
    <w:p>
      <w:pPr>
        <w:ind w:firstLine="480"/>
        <w:rPr>
          <w:rFonts w:hAnsi="宋体"/>
          <w:color w:val="auto"/>
        </w:rPr>
      </w:pPr>
      <w:r>
        <w:rPr>
          <w:rFonts w:hAnsi="宋体"/>
          <w:color w:val="auto"/>
        </w:rPr>
        <w:t>（16）《农业部关于印发&lt;高致病性禽流感疫情处置技术规范&gt;的通知》（农政发[2005]28号）。</w:t>
      </w:r>
    </w:p>
    <w:p>
      <w:pPr>
        <w:ind w:firstLine="480"/>
        <w:rPr>
          <w:rFonts w:hAnsi="宋体"/>
          <w:color w:val="auto"/>
        </w:rPr>
      </w:pPr>
      <w:r>
        <w:rPr>
          <w:rFonts w:hAnsi="宋体"/>
          <w:color w:val="auto"/>
        </w:rPr>
        <w:t>（17）《国务院办公厅关于加快推进畜禽养殖废弃物资源化利用的意见》（国办发[2017]48号）；</w:t>
      </w:r>
    </w:p>
    <w:p>
      <w:pPr>
        <w:ind w:firstLine="480"/>
        <w:rPr>
          <w:rFonts w:hAnsi="宋体"/>
          <w:color w:val="auto"/>
        </w:rPr>
      </w:pPr>
      <w:r>
        <w:rPr>
          <w:rFonts w:hAnsi="宋体"/>
          <w:color w:val="auto"/>
        </w:rPr>
        <w:t>（18）《畜禽规模养殖场粪污资源化利用设施建设规范（试行）》（农办牧[2018]2号）</w:t>
      </w:r>
      <w:r>
        <w:rPr>
          <w:rFonts w:hint="eastAsia" w:hAnsi="宋体"/>
          <w:color w:val="auto"/>
        </w:rPr>
        <w:t>；</w:t>
      </w:r>
    </w:p>
    <w:bookmarkEnd w:id="129"/>
    <w:bookmarkEnd w:id="130"/>
    <w:bookmarkEnd w:id="131"/>
    <w:bookmarkEnd w:id="132"/>
    <w:bookmarkEnd w:id="133"/>
    <w:bookmarkEnd w:id="134"/>
    <w:bookmarkEnd w:id="135"/>
    <w:p>
      <w:pPr>
        <w:ind w:firstLine="480"/>
        <w:rPr>
          <w:color w:val="auto"/>
          <w:szCs w:val="32"/>
        </w:rPr>
      </w:pPr>
      <w:r>
        <w:rPr>
          <w:rFonts w:hint="eastAsia"/>
          <w:color w:val="auto"/>
          <w:szCs w:val="32"/>
        </w:rPr>
        <w:t>（19）《关于做好畜禽规模养殖项目环境影响评价管理工作的通知》（环办环评[2018]31号）；</w:t>
      </w:r>
    </w:p>
    <w:p>
      <w:pPr>
        <w:ind w:firstLine="480"/>
        <w:rPr>
          <w:rFonts w:hAnsi="宋体"/>
          <w:color w:val="auto"/>
        </w:rPr>
      </w:pPr>
      <w:r>
        <w:rPr>
          <w:rFonts w:hint="eastAsia"/>
          <w:color w:val="auto"/>
          <w:szCs w:val="32"/>
        </w:rPr>
        <w:t>（20）《建设项目危险废物环境影响评价指南》（公告2017年 第43号）。</w:t>
      </w:r>
    </w:p>
    <w:p>
      <w:pPr>
        <w:pStyle w:val="6"/>
        <w:rPr>
          <w:color w:val="auto"/>
        </w:rPr>
      </w:pPr>
      <w:r>
        <w:rPr>
          <w:color w:val="auto"/>
        </w:rPr>
        <w:t xml:space="preserve">2.1.3 </w:t>
      </w:r>
      <w:r>
        <w:rPr>
          <w:rFonts w:hint="eastAsia"/>
          <w:color w:val="auto"/>
        </w:rPr>
        <w:t>项目相关</w:t>
      </w:r>
      <w:r>
        <w:rPr>
          <w:color w:val="auto"/>
        </w:rPr>
        <w:t>划</w:t>
      </w:r>
      <w:r>
        <w:rPr>
          <w:rFonts w:hint="eastAsia"/>
          <w:color w:val="auto"/>
        </w:rPr>
        <w:t>及其他资料</w:t>
      </w:r>
    </w:p>
    <w:p>
      <w:pPr>
        <w:ind w:firstLine="480"/>
        <w:rPr>
          <w:rFonts w:hAnsi="宋体"/>
          <w:color w:val="auto"/>
        </w:rPr>
      </w:pPr>
      <w:r>
        <w:rPr>
          <w:rFonts w:hint="eastAsia" w:hAnsi="宋体"/>
          <w:color w:val="auto"/>
        </w:rPr>
        <w:t>（1）《河南省畜牧业“十三五”规划》；</w:t>
      </w:r>
    </w:p>
    <w:p>
      <w:pPr>
        <w:ind w:firstLine="480"/>
        <w:rPr>
          <w:rFonts w:hAnsi="宋体"/>
          <w:color w:val="auto"/>
        </w:rPr>
      </w:pPr>
      <w:r>
        <w:rPr>
          <w:rFonts w:hint="eastAsia" w:hAnsi="宋体"/>
          <w:color w:val="auto"/>
        </w:rPr>
        <w:t>（2）《河南省濮阳县乡镇集中式饮用水水源地保护区划》；</w:t>
      </w:r>
    </w:p>
    <w:p>
      <w:pPr>
        <w:ind w:firstLine="480"/>
        <w:rPr>
          <w:rFonts w:hAnsi="宋体"/>
          <w:color w:val="auto"/>
        </w:rPr>
      </w:pPr>
      <w:r>
        <w:rPr>
          <w:rFonts w:hint="eastAsia" w:hAnsi="宋体"/>
          <w:color w:val="auto"/>
        </w:rPr>
        <w:t>（3）环评委托书；</w:t>
      </w:r>
    </w:p>
    <w:p>
      <w:pPr>
        <w:ind w:firstLine="480"/>
        <w:rPr>
          <w:rFonts w:hAnsi="宋体"/>
          <w:color w:val="auto"/>
        </w:rPr>
      </w:pPr>
      <w:r>
        <w:rPr>
          <w:rFonts w:hint="eastAsia"/>
          <w:color w:val="auto"/>
        </w:rPr>
        <w:t>（4）与项目有关的其他资料和文件。</w:t>
      </w:r>
    </w:p>
    <w:p>
      <w:pPr>
        <w:pStyle w:val="32"/>
        <w:spacing w:line="360" w:lineRule="auto"/>
        <w:rPr>
          <w:color w:val="auto"/>
        </w:rPr>
      </w:pPr>
      <w:bookmarkStart w:id="136" w:name="_Toc441490823"/>
      <w:bookmarkStart w:id="137" w:name="_Toc12195"/>
      <w:bookmarkStart w:id="138" w:name="_Toc402441858"/>
      <w:bookmarkStart w:id="139" w:name="_Toc413827925"/>
      <w:bookmarkStart w:id="140" w:name="_Toc14836"/>
      <w:r>
        <w:rPr>
          <w:color w:val="auto"/>
        </w:rPr>
        <w:t>2.2</w:t>
      </w:r>
      <w:r>
        <w:rPr>
          <w:rFonts w:hint="eastAsia"/>
          <w:color w:val="auto"/>
        </w:rPr>
        <w:t xml:space="preserve"> 评价对象及目的</w:t>
      </w:r>
      <w:bookmarkEnd w:id="136"/>
      <w:bookmarkEnd w:id="137"/>
      <w:bookmarkEnd w:id="138"/>
      <w:bookmarkEnd w:id="139"/>
      <w:bookmarkEnd w:id="140"/>
    </w:p>
    <w:p>
      <w:pPr>
        <w:pStyle w:val="6"/>
        <w:rPr>
          <w:color w:val="auto"/>
        </w:rPr>
      </w:pPr>
      <w:r>
        <w:rPr>
          <w:color w:val="auto"/>
        </w:rPr>
        <w:t>2.2.</w:t>
      </w:r>
      <w:r>
        <w:rPr>
          <w:rFonts w:hint="eastAsia"/>
          <w:color w:val="auto"/>
        </w:rPr>
        <w:t>1 评价对象</w:t>
      </w:r>
    </w:p>
    <w:p>
      <w:pPr>
        <w:ind w:firstLine="480"/>
        <w:rPr>
          <w:rFonts w:hAnsi="宋体"/>
          <w:color w:val="auto"/>
        </w:rPr>
      </w:pPr>
      <w:r>
        <w:rPr>
          <w:rFonts w:hint="eastAsia" w:hAnsi="宋体"/>
          <w:color w:val="auto"/>
        </w:rPr>
        <w:t>濮阳县牧原农牧有限公司濮阳县三厂生猪养殖项目（年出栏5万头生猪）。</w:t>
      </w:r>
    </w:p>
    <w:p>
      <w:pPr>
        <w:pStyle w:val="6"/>
        <w:rPr>
          <w:color w:val="auto"/>
        </w:rPr>
      </w:pPr>
      <w:r>
        <w:rPr>
          <w:color w:val="auto"/>
        </w:rPr>
        <w:t>2.2.</w:t>
      </w:r>
      <w:r>
        <w:rPr>
          <w:rFonts w:hint="eastAsia"/>
          <w:color w:val="auto"/>
        </w:rPr>
        <w:t>2 评价目的</w:t>
      </w:r>
    </w:p>
    <w:p>
      <w:pPr>
        <w:ind w:firstLine="480"/>
        <w:rPr>
          <w:rFonts w:hAnsi="宋体"/>
          <w:color w:val="auto"/>
        </w:rPr>
      </w:pPr>
      <w:r>
        <w:rPr>
          <w:rFonts w:hint="eastAsia" w:hAnsi="宋体"/>
          <w:color w:val="auto"/>
        </w:rPr>
        <w:t>（1）</w:t>
      </w:r>
      <w:r>
        <w:rPr>
          <w:rFonts w:hAnsi="宋体"/>
          <w:color w:val="auto"/>
        </w:rPr>
        <w:t>分析</w:t>
      </w:r>
      <w:r>
        <w:rPr>
          <w:rFonts w:hint="eastAsia" w:hAnsi="宋体"/>
          <w:color w:val="auto"/>
        </w:rPr>
        <w:t>项目</w:t>
      </w:r>
      <w:r>
        <w:rPr>
          <w:rFonts w:hAnsi="宋体"/>
          <w:color w:val="auto"/>
        </w:rPr>
        <w:t>的建设与国家产业政策、行业政策的相符性</w:t>
      </w:r>
      <w:r>
        <w:rPr>
          <w:rFonts w:hint="eastAsia" w:hAnsi="宋体"/>
          <w:color w:val="auto"/>
        </w:rPr>
        <w:t>，论证场址可行性。</w:t>
      </w:r>
    </w:p>
    <w:p>
      <w:pPr>
        <w:ind w:firstLine="480"/>
        <w:rPr>
          <w:rFonts w:hAnsi="宋体"/>
          <w:color w:val="auto"/>
        </w:rPr>
      </w:pPr>
      <w:r>
        <w:rPr>
          <w:rFonts w:hint="eastAsia" w:hAnsi="宋体"/>
          <w:color w:val="auto"/>
        </w:rPr>
        <w:t>（2）</w:t>
      </w:r>
      <w:r>
        <w:rPr>
          <w:rFonts w:hAnsi="宋体"/>
          <w:color w:val="auto"/>
        </w:rPr>
        <w:t>根据同类行业类比调查</w:t>
      </w:r>
      <w:r>
        <w:rPr>
          <w:rFonts w:hint="eastAsia" w:hAnsi="宋体"/>
          <w:color w:val="auto"/>
        </w:rPr>
        <w:t>、</w:t>
      </w:r>
      <w:r>
        <w:rPr>
          <w:rFonts w:hAnsi="宋体"/>
          <w:color w:val="auto"/>
        </w:rPr>
        <w:t>查阅数据手册、物料衡算等方法，分析确定</w:t>
      </w:r>
      <w:r>
        <w:rPr>
          <w:rFonts w:hint="eastAsia" w:hAnsi="宋体"/>
          <w:color w:val="auto"/>
        </w:rPr>
        <w:t>本项目</w:t>
      </w:r>
      <w:r>
        <w:rPr>
          <w:rFonts w:hAnsi="宋体"/>
          <w:color w:val="auto"/>
        </w:rPr>
        <w:t>工艺产污环节及污染物排放情况，并进行达标分析</w:t>
      </w:r>
      <w:r>
        <w:rPr>
          <w:rFonts w:hint="eastAsia" w:hAnsi="宋体"/>
          <w:color w:val="auto"/>
        </w:rPr>
        <w:t>。</w:t>
      </w:r>
    </w:p>
    <w:p>
      <w:pPr>
        <w:ind w:firstLine="480"/>
        <w:rPr>
          <w:rFonts w:hAnsi="宋体"/>
          <w:color w:val="auto"/>
        </w:rPr>
      </w:pPr>
      <w:r>
        <w:rPr>
          <w:rFonts w:hint="eastAsia" w:hAnsi="宋体"/>
          <w:color w:val="auto"/>
        </w:rPr>
        <w:t>（3）</w:t>
      </w:r>
      <w:r>
        <w:rPr>
          <w:rFonts w:hAnsi="宋体"/>
          <w:color w:val="auto"/>
        </w:rPr>
        <w:t>对评价区域环境质量现状进行调查、监测与评价，明确环境保护目标</w:t>
      </w:r>
      <w:r>
        <w:rPr>
          <w:rFonts w:hint="eastAsia" w:hAnsi="宋体"/>
          <w:color w:val="auto"/>
        </w:rPr>
        <w:t>。</w:t>
      </w:r>
    </w:p>
    <w:p>
      <w:pPr>
        <w:ind w:firstLine="480"/>
        <w:rPr>
          <w:rFonts w:hAnsi="宋体"/>
          <w:color w:val="auto"/>
        </w:rPr>
      </w:pPr>
      <w:r>
        <w:rPr>
          <w:rFonts w:hint="eastAsia" w:hAnsi="宋体"/>
          <w:color w:val="auto"/>
        </w:rPr>
        <w:t>（4）</w:t>
      </w:r>
      <w:r>
        <w:rPr>
          <w:rFonts w:hAnsi="宋体"/>
          <w:color w:val="auto"/>
        </w:rPr>
        <w:t>预测</w:t>
      </w:r>
      <w:r>
        <w:rPr>
          <w:rFonts w:hint="eastAsia" w:hAnsi="宋体"/>
          <w:color w:val="auto"/>
        </w:rPr>
        <w:t>本项目</w:t>
      </w:r>
      <w:r>
        <w:rPr>
          <w:rFonts w:hAnsi="宋体"/>
          <w:color w:val="auto"/>
        </w:rPr>
        <w:t>投产后</w:t>
      </w:r>
      <w:r>
        <w:rPr>
          <w:rFonts w:hint="eastAsia" w:hAnsi="宋体"/>
          <w:color w:val="auto"/>
        </w:rPr>
        <w:t>全场</w:t>
      </w:r>
      <w:r>
        <w:rPr>
          <w:rFonts w:hAnsi="宋体"/>
          <w:color w:val="auto"/>
        </w:rPr>
        <w:t>污染物排放对周围环境影响的程度和范围，并对其进行影响评价，给出影响结论</w:t>
      </w:r>
      <w:r>
        <w:rPr>
          <w:rFonts w:hint="eastAsia" w:hAnsi="宋体"/>
          <w:color w:val="auto"/>
        </w:rPr>
        <w:t>。</w:t>
      </w:r>
    </w:p>
    <w:p>
      <w:pPr>
        <w:ind w:firstLine="480"/>
        <w:rPr>
          <w:rFonts w:hAnsi="宋体"/>
          <w:color w:val="auto"/>
        </w:rPr>
      </w:pPr>
      <w:r>
        <w:rPr>
          <w:rFonts w:hint="eastAsia" w:hAnsi="宋体"/>
          <w:color w:val="auto"/>
        </w:rPr>
        <w:t>（5）</w:t>
      </w:r>
      <w:r>
        <w:rPr>
          <w:rFonts w:hAnsi="宋体"/>
          <w:color w:val="auto"/>
        </w:rPr>
        <w:t>分析论证</w:t>
      </w:r>
      <w:r>
        <w:rPr>
          <w:rFonts w:hint="eastAsia" w:hAnsi="宋体"/>
          <w:color w:val="auto"/>
        </w:rPr>
        <w:t>本项目</w:t>
      </w:r>
      <w:r>
        <w:rPr>
          <w:rFonts w:hAnsi="宋体"/>
          <w:color w:val="auto"/>
        </w:rPr>
        <w:t>拟采取的污染防治措施的技术经济可行性</w:t>
      </w:r>
      <w:r>
        <w:rPr>
          <w:rFonts w:hint="eastAsia" w:hAnsi="宋体"/>
          <w:color w:val="auto"/>
        </w:rPr>
        <w:t>。</w:t>
      </w:r>
    </w:p>
    <w:p>
      <w:pPr>
        <w:ind w:firstLine="480"/>
        <w:rPr>
          <w:rFonts w:hAnsi="宋体"/>
          <w:color w:val="auto"/>
        </w:rPr>
      </w:pPr>
      <w:r>
        <w:rPr>
          <w:rFonts w:hint="eastAsia" w:hAnsi="宋体"/>
          <w:color w:val="auto"/>
        </w:rPr>
        <w:t>（6）</w:t>
      </w:r>
      <w:r>
        <w:rPr>
          <w:rFonts w:hAnsi="宋体"/>
          <w:color w:val="auto"/>
        </w:rPr>
        <w:t>分析</w:t>
      </w:r>
      <w:r>
        <w:rPr>
          <w:rFonts w:hint="eastAsia" w:hAnsi="宋体"/>
          <w:color w:val="auto"/>
        </w:rPr>
        <w:t>本项目</w:t>
      </w:r>
      <w:r>
        <w:rPr>
          <w:rFonts w:hAnsi="宋体"/>
          <w:color w:val="auto"/>
        </w:rPr>
        <w:t>清洁生产水平，并提出持续清洁生产的建议</w:t>
      </w:r>
      <w:r>
        <w:rPr>
          <w:rFonts w:hint="eastAsia" w:hAnsi="宋体"/>
          <w:color w:val="auto"/>
        </w:rPr>
        <w:t>。</w:t>
      </w:r>
    </w:p>
    <w:p>
      <w:pPr>
        <w:ind w:firstLine="480"/>
        <w:rPr>
          <w:rFonts w:hAnsi="宋体"/>
          <w:color w:val="auto"/>
        </w:rPr>
      </w:pPr>
      <w:r>
        <w:rPr>
          <w:rFonts w:hint="eastAsia" w:hAnsi="宋体"/>
          <w:color w:val="auto"/>
        </w:rPr>
        <w:t>（7）根据预测评价结果，分析项目选址的可行性。</w:t>
      </w:r>
    </w:p>
    <w:p>
      <w:pPr>
        <w:ind w:firstLine="480"/>
        <w:rPr>
          <w:rFonts w:hAnsi="宋体"/>
          <w:color w:val="auto"/>
        </w:rPr>
      </w:pPr>
      <w:r>
        <w:rPr>
          <w:rFonts w:hint="eastAsia" w:hAnsi="宋体"/>
          <w:color w:val="auto"/>
        </w:rPr>
        <w:t>（8）</w:t>
      </w:r>
      <w:r>
        <w:rPr>
          <w:rFonts w:hAnsi="宋体"/>
          <w:color w:val="auto"/>
        </w:rPr>
        <w:t>预测环境风险事故发生后对周围环境及人员的影响程度和范围，提出防范措施和应急预案</w:t>
      </w:r>
      <w:r>
        <w:rPr>
          <w:rFonts w:hint="eastAsia" w:hAnsi="宋体"/>
          <w:color w:val="auto"/>
        </w:rPr>
        <w:t>。</w:t>
      </w:r>
    </w:p>
    <w:p>
      <w:pPr>
        <w:ind w:firstLine="480"/>
        <w:rPr>
          <w:rFonts w:hAnsi="宋体"/>
          <w:color w:val="auto"/>
        </w:rPr>
      </w:pPr>
      <w:r>
        <w:rPr>
          <w:rFonts w:hint="eastAsia" w:hAnsi="宋体"/>
          <w:color w:val="auto"/>
        </w:rPr>
        <w:t>（</w:t>
      </w:r>
      <w:r>
        <w:rPr>
          <w:rFonts w:hAnsi="宋体"/>
          <w:color w:val="auto"/>
        </w:rPr>
        <w:t>9</w:t>
      </w:r>
      <w:r>
        <w:rPr>
          <w:rFonts w:hint="eastAsia" w:hAnsi="宋体"/>
          <w:color w:val="auto"/>
        </w:rPr>
        <w:t>）</w:t>
      </w:r>
      <w:r>
        <w:rPr>
          <w:rFonts w:hAnsi="宋体"/>
          <w:color w:val="auto"/>
        </w:rPr>
        <w:t>从环保角度，给出</w:t>
      </w:r>
      <w:r>
        <w:rPr>
          <w:rFonts w:hint="eastAsia" w:hAnsi="宋体"/>
          <w:color w:val="auto"/>
        </w:rPr>
        <w:t>本项目</w:t>
      </w:r>
      <w:r>
        <w:rPr>
          <w:rFonts w:hAnsi="宋体"/>
          <w:color w:val="auto"/>
        </w:rPr>
        <w:t>建设是否可行的明确结论，为工程设计和环境管理提供科学依据</w:t>
      </w:r>
      <w:r>
        <w:rPr>
          <w:rFonts w:hint="eastAsia" w:hAnsi="宋体"/>
          <w:color w:val="auto"/>
        </w:rPr>
        <w:t>。</w:t>
      </w:r>
    </w:p>
    <w:p>
      <w:pPr>
        <w:pStyle w:val="32"/>
        <w:spacing w:line="360" w:lineRule="auto"/>
        <w:rPr>
          <w:color w:val="auto"/>
        </w:rPr>
      </w:pPr>
      <w:bookmarkStart w:id="141" w:name="_Toc13437"/>
      <w:bookmarkStart w:id="142" w:name="_Toc402441860"/>
      <w:bookmarkStart w:id="143" w:name="_Toc441490824"/>
      <w:bookmarkStart w:id="144" w:name="_Toc345417240"/>
      <w:bookmarkStart w:id="145" w:name="_Toc413827927"/>
      <w:bookmarkStart w:id="146" w:name="_Toc27899"/>
      <w:r>
        <w:rPr>
          <w:color w:val="auto"/>
        </w:rPr>
        <w:t>2.3 环境影响因素识别及评价因子筛选</w:t>
      </w:r>
      <w:bookmarkEnd w:id="141"/>
      <w:bookmarkEnd w:id="142"/>
      <w:bookmarkEnd w:id="143"/>
      <w:bookmarkEnd w:id="144"/>
      <w:bookmarkEnd w:id="145"/>
      <w:bookmarkEnd w:id="146"/>
    </w:p>
    <w:p>
      <w:pPr>
        <w:pStyle w:val="6"/>
        <w:rPr>
          <w:color w:val="auto"/>
        </w:rPr>
      </w:pPr>
      <w:bookmarkStart w:id="147" w:name="_Toc345417241"/>
      <w:r>
        <w:rPr>
          <w:color w:val="auto"/>
        </w:rPr>
        <w:t>2.3.1 环境影响因素识别</w:t>
      </w:r>
      <w:bookmarkEnd w:id="147"/>
    </w:p>
    <w:p>
      <w:pPr>
        <w:ind w:firstLine="480"/>
        <w:rPr>
          <w:rFonts w:hAnsi="宋体"/>
          <w:color w:val="auto"/>
        </w:rPr>
      </w:pPr>
      <w:r>
        <w:rPr>
          <w:rFonts w:hAnsi="宋体"/>
          <w:color w:val="auto"/>
        </w:rPr>
        <w:t>根据本</w:t>
      </w:r>
      <w:r>
        <w:rPr>
          <w:rFonts w:hint="eastAsia" w:hAnsi="宋体"/>
          <w:color w:val="auto"/>
        </w:rPr>
        <w:t>项目</w:t>
      </w:r>
      <w:r>
        <w:rPr>
          <w:rFonts w:hAnsi="宋体"/>
          <w:color w:val="auto"/>
        </w:rPr>
        <w:t>特点</w:t>
      </w:r>
      <w:r>
        <w:rPr>
          <w:rFonts w:hint="eastAsia" w:hAnsi="宋体"/>
          <w:color w:val="auto"/>
        </w:rPr>
        <w:t>及实地踏勘，</w:t>
      </w:r>
      <w:r>
        <w:rPr>
          <w:rFonts w:hAnsi="宋体"/>
          <w:color w:val="auto"/>
        </w:rPr>
        <w:t>采用矩阵法对可能受本</w:t>
      </w:r>
      <w:r>
        <w:rPr>
          <w:rFonts w:hint="eastAsia" w:hAnsi="宋体"/>
          <w:color w:val="auto"/>
        </w:rPr>
        <w:t>项目</w:t>
      </w:r>
      <w:r>
        <w:rPr>
          <w:rFonts w:hAnsi="宋体"/>
          <w:color w:val="auto"/>
        </w:rPr>
        <w:t>影响的环境要素进行识别和筛选</w:t>
      </w:r>
      <w:r>
        <w:rPr>
          <w:rFonts w:hint="eastAsia" w:hAnsi="宋体"/>
          <w:color w:val="auto"/>
        </w:rPr>
        <w:t>。本项目</w:t>
      </w:r>
      <w:r>
        <w:rPr>
          <w:rFonts w:hAnsi="宋体"/>
          <w:color w:val="auto"/>
        </w:rPr>
        <w:t>营运期产生的废气、废水及噪声会对大气环境、水环境和声环境产生长期的不利影响，在非正常工况和事故排放时这些影响会加剧。</w:t>
      </w:r>
      <w:r>
        <w:rPr>
          <w:rFonts w:hint="eastAsia" w:hAnsi="宋体"/>
          <w:color w:val="auto"/>
        </w:rPr>
        <w:t>与此同时项目</w:t>
      </w:r>
      <w:r>
        <w:rPr>
          <w:rFonts w:hAnsi="宋体"/>
          <w:color w:val="auto"/>
        </w:rPr>
        <w:t>的建成可以增加就业岗位和</w:t>
      </w:r>
      <w:r>
        <w:rPr>
          <w:rFonts w:hint="eastAsia" w:hAnsi="宋体"/>
          <w:color w:val="auto"/>
        </w:rPr>
        <w:t>当地</w:t>
      </w:r>
      <w:r>
        <w:rPr>
          <w:rFonts w:hAnsi="宋体"/>
          <w:color w:val="auto"/>
        </w:rPr>
        <w:t>财政收入，带动相关产业的发展，促进</w:t>
      </w:r>
      <w:r>
        <w:rPr>
          <w:rFonts w:hint="eastAsia" w:hAnsi="宋体"/>
          <w:color w:val="auto"/>
        </w:rPr>
        <w:t>濮阳县</w:t>
      </w:r>
      <w:r>
        <w:rPr>
          <w:rFonts w:hAnsi="宋体"/>
          <w:color w:val="auto"/>
        </w:rPr>
        <w:t>经济的发展。</w:t>
      </w:r>
      <w:r>
        <w:rPr>
          <w:rFonts w:hint="eastAsia" w:hAnsi="宋体"/>
          <w:color w:val="auto"/>
        </w:rPr>
        <w:t>本项目</w:t>
      </w:r>
      <w:r>
        <w:rPr>
          <w:rFonts w:hAnsi="宋体"/>
          <w:color w:val="auto"/>
        </w:rPr>
        <w:t>环境影响因素识别其结果见表</w:t>
      </w:r>
      <w:r>
        <w:rPr>
          <w:rFonts w:hint="eastAsia" w:hAnsi="宋体"/>
          <w:color w:val="auto"/>
        </w:rPr>
        <w:t>2.3-1</w:t>
      </w:r>
      <w:r>
        <w:rPr>
          <w:rFonts w:hAnsi="宋体"/>
          <w:color w:val="auto"/>
        </w:rPr>
        <w:t>。</w:t>
      </w:r>
    </w:p>
    <w:p>
      <w:pPr>
        <w:numPr>
          <w:ilvl w:val="0"/>
          <w:numId w:val="3"/>
        </w:numPr>
        <w:spacing w:after="72" w:afterLines="30" w:line="500" w:lineRule="exact"/>
        <w:ind w:left="0" w:firstLine="482"/>
        <w:jc w:val="left"/>
        <w:rPr>
          <w:b/>
          <w:color w:val="auto"/>
          <w:szCs w:val="21"/>
        </w:rPr>
      </w:pPr>
      <w:r>
        <w:rPr>
          <w:b/>
          <w:color w:val="auto"/>
          <w:szCs w:val="21"/>
        </w:rPr>
        <w:t xml:space="preserve">                      </w:t>
      </w:r>
      <w:r>
        <w:rPr>
          <w:rFonts w:hint="eastAsia"/>
          <w:b/>
          <w:color w:val="auto"/>
          <w:szCs w:val="21"/>
        </w:rPr>
        <w:t>环境影响识别一览表</w:t>
      </w:r>
    </w:p>
    <w:tbl>
      <w:tblPr>
        <w:tblStyle w:val="27"/>
        <w:tblW w:w="4999" w:type="pct"/>
        <w:jc w:val="center"/>
        <w:tblBorders>
          <w:top w:val="single" w:color="auto" w:sz="2" w:space="0"/>
          <w:left w:val="none" w:color="auto" w:sz="0" w:space="0"/>
          <w:bottom w:val="single" w:color="auto" w:sz="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426"/>
        <w:gridCol w:w="2115"/>
        <w:gridCol w:w="1066"/>
        <w:gridCol w:w="1066"/>
        <w:gridCol w:w="1066"/>
        <w:gridCol w:w="1066"/>
        <w:gridCol w:w="1066"/>
        <w:gridCol w:w="1075"/>
      </w:tblGrid>
      <w:tr>
        <w:tblPrEx>
          <w:tblBorders>
            <w:top w:val="single" w:color="auto" w:sz="2" w:space="0"/>
            <w:left w:val="none" w:color="auto" w:sz="0" w:space="0"/>
            <w:bottom w:val="sing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8" w:hRule="atLeast"/>
          <w:tblHeader/>
          <w:jc w:val="center"/>
        </w:trPr>
        <w:tc>
          <w:tcPr>
            <w:tcW w:w="238" w:type="pct"/>
            <w:vMerge w:val="restart"/>
            <w:vAlign w:val="center"/>
          </w:tcPr>
          <w:p>
            <w:pPr>
              <w:spacing w:line="240" w:lineRule="auto"/>
              <w:ind w:firstLine="0" w:firstLineChars="0"/>
              <w:jc w:val="center"/>
              <w:rPr>
                <w:color w:val="auto"/>
                <w:sz w:val="21"/>
                <w:szCs w:val="21"/>
              </w:rPr>
            </w:pPr>
            <w:r>
              <w:rPr>
                <w:color w:val="auto"/>
                <w:sz w:val="21"/>
                <w:szCs w:val="21"/>
              </w:rPr>
              <w:t>阶</w:t>
            </w:r>
          </w:p>
          <w:p>
            <w:pPr>
              <w:spacing w:line="240" w:lineRule="auto"/>
              <w:ind w:firstLine="0" w:firstLineChars="0"/>
              <w:jc w:val="center"/>
              <w:rPr>
                <w:color w:val="auto"/>
                <w:sz w:val="21"/>
                <w:szCs w:val="21"/>
              </w:rPr>
            </w:pPr>
            <w:r>
              <w:rPr>
                <w:color w:val="auto"/>
                <w:sz w:val="21"/>
                <w:szCs w:val="21"/>
              </w:rPr>
              <w:t>段</w:t>
            </w:r>
          </w:p>
        </w:tc>
        <w:tc>
          <w:tcPr>
            <w:tcW w:w="1182" w:type="pct"/>
            <w:vMerge w:val="restart"/>
            <w:vAlign w:val="center"/>
          </w:tcPr>
          <w:p>
            <w:pPr>
              <w:spacing w:line="240" w:lineRule="auto"/>
              <w:ind w:firstLine="0" w:firstLineChars="0"/>
              <w:jc w:val="center"/>
              <w:rPr>
                <w:color w:val="auto"/>
                <w:sz w:val="21"/>
                <w:szCs w:val="21"/>
              </w:rPr>
            </w:pPr>
            <w:r>
              <w:rPr>
                <w:color w:val="auto"/>
                <w:sz w:val="21"/>
                <w:szCs w:val="21"/>
              </w:rPr>
              <w:t>污染因素</w:t>
            </w:r>
          </w:p>
        </w:tc>
        <w:tc>
          <w:tcPr>
            <w:tcW w:w="3578" w:type="pct"/>
            <w:gridSpan w:val="6"/>
            <w:vAlign w:val="center"/>
          </w:tcPr>
          <w:p>
            <w:pPr>
              <w:spacing w:line="240" w:lineRule="auto"/>
              <w:ind w:firstLine="0" w:firstLineChars="0"/>
              <w:jc w:val="center"/>
              <w:rPr>
                <w:color w:val="auto"/>
                <w:sz w:val="21"/>
                <w:szCs w:val="21"/>
              </w:rPr>
            </w:pPr>
            <w:r>
              <w:rPr>
                <w:color w:val="auto"/>
                <w:sz w:val="21"/>
                <w:szCs w:val="21"/>
              </w:rPr>
              <w:t>环境要素</w:t>
            </w:r>
          </w:p>
        </w:tc>
      </w:tr>
      <w:tr>
        <w:tblPrEx>
          <w:tblBorders>
            <w:top w:val="single" w:color="auto" w:sz="2" w:space="0"/>
            <w:left w:val="none" w:color="auto" w:sz="0" w:space="0"/>
            <w:bottom w:val="sing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8" w:hRule="atLeast"/>
          <w:tblHeader/>
          <w:jc w:val="center"/>
        </w:trPr>
        <w:tc>
          <w:tcPr>
            <w:tcW w:w="238" w:type="pct"/>
            <w:vMerge w:val="continue"/>
            <w:vAlign w:val="center"/>
          </w:tcPr>
          <w:p>
            <w:pPr>
              <w:spacing w:line="240" w:lineRule="auto"/>
              <w:ind w:firstLine="0" w:firstLineChars="0"/>
              <w:jc w:val="center"/>
              <w:rPr>
                <w:color w:val="auto"/>
                <w:sz w:val="21"/>
                <w:szCs w:val="21"/>
              </w:rPr>
            </w:pPr>
          </w:p>
        </w:tc>
        <w:tc>
          <w:tcPr>
            <w:tcW w:w="1182" w:type="pct"/>
            <w:vMerge w:val="continue"/>
            <w:vAlign w:val="center"/>
          </w:tcPr>
          <w:p>
            <w:pPr>
              <w:spacing w:line="240" w:lineRule="auto"/>
              <w:ind w:firstLine="0" w:firstLineChars="0"/>
              <w:jc w:val="center"/>
              <w:rPr>
                <w:color w:val="auto"/>
                <w:sz w:val="21"/>
                <w:szCs w:val="21"/>
              </w:rPr>
            </w:pPr>
          </w:p>
        </w:tc>
        <w:tc>
          <w:tcPr>
            <w:tcW w:w="596" w:type="pct"/>
            <w:vAlign w:val="center"/>
          </w:tcPr>
          <w:p>
            <w:pPr>
              <w:spacing w:line="240" w:lineRule="auto"/>
              <w:ind w:firstLine="0" w:firstLineChars="0"/>
              <w:jc w:val="center"/>
              <w:rPr>
                <w:color w:val="auto"/>
                <w:sz w:val="21"/>
                <w:szCs w:val="21"/>
              </w:rPr>
            </w:pPr>
            <w:r>
              <w:rPr>
                <w:color w:val="auto"/>
                <w:sz w:val="21"/>
                <w:szCs w:val="21"/>
              </w:rPr>
              <w:t>大气</w:t>
            </w:r>
          </w:p>
        </w:tc>
        <w:tc>
          <w:tcPr>
            <w:tcW w:w="596" w:type="pct"/>
            <w:vAlign w:val="center"/>
          </w:tcPr>
          <w:p>
            <w:pPr>
              <w:spacing w:line="240" w:lineRule="auto"/>
              <w:ind w:firstLine="0" w:firstLineChars="0"/>
              <w:jc w:val="center"/>
              <w:rPr>
                <w:color w:val="auto"/>
                <w:sz w:val="21"/>
                <w:szCs w:val="21"/>
              </w:rPr>
            </w:pPr>
            <w:r>
              <w:rPr>
                <w:color w:val="auto"/>
                <w:sz w:val="21"/>
                <w:szCs w:val="21"/>
              </w:rPr>
              <w:t>地表水</w:t>
            </w:r>
          </w:p>
        </w:tc>
        <w:tc>
          <w:tcPr>
            <w:tcW w:w="596" w:type="pct"/>
            <w:vAlign w:val="center"/>
          </w:tcPr>
          <w:p>
            <w:pPr>
              <w:spacing w:line="240" w:lineRule="auto"/>
              <w:ind w:firstLine="0" w:firstLineChars="0"/>
              <w:jc w:val="center"/>
              <w:rPr>
                <w:color w:val="auto"/>
                <w:sz w:val="21"/>
                <w:szCs w:val="21"/>
              </w:rPr>
            </w:pPr>
            <w:r>
              <w:rPr>
                <w:color w:val="auto"/>
                <w:sz w:val="21"/>
                <w:szCs w:val="21"/>
              </w:rPr>
              <w:t>地下水</w:t>
            </w:r>
          </w:p>
        </w:tc>
        <w:tc>
          <w:tcPr>
            <w:tcW w:w="596" w:type="pct"/>
            <w:vAlign w:val="center"/>
          </w:tcPr>
          <w:p>
            <w:pPr>
              <w:spacing w:line="240" w:lineRule="auto"/>
              <w:ind w:firstLine="0" w:firstLineChars="0"/>
              <w:jc w:val="center"/>
              <w:rPr>
                <w:color w:val="auto"/>
                <w:sz w:val="21"/>
                <w:szCs w:val="21"/>
              </w:rPr>
            </w:pPr>
            <w:r>
              <w:rPr>
                <w:color w:val="auto"/>
                <w:sz w:val="21"/>
                <w:szCs w:val="21"/>
              </w:rPr>
              <w:t>声</w:t>
            </w:r>
          </w:p>
        </w:tc>
        <w:tc>
          <w:tcPr>
            <w:tcW w:w="596" w:type="pct"/>
            <w:vAlign w:val="center"/>
          </w:tcPr>
          <w:p>
            <w:pPr>
              <w:spacing w:line="240" w:lineRule="auto"/>
              <w:ind w:firstLine="0" w:firstLineChars="0"/>
              <w:jc w:val="center"/>
              <w:rPr>
                <w:color w:val="auto"/>
                <w:sz w:val="21"/>
                <w:szCs w:val="21"/>
              </w:rPr>
            </w:pPr>
            <w:r>
              <w:rPr>
                <w:rFonts w:hint="eastAsia"/>
                <w:color w:val="auto"/>
                <w:sz w:val="21"/>
                <w:szCs w:val="21"/>
              </w:rPr>
              <w:t>生态</w:t>
            </w:r>
          </w:p>
        </w:tc>
        <w:tc>
          <w:tcPr>
            <w:tcW w:w="594" w:type="pct"/>
            <w:vAlign w:val="center"/>
          </w:tcPr>
          <w:p>
            <w:pPr>
              <w:spacing w:line="240" w:lineRule="auto"/>
              <w:ind w:firstLine="0" w:firstLineChars="0"/>
              <w:jc w:val="center"/>
              <w:rPr>
                <w:color w:val="auto"/>
                <w:sz w:val="21"/>
                <w:szCs w:val="21"/>
              </w:rPr>
            </w:pPr>
            <w:r>
              <w:rPr>
                <w:color w:val="auto"/>
                <w:sz w:val="21"/>
                <w:szCs w:val="21"/>
              </w:rPr>
              <w:t>居民生活</w:t>
            </w:r>
          </w:p>
        </w:tc>
      </w:tr>
      <w:tr>
        <w:tblPrEx>
          <w:tblBorders>
            <w:top w:val="single" w:color="auto" w:sz="2" w:space="0"/>
            <w:left w:val="none" w:color="auto" w:sz="0" w:space="0"/>
            <w:bottom w:val="sing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8" w:hRule="atLeast"/>
          <w:jc w:val="center"/>
        </w:trPr>
        <w:tc>
          <w:tcPr>
            <w:tcW w:w="238" w:type="pct"/>
            <w:vMerge w:val="restart"/>
            <w:vAlign w:val="center"/>
          </w:tcPr>
          <w:p>
            <w:pPr>
              <w:spacing w:line="240" w:lineRule="auto"/>
              <w:ind w:firstLine="0" w:firstLineChars="0"/>
              <w:jc w:val="center"/>
              <w:rPr>
                <w:color w:val="auto"/>
                <w:sz w:val="21"/>
                <w:szCs w:val="21"/>
              </w:rPr>
            </w:pPr>
            <w:r>
              <w:rPr>
                <w:color w:val="auto"/>
                <w:sz w:val="21"/>
                <w:szCs w:val="21"/>
              </w:rPr>
              <w:t>施</w:t>
            </w:r>
          </w:p>
          <w:p>
            <w:pPr>
              <w:spacing w:line="240" w:lineRule="auto"/>
              <w:ind w:firstLine="0" w:firstLineChars="0"/>
              <w:jc w:val="center"/>
              <w:rPr>
                <w:color w:val="auto"/>
                <w:sz w:val="21"/>
                <w:szCs w:val="21"/>
              </w:rPr>
            </w:pPr>
            <w:r>
              <w:rPr>
                <w:color w:val="auto"/>
                <w:sz w:val="21"/>
                <w:szCs w:val="21"/>
              </w:rPr>
              <w:t>工</w:t>
            </w:r>
          </w:p>
          <w:p>
            <w:pPr>
              <w:spacing w:line="240" w:lineRule="auto"/>
              <w:ind w:firstLine="0" w:firstLineChars="0"/>
              <w:jc w:val="center"/>
              <w:rPr>
                <w:color w:val="auto"/>
                <w:sz w:val="21"/>
                <w:szCs w:val="21"/>
              </w:rPr>
            </w:pPr>
            <w:r>
              <w:rPr>
                <w:color w:val="auto"/>
                <w:sz w:val="21"/>
                <w:szCs w:val="21"/>
              </w:rPr>
              <w:t>期</w:t>
            </w:r>
          </w:p>
        </w:tc>
        <w:tc>
          <w:tcPr>
            <w:tcW w:w="1182" w:type="pct"/>
            <w:tcBorders>
              <w:bottom w:val="single" w:color="auto" w:sz="4" w:space="0"/>
            </w:tcBorders>
            <w:vAlign w:val="center"/>
          </w:tcPr>
          <w:p>
            <w:pPr>
              <w:spacing w:line="240" w:lineRule="auto"/>
              <w:ind w:firstLine="0" w:firstLineChars="0"/>
              <w:jc w:val="center"/>
              <w:rPr>
                <w:color w:val="auto"/>
                <w:sz w:val="21"/>
                <w:szCs w:val="21"/>
              </w:rPr>
            </w:pPr>
            <w:r>
              <w:rPr>
                <w:color w:val="auto"/>
                <w:sz w:val="21"/>
                <w:szCs w:val="21"/>
              </w:rPr>
              <w:t>施工噪声</w:t>
            </w:r>
          </w:p>
        </w:tc>
        <w:tc>
          <w:tcPr>
            <w:tcW w:w="596" w:type="pct"/>
            <w:vAlign w:val="center"/>
          </w:tcPr>
          <w:p>
            <w:pPr>
              <w:spacing w:line="240" w:lineRule="auto"/>
              <w:ind w:firstLine="0" w:firstLineChars="0"/>
              <w:jc w:val="center"/>
              <w:rPr>
                <w:color w:val="auto"/>
                <w:sz w:val="21"/>
                <w:szCs w:val="21"/>
              </w:rPr>
            </w:pPr>
            <w:r>
              <w:rPr>
                <w:color w:val="auto"/>
                <w:sz w:val="21"/>
                <w:szCs w:val="21"/>
              </w:rPr>
              <w:t>○</w:t>
            </w:r>
          </w:p>
        </w:tc>
        <w:tc>
          <w:tcPr>
            <w:tcW w:w="596" w:type="pct"/>
            <w:vAlign w:val="center"/>
          </w:tcPr>
          <w:p>
            <w:pPr>
              <w:spacing w:line="240" w:lineRule="auto"/>
              <w:ind w:firstLine="0" w:firstLineChars="0"/>
              <w:jc w:val="center"/>
              <w:rPr>
                <w:color w:val="auto"/>
                <w:sz w:val="21"/>
                <w:szCs w:val="21"/>
              </w:rPr>
            </w:pPr>
            <w:r>
              <w:rPr>
                <w:color w:val="auto"/>
                <w:sz w:val="21"/>
                <w:szCs w:val="21"/>
              </w:rPr>
              <w:t>○</w:t>
            </w:r>
          </w:p>
        </w:tc>
        <w:tc>
          <w:tcPr>
            <w:tcW w:w="596" w:type="pct"/>
            <w:vAlign w:val="center"/>
          </w:tcPr>
          <w:p>
            <w:pPr>
              <w:spacing w:line="240" w:lineRule="auto"/>
              <w:ind w:firstLine="0" w:firstLineChars="0"/>
              <w:jc w:val="center"/>
              <w:rPr>
                <w:color w:val="auto"/>
                <w:sz w:val="21"/>
                <w:szCs w:val="21"/>
              </w:rPr>
            </w:pPr>
            <w:r>
              <w:rPr>
                <w:color w:val="auto"/>
                <w:sz w:val="21"/>
                <w:szCs w:val="21"/>
              </w:rPr>
              <w:t>○</w:t>
            </w:r>
          </w:p>
        </w:tc>
        <w:tc>
          <w:tcPr>
            <w:tcW w:w="596" w:type="pct"/>
            <w:vAlign w:val="center"/>
          </w:tcPr>
          <w:p>
            <w:pPr>
              <w:spacing w:line="240" w:lineRule="auto"/>
              <w:ind w:firstLine="0" w:firstLineChars="0"/>
              <w:jc w:val="center"/>
              <w:rPr>
                <w:color w:val="auto"/>
                <w:sz w:val="21"/>
                <w:szCs w:val="21"/>
              </w:rPr>
            </w:pPr>
            <w:r>
              <w:rPr>
                <w:color w:val="auto"/>
                <w:sz w:val="21"/>
                <w:szCs w:val="21"/>
              </w:rPr>
              <w:t>●</w:t>
            </w:r>
          </w:p>
        </w:tc>
        <w:tc>
          <w:tcPr>
            <w:tcW w:w="596" w:type="pct"/>
            <w:vAlign w:val="center"/>
          </w:tcPr>
          <w:p>
            <w:pPr>
              <w:spacing w:line="240" w:lineRule="auto"/>
              <w:ind w:firstLine="0" w:firstLineChars="0"/>
              <w:jc w:val="center"/>
              <w:rPr>
                <w:color w:val="auto"/>
                <w:sz w:val="21"/>
                <w:szCs w:val="21"/>
              </w:rPr>
            </w:pPr>
            <w:r>
              <w:rPr>
                <w:color w:val="auto"/>
                <w:sz w:val="21"/>
                <w:szCs w:val="21"/>
              </w:rPr>
              <w:t>○</w:t>
            </w:r>
          </w:p>
        </w:tc>
        <w:tc>
          <w:tcPr>
            <w:tcW w:w="594" w:type="pct"/>
            <w:vAlign w:val="center"/>
          </w:tcPr>
          <w:p>
            <w:pPr>
              <w:spacing w:line="240" w:lineRule="auto"/>
              <w:ind w:firstLine="0" w:firstLineChars="0"/>
              <w:jc w:val="center"/>
              <w:rPr>
                <w:color w:val="auto"/>
                <w:sz w:val="21"/>
                <w:szCs w:val="21"/>
              </w:rPr>
            </w:pPr>
            <w:r>
              <w:rPr>
                <w:color w:val="auto"/>
                <w:sz w:val="21"/>
                <w:szCs w:val="21"/>
              </w:rPr>
              <w:t>○</w:t>
            </w:r>
          </w:p>
        </w:tc>
      </w:tr>
      <w:tr>
        <w:tblPrEx>
          <w:tblBorders>
            <w:top w:val="single" w:color="auto" w:sz="2" w:space="0"/>
            <w:left w:val="none" w:color="auto" w:sz="0" w:space="0"/>
            <w:bottom w:val="sing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8" w:hRule="atLeast"/>
          <w:jc w:val="center"/>
        </w:trPr>
        <w:tc>
          <w:tcPr>
            <w:tcW w:w="238" w:type="pct"/>
            <w:vMerge w:val="continue"/>
            <w:vAlign w:val="center"/>
          </w:tcPr>
          <w:p>
            <w:pPr>
              <w:spacing w:line="240" w:lineRule="auto"/>
              <w:ind w:firstLine="0" w:firstLineChars="0"/>
              <w:jc w:val="center"/>
              <w:rPr>
                <w:color w:val="auto"/>
                <w:sz w:val="21"/>
                <w:szCs w:val="21"/>
              </w:rPr>
            </w:pPr>
          </w:p>
        </w:tc>
        <w:tc>
          <w:tcPr>
            <w:tcW w:w="1182" w:type="pct"/>
            <w:tcBorders>
              <w:top w:val="single" w:color="auto" w:sz="4" w:space="0"/>
              <w:bottom w:val="single" w:color="auto" w:sz="4" w:space="0"/>
            </w:tcBorders>
            <w:vAlign w:val="center"/>
          </w:tcPr>
          <w:p>
            <w:pPr>
              <w:spacing w:line="240" w:lineRule="auto"/>
              <w:ind w:firstLine="0" w:firstLineChars="0"/>
              <w:jc w:val="center"/>
              <w:rPr>
                <w:color w:val="auto"/>
                <w:sz w:val="21"/>
                <w:szCs w:val="21"/>
              </w:rPr>
            </w:pPr>
            <w:r>
              <w:rPr>
                <w:color w:val="auto"/>
                <w:sz w:val="21"/>
                <w:szCs w:val="21"/>
              </w:rPr>
              <w:t>施工扬尘</w:t>
            </w:r>
          </w:p>
        </w:tc>
        <w:tc>
          <w:tcPr>
            <w:tcW w:w="596" w:type="pct"/>
            <w:vAlign w:val="center"/>
          </w:tcPr>
          <w:p>
            <w:pPr>
              <w:spacing w:line="240" w:lineRule="auto"/>
              <w:ind w:firstLine="0" w:firstLineChars="0"/>
              <w:jc w:val="center"/>
              <w:rPr>
                <w:color w:val="auto"/>
                <w:sz w:val="21"/>
                <w:szCs w:val="21"/>
              </w:rPr>
            </w:pPr>
            <w:r>
              <w:rPr>
                <w:color w:val="auto"/>
                <w:sz w:val="21"/>
                <w:szCs w:val="21"/>
              </w:rPr>
              <w:t>●</w:t>
            </w:r>
          </w:p>
        </w:tc>
        <w:tc>
          <w:tcPr>
            <w:tcW w:w="596" w:type="pct"/>
            <w:vAlign w:val="center"/>
          </w:tcPr>
          <w:p>
            <w:pPr>
              <w:spacing w:line="240" w:lineRule="auto"/>
              <w:ind w:firstLine="0" w:firstLineChars="0"/>
              <w:jc w:val="center"/>
              <w:rPr>
                <w:color w:val="auto"/>
                <w:sz w:val="21"/>
                <w:szCs w:val="21"/>
              </w:rPr>
            </w:pPr>
            <w:r>
              <w:rPr>
                <w:color w:val="auto"/>
                <w:sz w:val="21"/>
                <w:szCs w:val="21"/>
              </w:rPr>
              <w:t>○</w:t>
            </w:r>
          </w:p>
        </w:tc>
        <w:tc>
          <w:tcPr>
            <w:tcW w:w="596" w:type="pct"/>
            <w:vAlign w:val="center"/>
          </w:tcPr>
          <w:p>
            <w:pPr>
              <w:spacing w:line="240" w:lineRule="auto"/>
              <w:ind w:firstLine="0" w:firstLineChars="0"/>
              <w:jc w:val="center"/>
              <w:rPr>
                <w:color w:val="auto"/>
                <w:sz w:val="21"/>
                <w:szCs w:val="21"/>
              </w:rPr>
            </w:pPr>
            <w:r>
              <w:rPr>
                <w:color w:val="auto"/>
                <w:sz w:val="21"/>
                <w:szCs w:val="21"/>
              </w:rPr>
              <w:t>○</w:t>
            </w:r>
          </w:p>
        </w:tc>
        <w:tc>
          <w:tcPr>
            <w:tcW w:w="596" w:type="pct"/>
            <w:vAlign w:val="center"/>
          </w:tcPr>
          <w:p>
            <w:pPr>
              <w:spacing w:line="240" w:lineRule="auto"/>
              <w:ind w:firstLine="0" w:firstLineChars="0"/>
              <w:jc w:val="center"/>
              <w:rPr>
                <w:color w:val="auto"/>
                <w:sz w:val="21"/>
                <w:szCs w:val="21"/>
              </w:rPr>
            </w:pPr>
            <w:r>
              <w:rPr>
                <w:color w:val="auto"/>
                <w:sz w:val="21"/>
                <w:szCs w:val="21"/>
              </w:rPr>
              <w:t>○</w:t>
            </w:r>
          </w:p>
        </w:tc>
        <w:tc>
          <w:tcPr>
            <w:tcW w:w="596" w:type="pct"/>
            <w:vAlign w:val="center"/>
          </w:tcPr>
          <w:p>
            <w:pPr>
              <w:spacing w:line="240" w:lineRule="auto"/>
              <w:ind w:firstLine="0" w:firstLineChars="0"/>
              <w:jc w:val="center"/>
              <w:rPr>
                <w:color w:val="auto"/>
                <w:sz w:val="21"/>
                <w:szCs w:val="21"/>
              </w:rPr>
            </w:pPr>
            <w:r>
              <w:rPr>
                <w:rFonts w:ascii="Cambria Math" w:hAnsi="Cambria Math" w:cs="Cambria Math"/>
                <w:color w:val="auto"/>
                <w:sz w:val="21"/>
                <w:szCs w:val="21"/>
              </w:rPr>
              <w:t>△</w:t>
            </w:r>
          </w:p>
        </w:tc>
        <w:tc>
          <w:tcPr>
            <w:tcW w:w="594" w:type="pct"/>
            <w:vAlign w:val="center"/>
          </w:tcPr>
          <w:p>
            <w:pPr>
              <w:spacing w:line="240" w:lineRule="auto"/>
              <w:ind w:firstLine="0" w:firstLineChars="0"/>
              <w:jc w:val="center"/>
              <w:rPr>
                <w:color w:val="auto"/>
                <w:sz w:val="21"/>
                <w:szCs w:val="21"/>
              </w:rPr>
            </w:pPr>
            <w:r>
              <w:rPr>
                <w:color w:val="auto"/>
                <w:sz w:val="21"/>
                <w:szCs w:val="21"/>
              </w:rPr>
              <w:t>▲</w:t>
            </w:r>
          </w:p>
        </w:tc>
      </w:tr>
      <w:tr>
        <w:tblPrEx>
          <w:tblBorders>
            <w:top w:val="single" w:color="auto" w:sz="2" w:space="0"/>
            <w:left w:val="none" w:color="auto" w:sz="0" w:space="0"/>
            <w:bottom w:val="sing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8" w:hRule="atLeast"/>
          <w:jc w:val="center"/>
        </w:trPr>
        <w:tc>
          <w:tcPr>
            <w:tcW w:w="238" w:type="pct"/>
            <w:vMerge w:val="continue"/>
            <w:vAlign w:val="center"/>
          </w:tcPr>
          <w:p>
            <w:pPr>
              <w:spacing w:line="240" w:lineRule="auto"/>
              <w:ind w:firstLine="0" w:firstLineChars="0"/>
              <w:jc w:val="center"/>
              <w:rPr>
                <w:color w:val="auto"/>
                <w:sz w:val="21"/>
                <w:szCs w:val="21"/>
              </w:rPr>
            </w:pPr>
          </w:p>
        </w:tc>
        <w:tc>
          <w:tcPr>
            <w:tcW w:w="1182" w:type="pct"/>
            <w:tcBorders>
              <w:top w:val="single" w:color="auto" w:sz="4" w:space="0"/>
            </w:tcBorders>
            <w:vAlign w:val="center"/>
          </w:tcPr>
          <w:p>
            <w:pPr>
              <w:spacing w:line="240" w:lineRule="auto"/>
              <w:ind w:firstLine="0" w:firstLineChars="0"/>
              <w:jc w:val="center"/>
              <w:rPr>
                <w:color w:val="auto"/>
                <w:sz w:val="21"/>
                <w:szCs w:val="21"/>
              </w:rPr>
            </w:pPr>
            <w:r>
              <w:rPr>
                <w:color w:val="auto"/>
                <w:sz w:val="21"/>
                <w:szCs w:val="21"/>
              </w:rPr>
              <w:t>施工废水</w:t>
            </w:r>
          </w:p>
        </w:tc>
        <w:tc>
          <w:tcPr>
            <w:tcW w:w="596" w:type="pct"/>
            <w:vAlign w:val="center"/>
          </w:tcPr>
          <w:p>
            <w:pPr>
              <w:spacing w:line="240" w:lineRule="auto"/>
              <w:ind w:firstLine="0" w:firstLineChars="0"/>
              <w:jc w:val="center"/>
              <w:rPr>
                <w:color w:val="auto"/>
                <w:sz w:val="21"/>
                <w:szCs w:val="21"/>
              </w:rPr>
            </w:pPr>
            <w:r>
              <w:rPr>
                <w:color w:val="auto"/>
                <w:sz w:val="21"/>
                <w:szCs w:val="21"/>
              </w:rPr>
              <w:t>○</w:t>
            </w:r>
          </w:p>
        </w:tc>
        <w:tc>
          <w:tcPr>
            <w:tcW w:w="596" w:type="pct"/>
            <w:vAlign w:val="center"/>
          </w:tcPr>
          <w:p>
            <w:pPr>
              <w:spacing w:line="240" w:lineRule="auto"/>
              <w:ind w:firstLine="0" w:firstLineChars="0"/>
              <w:jc w:val="center"/>
              <w:rPr>
                <w:color w:val="auto"/>
                <w:sz w:val="21"/>
                <w:szCs w:val="21"/>
              </w:rPr>
            </w:pPr>
            <w:r>
              <w:rPr>
                <w:color w:val="auto"/>
                <w:sz w:val="21"/>
                <w:szCs w:val="21"/>
              </w:rPr>
              <w:t>○</w:t>
            </w:r>
          </w:p>
        </w:tc>
        <w:tc>
          <w:tcPr>
            <w:tcW w:w="596" w:type="pct"/>
            <w:vAlign w:val="center"/>
          </w:tcPr>
          <w:p>
            <w:pPr>
              <w:spacing w:line="240" w:lineRule="auto"/>
              <w:ind w:firstLine="0" w:firstLineChars="0"/>
              <w:jc w:val="center"/>
              <w:rPr>
                <w:color w:val="auto"/>
                <w:sz w:val="21"/>
                <w:szCs w:val="21"/>
              </w:rPr>
            </w:pPr>
            <w:r>
              <w:rPr>
                <w:color w:val="auto"/>
                <w:sz w:val="21"/>
                <w:szCs w:val="21"/>
              </w:rPr>
              <w:t>▲</w:t>
            </w:r>
          </w:p>
        </w:tc>
        <w:tc>
          <w:tcPr>
            <w:tcW w:w="596" w:type="pct"/>
            <w:vAlign w:val="center"/>
          </w:tcPr>
          <w:p>
            <w:pPr>
              <w:spacing w:line="240" w:lineRule="auto"/>
              <w:ind w:firstLine="0" w:firstLineChars="0"/>
              <w:jc w:val="center"/>
              <w:rPr>
                <w:color w:val="auto"/>
                <w:sz w:val="21"/>
                <w:szCs w:val="21"/>
              </w:rPr>
            </w:pPr>
            <w:r>
              <w:rPr>
                <w:color w:val="auto"/>
                <w:sz w:val="21"/>
                <w:szCs w:val="21"/>
              </w:rPr>
              <w:t>○</w:t>
            </w:r>
          </w:p>
        </w:tc>
        <w:tc>
          <w:tcPr>
            <w:tcW w:w="596" w:type="pct"/>
            <w:vAlign w:val="center"/>
          </w:tcPr>
          <w:p>
            <w:pPr>
              <w:spacing w:line="240" w:lineRule="auto"/>
              <w:ind w:firstLine="0" w:firstLineChars="0"/>
              <w:jc w:val="center"/>
              <w:rPr>
                <w:color w:val="auto"/>
                <w:sz w:val="21"/>
                <w:szCs w:val="21"/>
              </w:rPr>
            </w:pPr>
            <w:r>
              <w:rPr>
                <w:rFonts w:ascii="Cambria Math" w:hAnsi="Cambria Math" w:cs="Cambria Math"/>
                <w:color w:val="auto"/>
                <w:sz w:val="21"/>
                <w:szCs w:val="21"/>
              </w:rPr>
              <w:t>△</w:t>
            </w:r>
          </w:p>
        </w:tc>
        <w:tc>
          <w:tcPr>
            <w:tcW w:w="594" w:type="pct"/>
            <w:vAlign w:val="center"/>
          </w:tcPr>
          <w:p>
            <w:pPr>
              <w:spacing w:line="240" w:lineRule="auto"/>
              <w:ind w:firstLine="0" w:firstLineChars="0"/>
              <w:jc w:val="center"/>
              <w:rPr>
                <w:color w:val="auto"/>
                <w:sz w:val="21"/>
                <w:szCs w:val="21"/>
              </w:rPr>
            </w:pPr>
            <w:r>
              <w:rPr>
                <w:color w:val="auto"/>
                <w:sz w:val="21"/>
                <w:szCs w:val="21"/>
              </w:rPr>
              <w:t>○</w:t>
            </w:r>
          </w:p>
        </w:tc>
      </w:tr>
      <w:tr>
        <w:tblPrEx>
          <w:tblBorders>
            <w:top w:val="single" w:color="auto" w:sz="2" w:space="0"/>
            <w:left w:val="none" w:color="auto" w:sz="0" w:space="0"/>
            <w:bottom w:val="sing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8" w:hRule="atLeast"/>
          <w:jc w:val="center"/>
        </w:trPr>
        <w:tc>
          <w:tcPr>
            <w:tcW w:w="238" w:type="pct"/>
            <w:vMerge w:val="continue"/>
            <w:vAlign w:val="center"/>
          </w:tcPr>
          <w:p>
            <w:pPr>
              <w:spacing w:line="240" w:lineRule="auto"/>
              <w:ind w:firstLine="0" w:firstLineChars="0"/>
              <w:jc w:val="center"/>
              <w:rPr>
                <w:color w:val="auto"/>
                <w:sz w:val="21"/>
                <w:szCs w:val="21"/>
              </w:rPr>
            </w:pPr>
          </w:p>
        </w:tc>
        <w:tc>
          <w:tcPr>
            <w:tcW w:w="1182" w:type="pct"/>
            <w:vAlign w:val="center"/>
          </w:tcPr>
          <w:p>
            <w:pPr>
              <w:spacing w:line="240" w:lineRule="auto"/>
              <w:ind w:firstLine="0" w:firstLineChars="0"/>
              <w:jc w:val="center"/>
              <w:rPr>
                <w:color w:val="auto"/>
                <w:sz w:val="21"/>
                <w:szCs w:val="21"/>
              </w:rPr>
            </w:pPr>
            <w:r>
              <w:rPr>
                <w:color w:val="auto"/>
                <w:sz w:val="21"/>
                <w:szCs w:val="21"/>
              </w:rPr>
              <w:t>车辆运输</w:t>
            </w:r>
          </w:p>
        </w:tc>
        <w:tc>
          <w:tcPr>
            <w:tcW w:w="596" w:type="pct"/>
            <w:vAlign w:val="center"/>
          </w:tcPr>
          <w:p>
            <w:pPr>
              <w:spacing w:line="240" w:lineRule="auto"/>
              <w:ind w:firstLine="0" w:firstLineChars="0"/>
              <w:jc w:val="center"/>
              <w:rPr>
                <w:color w:val="auto"/>
                <w:sz w:val="21"/>
                <w:szCs w:val="21"/>
              </w:rPr>
            </w:pPr>
            <w:r>
              <w:rPr>
                <w:color w:val="auto"/>
                <w:sz w:val="21"/>
                <w:szCs w:val="21"/>
              </w:rPr>
              <w:t>▲</w:t>
            </w:r>
          </w:p>
        </w:tc>
        <w:tc>
          <w:tcPr>
            <w:tcW w:w="596" w:type="pct"/>
            <w:vAlign w:val="center"/>
          </w:tcPr>
          <w:p>
            <w:pPr>
              <w:spacing w:line="240" w:lineRule="auto"/>
              <w:ind w:firstLine="0" w:firstLineChars="0"/>
              <w:jc w:val="center"/>
              <w:rPr>
                <w:color w:val="auto"/>
                <w:sz w:val="21"/>
                <w:szCs w:val="21"/>
              </w:rPr>
            </w:pPr>
            <w:r>
              <w:rPr>
                <w:color w:val="auto"/>
                <w:sz w:val="21"/>
                <w:szCs w:val="21"/>
              </w:rPr>
              <w:t>○</w:t>
            </w:r>
          </w:p>
        </w:tc>
        <w:tc>
          <w:tcPr>
            <w:tcW w:w="596" w:type="pct"/>
            <w:vAlign w:val="center"/>
          </w:tcPr>
          <w:p>
            <w:pPr>
              <w:spacing w:line="240" w:lineRule="auto"/>
              <w:ind w:firstLine="0" w:firstLineChars="0"/>
              <w:jc w:val="center"/>
              <w:rPr>
                <w:color w:val="auto"/>
                <w:sz w:val="21"/>
                <w:szCs w:val="21"/>
              </w:rPr>
            </w:pPr>
            <w:r>
              <w:rPr>
                <w:color w:val="auto"/>
                <w:sz w:val="21"/>
                <w:szCs w:val="21"/>
              </w:rPr>
              <w:t>○</w:t>
            </w:r>
          </w:p>
        </w:tc>
        <w:tc>
          <w:tcPr>
            <w:tcW w:w="596" w:type="pct"/>
            <w:vAlign w:val="center"/>
          </w:tcPr>
          <w:p>
            <w:pPr>
              <w:spacing w:line="240" w:lineRule="auto"/>
              <w:ind w:firstLine="0" w:firstLineChars="0"/>
              <w:jc w:val="center"/>
              <w:rPr>
                <w:color w:val="auto"/>
                <w:sz w:val="21"/>
                <w:szCs w:val="21"/>
              </w:rPr>
            </w:pPr>
            <w:r>
              <w:rPr>
                <w:color w:val="auto"/>
                <w:sz w:val="21"/>
                <w:szCs w:val="21"/>
              </w:rPr>
              <w:t>▲</w:t>
            </w:r>
          </w:p>
        </w:tc>
        <w:tc>
          <w:tcPr>
            <w:tcW w:w="596" w:type="pct"/>
            <w:vAlign w:val="center"/>
          </w:tcPr>
          <w:p>
            <w:pPr>
              <w:spacing w:line="240" w:lineRule="auto"/>
              <w:ind w:firstLine="0" w:firstLineChars="0"/>
              <w:jc w:val="center"/>
              <w:rPr>
                <w:color w:val="auto"/>
                <w:sz w:val="21"/>
                <w:szCs w:val="21"/>
              </w:rPr>
            </w:pPr>
            <w:r>
              <w:rPr>
                <w:color w:val="auto"/>
                <w:sz w:val="21"/>
                <w:szCs w:val="21"/>
              </w:rPr>
              <w:t>△</w:t>
            </w:r>
          </w:p>
        </w:tc>
        <w:tc>
          <w:tcPr>
            <w:tcW w:w="594" w:type="pct"/>
            <w:vAlign w:val="center"/>
          </w:tcPr>
          <w:p>
            <w:pPr>
              <w:spacing w:line="240" w:lineRule="auto"/>
              <w:ind w:firstLine="0" w:firstLineChars="0"/>
              <w:jc w:val="center"/>
              <w:rPr>
                <w:color w:val="auto"/>
                <w:sz w:val="21"/>
                <w:szCs w:val="21"/>
              </w:rPr>
            </w:pPr>
            <w:r>
              <w:rPr>
                <w:color w:val="auto"/>
                <w:sz w:val="21"/>
                <w:szCs w:val="21"/>
              </w:rPr>
              <w:t>▲</w:t>
            </w:r>
          </w:p>
        </w:tc>
      </w:tr>
      <w:tr>
        <w:tblPrEx>
          <w:tblBorders>
            <w:top w:val="single" w:color="auto" w:sz="2" w:space="0"/>
            <w:left w:val="none" w:color="auto" w:sz="0" w:space="0"/>
            <w:bottom w:val="sing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8" w:hRule="atLeast"/>
          <w:jc w:val="center"/>
        </w:trPr>
        <w:tc>
          <w:tcPr>
            <w:tcW w:w="238" w:type="pct"/>
            <w:vMerge w:val="continue"/>
            <w:vAlign w:val="center"/>
          </w:tcPr>
          <w:p>
            <w:pPr>
              <w:spacing w:line="240" w:lineRule="auto"/>
              <w:ind w:firstLine="0" w:firstLineChars="0"/>
              <w:jc w:val="center"/>
              <w:rPr>
                <w:color w:val="auto"/>
                <w:sz w:val="21"/>
                <w:szCs w:val="21"/>
              </w:rPr>
            </w:pPr>
          </w:p>
        </w:tc>
        <w:tc>
          <w:tcPr>
            <w:tcW w:w="1182" w:type="pct"/>
            <w:vAlign w:val="center"/>
          </w:tcPr>
          <w:p>
            <w:pPr>
              <w:spacing w:line="240" w:lineRule="auto"/>
              <w:ind w:firstLine="0" w:firstLineChars="0"/>
              <w:jc w:val="center"/>
              <w:rPr>
                <w:color w:val="auto"/>
                <w:sz w:val="21"/>
                <w:szCs w:val="21"/>
              </w:rPr>
            </w:pPr>
            <w:r>
              <w:rPr>
                <w:rFonts w:hint="eastAsia"/>
                <w:color w:val="auto"/>
                <w:sz w:val="21"/>
                <w:szCs w:val="21"/>
              </w:rPr>
              <w:t>路管工程</w:t>
            </w:r>
          </w:p>
        </w:tc>
        <w:tc>
          <w:tcPr>
            <w:tcW w:w="596" w:type="pct"/>
            <w:vAlign w:val="center"/>
          </w:tcPr>
          <w:p>
            <w:pPr>
              <w:spacing w:line="240" w:lineRule="auto"/>
              <w:ind w:firstLine="0" w:firstLineChars="0"/>
              <w:jc w:val="center"/>
              <w:rPr>
                <w:color w:val="auto"/>
                <w:sz w:val="21"/>
                <w:szCs w:val="21"/>
              </w:rPr>
            </w:pPr>
            <w:r>
              <w:rPr>
                <w:color w:val="auto"/>
                <w:sz w:val="21"/>
                <w:szCs w:val="21"/>
              </w:rPr>
              <w:t>○</w:t>
            </w:r>
          </w:p>
        </w:tc>
        <w:tc>
          <w:tcPr>
            <w:tcW w:w="596" w:type="pct"/>
            <w:vAlign w:val="center"/>
          </w:tcPr>
          <w:p>
            <w:pPr>
              <w:spacing w:line="240" w:lineRule="auto"/>
              <w:ind w:firstLine="0" w:firstLineChars="0"/>
              <w:jc w:val="center"/>
              <w:rPr>
                <w:color w:val="auto"/>
                <w:sz w:val="21"/>
                <w:szCs w:val="21"/>
              </w:rPr>
            </w:pPr>
            <w:r>
              <w:rPr>
                <w:color w:val="auto"/>
                <w:sz w:val="21"/>
                <w:szCs w:val="21"/>
              </w:rPr>
              <w:t>○</w:t>
            </w:r>
          </w:p>
        </w:tc>
        <w:tc>
          <w:tcPr>
            <w:tcW w:w="596" w:type="pct"/>
            <w:vAlign w:val="center"/>
          </w:tcPr>
          <w:p>
            <w:pPr>
              <w:spacing w:line="240" w:lineRule="auto"/>
              <w:ind w:firstLine="0" w:firstLineChars="0"/>
              <w:jc w:val="center"/>
              <w:rPr>
                <w:color w:val="auto"/>
                <w:sz w:val="21"/>
                <w:szCs w:val="21"/>
              </w:rPr>
            </w:pPr>
            <w:r>
              <w:rPr>
                <w:color w:val="auto"/>
                <w:sz w:val="21"/>
                <w:szCs w:val="21"/>
              </w:rPr>
              <w:t>○</w:t>
            </w:r>
          </w:p>
        </w:tc>
        <w:tc>
          <w:tcPr>
            <w:tcW w:w="596" w:type="pct"/>
            <w:vAlign w:val="center"/>
          </w:tcPr>
          <w:p>
            <w:pPr>
              <w:spacing w:line="240" w:lineRule="auto"/>
              <w:ind w:firstLine="0" w:firstLineChars="0"/>
              <w:jc w:val="center"/>
              <w:rPr>
                <w:color w:val="auto"/>
                <w:sz w:val="21"/>
                <w:szCs w:val="21"/>
              </w:rPr>
            </w:pPr>
            <w:r>
              <w:rPr>
                <w:color w:val="auto"/>
                <w:sz w:val="21"/>
                <w:szCs w:val="21"/>
              </w:rPr>
              <w:t>▲</w:t>
            </w:r>
          </w:p>
        </w:tc>
        <w:tc>
          <w:tcPr>
            <w:tcW w:w="596" w:type="pct"/>
            <w:vAlign w:val="center"/>
          </w:tcPr>
          <w:p>
            <w:pPr>
              <w:spacing w:line="240" w:lineRule="auto"/>
              <w:ind w:firstLine="0" w:firstLineChars="0"/>
              <w:jc w:val="center"/>
              <w:rPr>
                <w:color w:val="auto"/>
                <w:sz w:val="21"/>
                <w:szCs w:val="21"/>
              </w:rPr>
            </w:pPr>
            <w:r>
              <w:rPr>
                <w:color w:val="auto"/>
                <w:sz w:val="21"/>
                <w:szCs w:val="21"/>
              </w:rPr>
              <w:t>▲</w:t>
            </w:r>
          </w:p>
        </w:tc>
        <w:tc>
          <w:tcPr>
            <w:tcW w:w="594" w:type="pct"/>
            <w:vAlign w:val="center"/>
          </w:tcPr>
          <w:p>
            <w:pPr>
              <w:spacing w:line="240" w:lineRule="auto"/>
              <w:ind w:firstLine="0" w:firstLineChars="0"/>
              <w:jc w:val="center"/>
              <w:rPr>
                <w:color w:val="auto"/>
                <w:sz w:val="21"/>
                <w:szCs w:val="21"/>
              </w:rPr>
            </w:pPr>
            <w:r>
              <w:rPr>
                <w:color w:val="auto"/>
                <w:sz w:val="21"/>
                <w:szCs w:val="21"/>
              </w:rPr>
              <w:t>▲</w:t>
            </w:r>
          </w:p>
        </w:tc>
      </w:tr>
      <w:tr>
        <w:tblPrEx>
          <w:tblBorders>
            <w:top w:val="single" w:color="auto" w:sz="2" w:space="0"/>
            <w:left w:val="none" w:color="auto" w:sz="0" w:space="0"/>
            <w:bottom w:val="sing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8" w:hRule="atLeast"/>
          <w:jc w:val="center"/>
        </w:trPr>
        <w:tc>
          <w:tcPr>
            <w:tcW w:w="238" w:type="pct"/>
            <w:vMerge w:val="restart"/>
            <w:vAlign w:val="center"/>
          </w:tcPr>
          <w:p>
            <w:pPr>
              <w:spacing w:line="240" w:lineRule="auto"/>
              <w:ind w:firstLine="0" w:firstLineChars="0"/>
              <w:jc w:val="center"/>
              <w:rPr>
                <w:color w:val="auto"/>
                <w:sz w:val="21"/>
                <w:szCs w:val="21"/>
              </w:rPr>
            </w:pPr>
            <w:r>
              <w:rPr>
                <w:color w:val="auto"/>
                <w:sz w:val="21"/>
                <w:szCs w:val="21"/>
              </w:rPr>
              <w:t>营</w:t>
            </w:r>
          </w:p>
          <w:p>
            <w:pPr>
              <w:spacing w:line="240" w:lineRule="auto"/>
              <w:ind w:firstLine="0" w:firstLineChars="0"/>
              <w:jc w:val="center"/>
              <w:rPr>
                <w:color w:val="auto"/>
                <w:sz w:val="21"/>
                <w:szCs w:val="21"/>
              </w:rPr>
            </w:pPr>
            <w:r>
              <w:rPr>
                <w:color w:val="auto"/>
                <w:sz w:val="21"/>
                <w:szCs w:val="21"/>
              </w:rPr>
              <w:t>运</w:t>
            </w:r>
          </w:p>
          <w:p>
            <w:pPr>
              <w:spacing w:line="240" w:lineRule="auto"/>
              <w:ind w:firstLine="0" w:firstLineChars="0"/>
              <w:jc w:val="center"/>
              <w:rPr>
                <w:color w:val="auto"/>
                <w:sz w:val="21"/>
                <w:szCs w:val="21"/>
              </w:rPr>
            </w:pPr>
            <w:r>
              <w:rPr>
                <w:color w:val="auto"/>
                <w:sz w:val="21"/>
                <w:szCs w:val="21"/>
              </w:rPr>
              <w:t>期</w:t>
            </w:r>
          </w:p>
        </w:tc>
        <w:tc>
          <w:tcPr>
            <w:tcW w:w="1182" w:type="pct"/>
            <w:tcBorders>
              <w:bottom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工程</w:t>
            </w:r>
            <w:r>
              <w:rPr>
                <w:color w:val="auto"/>
                <w:sz w:val="21"/>
                <w:szCs w:val="21"/>
              </w:rPr>
              <w:t>废水</w:t>
            </w:r>
          </w:p>
        </w:tc>
        <w:tc>
          <w:tcPr>
            <w:tcW w:w="596" w:type="pct"/>
            <w:vAlign w:val="center"/>
          </w:tcPr>
          <w:p>
            <w:pPr>
              <w:spacing w:line="240" w:lineRule="auto"/>
              <w:ind w:firstLine="0" w:firstLineChars="0"/>
              <w:jc w:val="center"/>
              <w:rPr>
                <w:color w:val="auto"/>
                <w:sz w:val="21"/>
                <w:szCs w:val="21"/>
              </w:rPr>
            </w:pPr>
            <w:r>
              <w:rPr>
                <w:color w:val="auto"/>
                <w:sz w:val="21"/>
                <w:szCs w:val="21"/>
              </w:rPr>
              <w:t>●</w:t>
            </w:r>
          </w:p>
        </w:tc>
        <w:tc>
          <w:tcPr>
            <w:tcW w:w="596" w:type="pct"/>
            <w:vAlign w:val="center"/>
          </w:tcPr>
          <w:p>
            <w:pPr>
              <w:spacing w:line="240" w:lineRule="auto"/>
              <w:ind w:firstLine="0" w:firstLineChars="0"/>
              <w:jc w:val="center"/>
              <w:rPr>
                <w:color w:val="auto"/>
                <w:sz w:val="21"/>
                <w:szCs w:val="21"/>
              </w:rPr>
            </w:pPr>
            <w:r>
              <w:rPr>
                <w:color w:val="auto"/>
                <w:sz w:val="21"/>
                <w:szCs w:val="21"/>
              </w:rPr>
              <w:t>●</w:t>
            </w:r>
          </w:p>
        </w:tc>
        <w:tc>
          <w:tcPr>
            <w:tcW w:w="596" w:type="pct"/>
            <w:vAlign w:val="center"/>
          </w:tcPr>
          <w:p>
            <w:pPr>
              <w:spacing w:line="240" w:lineRule="auto"/>
              <w:ind w:firstLine="0" w:firstLineChars="0"/>
              <w:jc w:val="center"/>
              <w:rPr>
                <w:color w:val="auto"/>
                <w:sz w:val="21"/>
                <w:szCs w:val="21"/>
              </w:rPr>
            </w:pPr>
            <w:r>
              <w:rPr>
                <w:color w:val="auto"/>
                <w:sz w:val="21"/>
                <w:szCs w:val="21"/>
              </w:rPr>
              <w:t>△</w:t>
            </w:r>
          </w:p>
        </w:tc>
        <w:tc>
          <w:tcPr>
            <w:tcW w:w="596" w:type="pct"/>
            <w:vAlign w:val="center"/>
          </w:tcPr>
          <w:p>
            <w:pPr>
              <w:spacing w:line="240" w:lineRule="auto"/>
              <w:ind w:firstLine="0" w:firstLineChars="0"/>
              <w:jc w:val="center"/>
              <w:rPr>
                <w:color w:val="auto"/>
                <w:sz w:val="21"/>
                <w:szCs w:val="21"/>
              </w:rPr>
            </w:pPr>
            <w:r>
              <w:rPr>
                <w:color w:val="auto"/>
                <w:sz w:val="21"/>
                <w:szCs w:val="21"/>
              </w:rPr>
              <w:t>○</w:t>
            </w:r>
          </w:p>
        </w:tc>
        <w:tc>
          <w:tcPr>
            <w:tcW w:w="596" w:type="pct"/>
            <w:vAlign w:val="center"/>
          </w:tcPr>
          <w:p>
            <w:pPr>
              <w:spacing w:line="240" w:lineRule="auto"/>
              <w:ind w:firstLine="0" w:firstLineChars="0"/>
              <w:jc w:val="center"/>
              <w:rPr>
                <w:color w:val="auto"/>
                <w:sz w:val="21"/>
                <w:szCs w:val="21"/>
              </w:rPr>
            </w:pPr>
            <w:r>
              <w:rPr>
                <w:rFonts w:ascii="Cambria Math" w:hAnsi="Cambria Math" w:cs="Cambria Math"/>
                <w:color w:val="auto"/>
                <w:sz w:val="21"/>
                <w:szCs w:val="21"/>
              </w:rPr>
              <w:t>△</w:t>
            </w:r>
          </w:p>
        </w:tc>
        <w:tc>
          <w:tcPr>
            <w:tcW w:w="594" w:type="pct"/>
            <w:vAlign w:val="center"/>
          </w:tcPr>
          <w:p>
            <w:pPr>
              <w:spacing w:line="240" w:lineRule="auto"/>
              <w:ind w:firstLine="0" w:firstLineChars="0"/>
              <w:jc w:val="center"/>
              <w:rPr>
                <w:color w:val="auto"/>
                <w:sz w:val="21"/>
                <w:szCs w:val="21"/>
              </w:rPr>
            </w:pPr>
            <w:r>
              <w:rPr>
                <w:rFonts w:ascii="Cambria Math" w:hAnsi="Cambria Math" w:cs="Cambria Math"/>
                <w:color w:val="auto"/>
                <w:sz w:val="21"/>
                <w:szCs w:val="21"/>
              </w:rPr>
              <w:t>△</w:t>
            </w:r>
          </w:p>
        </w:tc>
      </w:tr>
      <w:tr>
        <w:tblPrEx>
          <w:tblBorders>
            <w:top w:val="single" w:color="auto" w:sz="2" w:space="0"/>
            <w:left w:val="none" w:color="auto" w:sz="0" w:space="0"/>
            <w:bottom w:val="sing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8" w:hRule="atLeast"/>
          <w:jc w:val="center"/>
        </w:trPr>
        <w:tc>
          <w:tcPr>
            <w:tcW w:w="238" w:type="pct"/>
            <w:vMerge w:val="continue"/>
            <w:vAlign w:val="center"/>
          </w:tcPr>
          <w:p>
            <w:pPr>
              <w:spacing w:line="240" w:lineRule="auto"/>
              <w:ind w:firstLine="0" w:firstLineChars="0"/>
              <w:jc w:val="center"/>
              <w:rPr>
                <w:color w:val="auto"/>
                <w:sz w:val="21"/>
                <w:szCs w:val="21"/>
              </w:rPr>
            </w:pPr>
          </w:p>
        </w:tc>
        <w:tc>
          <w:tcPr>
            <w:tcW w:w="1182" w:type="pct"/>
            <w:tcBorders>
              <w:top w:val="single" w:color="auto" w:sz="4" w:space="0"/>
              <w:bottom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生产恶臭</w:t>
            </w:r>
          </w:p>
        </w:tc>
        <w:tc>
          <w:tcPr>
            <w:tcW w:w="596" w:type="pct"/>
            <w:vAlign w:val="center"/>
          </w:tcPr>
          <w:p>
            <w:pPr>
              <w:spacing w:line="240" w:lineRule="auto"/>
              <w:ind w:firstLine="0" w:firstLineChars="0"/>
              <w:jc w:val="center"/>
              <w:rPr>
                <w:color w:val="auto"/>
                <w:sz w:val="21"/>
                <w:szCs w:val="21"/>
              </w:rPr>
            </w:pPr>
            <w:r>
              <w:rPr>
                <w:color w:val="auto"/>
                <w:sz w:val="21"/>
                <w:szCs w:val="21"/>
              </w:rPr>
              <w:t>●</w:t>
            </w:r>
          </w:p>
        </w:tc>
        <w:tc>
          <w:tcPr>
            <w:tcW w:w="596" w:type="pct"/>
            <w:vAlign w:val="center"/>
          </w:tcPr>
          <w:p>
            <w:pPr>
              <w:spacing w:line="240" w:lineRule="auto"/>
              <w:ind w:firstLine="0" w:firstLineChars="0"/>
              <w:jc w:val="center"/>
              <w:rPr>
                <w:color w:val="auto"/>
                <w:sz w:val="21"/>
                <w:szCs w:val="21"/>
              </w:rPr>
            </w:pPr>
            <w:r>
              <w:rPr>
                <w:color w:val="auto"/>
                <w:sz w:val="21"/>
                <w:szCs w:val="21"/>
              </w:rPr>
              <w:t>○</w:t>
            </w:r>
          </w:p>
        </w:tc>
        <w:tc>
          <w:tcPr>
            <w:tcW w:w="596" w:type="pct"/>
            <w:vAlign w:val="center"/>
          </w:tcPr>
          <w:p>
            <w:pPr>
              <w:spacing w:line="240" w:lineRule="auto"/>
              <w:ind w:firstLine="0" w:firstLineChars="0"/>
              <w:jc w:val="center"/>
              <w:rPr>
                <w:color w:val="auto"/>
                <w:sz w:val="21"/>
                <w:szCs w:val="21"/>
              </w:rPr>
            </w:pPr>
            <w:r>
              <w:rPr>
                <w:color w:val="auto"/>
                <w:sz w:val="21"/>
                <w:szCs w:val="21"/>
              </w:rPr>
              <w:t>○</w:t>
            </w:r>
          </w:p>
        </w:tc>
        <w:tc>
          <w:tcPr>
            <w:tcW w:w="596" w:type="pct"/>
            <w:vAlign w:val="center"/>
          </w:tcPr>
          <w:p>
            <w:pPr>
              <w:spacing w:line="240" w:lineRule="auto"/>
              <w:ind w:firstLine="0" w:firstLineChars="0"/>
              <w:jc w:val="center"/>
              <w:rPr>
                <w:color w:val="auto"/>
                <w:sz w:val="21"/>
                <w:szCs w:val="21"/>
              </w:rPr>
            </w:pPr>
            <w:r>
              <w:rPr>
                <w:color w:val="auto"/>
                <w:sz w:val="21"/>
                <w:szCs w:val="21"/>
              </w:rPr>
              <w:t>○</w:t>
            </w:r>
          </w:p>
        </w:tc>
        <w:tc>
          <w:tcPr>
            <w:tcW w:w="596" w:type="pct"/>
            <w:vAlign w:val="center"/>
          </w:tcPr>
          <w:p>
            <w:pPr>
              <w:spacing w:line="240" w:lineRule="auto"/>
              <w:ind w:firstLine="0" w:firstLineChars="0"/>
              <w:jc w:val="center"/>
              <w:rPr>
                <w:color w:val="auto"/>
                <w:sz w:val="21"/>
                <w:szCs w:val="21"/>
              </w:rPr>
            </w:pPr>
            <w:r>
              <w:rPr>
                <w:color w:val="auto"/>
                <w:sz w:val="21"/>
                <w:szCs w:val="21"/>
              </w:rPr>
              <w:t>○</w:t>
            </w:r>
          </w:p>
        </w:tc>
        <w:tc>
          <w:tcPr>
            <w:tcW w:w="594" w:type="pct"/>
            <w:vAlign w:val="center"/>
          </w:tcPr>
          <w:p>
            <w:pPr>
              <w:spacing w:line="240" w:lineRule="auto"/>
              <w:ind w:firstLine="0" w:firstLineChars="0"/>
              <w:jc w:val="center"/>
              <w:rPr>
                <w:color w:val="auto"/>
                <w:sz w:val="21"/>
                <w:szCs w:val="21"/>
              </w:rPr>
            </w:pPr>
            <w:r>
              <w:rPr>
                <w:color w:val="auto"/>
                <w:sz w:val="21"/>
                <w:szCs w:val="21"/>
              </w:rPr>
              <w:t>▲</w:t>
            </w:r>
          </w:p>
        </w:tc>
      </w:tr>
      <w:tr>
        <w:tblPrEx>
          <w:tblBorders>
            <w:top w:val="single" w:color="auto" w:sz="2" w:space="0"/>
            <w:left w:val="none" w:color="auto" w:sz="0" w:space="0"/>
            <w:bottom w:val="sing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8" w:hRule="atLeast"/>
          <w:jc w:val="center"/>
        </w:trPr>
        <w:tc>
          <w:tcPr>
            <w:tcW w:w="238" w:type="pct"/>
            <w:vMerge w:val="continue"/>
            <w:vAlign w:val="center"/>
          </w:tcPr>
          <w:p>
            <w:pPr>
              <w:spacing w:line="240" w:lineRule="auto"/>
              <w:ind w:firstLine="0" w:firstLineChars="0"/>
              <w:jc w:val="center"/>
              <w:rPr>
                <w:color w:val="auto"/>
                <w:sz w:val="21"/>
                <w:szCs w:val="21"/>
              </w:rPr>
            </w:pPr>
          </w:p>
        </w:tc>
        <w:tc>
          <w:tcPr>
            <w:tcW w:w="1182" w:type="pct"/>
            <w:tcBorders>
              <w:top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生产噪声</w:t>
            </w:r>
          </w:p>
        </w:tc>
        <w:tc>
          <w:tcPr>
            <w:tcW w:w="596" w:type="pct"/>
            <w:vAlign w:val="center"/>
          </w:tcPr>
          <w:p>
            <w:pPr>
              <w:spacing w:line="240" w:lineRule="auto"/>
              <w:ind w:firstLine="0" w:firstLineChars="0"/>
              <w:jc w:val="center"/>
              <w:rPr>
                <w:color w:val="auto"/>
                <w:sz w:val="21"/>
                <w:szCs w:val="21"/>
              </w:rPr>
            </w:pPr>
            <w:r>
              <w:rPr>
                <w:color w:val="auto"/>
                <w:sz w:val="21"/>
                <w:szCs w:val="21"/>
              </w:rPr>
              <w:t>○</w:t>
            </w:r>
          </w:p>
        </w:tc>
        <w:tc>
          <w:tcPr>
            <w:tcW w:w="596" w:type="pct"/>
            <w:vAlign w:val="center"/>
          </w:tcPr>
          <w:p>
            <w:pPr>
              <w:spacing w:line="240" w:lineRule="auto"/>
              <w:ind w:firstLine="0" w:firstLineChars="0"/>
              <w:jc w:val="center"/>
              <w:rPr>
                <w:color w:val="auto"/>
                <w:sz w:val="21"/>
                <w:szCs w:val="21"/>
              </w:rPr>
            </w:pPr>
            <w:r>
              <w:rPr>
                <w:color w:val="auto"/>
                <w:sz w:val="21"/>
                <w:szCs w:val="21"/>
              </w:rPr>
              <w:t>○</w:t>
            </w:r>
          </w:p>
        </w:tc>
        <w:tc>
          <w:tcPr>
            <w:tcW w:w="596" w:type="pct"/>
            <w:vAlign w:val="center"/>
          </w:tcPr>
          <w:p>
            <w:pPr>
              <w:spacing w:line="240" w:lineRule="auto"/>
              <w:ind w:firstLine="0" w:firstLineChars="0"/>
              <w:jc w:val="center"/>
              <w:rPr>
                <w:color w:val="auto"/>
                <w:sz w:val="21"/>
                <w:szCs w:val="21"/>
              </w:rPr>
            </w:pPr>
            <w:r>
              <w:rPr>
                <w:color w:val="auto"/>
                <w:sz w:val="21"/>
                <w:szCs w:val="21"/>
              </w:rPr>
              <w:t>○</w:t>
            </w:r>
          </w:p>
        </w:tc>
        <w:tc>
          <w:tcPr>
            <w:tcW w:w="596" w:type="pct"/>
            <w:vAlign w:val="center"/>
          </w:tcPr>
          <w:p>
            <w:pPr>
              <w:spacing w:line="240" w:lineRule="auto"/>
              <w:ind w:firstLine="0" w:firstLineChars="0"/>
              <w:jc w:val="center"/>
              <w:rPr>
                <w:color w:val="auto"/>
                <w:sz w:val="21"/>
                <w:szCs w:val="21"/>
              </w:rPr>
            </w:pPr>
            <w:r>
              <w:rPr>
                <w:color w:val="auto"/>
                <w:sz w:val="21"/>
                <w:szCs w:val="21"/>
              </w:rPr>
              <w:t>●</w:t>
            </w:r>
          </w:p>
        </w:tc>
        <w:tc>
          <w:tcPr>
            <w:tcW w:w="596" w:type="pct"/>
            <w:vAlign w:val="center"/>
          </w:tcPr>
          <w:p>
            <w:pPr>
              <w:spacing w:line="240" w:lineRule="auto"/>
              <w:ind w:firstLine="0" w:firstLineChars="0"/>
              <w:jc w:val="center"/>
              <w:rPr>
                <w:color w:val="auto"/>
                <w:sz w:val="21"/>
                <w:szCs w:val="21"/>
              </w:rPr>
            </w:pPr>
            <w:r>
              <w:rPr>
                <w:color w:val="auto"/>
                <w:sz w:val="21"/>
                <w:szCs w:val="21"/>
              </w:rPr>
              <w:t>○</w:t>
            </w:r>
          </w:p>
        </w:tc>
        <w:tc>
          <w:tcPr>
            <w:tcW w:w="594" w:type="pct"/>
            <w:vAlign w:val="center"/>
          </w:tcPr>
          <w:p>
            <w:pPr>
              <w:spacing w:line="240" w:lineRule="auto"/>
              <w:ind w:firstLine="0" w:firstLineChars="0"/>
              <w:jc w:val="center"/>
              <w:rPr>
                <w:color w:val="auto"/>
                <w:sz w:val="21"/>
                <w:szCs w:val="21"/>
              </w:rPr>
            </w:pPr>
            <w:r>
              <w:rPr>
                <w:color w:val="auto"/>
                <w:sz w:val="21"/>
                <w:szCs w:val="21"/>
              </w:rPr>
              <w:t>▲</w:t>
            </w:r>
          </w:p>
        </w:tc>
      </w:tr>
      <w:tr>
        <w:tblPrEx>
          <w:tblBorders>
            <w:top w:val="single" w:color="auto" w:sz="2" w:space="0"/>
            <w:left w:val="none" w:color="auto" w:sz="0" w:space="0"/>
            <w:bottom w:val="sing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8" w:hRule="atLeast"/>
          <w:jc w:val="center"/>
        </w:trPr>
        <w:tc>
          <w:tcPr>
            <w:tcW w:w="238" w:type="pct"/>
            <w:vMerge w:val="continue"/>
            <w:vAlign w:val="center"/>
          </w:tcPr>
          <w:p>
            <w:pPr>
              <w:spacing w:line="240" w:lineRule="auto"/>
              <w:ind w:firstLine="0" w:firstLineChars="0"/>
              <w:jc w:val="center"/>
              <w:rPr>
                <w:color w:val="auto"/>
                <w:sz w:val="21"/>
                <w:szCs w:val="21"/>
              </w:rPr>
            </w:pPr>
          </w:p>
        </w:tc>
        <w:tc>
          <w:tcPr>
            <w:tcW w:w="1182" w:type="pct"/>
            <w:vAlign w:val="center"/>
          </w:tcPr>
          <w:p>
            <w:pPr>
              <w:spacing w:line="240" w:lineRule="auto"/>
              <w:ind w:firstLine="0" w:firstLineChars="0"/>
              <w:jc w:val="center"/>
              <w:rPr>
                <w:color w:val="auto"/>
                <w:sz w:val="21"/>
                <w:szCs w:val="21"/>
              </w:rPr>
            </w:pPr>
            <w:r>
              <w:rPr>
                <w:color w:val="auto"/>
                <w:sz w:val="21"/>
                <w:szCs w:val="21"/>
              </w:rPr>
              <w:t>固废</w:t>
            </w:r>
            <w:r>
              <w:rPr>
                <w:rFonts w:hint="eastAsia"/>
                <w:color w:val="auto"/>
                <w:sz w:val="21"/>
                <w:szCs w:val="21"/>
              </w:rPr>
              <w:t>综合利用</w:t>
            </w:r>
          </w:p>
        </w:tc>
        <w:tc>
          <w:tcPr>
            <w:tcW w:w="596" w:type="pct"/>
            <w:vAlign w:val="center"/>
          </w:tcPr>
          <w:p>
            <w:pPr>
              <w:spacing w:line="240" w:lineRule="auto"/>
              <w:ind w:firstLine="0" w:firstLineChars="0"/>
              <w:jc w:val="center"/>
              <w:rPr>
                <w:color w:val="auto"/>
                <w:sz w:val="21"/>
                <w:szCs w:val="21"/>
              </w:rPr>
            </w:pPr>
            <w:r>
              <w:rPr>
                <w:color w:val="auto"/>
                <w:sz w:val="21"/>
                <w:szCs w:val="21"/>
              </w:rPr>
              <w:t>▲</w:t>
            </w:r>
          </w:p>
        </w:tc>
        <w:tc>
          <w:tcPr>
            <w:tcW w:w="596" w:type="pct"/>
            <w:vAlign w:val="center"/>
          </w:tcPr>
          <w:p>
            <w:pPr>
              <w:spacing w:line="240" w:lineRule="auto"/>
              <w:ind w:firstLine="0" w:firstLineChars="0"/>
              <w:jc w:val="center"/>
              <w:rPr>
                <w:color w:val="auto"/>
                <w:sz w:val="21"/>
                <w:szCs w:val="21"/>
              </w:rPr>
            </w:pPr>
            <w:r>
              <w:rPr>
                <w:color w:val="auto"/>
                <w:sz w:val="21"/>
                <w:szCs w:val="21"/>
              </w:rPr>
              <w:t>○</w:t>
            </w:r>
          </w:p>
        </w:tc>
        <w:tc>
          <w:tcPr>
            <w:tcW w:w="596" w:type="pct"/>
            <w:vAlign w:val="center"/>
          </w:tcPr>
          <w:p>
            <w:pPr>
              <w:spacing w:line="240" w:lineRule="auto"/>
              <w:ind w:firstLine="0" w:firstLineChars="0"/>
              <w:jc w:val="center"/>
              <w:rPr>
                <w:color w:val="auto"/>
                <w:sz w:val="21"/>
                <w:szCs w:val="21"/>
              </w:rPr>
            </w:pPr>
            <w:r>
              <w:rPr>
                <w:color w:val="auto"/>
                <w:sz w:val="21"/>
                <w:szCs w:val="21"/>
              </w:rPr>
              <w:t>○</w:t>
            </w:r>
          </w:p>
        </w:tc>
        <w:tc>
          <w:tcPr>
            <w:tcW w:w="596" w:type="pct"/>
            <w:vAlign w:val="center"/>
          </w:tcPr>
          <w:p>
            <w:pPr>
              <w:spacing w:line="240" w:lineRule="auto"/>
              <w:ind w:firstLine="0" w:firstLineChars="0"/>
              <w:jc w:val="center"/>
              <w:rPr>
                <w:color w:val="auto"/>
                <w:sz w:val="21"/>
                <w:szCs w:val="21"/>
              </w:rPr>
            </w:pPr>
            <w:r>
              <w:rPr>
                <w:color w:val="auto"/>
                <w:sz w:val="21"/>
                <w:szCs w:val="21"/>
              </w:rPr>
              <w:t>○</w:t>
            </w:r>
          </w:p>
        </w:tc>
        <w:tc>
          <w:tcPr>
            <w:tcW w:w="596" w:type="pct"/>
            <w:vAlign w:val="center"/>
          </w:tcPr>
          <w:p>
            <w:pPr>
              <w:spacing w:line="240" w:lineRule="auto"/>
              <w:ind w:firstLine="0" w:firstLineChars="0"/>
              <w:jc w:val="center"/>
              <w:rPr>
                <w:color w:val="auto"/>
                <w:sz w:val="21"/>
                <w:szCs w:val="21"/>
              </w:rPr>
            </w:pPr>
            <w:r>
              <w:rPr>
                <w:color w:val="auto"/>
                <w:sz w:val="21"/>
                <w:szCs w:val="21"/>
              </w:rPr>
              <w:t>○</w:t>
            </w:r>
          </w:p>
        </w:tc>
        <w:tc>
          <w:tcPr>
            <w:tcW w:w="594" w:type="pct"/>
            <w:vAlign w:val="center"/>
          </w:tcPr>
          <w:p>
            <w:pPr>
              <w:spacing w:line="240" w:lineRule="auto"/>
              <w:ind w:firstLine="0" w:firstLineChars="0"/>
              <w:jc w:val="center"/>
              <w:rPr>
                <w:color w:val="auto"/>
                <w:sz w:val="21"/>
                <w:szCs w:val="21"/>
              </w:rPr>
            </w:pPr>
            <w:r>
              <w:rPr>
                <w:color w:val="auto"/>
                <w:sz w:val="21"/>
                <w:szCs w:val="21"/>
              </w:rPr>
              <w:t>○</w:t>
            </w:r>
          </w:p>
        </w:tc>
      </w:tr>
      <w:tr>
        <w:tblPrEx>
          <w:tblBorders>
            <w:top w:val="single" w:color="auto" w:sz="2" w:space="0"/>
            <w:left w:val="none" w:color="auto" w:sz="0" w:space="0"/>
            <w:bottom w:val="sing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8" w:hRule="atLeast"/>
          <w:jc w:val="center"/>
        </w:trPr>
        <w:tc>
          <w:tcPr>
            <w:tcW w:w="238" w:type="pct"/>
            <w:vMerge w:val="continue"/>
            <w:vAlign w:val="center"/>
          </w:tcPr>
          <w:p>
            <w:pPr>
              <w:spacing w:line="240" w:lineRule="auto"/>
              <w:ind w:firstLine="0" w:firstLineChars="0"/>
              <w:jc w:val="center"/>
              <w:rPr>
                <w:color w:val="auto"/>
                <w:sz w:val="21"/>
                <w:szCs w:val="21"/>
              </w:rPr>
            </w:pPr>
          </w:p>
        </w:tc>
        <w:tc>
          <w:tcPr>
            <w:tcW w:w="1182" w:type="pct"/>
            <w:vAlign w:val="center"/>
          </w:tcPr>
          <w:p>
            <w:pPr>
              <w:spacing w:line="240" w:lineRule="auto"/>
              <w:ind w:firstLine="0" w:firstLineChars="0"/>
              <w:jc w:val="center"/>
              <w:rPr>
                <w:color w:val="auto"/>
                <w:sz w:val="21"/>
                <w:szCs w:val="21"/>
              </w:rPr>
            </w:pPr>
            <w:r>
              <w:rPr>
                <w:rFonts w:hint="eastAsia"/>
                <w:color w:val="auto"/>
                <w:sz w:val="21"/>
                <w:szCs w:val="21"/>
              </w:rPr>
              <w:t>车辆运输</w:t>
            </w:r>
          </w:p>
        </w:tc>
        <w:tc>
          <w:tcPr>
            <w:tcW w:w="596" w:type="pct"/>
            <w:vAlign w:val="center"/>
          </w:tcPr>
          <w:p>
            <w:pPr>
              <w:spacing w:line="240" w:lineRule="auto"/>
              <w:ind w:firstLine="0" w:firstLineChars="0"/>
              <w:jc w:val="center"/>
              <w:rPr>
                <w:color w:val="auto"/>
                <w:sz w:val="21"/>
                <w:szCs w:val="21"/>
              </w:rPr>
            </w:pPr>
            <w:r>
              <w:rPr>
                <w:color w:val="auto"/>
                <w:sz w:val="21"/>
                <w:szCs w:val="21"/>
              </w:rPr>
              <w:t>▲</w:t>
            </w:r>
          </w:p>
        </w:tc>
        <w:tc>
          <w:tcPr>
            <w:tcW w:w="596" w:type="pct"/>
            <w:vAlign w:val="center"/>
          </w:tcPr>
          <w:p>
            <w:pPr>
              <w:spacing w:line="240" w:lineRule="auto"/>
              <w:ind w:firstLine="0" w:firstLineChars="0"/>
              <w:jc w:val="center"/>
              <w:rPr>
                <w:color w:val="auto"/>
                <w:sz w:val="21"/>
                <w:szCs w:val="21"/>
              </w:rPr>
            </w:pPr>
            <w:r>
              <w:rPr>
                <w:color w:val="auto"/>
                <w:sz w:val="21"/>
                <w:szCs w:val="21"/>
              </w:rPr>
              <w:t>○</w:t>
            </w:r>
          </w:p>
        </w:tc>
        <w:tc>
          <w:tcPr>
            <w:tcW w:w="596" w:type="pct"/>
            <w:vAlign w:val="center"/>
          </w:tcPr>
          <w:p>
            <w:pPr>
              <w:spacing w:line="240" w:lineRule="auto"/>
              <w:ind w:firstLine="0" w:firstLineChars="0"/>
              <w:jc w:val="center"/>
              <w:rPr>
                <w:color w:val="auto"/>
                <w:sz w:val="21"/>
                <w:szCs w:val="21"/>
              </w:rPr>
            </w:pPr>
            <w:r>
              <w:rPr>
                <w:color w:val="auto"/>
                <w:sz w:val="21"/>
                <w:szCs w:val="21"/>
              </w:rPr>
              <w:t>○</w:t>
            </w:r>
          </w:p>
        </w:tc>
        <w:tc>
          <w:tcPr>
            <w:tcW w:w="596" w:type="pct"/>
            <w:vAlign w:val="center"/>
          </w:tcPr>
          <w:p>
            <w:pPr>
              <w:spacing w:line="240" w:lineRule="auto"/>
              <w:ind w:firstLine="0" w:firstLineChars="0"/>
              <w:jc w:val="center"/>
              <w:rPr>
                <w:color w:val="auto"/>
                <w:sz w:val="21"/>
                <w:szCs w:val="21"/>
              </w:rPr>
            </w:pPr>
            <w:r>
              <w:rPr>
                <w:color w:val="auto"/>
                <w:sz w:val="21"/>
                <w:szCs w:val="21"/>
              </w:rPr>
              <w:t>▲</w:t>
            </w:r>
          </w:p>
        </w:tc>
        <w:tc>
          <w:tcPr>
            <w:tcW w:w="596" w:type="pct"/>
            <w:vAlign w:val="center"/>
          </w:tcPr>
          <w:p>
            <w:pPr>
              <w:spacing w:line="240" w:lineRule="auto"/>
              <w:ind w:firstLine="0" w:firstLineChars="0"/>
              <w:jc w:val="center"/>
              <w:rPr>
                <w:color w:val="auto"/>
                <w:sz w:val="21"/>
                <w:szCs w:val="21"/>
              </w:rPr>
            </w:pPr>
            <w:r>
              <w:rPr>
                <w:color w:val="auto"/>
                <w:sz w:val="21"/>
                <w:szCs w:val="21"/>
              </w:rPr>
              <w:t>○</w:t>
            </w:r>
          </w:p>
        </w:tc>
        <w:tc>
          <w:tcPr>
            <w:tcW w:w="594" w:type="pct"/>
            <w:vAlign w:val="center"/>
          </w:tcPr>
          <w:p>
            <w:pPr>
              <w:spacing w:line="240" w:lineRule="auto"/>
              <w:ind w:firstLine="0" w:firstLineChars="0"/>
              <w:jc w:val="center"/>
              <w:rPr>
                <w:color w:val="auto"/>
                <w:sz w:val="21"/>
                <w:szCs w:val="21"/>
              </w:rPr>
            </w:pPr>
            <w:r>
              <w:rPr>
                <w:color w:val="auto"/>
                <w:sz w:val="21"/>
                <w:szCs w:val="21"/>
              </w:rPr>
              <w:t>○</w:t>
            </w:r>
          </w:p>
        </w:tc>
      </w:tr>
      <w:tr>
        <w:tblPrEx>
          <w:tblBorders>
            <w:top w:val="single" w:color="auto" w:sz="2" w:space="0"/>
            <w:left w:val="none" w:color="auto" w:sz="0" w:space="0"/>
            <w:bottom w:val="sing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8" w:hRule="atLeast"/>
          <w:jc w:val="center"/>
        </w:trPr>
        <w:tc>
          <w:tcPr>
            <w:tcW w:w="238" w:type="pct"/>
            <w:vMerge w:val="continue"/>
            <w:vAlign w:val="center"/>
          </w:tcPr>
          <w:p>
            <w:pPr>
              <w:spacing w:line="240" w:lineRule="auto"/>
              <w:ind w:firstLine="0" w:firstLineChars="0"/>
              <w:jc w:val="center"/>
              <w:rPr>
                <w:color w:val="auto"/>
                <w:sz w:val="21"/>
                <w:szCs w:val="21"/>
              </w:rPr>
            </w:pPr>
          </w:p>
        </w:tc>
        <w:tc>
          <w:tcPr>
            <w:tcW w:w="1182" w:type="pct"/>
            <w:vAlign w:val="center"/>
          </w:tcPr>
          <w:p>
            <w:pPr>
              <w:spacing w:line="240" w:lineRule="auto"/>
              <w:ind w:firstLine="0" w:firstLineChars="0"/>
              <w:jc w:val="center"/>
              <w:rPr>
                <w:color w:val="auto"/>
                <w:sz w:val="21"/>
                <w:szCs w:val="21"/>
              </w:rPr>
            </w:pPr>
            <w:r>
              <w:rPr>
                <w:rFonts w:hint="eastAsia"/>
                <w:color w:val="auto"/>
                <w:sz w:val="21"/>
                <w:szCs w:val="21"/>
              </w:rPr>
              <w:t>施肥管网</w:t>
            </w:r>
          </w:p>
        </w:tc>
        <w:tc>
          <w:tcPr>
            <w:tcW w:w="596" w:type="pct"/>
            <w:vAlign w:val="center"/>
          </w:tcPr>
          <w:p>
            <w:pPr>
              <w:spacing w:line="240" w:lineRule="auto"/>
              <w:ind w:firstLine="0" w:firstLineChars="0"/>
              <w:jc w:val="center"/>
              <w:rPr>
                <w:color w:val="auto"/>
                <w:sz w:val="21"/>
                <w:szCs w:val="21"/>
              </w:rPr>
            </w:pPr>
            <w:r>
              <w:rPr>
                <w:color w:val="auto"/>
                <w:sz w:val="21"/>
                <w:szCs w:val="21"/>
              </w:rPr>
              <w:t>○</w:t>
            </w:r>
          </w:p>
        </w:tc>
        <w:tc>
          <w:tcPr>
            <w:tcW w:w="596" w:type="pct"/>
            <w:vAlign w:val="center"/>
          </w:tcPr>
          <w:p>
            <w:pPr>
              <w:spacing w:line="240" w:lineRule="auto"/>
              <w:ind w:firstLine="0" w:firstLineChars="0"/>
              <w:jc w:val="center"/>
              <w:rPr>
                <w:color w:val="auto"/>
                <w:sz w:val="21"/>
                <w:szCs w:val="21"/>
              </w:rPr>
            </w:pPr>
            <w:r>
              <w:rPr>
                <w:color w:val="auto"/>
                <w:sz w:val="21"/>
                <w:szCs w:val="21"/>
              </w:rPr>
              <w:t>△</w:t>
            </w:r>
          </w:p>
        </w:tc>
        <w:tc>
          <w:tcPr>
            <w:tcW w:w="596" w:type="pct"/>
            <w:vAlign w:val="center"/>
          </w:tcPr>
          <w:p>
            <w:pPr>
              <w:spacing w:line="240" w:lineRule="auto"/>
              <w:ind w:firstLine="0" w:firstLineChars="0"/>
              <w:jc w:val="center"/>
              <w:rPr>
                <w:color w:val="auto"/>
                <w:sz w:val="21"/>
                <w:szCs w:val="21"/>
              </w:rPr>
            </w:pPr>
            <w:r>
              <w:rPr>
                <w:color w:val="auto"/>
                <w:sz w:val="21"/>
                <w:szCs w:val="21"/>
              </w:rPr>
              <w:t>△</w:t>
            </w:r>
          </w:p>
        </w:tc>
        <w:tc>
          <w:tcPr>
            <w:tcW w:w="596" w:type="pct"/>
            <w:vAlign w:val="center"/>
          </w:tcPr>
          <w:p>
            <w:pPr>
              <w:spacing w:line="240" w:lineRule="auto"/>
              <w:ind w:firstLine="0" w:firstLineChars="0"/>
              <w:jc w:val="center"/>
              <w:rPr>
                <w:color w:val="auto"/>
                <w:sz w:val="21"/>
                <w:szCs w:val="21"/>
              </w:rPr>
            </w:pPr>
            <w:r>
              <w:rPr>
                <w:color w:val="auto"/>
                <w:sz w:val="21"/>
                <w:szCs w:val="21"/>
              </w:rPr>
              <w:t>○</w:t>
            </w:r>
          </w:p>
        </w:tc>
        <w:tc>
          <w:tcPr>
            <w:tcW w:w="596" w:type="pct"/>
            <w:vAlign w:val="center"/>
          </w:tcPr>
          <w:p>
            <w:pPr>
              <w:spacing w:line="240" w:lineRule="auto"/>
              <w:ind w:firstLine="0" w:firstLineChars="0"/>
              <w:jc w:val="center"/>
              <w:rPr>
                <w:color w:val="auto"/>
                <w:sz w:val="21"/>
                <w:szCs w:val="21"/>
              </w:rPr>
            </w:pPr>
            <w:r>
              <w:rPr>
                <w:color w:val="auto"/>
                <w:sz w:val="21"/>
                <w:szCs w:val="21"/>
              </w:rPr>
              <w:t>○</w:t>
            </w:r>
          </w:p>
        </w:tc>
        <w:tc>
          <w:tcPr>
            <w:tcW w:w="594" w:type="pct"/>
            <w:vAlign w:val="center"/>
          </w:tcPr>
          <w:p>
            <w:pPr>
              <w:spacing w:line="240" w:lineRule="auto"/>
              <w:ind w:firstLine="0" w:firstLineChars="0"/>
              <w:jc w:val="center"/>
              <w:rPr>
                <w:color w:val="auto"/>
                <w:sz w:val="21"/>
                <w:szCs w:val="21"/>
              </w:rPr>
            </w:pPr>
            <w:r>
              <w:rPr>
                <w:color w:val="auto"/>
                <w:sz w:val="21"/>
                <w:szCs w:val="21"/>
              </w:rPr>
              <w:t>△</w:t>
            </w:r>
          </w:p>
        </w:tc>
      </w:tr>
      <w:tr>
        <w:tblPrEx>
          <w:tblBorders>
            <w:top w:val="single" w:color="auto" w:sz="2" w:space="0"/>
            <w:left w:val="none" w:color="auto" w:sz="0" w:space="0"/>
            <w:bottom w:val="sing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8" w:hRule="atLeast"/>
          <w:jc w:val="center"/>
        </w:trPr>
        <w:tc>
          <w:tcPr>
            <w:tcW w:w="238" w:type="pct"/>
            <w:vMerge w:val="continue"/>
            <w:vAlign w:val="center"/>
          </w:tcPr>
          <w:p>
            <w:pPr>
              <w:spacing w:line="240" w:lineRule="auto"/>
              <w:ind w:firstLine="0" w:firstLineChars="0"/>
              <w:jc w:val="center"/>
              <w:rPr>
                <w:color w:val="auto"/>
                <w:sz w:val="21"/>
                <w:szCs w:val="21"/>
              </w:rPr>
            </w:pPr>
          </w:p>
        </w:tc>
        <w:tc>
          <w:tcPr>
            <w:tcW w:w="1182" w:type="pct"/>
            <w:vAlign w:val="center"/>
          </w:tcPr>
          <w:p>
            <w:pPr>
              <w:spacing w:line="240" w:lineRule="auto"/>
              <w:ind w:firstLine="0" w:firstLineChars="0"/>
              <w:jc w:val="center"/>
              <w:rPr>
                <w:color w:val="auto"/>
                <w:sz w:val="21"/>
                <w:szCs w:val="21"/>
              </w:rPr>
            </w:pPr>
            <w:r>
              <w:rPr>
                <w:rFonts w:hint="eastAsia"/>
                <w:color w:val="auto"/>
                <w:sz w:val="21"/>
                <w:szCs w:val="21"/>
              </w:rPr>
              <w:t>土壤</w:t>
            </w:r>
          </w:p>
        </w:tc>
        <w:tc>
          <w:tcPr>
            <w:tcW w:w="596" w:type="pct"/>
            <w:vAlign w:val="center"/>
          </w:tcPr>
          <w:p>
            <w:pPr>
              <w:spacing w:line="240" w:lineRule="auto"/>
              <w:ind w:firstLine="0" w:firstLineChars="0"/>
              <w:jc w:val="center"/>
              <w:rPr>
                <w:color w:val="auto"/>
                <w:sz w:val="21"/>
                <w:szCs w:val="21"/>
              </w:rPr>
            </w:pPr>
            <w:r>
              <w:rPr>
                <w:color w:val="auto"/>
                <w:sz w:val="21"/>
                <w:szCs w:val="21"/>
              </w:rPr>
              <w:t>○</w:t>
            </w:r>
          </w:p>
        </w:tc>
        <w:tc>
          <w:tcPr>
            <w:tcW w:w="596" w:type="pct"/>
            <w:vAlign w:val="center"/>
          </w:tcPr>
          <w:p>
            <w:pPr>
              <w:spacing w:line="240" w:lineRule="auto"/>
              <w:ind w:firstLine="0" w:firstLineChars="0"/>
              <w:jc w:val="center"/>
              <w:rPr>
                <w:color w:val="auto"/>
                <w:sz w:val="21"/>
                <w:szCs w:val="21"/>
              </w:rPr>
            </w:pPr>
            <w:r>
              <w:rPr>
                <w:color w:val="auto"/>
                <w:sz w:val="21"/>
                <w:szCs w:val="21"/>
              </w:rPr>
              <w:t>△</w:t>
            </w:r>
          </w:p>
        </w:tc>
        <w:tc>
          <w:tcPr>
            <w:tcW w:w="596" w:type="pct"/>
            <w:vAlign w:val="center"/>
          </w:tcPr>
          <w:p>
            <w:pPr>
              <w:spacing w:line="240" w:lineRule="auto"/>
              <w:ind w:firstLine="0" w:firstLineChars="0"/>
              <w:jc w:val="center"/>
              <w:rPr>
                <w:color w:val="auto"/>
                <w:sz w:val="21"/>
                <w:szCs w:val="21"/>
              </w:rPr>
            </w:pPr>
            <w:r>
              <w:rPr>
                <w:color w:val="auto"/>
                <w:sz w:val="21"/>
                <w:szCs w:val="21"/>
              </w:rPr>
              <w:t>△</w:t>
            </w:r>
          </w:p>
        </w:tc>
        <w:tc>
          <w:tcPr>
            <w:tcW w:w="596" w:type="pct"/>
            <w:vAlign w:val="center"/>
          </w:tcPr>
          <w:p>
            <w:pPr>
              <w:spacing w:line="240" w:lineRule="auto"/>
              <w:ind w:firstLine="0" w:firstLineChars="0"/>
              <w:jc w:val="center"/>
              <w:rPr>
                <w:color w:val="auto"/>
                <w:sz w:val="21"/>
                <w:szCs w:val="21"/>
              </w:rPr>
            </w:pPr>
            <w:r>
              <w:rPr>
                <w:color w:val="auto"/>
                <w:sz w:val="21"/>
                <w:szCs w:val="21"/>
              </w:rPr>
              <w:t>○</w:t>
            </w:r>
          </w:p>
        </w:tc>
        <w:tc>
          <w:tcPr>
            <w:tcW w:w="596" w:type="pct"/>
            <w:vAlign w:val="center"/>
          </w:tcPr>
          <w:p>
            <w:pPr>
              <w:spacing w:line="240" w:lineRule="auto"/>
              <w:ind w:firstLine="0" w:firstLineChars="0"/>
              <w:jc w:val="center"/>
              <w:rPr>
                <w:color w:val="auto"/>
                <w:sz w:val="21"/>
                <w:szCs w:val="21"/>
              </w:rPr>
            </w:pPr>
            <w:r>
              <w:rPr>
                <w:color w:val="auto"/>
                <w:sz w:val="21"/>
                <w:szCs w:val="21"/>
              </w:rPr>
              <w:t>○</w:t>
            </w:r>
          </w:p>
        </w:tc>
        <w:tc>
          <w:tcPr>
            <w:tcW w:w="594" w:type="pct"/>
            <w:vAlign w:val="center"/>
          </w:tcPr>
          <w:p>
            <w:pPr>
              <w:spacing w:line="240" w:lineRule="auto"/>
              <w:ind w:firstLine="0" w:firstLineChars="0"/>
              <w:jc w:val="center"/>
              <w:rPr>
                <w:color w:val="auto"/>
                <w:sz w:val="21"/>
                <w:szCs w:val="21"/>
              </w:rPr>
            </w:pPr>
            <w:r>
              <w:rPr>
                <w:color w:val="auto"/>
                <w:sz w:val="21"/>
                <w:szCs w:val="21"/>
              </w:rPr>
              <w:t>▲</w:t>
            </w:r>
          </w:p>
        </w:tc>
      </w:tr>
      <w:tr>
        <w:tblPrEx>
          <w:tblBorders>
            <w:top w:val="single" w:color="auto" w:sz="2" w:space="0"/>
            <w:left w:val="none" w:color="auto" w:sz="0" w:space="0"/>
            <w:bottom w:val="sing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8" w:hRule="atLeast"/>
          <w:jc w:val="center"/>
        </w:trPr>
        <w:tc>
          <w:tcPr>
            <w:tcW w:w="5000" w:type="pct"/>
            <w:gridSpan w:val="8"/>
            <w:vAlign w:val="center"/>
          </w:tcPr>
          <w:p>
            <w:pPr>
              <w:spacing w:line="240" w:lineRule="auto"/>
              <w:ind w:firstLine="0" w:firstLineChars="0"/>
              <w:jc w:val="center"/>
              <w:rPr>
                <w:color w:val="auto"/>
                <w:sz w:val="21"/>
                <w:szCs w:val="21"/>
              </w:rPr>
            </w:pPr>
            <w:r>
              <w:rPr>
                <w:color w:val="auto"/>
                <w:sz w:val="21"/>
                <w:szCs w:val="21"/>
              </w:rPr>
              <w:t>● 有影响，▲有轻微影响，</w:t>
            </w:r>
            <w:r>
              <w:rPr>
                <w:rFonts w:ascii="Cambria Math" w:hAnsi="Cambria Math" w:cs="Cambria Math"/>
                <w:color w:val="auto"/>
                <w:sz w:val="21"/>
                <w:szCs w:val="21"/>
              </w:rPr>
              <w:t>△</w:t>
            </w:r>
            <w:r>
              <w:rPr>
                <w:color w:val="auto"/>
                <w:sz w:val="21"/>
                <w:szCs w:val="21"/>
              </w:rPr>
              <w:t>可能有影响，○ 没有影响。</w:t>
            </w:r>
          </w:p>
        </w:tc>
      </w:tr>
    </w:tbl>
    <w:p>
      <w:pPr>
        <w:pStyle w:val="6"/>
        <w:spacing w:line="600" w:lineRule="exact"/>
        <w:rPr>
          <w:color w:val="auto"/>
        </w:rPr>
      </w:pPr>
      <w:bookmarkStart w:id="148" w:name="_Toc345417242"/>
      <w:r>
        <w:rPr>
          <w:color w:val="auto"/>
        </w:rPr>
        <w:t>2.3.2 评价因子筛选</w:t>
      </w:r>
      <w:bookmarkEnd w:id="148"/>
    </w:p>
    <w:p>
      <w:pPr>
        <w:spacing w:line="500" w:lineRule="exact"/>
        <w:ind w:firstLine="480"/>
        <w:rPr>
          <w:rFonts w:hAnsi="宋体"/>
          <w:color w:val="auto"/>
        </w:rPr>
      </w:pPr>
      <w:r>
        <w:rPr>
          <w:color w:val="auto"/>
        </w:rPr>
        <w:t>根据工程特点和区域环境特征</w:t>
      </w:r>
      <w:r>
        <w:rPr>
          <w:rFonts w:hint="eastAsia" w:hAnsi="宋体"/>
          <w:color w:val="auto"/>
        </w:rPr>
        <w:t>，</w:t>
      </w:r>
      <w:r>
        <w:rPr>
          <w:rFonts w:hAnsi="宋体"/>
          <w:color w:val="auto"/>
        </w:rPr>
        <w:t>确定本项目的评价因子见表2.3</w:t>
      </w:r>
      <w:r>
        <w:rPr>
          <w:rFonts w:hint="eastAsia" w:hAnsi="宋体"/>
          <w:color w:val="auto"/>
        </w:rPr>
        <w:t>-2</w:t>
      </w:r>
      <w:r>
        <w:rPr>
          <w:rFonts w:hAnsi="宋体"/>
          <w:color w:val="auto"/>
        </w:rPr>
        <w:t>。</w:t>
      </w:r>
    </w:p>
    <w:p>
      <w:pPr>
        <w:numPr>
          <w:ilvl w:val="0"/>
          <w:numId w:val="3"/>
        </w:numPr>
        <w:spacing w:after="72" w:afterLines="30" w:line="500" w:lineRule="exact"/>
        <w:ind w:left="0" w:firstLine="482"/>
        <w:jc w:val="left"/>
        <w:rPr>
          <w:b/>
          <w:color w:val="auto"/>
          <w:szCs w:val="21"/>
        </w:rPr>
      </w:pPr>
      <w:r>
        <w:rPr>
          <w:rFonts w:hint="eastAsia"/>
          <w:b/>
          <w:color w:val="auto"/>
          <w:szCs w:val="21"/>
        </w:rPr>
        <w:t xml:space="preserve">                     </w:t>
      </w:r>
      <w:r>
        <w:rPr>
          <w:b/>
          <w:color w:val="auto"/>
          <w:szCs w:val="21"/>
        </w:rPr>
        <w:t>项目环境评价因子</w:t>
      </w:r>
    </w:p>
    <w:tbl>
      <w:tblPr>
        <w:tblStyle w:val="27"/>
        <w:tblW w:w="4999"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51"/>
        <w:gridCol w:w="4357"/>
        <w:gridCol w:w="333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1" w:hRule="atLeast"/>
          <w:tblHeader/>
          <w:jc w:val="center"/>
        </w:trPr>
        <w:tc>
          <w:tcPr>
            <w:tcW w:w="699" w:type="pct"/>
            <w:tcBorders>
              <w:tl2br w:val="nil"/>
              <w:tr2bl w:val="nil"/>
            </w:tcBorders>
            <w:vAlign w:val="center"/>
          </w:tcPr>
          <w:p>
            <w:pPr>
              <w:spacing w:line="240" w:lineRule="auto"/>
              <w:ind w:firstLine="0" w:firstLineChars="0"/>
              <w:jc w:val="center"/>
              <w:rPr>
                <w:b/>
                <w:color w:val="auto"/>
                <w:kern w:val="0"/>
                <w:sz w:val="21"/>
                <w:szCs w:val="21"/>
              </w:rPr>
            </w:pPr>
            <w:bookmarkStart w:id="149" w:name="_Toc441490825"/>
            <w:r>
              <w:rPr>
                <w:b/>
                <w:color w:val="auto"/>
                <w:kern w:val="0"/>
                <w:sz w:val="21"/>
                <w:szCs w:val="21"/>
              </w:rPr>
              <w:t>项目</w:t>
            </w:r>
          </w:p>
        </w:tc>
        <w:tc>
          <w:tcPr>
            <w:tcW w:w="2434" w:type="pct"/>
            <w:tcBorders>
              <w:tl2br w:val="nil"/>
              <w:tr2bl w:val="nil"/>
            </w:tcBorders>
            <w:vAlign w:val="center"/>
          </w:tcPr>
          <w:p>
            <w:pPr>
              <w:spacing w:line="240" w:lineRule="auto"/>
              <w:ind w:firstLine="0" w:firstLineChars="0"/>
              <w:jc w:val="center"/>
              <w:rPr>
                <w:b/>
                <w:color w:val="auto"/>
                <w:kern w:val="0"/>
                <w:sz w:val="21"/>
                <w:szCs w:val="21"/>
              </w:rPr>
            </w:pPr>
            <w:r>
              <w:rPr>
                <w:b/>
                <w:color w:val="auto"/>
                <w:kern w:val="0"/>
                <w:sz w:val="21"/>
                <w:szCs w:val="21"/>
              </w:rPr>
              <w:t>现状评价因子</w:t>
            </w:r>
          </w:p>
        </w:tc>
        <w:tc>
          <w:tcPr>
            <w:tcW w:w="1865" w:type="pct"/>
            <w:tcBorders>
              <w:tl2br w:val="nil"/>
              <w:tr2bl w:val="nil"/>
            </w:tcBorders>
            <w:vAlign w:val="center"/>
          </w:tcPr>
          <w:p>
            <w:pPr>
              <w:spacing w:line="240" w:lineRule="auto"/>
              <w:ind w:firstLine="0" w:firstLineChars="0"/>
              <w:jc w:val="center"/>
              <w:rPr>
                <w:b/>
                <w:color w:val="auto"/>
                <w:kern w:val="0"/>
                <w:sz w:val="21"/>
                <w:szCs w:val="21"/>
              </w:rPr>
            </w:pPr>
            <w:r>
              <w:rPr>
                <w:b/>
                <w:color w:val="auto"/>
                <w:kern w:val="0"/>
                <w:sz w:val="21"/>
                <w:szCs w:val="21"/>
              </w:rPr>
              <w:t>预测因子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9"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大气环境</w:t>
            </w:r>
          </w:p>
        </w:tc>
        <w:tc>
          <w:tcPr>
            <w:tcW w:w="2434"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H</w:t>
            </w:r>
            <w:r>
              <w:rPr>
                <w:color w:val="auto"/>
                <w:kern w:val="0"/>
                <w:sz w:val="21"/>
                <w:szCs w:val="21"/>
                <w:vertAlign w:val="subscript"/>
              </w:rPr>
              <w:t>2</w:t>
            </w:r>
            <w:r>
              <w:rPr>
                <w:color w:val="auto"/>
                <w:kern w:val="0"/>
                <w:sz w:val="21"/>
                <w:szCs w:val="21"/>
              </w:rPr>
              <w:t>S、NH</w:t>
            </w:r>
            <w:r>
              <w:rPr>
                <w:color w:val="auto"/>
                <w:kern w:val="0"/>
                <w:sz w:val="21"/>
                <w:szCs w:val="21"/>
                <w:vertAlign w:val="subscript"/>
              </w:rPr>
              <w:t>3</w:t>
            </w:r>
            <w:r>
              <w:rPr>
                <w:color w:val="auto"/>
                <w:kern w:val="0"/>
                <w:sz w:val="21"/>
                <w:szCs w:val="21"/>
              </w:rPr>
              <w:t>、SO</w:t>
            </w:r>
            <w:r>
              <w:rPr>
                <w:color w:val="auto"/>
                <w:kern w:val="0"/>
                <w:sz w:val="21"/>
                <w:szCs w:val="21"/>
                <w:vertAlign w:val="subscript"/>
              </w:rPr>
              <w:t>2</w:t>
            </w:r>
            <w:r>
              <w:rPr>
                <w:color w:val="auto"/>
                <w:kern w:val="0"/>
                <w:sz w:val="21"/>
                <w:szCs w:val="21"/>
              </w:rPr>
              <w:t>、NO</w:t>
            </w:r>
            <w:r>
              <w:rPr>
                <w:color w:val="auto"/>
                <w:kern w:val="0"/>
                <w:sz w:val="21"/>
                <w:szCs w:val="21"/>
                <w:vertAlign w:val="subscript"/>
              </w:rPr>
              <w:t>2</w:t>
            </w:r>
            <w:r>
              <w:rPr>
                <w:color w:val="auto"/>
                <w:kern w:val="0"/>
                <w:sz w:val="21"/>
                <w:szCs w:val="21"/>
              </w:rPr>
              <w:t>、PM</w:t>
            </w:r>
            <w:r>
              <w:rPr>
                <w:color w:val="auto"/>
                <w:kern w:val="0"/>
                <w:sz w:val="21"/>
                <w:szCs w:val="21"/>
                <w:vertAlign w:val="subscript"/>
              </w:rPr>
              <w:t>2.5</w:t>
            </w:r>
            <w:r>
              <w:rPr>
                <w:color w:val="auto"/>
                <w:kern w:val="0"/>
                <w:sz w:val="21"/>
                <w:szCs w:val="21"/>
              </w:rPr>
              <w:t>、PM</w:t>
            </w:r>
            <w:r>
              <w:rPr>
                <w:color w:val="auto"/>
                <w:kern w:val="0"/>
                <w:sz w:val="21"/>
                <w:szCs w:val="21"/>
                <w:vertAlign w:val="subscript"/>
              </w:rPr>
              <w:t>10</w:t>
            </w:r>
            <w:r>
              <w:rPr>
                <w:color w:val="auto"/>
                <w:kern w:val="0"/>
                <w:sz w:val="21"/>
                <w:szCs w:val="21"/>
              </w:rPr>
              <w:t>、O</w:t>
            </w:r>
            <w:r>
              <w:rPr>
                <w:color w:val="auto"/>
                <w:kern w:val="0"/>
                <w:sz w:val="21"/>
                <w:szCs w:val="21"/>
                <w:vertAlign w:val="subscript"/>
              </w:rPr>
              <w:t>3</w:t>
            </w:r>
            <w:r>
              <w:rPr>
                <w:color w:val="auto"/>
                <w:kern w:val="0"/>
                <w:sz w:val="21"/>
                <w:szCs w:val="21"/>
              </w:rPr>
              <w:t>、CO</w:t>
            </w:r>
          </w:p>
        </w:tc>
        <w:tc>
          <w:tcPr>
            <w:tcW w:w="1865"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H</w:t>
            </w:r>
            <w:r>
              <w:rPr>
                <w:color w:val="auto"/>
                <w:kern w:val="0"/>
                <w:sz w:val="21"/>
                <w:szCs w:val="21"/>
                <w:vertAlign w:val="subscript"/>
              </w:rPr>
              <w:t>2</w:t>
            </w:r>
            <w:r>
              <w:rPr>
                <w:color w:val="auto"/>
                <w:kern w:val="0"/>
                <w:sz w:val="21"/>
                <w:szCs w:val="21"/>
              </w:rPr>
              <w:t>S、NH</w:t>
            </w:r>
            <w:r>
              <w:rPr>
                <w:color w:val="auto"/>
                <w:kern w:val="0"/>
                <w:sz w:val="21"/>
                <w:szCs w:val="21"/>
                <w:vertAlign w:val="subscript"/>
              </w:rPr>
              <w:t>3</w:t>
            </w:r>
            <w:r>
              <w:rPr>
                <w:color w:val="auto"/>
                <w:kern w:val="0"/>
                <w:sz w:val="21"/>
                <w:szCs w:val="21"/>
              </w:rPr>
              <w:t>、SO</w:t>
            </w:r>
            <w:r>
              <w:rPr>
                <w:color w:val="auto"/>
                <w:kern w:val="0"/>
                <w:sz w:val="21"/>
                <w:szCs w:val="21"/>
                <w:vertAlign w:val="subscript"/>
              </w:rPr>
              <w:t>2</w:t>
            </w:r>
            <w:r>
              <w:rPr>
                <w:color w:val="auto"/>
                <w:kern w:val="0"/>
                <w:sz w:val="21"/>
                <w:szCs w:val="21"/>
              </w:rPr>
              <w:t>、NO</w:t>
            </w:r>
            <w:r>
              <w:rPr>
                <w:color w:val="auto"/>
                <w:kern w:val="0"/>
                <w:sz w:val="21"/>
                <w:szCs w:val="21"/>
                <w:vertAlign w:val="subscript"/>
              </w:rPr>
              <w:t>2</w:t>
            </w:r>
            <w:r>
              <w:rPr>
                <w:color w:val="auto"/>
                <w:kern w:val="0"/>
                <w:sz w:val="21"/>
                <w:szCs w:val="21"/>
              </w:rPr>
              <w:t>、PM</w:t>
            </w:r>
            <w:r>
              <w:rPr>
                <w:color w:val="auto"/>
                <w:kern w:val="0"/>
                <w:sz w:val="21"/>
                <w:szCs w:val="21"/>
                <w:vertAlign w:val="subscript"/>
              </w:rPr>
              <w:t>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9"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地表水环境</w:t>
            </w:r>
          </w:p>
        </w:tc>
        <w:tc>
          <w:tcPr>
            <w:tcW w:w="2434"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pH、COD、BOD</w:t>
            </w:r>
            <w:r>
              <w:rPr>
                <w:color w:val="auto"/>
                <w:kern w:val="0"/>
                <w:sz w:val="21"/>
                <w:szCs w:val="21"/>
                <w:vertAlign w:val="subscript"/>
              </w:rPr>
              <w:t>5</w:t>
            </w:r>
            <w:r>
              <w:rPr>
                <w:color w:val="auto"/>
                <w:kern w:val="0"/>
                <w:sz w:val="21"/>
                <w:szCs w:val="21"/>
              </w:rPr>
              <w:t>、NH</w:t>
            </w:r>
            <w:r>
              <w:rPr>
                <w:color w:val="auto"/>
                <w:kern w:val="0"/>
                <w:sz w:val="21"/>
                <w:szCs w:val="21"/>
                <w:vertAlign w:val="subscript"/>
              </w:rPr>
              <w:t>3</w:t>
            </w:r>
            <w:r>
              <w:rPr>
                <w:color w:val="auto"/>
                <w:kern w:val="0"/>
                <w:sz w:val="21"/>
                <w:szCs w:val="21"/>
              </w:rPr>
              <w:t>-N、</w:t>
            </w:r>
          </w:p>
          <w:p>
            <w:pPr>
              <w:spacing w:line="240" w:lineRule="auto"/>
              <w:ind w:firstLine="0" w:firstLineChars="0"/>
              <w:jc w:val="center"/>
              <w:rPr>
                <w:color w:val="auto"/>
                <w:kern w:val="0"/>
                <w:sz w:val="21"/>
                <w:szCs w:val="21"/>
              </w:rPr>
            </w:pPr>
            <w:r>
              <w:rPr>
                <w:color w:val="auto"/>
                <w:kern w:val="0"/>
                <w:sz w:val="21"/>
                <w:szCs w:val="21"/>
              </w:rPr>
              <w:t>总磷、粪大肠菌群</w:t>
            </w:r>
          </w:p>
        </w:tc>
        <w:tc>
          <w:tcPr>
            <w:tcW w:w="1865"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简单分析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9"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地下水环境</w:t>
            </w:r>
          </w:p>
        </w:tc>
        <w:tc>
          <w:tcPr>
            <w:tcW w:w="2434" w:type="pct"/>
            <w:tcBorders>
              <w:tl2br w:val="nil"/>
              <w:tr2bl w:val="nil"/>
            </w:tcBorders>
            <w:vAlign w:val="center"/>
          </w:tcPr>
          <w:p>
            <w:pPr>
              <w:spacing w:line="240" w:lineRule="auto"/>
              <w:ind w:firstLine="0" w:firstLineChars="0"/>
              <w:jc w:val="center"/>
              <w:rPr>
                <w:color w:val="auto"/>
                <w:kern w:val="0"/>
                <w:sz w:val="21"/>
                <w:szCs w:val="21"/>
              </w:rPr>
            </w:pPr>
            <w:r>
              <w:rPr>
                <w:color w:val="auto"/>
                <w:sz w:val="21"/>
                <w:szCs w:val="21"/>
              </w:rPr>
              <w:t>pH、浑浊度、臭和味、K</w:t>
            </w:r>
            <w:r>
              <w:rPr>
                <w:color w:val="auto"/>
                <w:sz w:val="21"/>
                <w:szCs w:val="21"/>
                <w:vertAlign w:val="superscript"/>
              </w:rPr>
              <w:t>+</w:t>
            </w:r>
            <w:r>
              <w:rPr>
                <w:color w:val="auto"/>
                <w:sz w:val="21"/>
                <w:szCs w:val="21"/>
              </w:rPr>
              <w:t>、Na</w:t>
            </w:r>
            <w:r>
              <w:rPr>
                <w:color w:val="auto"/>
                <w:sz w:val="21"/>
                <w:szCs w:val="21"/>
                <w:vertAlign w:val="superscript"/>
              </w:rPr>
              <w:t>+</w:t>
            </w:r>
            <w:r>
              <w:rPr>
                <w:color w:val="auto"/>
                <w:sz w:val="21"/>
                <w:szCs w:val="21"/>
              </w:rPr>
              <w:t>、Ca</w:t>
            </w:r>
            <w:r>
              <w:rPr>
                <w:color w:val="auto"/>
                <w:sz w:val="21"/>
                <w:szCs w:val="21"/>
                <w:vertAlign w:val="superscript"/>
              </w:rPr>
              <w:t>2+</w:t>
            </w:r>
            <w:r>
              <w:rPr>
                <w:color w:val="auto"/>
                <w:sz w:val="21"/>
                <w:szCs w:val="21"/>
              </w:rPr>
              <w:t>、Mg</w:t>
            </w:r>
            <w:r>
              <w:rPr>
                <w:color w:val="auto"/>
                <w:sz w:val="21"/>
                <w:szCs w:val="21"/>
                <w:vertAlign w:val="superscript"/>
              </w:rPr>
              <w:t>2+</w:t>
            </w:r>
            <w:r>
              <w:rPr>
                <w:color w:val="auto"/>
                <w:sz w:val="21"/>
                <w:szCs w:val="21"/>
              </w:rPr>
              <w:t>、CO</w:t>
            </w:r>
            <w:r>
              <w:rPr>
                <w:color w:val="auto"/>
                <w:sz w:val="21"/>
                <w:szCs w:val="21"/>
                <w:vertAlign w:val="subscript"/>
              </w:rPr>
              <w:t>3</w:t>
            </w:r>
            <w:r>
              <w:rPr>
                <w:color w:val="auto"/>
                <w:sz w:val="21"/>
                <w:szCs w:val="21"/>
                <w:vertAlign w:val="superscript"/>
              </w:rPr>
              <w:t>2-</w:t>
            </w:r>
            <w:r>
              <w:rPr>
                <w:color w:val="auto"/>
                <w:sz w:val="21"/>
                <w:szCs w:val="21"/>
              </w:rPr>
              <w:t>、HCO</w:t>
            </w:r>
            <w:r>
              <w:rPr>
                <w:color w:val="auto"/>
                <w:sz w:val="21"/>
                <w:szCs w:val="21"/>
                <w:vertAlign w:val="superscript"/>
              </w:rPr>
              <w:t>3-</w:t>
            </w:r>
            <w:r>
              <w:rPr>
                <w:color w:val="auto"/>
                <w:sz w:val="21"/>
                <w:szCs w:val="21"/>
              </w:rPr>
              <w:t>、Cl</w:t>
            </w:r>
            <w:r>
              <w:rPr>
                <w:color w:val="auto"/>
                <w:sz w:val="21"/>
                <w:szCs w:val="21"/>
                <w:vertAlign w:val="superscript"/>
              </w:rPr>
              <w:t>-</w:t>
            </w:r>
            <w:r>
              <w:rPr>
                <w:color w:val="auto"/>
                <w:sz w:val="21"/>
                <w:szCs w:val="21"/>
              </w:rPr>
              <w:t>、SO</w:t>
            </w:r>
            <w:r>
              <w:rPr>
                <w:color w:val="auto"/>
                <w:sz w:val="21"/>
                <w:szCs w:val="21"/>
                <w:vertAlign w:val="subscript"/>
              </w:rPr>
              <w:t>4</w:t>
            </w:r>
            <w:r>
              <w:rPr>
                <w:color w:val="auto"/>
                <w:sz w:val="21"/>
                <w:szCs w:val="21"/>
                <w:vertAlign w:val="superscript"/>
              </w:rPr>
              <w:t>2-</w:t>
            </w:r>
            <w:r>
              <w:rPr>
                <w:color w:val="auto"/>
                <w:sz w:val="21"/>
                <w:szCs w:val="21"/>
              </w:rPr>
              <w:t>、pH、氨氮、亚硝酸盐、硝酸盐、挥发性酚类、氰化物、砷、汞、铬（六价）、总硬度、铅、氟、镉、铁、锰、溶解性总固体、高锰酸盐指数、硫酸盐、氯化物、总大肠菌群、细菌总数</w:t>
            </w:r>
          </w:p>
        </w:tc>
        <w:tc>
          <w:tcPr>
            <w:tcW w:w="1865" w:type="pct"/>
            <w:tcBorders>
              <w:tl2br w:val="nil"/>
              <w:tr2bl w:val="nil"/>
            </w:tcBorders>
            <w:vAlign w:val="center"/>
          </w:tcPr>
          <w:p>
            <w:pPr>
              <w:spacing w:line="240" w:lineRule="auto"/>
              <w:ind w:firstLine="0" w:firstLineChars="0"/>
              <w:jc w:val="center"/>
              <w:rPr>
                <w:color w:val="auto"/>
                <w:kern w:val="0"/>
                <w:sz w:val="21"/>
                <w:szCs w:val="21"/>
              </w:rPr>
            </w:pPr>
            <w:r>
              <w:rPr>
                <w:rFonts w:hint="eastAsia"/>
                <w:color w:val="auto"/>
                <w:kern w:val="0"/>
                <w:sz w:val="21"/>
                <w:szCs w:val="21"/>
              </w:rPr>
              <w:t>影响</w:t>
            </w:r>
            <w:r>
              <w:rPr>
                <w:color w:val="auto"/>
                <w:kern w:val="0"/>
                <w:sz w:val="21"/>
                <w:szCs w:val="21"/>
              </w:rPr>
              <w:t>分析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9"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固体废物</w:t>
            </w:r>
          </w:p>
        </w:tc>
        <w:tc>
          <w:tcPr>
            <w:tcW w:w="2434"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w:t>
            </w:r>
          </w:p>
        </w:tc>
        <w:tc>
          <w:tcPr>
            <w:tcW w:w="1865"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猪粪、病死猪、生活垃圾、医疗废物等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9"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声环境</w:t>
            </w:r>
          </w:p>
        </w:tc>
        <w:tc>
          <w:tcPr>
            <w:tcW w:w="2434"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等效连续A声级（Lep）</w:t>
            </w:r>
          </w:p>
        </w:tc>
        <w:tc>
          <w:tcPr>
            <w:tcW w:w="1865"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等效连续A声级（Lep）</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9"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土壤</w:t>
            </w:r>
          </w:p>
        </w:tc>
        <w:tc>
          <w:tcPr>
            <w:tcW w:w="2434"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pH、镉、铬、汞、铅、砷、铜、镍、锌</w:t>
            </w:r>
          </w:p>
        </w:tc>
        <w:tc>
          <w:tcPr>
            <w:tcW w:w="1865"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9" w:type="pct"/>
            <w:tcBorders>
              <w:tl2br w:val="nil"/>
              <w:tr2bl w:val="nil"/>
            </w:tcBorders>
            <w:vAlign w:val="center"/>
          </w:tcPr>
          <w:p>
            <w:pPr>
              <w:spacing w:line="240" w:lineRule="auto"/>
              <w:ind w:firstLine="0" w:firstLineChars="0"/>
              <w:jc w:val="center"/>
              <w:rPr>
                <w:color w:val="auto"/>
                <w:kern w:val="0"/>
                <w:sz w:val="21"/>
                <w:szCs w:val="21"/>
              </w:rPr>
            </w:pPr>
            <w:r>
              <w:rPr>
                <w:rFonts w:hint="eastAsia"/>
                <w:color w:val="auto"/>
                <w:kern w:val="0"/>
                <w:sz w:val="21"/>
                <w:szCs w:val="21"/>
              </w:rPr>
              <w:t>风险</w:t>
            </w:r>
          </w:p>
        </w:tc>
        <w:tc>
          <w:tcPr>
            <w:tcW w:w="2434" w:type="pct"/>
            <w:tcBorders>
              <w:tl2br w:val="nil"/>
              <w:tr2bl w:val="nil"/>
            </w:tcBorders>
            <w:vAlign w:val="center"/>
          </w:tcPr>
          <w:p>
            <w:pPr>
              <w:spacing w:line="240" w:lineRule="auto"/>
              <w:ind w:firstLine="0" w:firstLineChars="0"/>
              <w:jc w:val="center"/>
              <w:rPr>
                <w:color w:val="auto"/>
                <w:kern w:val="0"/>
                <w:sz w:val="21"/>
                <w:szCs w:val="21"/>
              </w:rPr>
            </w:pPr>
            <w:r>
              <w:rPr>
                <w:rFonts w:hint="eastAsia"/>
                <w:color w:val="auto"/>
                <w:kern w:val="0"/>
                <w:sz w:val="21"/>
                <w:szCs w:val="21"/>
              </w:rPr>
              <w:t>沼气（甲烷）</w:t>
            </w:r>
          </w:p>
        </w:tc>
        <w:tc>
          <w:tcPr>
            <w:tcW w:w="1865" w:type="pct"/>
            <w:tcBorders>
              <w:tl2br w:val="nil"/>
              <w:tr2bl w:val="nil"/>
            </w:tcBorders>
            <w:vAlign w:val="center"/>
          </w:tcPr>
          <w:p>
            <w:pPr>
              <w:spacing w:line="240" w:lineRule="auto"/>
              <w:ind w:firstLine="0" w:firstLineChars="0"/>
              <w:jc w:val="center"/>
              <w:rPr>
                <w:color w:val="auto"/>
                <w:kern w:val="0"/>
                <w:sz w:val="21"/>
                <w:szCs w:val="21"/>
              </w:rPr>
            </w:pPr>
            <w:r>
              <w:rPr>
                <w:rFonts w:hint="eastAsia"/>
                <w:color w:val="auto"/>
                <w:kern w:val="0"/>
                <w:sz w:val="21"/>
                <w:szCs w:val="21"/>
              </w:rPr>
              <w:t>/</w:t>
            </w:r>
          </w:p>
        </w:tc>
      </w:tr>
    </w:tbl>
    <w:p>
      <w:pPr>
        <w:pStyle w:val="32"/>
        <w:rPr>
          <w:color w:val="auto"/>
        </w:rPr>
      </w:pPr>
      <w:bookmarkStart w:id="150" w:name="_Toc2941"/>
      <w:bookmarkStart w:id="151" w:name="_Toc30937"/>
      <w:r>
        <w:rPr>
          <w:color w:val="auto"/>
        </w:rPr>
        <w:t>2.4 评价标准</w:t>
      </w:r>
      <w:bookmarkEnd w:id="149"/>
      <w:bookmarkEnd w:id="150"/>
      <w:bookmarkEnd w:id="151"/>
    </w:p>
    <w:p>
      <w:pPr>
        <w:pStyle w:val="6"/>
        <w:rPr>
          <w:rFonts w:hAnsi="宋体"/>
          <w:color w:val="auto"/>
        </w:rPr>
      </w:pPr>
      <w:bookmarkStart w:id="152" w:name="_Toc363720537"/>
      <w:r>
        <w:rPr>
          <w:rFonts w:hAnsi="宋体"/>
          <w:color w:val="auto"/>
        </w:rPr>
        <w:t>2.4.1环境质量标准</w:t>
      </w:r>
      <w:bookmarkEnd w:id="152"/>
    </w:p>
    <w:p>
      <w:pPr>
        <w:numPr>
          <w:ilvl w:val="0"/>
          <w:numId w:val="4"/>
        </w:numPr>
        <w:spacing w:after="72" w:afterLines="30" w:line="500" w:lineRule="exact"/>
        <w:ind w:left="0" w:firstLine="482"/>
        <w:jc w:val="left"/>
        <w:rPr>
          <w:b/>
          <w:color w:val="auto"/>
          <w:szCs w:val="21"/>
        </w:rPr>
      </w:pPr>
      <w:r>
        <w:rPr>
          <w:b/>
          <w:color w:val="auto"/>
          <w:szCs w:val="21"/>
        </w:rPr>
        <w:t xml:space="preserve">                             环境质量标准表</w:t>
      </w:r>
    </w:p>
    <w:tbl>
      <w:tblPr>
        <w:tblStyle w:val="27"/>
        <w:tblW w:w="4997"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42"/>
        <w:gridCol w:w="3461"/>
        <w:gridCol w:w="1698"/>
        <w:gridCol w:w="1015"/>
        <w:gridCol w:w="768"/>
        <w:gridCol w:w="95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tblHeader/>
          <w:jc w:val="center"/>
        </w:trPr>
        <w:tc>
          <w:tcPr>
            <w:tcW w:w="583" w:type="pct"/>
            <w:vMerge w:val="restart"/>
            <w:tcBorders>
              <w:tl2br w:val="nil"/>
              <w:tr2bl w:val="nil"/>
            </w:tcBorders>
            <w:vAlign w:val="center"/>
          </w:tcPr>
          <w:p>
            <w:pPr>
              <w:spacing w:line="240" w:lineRule="auto"/>
              <w:ind w:firstLine="0" w:firstLineChars="0"/>
              <w:jc w:val="center"/>
              <w:rPr>
                <w:b/>
                <w:color w:val="auto"/>
                <w:kern w:val="0"/>
                <w:sz w:val="21"/>
                <w:szCs w:val="21"/>
              </w:rPr>
            </w:pPr>
            <w:r>
              <w:rPr>
                <w:b/>
                <w:color w:val="auto"/>
                <w:kern w:val="0"/>
                <w:sz w:val="21"/>
                <w:szCs w:val="21"/>
              </w:rPr>
              <w:t>环境要素</w:t>
            </w:r>
          </w:p>
        </w:tc>
        <w:tc>
          <w:tcPr>
            <w:tcW w:w="1934" w:type="pct"/>
            <w:vMerge w:val="restart"/>
            <w:tcBorders>
              <w:tl2br w:val="nil"/>
              <w:tr2bl w:val="nil"/>
            </w:tcBorders>
            <w:vAlign w:val="center"/>
          </w:tcPr>
          <w:p>
            <w:pPr>
              <w:spacing w:line="240" w:lineRule="auto"/>
              <w:ind w:firstLine="0" w:firstLineChars="0"/>
              <w:jc w:val="center"/>
              <w:rPr>
                <w:b/>
                <w:color w:val="auto"/>
                <w:kern w:val="0"/>
                <w:sz w:val="21"/>
                <w:szCs w:val="21"/>
              </w:rPr>
            </w:pPr>
            <w:r>
              <w:rPr>
                <w:b/>
                <w:color w:val="auto"/>
                <w:kern w:val="0"/>
                <w:sz w:val="21"/>
                <w:szCs w:val="21"/>
              </w:rPr>
              <w:t>标准名称及级（类）别</w:t>
            </w:r>
          </w:p>
        </w:tc>
        <w:tc>
          <w:tcPr>
            <w:tcW w:w="949" w:type="pct"/>
            <w:vMerge w:val="restart"/>
            <w:tcBorders>
              <w:tl2br w:val="nil"/>
              <w:tr2bl w:val="nil"/>
            </w:tcBorders>
            <w:vAlign w:val="center"/>
          </w:tcPr>
          <w:p>
            <w:pPr>
              <w:spacing w:line="240" w:lineRule="auto"/>
              <w:ind w:firstLine="0" w:firstLineChars="0"/>
              <w:jc w:val="center"/>
              <w:rPr>
                <w:b/>
                <w:color w:val="auto"/>
                <w:kern w:val="0"/>
                <w:sz w:val="21"/>
                <w:szCs w:val="21"/>
              </w:rPr>
            </w:pPr>
            <w:r>
              <w:rPr>
                <w:b/>
                <w:color w:val="auto"/>
                <w:kern w:val="0"/>
                <w:sz w:val="21"/>
                <w:szCs w:val="21"/>
              </w:rPr>
              <w:t>项目</w:t>
            </w:r>
          </w:p>
        </w:tc>
        <w:tc>
          <w:tcPr>
            <w:tcW w:w="1532" w:type="pct"/>
            <w:gridSpan w:val="3"/>
            <w:tcBorders>
              <w:tl2br w:val="nil"/>
              <w:tr2bl w:val="nil"/>
            </w:tcBorders>
            <w:vAlign w:val="center"/>
          </w:tcPr>
          <w:p>
            <w:pPr>
              <w:spacing w:line="240" w:lineRule="auto"/>
              <w:ind w:firstLine="0" w:firstLineChars="0"/>
              <w:jc w:val="center"/>
              <w:rPr>
                <w:b/>
                <w:color w:val="auto"/>
                <w:kern w:val="0"/>
                <w:sz w:val="21"/>
                <w:szCs w:val="21"/>
              </w:rPr>
            </w:pPr>
            <w:r>
              <w:rPr>
                <w:b/>
                <w:color w:val="auto"/>
                <w:kern w:val="0"/>
                <w:sz w:val="21"/>
                <w:szCs w:val="21"/>
              </w:rPr>
              <w:t>标准限值</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tblHeader/>
          <w:jc w:val="center"/>
        </w:trPr>
        <w:tc>
          <w:tcPr>
            <w:tcW w:w="583" w:type="pct"/>
            <w:vMerge w:val="continue"/>
            <w:tcBorders>
              <w:tl2br w:val="nil"/>
              <w:tr2bl w:val="nil"/>
            </w:tcBorders>
            <w:vAlign w:val="center"/>
          </w:tcPr>
          <w:p>
            <w:pPr>
              <w:spacing w:line="240" w:lineRule="auto"/>
              <w:ind w:firstLine="0" w:firstLineChars="0"/>
              <w:jc w:val="center"/>
              <w:rPr>
                <w:b/>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b/>
                <w:color w:val="auto"/>
                <w:kern w:val="0"/>
                <w:sz w:val="21"/>
                <w:szCs w:val="21"/>
              </w:rPr>
            </w:pPr>
          </w:p>
        </w:tc>
        <w:tc>
          <w:tcPr>
            <w:tcW w:w="949" w:type="pct"/>
            <w:vMerge w:val="continue"/>
            <w:tcBorders>
              <w:tl2br w:val="nil"/>
              <w:tr2bl w:val="nil"/>
            </w:tcBorders>
            <w:vAlign w:val="center"/>
          </w:tcPr>
          <w:p>
            <w:pPr>
              <w:spacing w:line="240" w:lineRule="auto"/>
              <w:ind w:firstLine="0" w:firstLineChars="0"/>
              <w:jc w:val="center"/>
              <w:rPr>
                <w:b/>
                <w:color w:val="auto"/>
                <w:kern w:val="0"/>
                <w:sz w:val="21"/>
                <w:szCs w:val="21"/>
              </w:rPr>
            </w:pPr>
          </w:p>
        </w:tc>
        <w:tc>
          <w:tcPr>
            <w:tcW w:w="567" w:type="pct"/>
            <w:tcBorders>
              <w:tl2br w:val="nil"/>
              <w:tr2bl w:val="nil"/>
            </w:tcBorders>
            <w:vAlign w:val="center"/>
          </w:tcPr>
          <w:p>
            <w:pPr>
              <w:spacing w:line="240" w:lineRule="auto"/>
              <w:ind w:firstLine="0" w:firstLineChars="0"/>
              <w:jc w:val="center"/>
              <w:rPr>
                <w:b/>
                <w:color w:val="auto"/>
                <w:kern w:val="0"/>
                <w:sz w:val="21"/>
                <w:szCs w:val="21"/>
              </w:rPr>
            </w:pPr>
            <w:r>
              <w:rPr>
                <w:b/>
                <w:color w:val="auto"/>
                <w:kern w:val="0"/>
                <w:sz w:val="21"/>
                <w:szCs w:val="21"/>
              </w:rPr>
              <w:t>单位</w:t>
            </w:r>
          </w:p>
        </w:tc>
        <w:tc>
          <w:tcPr>
            <w:tcW w:w="964" w:type="pct"/>
            <w:gridSpan w:val="2"/>
            <w:tcBorders>
              <w:tl2br w:val="nil"/>
              <w:tr2bl w:val="nil"/>
            </w:tcBorders>
            <w:vAlign w:val="center"/>
          </w:tcPr>
          <w:p>
            <w:pPr>
              <w:spacing w:line="240" w:lineRule="auto"/>
              <w:ind w:firstLine="0" w:firstLineChars="0"/>
              <w:jc w:val="center"/>
              <w:rPr>
                <w:b/>
                <w:color w:val="auto"/>
                <w:kern w:val="0"/>
                <w:sz w:val="21"/>
                <w:szCs w:val="21"/>
              </w:rPr>
            </w:pPr>
            <w:r>
              <w:rPr>
                <w:b/>
                <w:color w:val="auto"/>
                <w:kern w:val="0"/>
                <w:sz w:val="21"/>
                <w:szCs w:val="21"/>
              </w:rPr>
              <w:t>数值</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583" w:type="pct"/>
            <w:vMerge w:val="restar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环境空气</w:t>
            </w:r>
          </w:p>
        </w:tc>
        <w:tc>
          <w:tcPr>
            <w:tcW w:w="1934" w:type="pct"/>
            <w:vMerge w:val="restar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《环境空气质量标准》（GB3095-2012）中二级标准</w:t>
            </w:r>
          </w:p>
        </w:tc>
        <w:tc>
          <w:tcPr>
            <w:tcW w:w="949" w:type="pct"/>
            <w:vMerge w:val="restar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SO</w:t>
            </w:r>
            <w:r>
              <w:rPr>
                <w:color w:val="auto"/>
                <w:kern w:val="0"/>
                <w:sz w:val="21"/>
                <w:szCs w:val="21"/>
                <w:vertAlign w:val="subscript"/>
              </w:rPr>
              <w:t>2</w:t>
            </w:r>
          </w:p>
        </w:tc>
        <w:tc>
          <w:tcPr>
            <w:tcW w:w="567" w:type="pct"/>
            <w:vMerge w:val="restar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µg/m</w:t>
            </w:r>
            <w:r>
              <w:rPr>
                <w:color w:val="auto"/>
                <w:kern w:val="0"/>
                <w:sz w:val="21"/>
                <w:szCs w:val="21"/>
                <w:vertAlign w:val="superscript"/>
              </w:rPr>
              <w:t>3</w:t>
            </w: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年平均：60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567"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24小时平均：150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567"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1小时平均：500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vMerge w:val="restar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NO</w:t>
            </w:r>
            <w:r>
              <w:rPr>
                <w:color w:val="auto"/>
                <w:kern w:val="0"/>
                <w:sz w:val="21"/>
                <w:szCs w:val="21"/>
                <w:vertAlign w:val="subscript"/>
              </w:rPr>
              <w:t>2</w:t>
            </w:r>
          </w:p>
        </w:tc>
        <w:tc>
          <w:tcPr>
            <w:tcW w:w="567" w:type="pct"/>
            <w:vMerge w:val="restar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µg/m</w:t>
            </w:r>
            <w:r>
              <w:rPr>
                <w:color w:val="auto"/>
                <w:kern w:val="0"/>
                <w:sz w:val="21"/>
                <w:szCs w:val="21"/>
                <w:vertAlign w:val="superscript"/>
              </w:rPr>
              <w:t>3</w:t>
            </w: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年平均：40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567"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24小时平均：80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567"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1小时平均：200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vMerge w:val="restar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PM</w:t>
            </w:r>
            <w:r>
              <w:rPr>
                <w:color w:val="auto"/>
                <w:kern w:val="0"/>
                <w:sz w:val="21"/>
                <w:szCs w:val="21"/>
                <w:vertAlign w:val="subscript"/>
              </w:rPr>
              <w:t>2.5</w:t>
            </w:r>
          </w:p>
        </w:tc>
        <w:tc>
          <w:tcPr>
            <w:tcW w:w="567" w:type="pct"/>
            <w:vMerge w:val="restar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µg/m</w:t>
            </w:r>
            <w:r>
              <w:rPr>
                <w:color w:val="auto"/>
                <w:kern w:val="0"/>
                <w:sz w:val="21"/>
                <w:szCs w:val="21"/>
                <w:vertAlign w:val="superscript"/>
              </w:rPr>
              <w:t>3</w:t>
            </w: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年平均：35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567"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24小时平均：75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vMerge w:val="restart"/>
            <w:tcBorders>
              <w:tl2br w:val="nil"/>
              <w:tr2bl w:val="nil"/>
            </w:tcBorders>
            <w:vAlign w:val="center"/>
          </w:tcPr>
          <w:p>
            <w:pPr>
              <w:spacing w:line="240" w:lineRule="auto"/>
              <w:ind w:firstLine="0" w:firstLineChars="0"/>
              <w:jc w:val="center"/>
              <w:rPr>
                <w:color w:val="auto"/>
                <w:kern w:val="0"/>
                <w:sz w:val="21"/>
                <w:szCs w:val="21"/>
                <w:vertAlign w:val="subscript"/>
              </w:rPr>
            </w:pPr>
            <w:r>
              <w:rPr>
                <w:color w:val="auto"/>
                <w:kern w:val="0"/>
                <w:sz w:val="21"/>
                <w:szCs w:val="21"/>
              </w:rPr>
              <w:t>PM</w:t>
            </w:r>
            <w:r>
              <w:rPr>
                <w:color w:val="auto"/>
                <w:kern w:val="0"/>
                <w:sz w:val="21"/>
                <w:szCs w:val="21"/>
                <w:vertAlign w:val="subscript"/>
              </w:rPr>
              <w:t>10</w:t>
            </w:r>
          </w:p>
        </w:tc>
        <w:tc>
          <w:tcPr>
            <w:tcW w:w="567" w:type="pct"/>
            <w:vMerge w:val="restar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µg/m</w:t>
            </w:r>
            <w:r>
              <w:rPr>
                <w:color w:val="auto"/>
                <w:kern w:val="0"/>
                <w:sz w:val="21"/>
                <w:szCs w:val="21"/>
                <w:vertAlign w:val="superscript"/>
              </w:rPr>
              <w:t>3</w:t>
            </w: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年平均：70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567"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24小时平均：150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vMerge w:val="restar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TSP</w:t>
            </w:r>
          </w:p>
        </w:tc>
        <w:tc>
          <w:tcPr>
            <w:tcW w:w="567" w:type="pct"/>
            <w:vMerge w:val="restar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µg/m</w:t>
            </w:r>
            <w:r>
              <w:rPr>
                <w:color w:val="auto"/>
                <w:kern w:val="0"/>
                <w:sz w:val="21"/>
                <w:szCs w:val="21"/>
                <w:vertAlign w:val="superscript"/>
              </w:rPr>
              <w:t>3</w:t>
            </w: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年平均：200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567"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24小时平均：300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restar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《环境影响评价技术导则 大气环境》(HJ2.2-2018)中附录D参考限值</w:t>
            </w:r>
          </w:p>
        </w:tc>
        <w:tc>
          <w:tcPr>
            <w:tcW w:w="949"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H</w:t>
            </w:r>
            <w:r>
              <w:rPr>
                <w:color w:val="auto"/>
                <w:kern w:val="0"/>
                <w:sz w:val="21"/>
                <w:szCs w:val="21"/>
                <w:vertAlign w:val="subscript"/>
              </w:rPr>
              <w:t>2</w:t>
            </w:r>
            <w:r>
              <w:rPr>
                <w:color w:val="auto"/>
                <w:kern w:val="0"/>
                <w:sz w:val="21"/>
                <w:szCs w:val="21"/>
              </w:rPr>
              <w:t>S</w:t>
            </w:r>
          </w:p>
        </w:tc>
        <w:tc>
          <w:tcPr>
            <w:tcW w:w="567"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µg/m</w:t>
            </w:r>
            <w:r>
              <w:rPr>
                <w:color w:val="auto"/>
                <w:kern w:val="0"/>
                <w:sz w:val="21"/>
                <w:szCs w:val="21"/>
                <w:vertAlign w:val="superscript"/>
              </w:rPr>
              <w:t>3</w:t>
            </w: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一次值：10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NH</w:t>
            </w:r>
            <w:r>
              <w:rPr>
                <w:color w:val="auto"/>
                <w:kern w:val="0"/>
                <w:sz w:val="21"/>
                <w:szCs w:val="21"/>
                <w:vertAlign w:val="subscript"/>
              </w:rPr>
              <w:t>3</w:t>
            </w:r>
          </w:p>
        </w:tc>
        <w:tc>
          <w:tcPr>
            <w:tcW w:w="567"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µg/m</w:t>
            </w:r>
            <w:r>
              <w:rPr>
                <w:color w:val="auto"/>
                <w:kern w:val="0"/>
                <w:sz w:val="21"/>
                <w:szCs w:val="21"/>
                <w:vertAlign w:val="superscript"/>
              </w:rPr>
              <w:t>3</w:t>
            </w: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一次值：200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83" w:type="pct"/>
            <w:vMerge w:val="restar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声环境</w:t>
            </w:r>
          </w:p>
        </w:tc>
        <w:tc>
          <w:tcPr>
            <w:tcW w:w="1934" w:type="pct"/>
            <w:vMerge w:val="restar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《声环境质量标准》（GB3096-2008）2类标准</w:t>
            </w:r>
          </w:p>
        </w:tc>
        <w:tc>
          <w:tcPr>
            <w:tcW w:w="949" w:type="pct"/>
            <w:vMerge w:val="restart"/>
            <w:tcBorders>
              <w:tl2br w:val="nil"/>
              <w:tr2bl w:val="nil"/>
            </w:tcBorders>
            <w:vAlign w:val="center"/>
          </w:tcPr>
          <w:p>
            <w:pPr>
              <w:spacing w:line="240" w:lineRule="auto"/>
              <w:ind w:firstLine="0" w:firstLineChars="0"/>
              <w:jc w:val="center"/>
              <w:rPr>
                <w:color w:val="auto"/>
                <w:kern w:val="0"/>
                <w:sz w:val="21"/>
                <w:szCs w:val="21"/>
                <w:vertAlign w:val="subscript"/>
              </w:rPr>
            </w:pPr>
            <w:r>
              <w:rPr>
                <w:color w:val="auto"/>
                <w:kern w:val="0"/>
                <w:sz w:val="21"/>
                <w:szCs w:val="21"/>
              </w:rPr>
              <w:t>等效声级LA</w:t>
            </w:r>
            <w:r>
              <w:rPr>
                <w:color w:val="auto"/>
                <w:kern w:val="0"/>
                <w:sz w:val="21"/>
                <w:szCs w:val="21"/>
                <w:vertAlign w:val="subscript"/>
              </w:rPr>
              <w:t>eq</w:t>
            </w:r>
          </w:p>
        </w:tc>
        <w:tc>
          <w:tcPr>
            <w:tcW w:w="567" w:type="pct"/>
            <w:vMerge w:val="restar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dB（A）</w:t>
            </w:r>
          </w:p>
        </w:tc>
        <w:tc>
          <w:tcPr>
            <w:tcW w:w="429"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昼</w:t>
            </w:r>
          </w:p>
        </w:tc>
        <w:tc>
          <w:tcPr>
            <w:tcW w:w="535"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60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567"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429"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夜</w:t>
            </w:r>
          </w:p>
        </w:tc>
        <w:tc>
          <w:tcPr>
            <w:tcW w:w="535"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583" w:type="pct"/>
            <w:vMerge w:val="restar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地表水</w:t>
            </w:r>
          </w:p>
          <w:p>
            <w:pPr>
              <w:spacing w:line="240" w:lineRule="auto"/>
              <w:ind w:firstLine="0" w:firstLineChars="0"/>
              <w:jc w:val="center"/>
              <w:rPr>
                <w:color w:val="auto"/>
                <w:kern w:val="0"/>
                <w:sz w:val="21"/>
                <w:szCs w:val="21"/>
              </w:rPr>
            </w:pPr>
            <w:r>
              <w:rPr>
                <w:color w:val="auto"/>
                <w:kern w:val="0"/>
                <w:sz w:val="21"/>
                <w:szCs w:val="21"/>
              </w:rPr>
              <w:t>环境</w:t>
            </w:r>
          </w:p>
        </w:tc>
        <w:tc>
          <w:tcPr>
            <w:tcW w:w="3461" w:type="dxa"/>
            <w:vMerge w:val="restart"/>
            <w:tcBorders>
              <w:tl2br w:val="nil"/>
              <w:tr2bl w:val="nil"/>
            </w:tcBorders>
            <w:vAlign w:val="center"/>
          </w:tcPr>
          <w:p>
            <w:pPr>
              <w:spacing w:line="240" w:lineRule="auto"/>
              <w:ind w:firstLine="0" w:firstLineChars="0"/>
              <w:jc w:val="center"/>
              <w:rPr>
                <w:color w:val="auto"/>
                <w:kern w:val="0"/>
                <w:sz w:val="21"/>
                <w:szCs w:val="21"/>
              </w:rPr>
            </w:pPr>
            <w:r>
              <w:rPr>
                <w:color w:val="auto"/>
                <w:sz w:val="21"/>
                <w:szCs w:val="21"/>
              </w:rPr>
              <w:t>《地表水环境质量标准》（GB3838-2002）</w:t>
            </w:r>
            <w:r>
              <w:rPr>
                <w:bCs/>
                <w:color w:val="auto"/>
                <w:sz w:val="21"/>
                <w:szCs w:val="21"/>
              </w:rPr>
              <w:fldChar w:fldCharType="begin"/>
            </w:r>
            <w:r>
              <w:rPr>
                <w:bCs/>
                <w:color w:val="auto"/>
                <w:sz w:val="21"/>
                <w:szCs w:val="21"/>
              </w:rPr>
              <w:instrText xml:space="preserve"> = 5 \* ROMAN </w:instrText>
            </w:r>
            <w:r>
              <w:rPr>
                <w:bCs/>
                <w:color w:val="auto"/>
                <w:sz w:val="21"/>
                <w:szCs w:val="21"/>
              </w:rPr>
              <w:fldChar w:fldCharType="separate"/>
            </w:r>
            <w:r>
              <w:rPr>
                <w:bCs/>
                <w:color w:val="auto"/>
                <w:sz w:val="21"/>
                <w:szCs w:val="21"/>
              </w:rPr>
              <w:t>V</w:t>
            </w:r>
            <w:r>
              <w:rPr>
                <w:bCs/>
                <w:color w:val="auto"/>
                <w:sz w:val="21"/>
                <w:szCs w:val="21"/>
              </w:rPr>
              <w:fldChar w:fldCharType="end"/>
            </w:r>
            <w:r>
              <w:rPr>
                <w:color w:val="auto"/>
                <w:sz w:val="21"/>
                <w:szCs w:val="21"/>
              </w:rPr>
              <w:t>类</w:t>
            </w:r>
          </w:p>
        </w:tc>
        <w:tc>
          <w:tcPr>
            <w:tcW w:w="1698" w:type="dxa"/>
            <w:tcBorders>
              <w:tl2br w:val="nil"/>
              <w:tr2bl w:val="nil"/>
            </w:tcBorders>
            <w:vAlign w:val="center"/>
          </w:tcPr>
          <w:p>
            <w:pPr>
              <w:spacing w:line="240" w:lineRule="auto"/>
              <w:ind w:firstLine="0" w:firstLineChars="0"/>
              <w:jc w:val="center"/>
              <w:rPr>
                <w:color w:val="auto"/>
                <w:kern w:val="0"/>
                <w:sz w:val="21"/>
                <w:szCs w:val="21"/>
              </w:rPr>
            </w:pPr>
            <w:r>
              <w:rPr>
                <w:color w:val="auto"/>
                <w:sz w:val="21"/>
                <w:szCs w:val="21"/>
              </w:rPr>
              <w:t>pH</w:t>
            </w:r>
          </w:p>
        </w:tc>
        <w:tc>
          <w:tcPr>
            <w:tcW w:w="1015" w:type="dxa"/>
            <w:tcBorders>
              <w:tl2br w:val="nil"/>
              <w:tr2bl w:val="nil"/>
            </w:tcBorders>
            <w:vAlign w:val="center"/>
          </w:tcPr>
          <w:p>
            <w:pPr>
              <w:spacing w:line="240" w:lineRule="auto"/>
              <w:ind w:firstLine="0" w:firstLineChars="0"/>
              <w:rPr>
                <w:color w:val="auto"/>
                <w:kern w:val="0"/>
                <w:sz w:val="21"/>
                <w:szCs w:val="21"/>
              </w:rPr>
            </w:pPr>
            <w:r>
              <w:rPr>
                <w:color w:val="auto"/>
                <w:sz w:val="21"/>
                <w:szCs w:val="21"/>
              </w:rPr>
              <w:t>无量纲</w:t>
            </w:r>
          </w:p>
        </w:tc>
        <w:tc>
          <w:tcPr>
            <w:tcW w:w="1727" w:type="dxa"/>
            <w:gridSpan w:val="2"/>
            <w:tcBorders>
              <w:tl2br w:val="nil"/>
              <w:tr2bl w:val="nil"/>
            </w:tcBorders>
            <w:vAlign w:val="center"/>
          </w:tcPr>
          <w:p>
            <w:pPr>
              <w:spacing w:line="240" w:lineRule="auto"/>
              <w:ind w:firstLine="0" w:firstLineChars="0"/>
              <w:jc w:val="center"/>
              <w:rPr>
                <w:color w:val="auto"/>
                <w:kern w:val="0"/>
                <w:sz w:val="21"/>
                <w:szCs w:val="21"/>
              </w:rPr>
            </w:pPr>
            <w:r>
              <w:rPr>
                <w:color w:val="auto"/>
                <w:sz w:val="21"/>
                <w:szCs w:val="21"/>
              </w:rPr>
              <w:t>6-9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3461" w:type="dxa"/>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698" w:type="dxa"/>
            <w:tcBorders>
              <w:tl2br w:val="nil"/>
              <w:tr2bl w:val="nil"/>
            </w:tcBorders>
            <w:vAlign w:val="center"/>
          </w:tcPr>
          <w:p>
            <w:pPr>
              <w:spacing w:line="240" w:lineRule="auto"/>
              <w:ind w:firstLine="0" w:firstLineChars="0"/>
              <w:jc w:val="center"/>
              <w:rPr>
                <w:color w:val="auto"/>
                <w:kern w:val="0"/>
                <w:sz w:val="21"/>
                <w:szCs w:val="21"/>
                <w:vertAlign w:val="subscript"/>
              </w:rPr>
            </w:pPr>
            <w:r>
              <w:rPr>
                <w:color w:val="auto"/>
                <w:sz w:val="21"/>
                <w:szCs w:val="21"/>
              </w:rPr>
              <w:t>COD</w:t>
            </w:r>
          </w:p>
        </w:tc>
        <w:tc>
          <w:tcPr>
            <w:tcW w:w="1015" w:type="dxa"/>
            <w:tcBorders>
              <w:tl2br w:val="nil"/>
              <w:tr2bl w:val="nil"/>
            </w:tcBorders>
            <w:vAlign w:val="center"/>
          </w:tcPr>
          <w:p>
            <w:pPr>
              <w:spacing w:line="240" w:lineRule="auto"/>
              <w:ind w:firstLine="0" w:firstLineChars="0"/>
              <w:jc w:val="center"/>
              <w:rPr>
                <w:color w:val="auto"/>
                <w:kern w:val="0"/>
                <w:sz w:val="21"/>
                <w:szCs w:val="21"/>
              </w:rPr>
            </w:pPr>
            <w:r>
              <w:rPr>
                <w:color w:val="auto"/>
                <w:sz w:val="21"/>
                <w:szCs w:val="21"/>
              </w:rPr>
              <w:t>mg/L</w:t>
            </w:r>
          </w:p>
        </w:tc>
        <w:tc>
          <w:tcPr>
            <w:tcW w:w="1727" w:type="dxa"/>
            <w:gridSpan w:val="2"/>
            <w:tcBorders>
              <w:tl2br w:val="nil"/>
              <w:tr2bl w:val="nil"/>
            </w:tcBorders>
            <w:vAlign w:val="center"/>
          </w:tcPr>
          <w:p>
            <w:pPr>
              <w:spacing w:line="240" w:lineRule="auto"/>
              <w:ind w:firstLine="0" w:firstLineChars="0"/>
              <w:jc w:val="center"/>
              <w:rPr>
                <w:color w:val="auto"/>
                <w:kern w:val="0"/>
                <w:sz w:val="21"/>
                <w:szCs w:val="21"/>
              </w:rPr>
            </w:pPr>
            <w:r>
              <w:rPr>
                <w:color w:val="auto"/>
                <w:sz w:val="21"/>
                <w:szCs w:val="21"/>
              </w:rPr>
              <w:t>40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3461" w:type="dxa"/>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698" w:type="dxa"/>
            <w:tcBorders>
              <w:tl2br w:val="nil"/>
              <w:tr2bl w:val="nil"/>
            </w:tcBorders>
            <w:vAlign w:val="center"/>
          </w:tcPr>
          <w:p>
            <w:pPr>
              <w:spacing w:line="240" w:lineRule="auto"/>
              <w:ind w:firstLine="0" w:firstLineChars="0"/>
              <w:jc w:val="center"/>
              <w:rPr>
                <w:color w:val="auto"/>
                <w:kern w:val="0"/>
                <w:sz w:val="21"/>
                <w:szCs w:val="21"/>
              </w:rPr>
            </w:pPr>
            <w:r>
              <w:rPr>
                <w:color w:val="auto"/>
                <w:sz w:val="21"/>
                <w:szCs w:val="21"/>
              </w:rPr>
              <w:t>BOD</w:t>
            </w:r>
            <w:r>
              <w:rPr>
                <w:color w:val="auto"/>
                <w:sz w:val="21"/>
                <w:szCs w:val="21"/>
                <w:vertAlign w:val="subscript"/>
              </w:rPr>
              <w:t>5</w:t>
            </w:r>
          </w:p>
        </w:tc>
        <w:tc>
          <w:tcPr>
            <w:tcW w:w="1015" w:type="dxa"/>
            <w:tcBorders>
              <w:tl2br w:val="nil"/>
              <w:tr2bl w:val="nil"/>
            </w:tcBorders>
            <w:vAlign w:val="center"/>
          </w:tcPr>
          <w:p>
            <w:pPr>
              <w:spacing w:line="240" w:lineRule="auto"/>
              <w:ind w:firstLine="0" w:firstLineChars="0"/>
              <w:jc w:val="center"/>
              <w:rPr>
                <w:color w:val="auto"/>
                <w:kern w:val="0"/>
                <w:sz w:val="21"/>
                <w:szCs w:val="21"/>
              </w:rPr>
            </w:pPr>
            <w:r>
              <w:rPr>
                <w:color w:val="auto"/>
                <w:sz w:val="21"/>
                <w:szCs w:val="21"/>
              </w:rPr>
              <w:t>mg/L</w:t>
            </w:r>
          </w:p>
        </w:tc>
        <w:tc>
          <w:tcPr>
            <w:tcW w:w="1727" w:type="dxa"/>
            <w:gridSpan w:val="2"/>
            <w:tcBorders>
              <w:tl2br w:val="nil"/>
              <w:tr2bl w:val="nil"/>
            </w:tcBorders>
            <w:vAlign w:val="center"/>
          </w:tcPr>
          <w:p>
            <w:pPr>
              <w:spacing w:line="240" w:lineRule="auto"/>
              <w:ind w:firstLine="0" w:firstLineChars="0"/>
              <w:jc w:val="center"/>
              <w:rPr>
                <w:color w:val="auto"/>
                <w:kern w:val="0"/>
                <w:sz w:val="21"/>
                <w:szCs w:val="21"/>
              </w:rPr>
            </w:pPr>
            <w:r>
              <w:rPr>
                <w:color w:val="auto"/>
                <w:sz w:val="21"/>
                <w:szCs w:val="21"/>
              </w:rPr>
              <w:t>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3461" w:type="dxa"/>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698" w:type="dxa"/>
            <w:tcBorders>
              <w:tl2br w:val="nil"/>
              <w:tr2bl w:val="nil"/>
            </w:tcBorders>
            <w:vAlign w:val="center"/>
          </w:tcPr>
          <w:p>
            <w:pPr>
              <w:spacing w:line="240" w:lineRule="auto"/>
              <w:ind w:firstLine="0" w:firstLineChars="0"/>
              <w:jc w:val="center"/>
              <w:rPr>
                <w:color w:val="auto"/>
                <w:kern w:val="0"/>
                <w:sz w:val="21"/>
                <w:szCs w:val="21"/>
              </w:rPr>
            </w:pPr>
            <w:r>
              <w:rPr>
                <w:color w:val="auto"/>
                <w:sz w:val="21"/>
                <w:szCs w:val="21"/>
              </w:rPr>
              <w:t>NH</w:t>
            </w:r>
            <w:r>
              <w:rPr>
                <w:color w:val="auto"/>
                <w:sz w:val="21"/>
                <w:szCs w:val="21"/>
                <w:vertAlign w:val="subscript"/>
              </w:rPr>
              <w:t>3</w:t>
            </w:r>
            <w:r>
              <w:rPr>
                <w:color w:val="auto"/>
                <w:sz w:val="21"/>
                <w:szCs w:val="21"/>
              </w:rPr>
              <w:t>-N</w:t>
            </w:r>
          </w:p>
        </w:tc>
        <w:tc>
          <w:tcPr>
            <w:tcW w:w="1015" w:type="dxa"/>
            <w:tcBorders>
              <w:tl2br w:val="nil"/>
              <w:tr2bl w:val="nil"/>
            </w:tcBorders>
            <w:vAlign w:val="center"/>
          </w:tcPr>
          <w:p>
            <w:pPr>
              <w:spacing w:line="240" w:lineRule="auto"/>
              <w:ind w:firstLine="0" w:firstLineChars="0"/>
              <w:jc w:val="center"/>
              <w:rPr>
                <w:color w:val="auto"/>
                <w:kern w:val="0"/>
                <w:sz w:val="21"/>
                <w:szCs w:val="21"/>
              </w:rPr>
            </w:pPr>
            <w:r>
              <w:rPr>
                <w:color w:val="auto"/>
                <w:sz w:val="21"/>
                <w:szCs w:val="21"/>
              </w:rPr>
              <w:t>mg/L</w:t>
            </w:r>
          </w:p>
        </w:tc>
        <w:tc>
          <w:tcPr>
            <w:tcW w:w="1727" w:type="dxa"/>
            <w:gridSpan w:val="2"/>
            <w:tcBorders>
              <w:tl2br w:val="nil"/>
              <w:tr2bl w:val="nil"/>
            </w:tcBorders>
            <w:vAlign w:val="center"/>
          </w:tcPr>
          <w:p>
            <w:pPr>
              <w:spacing w:line="240" w:lineRule="auto"/>
              <w:ind w:firstLine="0" w:firstLineChars="0"/>
              <w:jc w:val="center"/>
              <w:rPr>
                <w:color w:val="auto"/>
                <w:kern w:val="0"/>
                <w:sz w:val="21"/>
                <w:szCs w:val="21"/>
              </w:rPr>
            </w:pPr>
            <w:r>
              <w:rPr>
                <w:color w:val="auto"/>
                <w:sz w:val="21"/>
                <w:szCs w:val="21"/>
              </w:rPr>
              <w:t>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 w:hRule="atLeast"/>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3461" w:type="dxa"/>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698" w:type="dxa"/>
            <w:tcBorders>
              <w:tl2br w:val="nil"/>
              <w:tr2bl w:val="nil"/>
            </w:tcBorders>
            <w:vAlign w:val="center"/>
          </w:tcPr>
          <w:p>
            <w:pPr>
              <w:spacing w:line="240" w:lineRule="auto"/>
              <w:ind w:firstLine="0" w:firstLineChars="0"/>
              <w:jc w:val="center"/>
              <w:rPr>
                <w:color w:val="auto"/>
                <w:kern w:val="0"/>
                <w:sz w:val="21"/>
                <w:szCs w:val="21"/>
              </w:rPr>
            </w:pPr>
            <w:r>
              <w:rPr>
                <w:color w:val="auto"/>
                <w:sz w:val="21"/>
                <w:szCs w:val="21"/>
              </w:rPr>
              <w:t>总磷</w:t>
            </w:r>
          </w:p>
        </w:tc>
        <w:tc>
          <w:tcPr>
            <w:tcW w:w="1015" w:type="dxa"/>
            <w:tcBorders>
              <w:tl2br w:val="nil"/>
              <w:tr2bl w:val="nil"/>
            </w:tcBorders>
            <w:vAlign w:val="center"/>
          </w:tcPr>
          <w:p>
            <w:pPr>
              <w:spacing w:line="240" w:lineRule="auto"/>
              <w:ind w:firstLine="0" w:firstLineChars="0"/>
              <w:jc w:val="center"/>
              <w:rPr>
                <w:color w:val="auto"/>
                <w:kern w:val="0"/>
                <w:sz w:val="21"/>
                <w:szCs w:val="21"/>
              </w:rPr>
            </w:pPr>
            <w:r>
              <w:rPr>
                <w:color w:val="auto"/>
                <w:sz w:val="21"/>
                <w:szCs w:val="21"/>
              </w:rPr>
              <w:t>mg/L</w:t>
            </w:r>
          </w:p>
        </w:tc>
        <w:tc>
          <w:tcPr>
            <w:tcW w:w="1727" w:type="dxa"/>
            <w:gridSpan w:val="2"/>
            <w:tcBorders>
              <w:tl2br w:val="nil"/>
              <w:tr2bl w:val="nil"/>
            </w:tcBorders>
            <w:vAlign w:val="center"/>
          </w:tcPr>
          <w:p>
            <w:pPr>
              <w:spacing w:line="240" w:lineRule="auto"/>
              <w:ind w:firstLine="0" w:firstLineChars="0"/>
              <w:jc w:val="center"/>
              <w:rPr>
                <w:color w:val="auto"/>
                <w:kern w:val="0"/>
                <w:sz w:val="21"/>
                <w:szCs w:val="21"/>
              </w:rPr>
            </w:pPr>
            <w:r>
              <w:rPr>
                <w:color w:val="auto"/>
                <w:sz w:val="21"/>
                <w:szCs w:val="21"/>
              </w:rPr>
              <w:t>0.4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5" w:hRule="atLeast"/>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3461" w:type="dxa"/>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698" w:type="dxa"/>
            <w:tcBorders>
              <w:tl2br w:val="nil"/>
              <w:tr2bl w:val="nil"/>
            </w:tcBorders>
            <w:vAlign w:val="center"/>
          </w:tcPr>
          <w:p>
            <w:pPr>
              <w:spacing w:line="240" w:lineRule="auto"/>
              <w:ind w:firstLine="0" w:firstLineChars="0"/>
              <w:jc w:val="center"/>
              <w:rPr>
                <w:color w:val="auto"/>
                <w:kern w:val="0"/>
                <w:sz w:val="21"/>
                <w:szCs w:val="21"/>
              </w:rPr>
            </w:pPr>
            <w:r>
              <w:rPr>
                <w:color w:val="auto"/>
                <w:sz w:val="21"/>
                <w:szCs w:val="21"/>
              </w:rPr>
              <w:t>总氮</w:t>
            </w:r>
          </w:p>
        </w:tc>
        <w:tc>
          <w:tcPr>
            <w:tcW w:w="1015" w:type="dxa"/>
            <w:tcBorders>
              <w:tl2br w:val="nil"/>
              <w:tr2bl w:val="nil"/>
            </w:tcBorders>
            <w:vAlign w:val="center"/>
          </w:tcPr>
          <w:p>
            <w:pPr>
              <w:spacing w:line="240" w:lineRule="auto"/>
              <w:ind w:firstLine="0" w:firstLineChars="0"/>
              <w:jc w:val="center"/>
              <w:rPr>
                <w:color w:val="auto"/>
                <w:kern w:val="0"/>
                <w:sz w:val="21"/>
                <w:szCs w:val="21"/>
              </w:rPr>
            </w:pPr>
            <w:r>
              <w:rPr>
                <w:color w:val="auto"/>
                <w:sz w:val="21"/>
                <w:szCs w:val="21"/>
              </w:rPr>
              <w:t>mg/L</w:t>
            </w:r>
          </w:p>
        </w:tc>
        <w:tc>
          <w:tcPr>
            <w:tcW w:w="1727" w:type="dxa"/>
            <w:gridSpan w:val="2"/>
            <w:tcBorders>
              <w:tl2br w:val="nil"/>
              <w:tr2bl w:val="nil"/>
            </w:tcBorders>
            <w:vAlign w:val="center"/>
          </w:tcPr>
          <w:p>
            <w:pPr>
              <w:spacing w:line="240" w:lineRule="auto"/>
              <w:ind w:firstLine="0" w:firstLineChars="0"/>
              <w:jc w:val="center"/>
              <w:rPr>
                <w:color w:val="auto"/>
                <w:kern w:val="0"/>
                <w:sz w:val="21"/>
                <w:szCs w:val="21"/>
              </w:rPr>
            </w:pPr>
            <w:r>
              <w:rPr>
                <w:color w:val="auto"/>
                <w:sz w:val="21"/>
                <w:szCs w:val="21"/>
              </w:rPr>
              <w:t>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6" w:hRule="atLeast"/>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3461" w:type="dxa"/>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698" w:type="dxa"/>
            <w:tcBorders>
              <w:tl2br w:val="nil"/>
              <w:tr2bl w:val="nil"/>
            </w:tcBorders>
            <w:vAlign w:val="center"/>
          </w:tcPr>
          <w:p>
            <w:pPr>
              <w:spacing w:line="240" w:lineRule="auto"/>
              <w:ind w:firstLine="0" w:firstLineChars="0"/>
              <w:jc w:val="center"/>
              <w:rPr>
                <w:color w:val="auto"/>
                <w:kern w:val="0"/>
                <w:sz w:val="21"/>
                <w:szCs w:val="21"/>
              </w:rPr>
            </w:pPr>
            <w:r>
              <w:rPr>
                <w:color w:val="auto"/>
                <w:sz w:val="21"/>
                <w:szCs w:val="21"/>
              </w:rPr>
              <w:t>粪大肠菌群</w:t>
            </w:r>
          </w:p>
        </w:tc>
        <w:tc>
          <w:tcPr>
            <w:tcW w:w="1015" w:type="dxa"/>
            <w:tcBorders>
              <w:tl2br w:val="nil"/>
              <w:tr2bl w:val="nil"/>
            </w:tcBorders>
            <w:vAlign w:val="center"/>
          </w:tcPr>
          <w:p>
            <w:pPr>
              <w:spacing w:line="240" w:lineRule="auto"/>
              <w:ind w:firstLine="0" w:firstLineChars="0"/>
              <w:jc w:val="center"/>
              <w:rPr>
                <w:color w:val="auto"/>
                <w:kern w:val="0"/>
                <w:sz w:val="21"/>
                <w:szCs w:val="21"/>
              </w:rPr>
            </w:pPr>
            <w:r>
              <w:rPr>
                <w:color w:val="auto"/>
                <w:sz w:val="21"/>
                <w:szCs w:val="21"/>
              </w:rPr>
              <w:t>个/L</w:t>
            </w:r>
          </w:p>
        </w:tc>
        <w:tc>
          <w:tcPr>
            <w:tcW w:w="1727" w:type="dxa"/>
            <w:gridSpan w:val="2"/>
            <w:tcBorders>
              <w:tl2br w:val="nil"/>
              <w:tr2bl w:val="nil"/>
            </w:tcBorders>
            <w:vAlign w:val="center"/>
          </w:tcPr>
          <w:p>
            <w:pPr>
              <w:spacing w:line="240" w:lineRule="auto"/>
              <w:ind w:firstLine="0" w:firstLineChars="0"/>
              <w:jc w:val="center"/>
              <w:rPr>
                <w:color w:val="auto"/>
                <w:kern w:val="0"/>
                <w:sz w:val="21"/>
                <w:szCs w:val="21"/>
              </w:rPr>
            </w:pPr>
            <w:r>
              <w:rPr>
                <w:color w:val="auto"/>
                <w:sz w:val="21"/>
                <w:szCs w:val="21"/>
              </w:rPr>
              <w:t>40000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3" w:type="pct"/>
            <w:vMerge w:val="restar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地下水</w:t>
            </w:r>
          </w:p>
          <w:p>
            <w:pPr>
              <w:spacing w:line="240" w:lineRule="auto"/>
              <w:ind w:firstLine="0" w:firstLineChars="0"/>
              <w:jc w:val="center"/>
              <w:rPr>
                <w:color w:val="auto"/>
                <w:kern w:val="0"/>
                <w:sz w:val="21"/>
                <w:szCs w:val="21"/>
              </w:rPr>
            </w:pPr>
            <w:r>
              <w:rPr>
                <w:color w:val="auto"/>
                <w:kern w:val="0"/>
                <w:sz w:val="21"/>
                <w:szCs w:val="21"/>
              </w:rPr>
              <w:t>环境</w:t>
            </w:r>
          </w:p>
        </w:tc>
        <w:tc>
          <w:tcPr>
            <w:tcW w:w="1934" w:type="pct"/>
            <w:vMerge w:val="restar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《地下水质量标准》（GB/T14848-2017）Ⅲ类</w:t>
            </w:r>
          </w:p>
        </w:tc>
        <w:tc>
          <w:tcPr>
            <w:tcW w:w="949"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pH</w:t>
            </w:r>
          </w:p>
        </w:tc>
        <w:tc>
          <w:tcPr>
            <w:tcW w:w="567"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w:t>
            </w: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6.5-8.5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氨氮</w:t>
            </w:r>
          </w:p>
        </w:tc>
        <w:tc>
          <w:tcPr>
            <w:tcW w:w="567"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mg/L</w:t>
            </w: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≤0.5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总硬度</w:t>
            </w:r>
          </w:p>
        </w:tc>
        <w:tc>
          <w:tcPr>
            <w:tcW w:w="567"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mg/L</w:t>
            </w: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≤450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氰化物</w:t>
            </w:r>
          </w:p>
        </w:tc>
        <w:tc>
          <w:tcPr>
            <w:tcW w:w="567"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mg/L</w:t>
            </w: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≤0.05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溶解性总固体</w:t>
            </w:r>
          </w:p>
        </w:tc>
        <w:tc>
          <w:tcPr>
            <w:tcW w:w="567"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mg/L</w:t>
            </w: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≤1000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硝酸盐</w:t>
            </w:r>
          </w:p>
        </w:tc>
        <w:tc>
          <w:tcPr>
            <w:tcW w:w="567"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mg/L</w:t>
            </w: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3" w:hRule="atLeast"/>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tcBorders>
              <w:tl2br w:val="nil"/>
              <w:tr2bl w:val="nil"/>
            </w:tcBorders>
            <w:vAlign w:val="center"/>
          </w:tcPr>
          <w:p>
            <w:pPr>
              <w:spacing w:line="240" w:lineRule="auto"/>
              <w:ind w:firstLine="0" w:firstLineChars="0"/>
              <w:jc w:val="center"/>
              <w:rPr>
                <w:color w:val="auto"/>
                <w:kern w:val="0"/>
                <w:sz w:val="21"/>
                <w:szCs w:val="21"/>
              </w:rPr>
            </w:pPr>
            <w:r>
              <w:rPr>
                <w:rFonts w:hint="eastAsia"/>
                <w:color w:val="auto"/>
                <w:kern w:val="0"/>
                <w:sz w:val="21"/>
                <w:szCs w:val="21"/>
              </w:rPr>
              <w:t>耗氧量</w:t>
            </w:r>
          </w:p>
        </w:tc>
        <w:tc>
          <w:tcPr>
            <w:tcW w:w="567"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mg/L</w:t>
            </w: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w:t>
            </w:r>
            <w:r>
              <w:rPr>
                <w:rFonts w:hint="eastAsia"/>
                <w:color w:val="auto"/>
                <w:kern w:val="0"/>
                <w:sz w:val="21"/>
                <w:szCs w:val="21"/>
              </w:rPr>
              <w:t>3.0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亚硝酸盐</w:t>
            </w:r>
          </w:p>
        </w:tc>
        <w:tc>
          <w:tcPr>
            <w:tcW w:w="567"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mg/L</w:t>
            </w: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≤0.02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总大肠菌群</w:t>
            </w:r>
          </w:p>
        </w:tc>
        <w:tc>
          <w:tcPr>
            <w:tcW w:w="567"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个/L</w:t>
            </w: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≤3.0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细菌总数</w:t>
            </w:r>
          </w:p>
        </w:tc>
        <w:tc>
          <w:tcPr>
            <w:tcW w:w="567"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个/L</w:t>
            </w: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≤100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硫酸盐</w:t>
            </w:r>
          </w:p>
        </w:tc>
        <w:tc>
          <w:tcPr>
            <w:tcW w:w="567"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mg/L</w:t>
            </w: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≤250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氯化物</w:t>
            </w:r>
          </w:p>
        </w:tc>
        <w:tc>
          <w:tcPr>
            <w:tcW w:w="567"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mg/L</w:t>
            </w: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≤250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tcBorders>
              <w:tl2br w:val="nil"/>
              <w:tr2bl w:val="nil"/>
            </w:tcBorders>
            <w:vAlign w:val="center"/>
          </w:tcPr>
          <w:p>
            <w:pPr>
              <w:spacing w:line="240" w:lineRule="auto"/>
              <w:ind w:firstLine="0" w:firstLineChars="0"/>
              <w:jc w:val="center"/>
              <w:rPr>
                <w:color w:val="auto"/>
                <w:spacing w:val="-6"/>
                <w:kern w:val="0"/>
                <w:sz w:val="21"/>
                <w:szCs w:val="21"/>
              </w:rPr>
            </w:pPr>
            <w:r>
              <w:rPr>
                <w:color w:val="auto"/>
                <w:spacing w:val="-6"/>
                <w:kern w:val="0"/>
                <w:sz w:val="21"/>
                <w:szCs w:val="21"/>
              </w:rPr>
              <w:t>挥发性酚类</w:t>
            </w:r>
          </w:p>
        </w:tc>
        <w:tc>
          <w:tcPr>
            <w:tcW w:w="567" w:type="pct"/>
            <w:tcBorders>
              <w:tl2br w:val="nil"/>
              <w:tr2bl w:val="nil"/>
            </w:tcBorders>
            <w:vAlign w:val="center"/>
          </w:tcPr>
          <w:p>
            <w:pPr>
              <w:spacing w:line="240" w:lineRule="auto"/>
              <w:ind w:firstLine="0" w:firstLineChars="0"/>
              <w:jc w:val="center"/>
              <w:rPr>
                <w:color w:val="auto"/>
                <w:spacing w:val="-6"/>
                <w:kern w:val="0"/>
                <w:sz w:val="21"/>
                <w:szCs w:val="21"/>
              </w:rPr>
            </w:pPr>
            <w:r>
              <w:rPr>
                <w:color w:val="auto"/>
                <w:spacing w:val="-6"/>
                <w:kern w:val="0"/>
                <w:sz w:val="21"/>
                <w:szCs w:val="21"/>
              </w:rPr>
              <w:t>mg/L</w:t>
            </w:r>
          </w:p>
        </w:tc>
        <w:tc>
          <w:tcPr>
            <w:tcW w:w="964" w:type="pct"/>
            <w:gridSpan w:val="2"/>
            <w:tcBorders>
              <w:tl2br w:val="nil"/>
              <w:tr2bl w:val="nil"/>
            </w:tcBorders>
            <w:vAlign w:val="center"/>
          </w:tcPr>
          <w:p>
            <w:pPr>
              <w:spacing w:line="240" w:lineRule="auto"/>
              <w:ind w:firstLine="0" w:firstLineChars="0"/>
              <w:jc w:val="center"/>
              <w:rPr>
                <w:color w:val="auto"/>
                <w:spacing w:val="-6"/>
                <w:kern w:val="0"/>
                <w:sz w:val="21"/>
                <w:szCs w:val="21"/>
              </w:rPr>
            </w:pPr>
            <w:r>
              <w:rPr>
                <w:color w:val="auto"/>
                <w:spacing w:val="-6"/>
                <w:kern w:val="0"/>
                <w:sz w:val="21"/>
                <w:szCs w:val="21"/>
              </w:rPr>
              <w:t>≤0.002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tcBorders>
              <w:tl2br w:val="nil"/>
              <w:tr2bl w:val="nil"/>
            </w:tcBorders>
            <w:vAlign w:val="center"/>
          </w:tcPr>
          <w:p>
            <w:pPr>
              <w:spacing w:line="240" w:lineRule="auto"/>
              <w:ind w:firstLine="0" w:firstLineChars="0"/>
              <w:jc w:val="center"/>
              <w:rPr>
                <w:color w:val="auto"/>
                <w:spacing w:val="-6"/>
                <w:kern w:val="0"/>
                <w:sz w:val="21"/>
                <w:szCs w:val="21"/>
              </w:rPr>
            </w:pPr>
            <w:r>
              <w:rPr>
                <w:color w:val="auto"/>
                <w:spacing w:val="-6"/>
                <w:kern w:val="0"/>
                <w:sz w:val="21"/>
                <w:szCs w:val="21"/>
              </w:rPr>
              <w:t>砷</w:t>
            </w:r>
          </w:p>
        </w:tc>
        <w:tc>
          <w:tcPr>
            <w:tcW w:w="567" w:type="pct"/>
            <w:tcBorders>
              <w:tl2br w:val="nil"/>
              <w:tr2bl w:val="nil"/>
            </w:tcBorders>
            <w:vAlign w:val="center"/>
          </w:tcPr>
          <w:p>
            <w:pPr>
              <w:spacing w:line="240" w:lineRule="auto"/>
              <w:ind w:firstLine="0" w:firstLineChars="0"/>
              <w:jc w:val="center"/>
              <w:rPr>
                <w:color w:val="auto"/>
                <w:spacing w:val="-6"/>
                <w:kern w:val="0"/>
                <w:sz w:val="21"/>
                <w:szCs w:val="21"/>
              </w:rPr>
            </w:pPr>
            <w:r>
              <w:rPr>
                <w:color w:val="auto"/>
                <w:spacing w:val="-6"/>
                <w:kern w:val="0"/>
                <w:sz w:val="21"/>
                <w:szCs w:val="21"/>
              </w:rPr>
              <w:t>mg/L</w:t>
            </w:r>
          </w:p>
        </w:tc>
        <w:tc>
          <w:tcPr>
            <w:tcW w:w="964" w:type="pct"/>
            <w:gridSpan w:val="2"/>
            <w:tcBorders>
              <w:tl2br w:val="nil"/>
              <w:tr2bl w:val="nil"/>
            </w:tcBorders>
            <w:vAlign w:val="center"/>
          </w:tcPr>
          <w:p>
            <w:pPr>
              <w:spacing w:line="240" w:lineRule="auto"/>
              <w:ind w:firstLine="0" w:firstLineChars="0"/>
              <w:jc w:val="center"/>
              <w:rPr>
                <w:color w:val="auto"/>
                <w:spacing w:val="-6"/>
                <w:kern w:val="0"/>
                <w:sz w:val="21"/>
                <w:szCs w:val="21"/>
              </w:rPr>
            </w:pPr>
            <w:r>
              <w:rPr>
                <w:color w:val="auto"/>
                <w:spacing w:val="-6"/>
                <w:kern w:val="0"/>
                <w:sz w:val="21"/>
                <w:szCs w:val="21"/>
              </w:rPr>
              <w:t>≤0.01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tcBorders>
              <w:tl2br w:val="nil"/>
              <w:tr2bl w:val="nil"/>
            </w:tcBorders>
            <w:vAlign w:val="center"/>
          </w:tcPr>
          <w:p>
            <w:pPr>
              <w:spacing w:line="240" w:lineRule="auto"/>
              <w:ind w:firstLine="0" w:firstLineChars="0"/>
              <w:jc w:val="center"/>
              <w:rPr>
                <w:color w:val="auto"/>
                <w:spacing w:val="-6"/>
                <w:kern w:val="0"/>
                <w:sz w:val="21"/>
                <w:szCs w:val="21"/>
              </w:rPr>
            </w:pPr>
            <w:r>
              <w:rPr>
                <w:color w:val="auto"/>
                <w:spacing w:val="-6"/>
                <w:kern w:val="0"/>
                <w:sz w:val="21"/>
                <w:szCs w:val="21"/>
              </w:rPr>
              <w:t>汞</w:t>
            </w:r>
          </w:p>
        </w:tc>
        <w:tc>
          <w:tcPr>
            <w:tcW w:w="567" w:type="pct"/>
            <w:tcBorders>
              <w:tl2br w:val="nil"/>
              <w:tr2bl w:val="nil"/>
            </w:tcBorders>
            <w:vAlign w:val="center"/>
          </w:tcPr>
          <w:p>
            <w:pPr>
              <w:spacing w:line="240" w:lineRule="auto"/>
              <w:ind w:firstLine="0" w:firstLineChars="0"/>
              <w:jc w:val="center"/>
              <w:rPr>
                <w:color w:val="auto"/>
                <w:spacing w:val="-6"/>
                <w:kern w:val="0"/>
                <w:sz w:val="21"/>
                <w:szCs w:val="21"/>
              </w:rPr>
            </w:pPr>
            <w:r>
              <w:rPr>
                <w:color w:val="auto"/>
                <w:spacing w:val="-6"/>
                <w:kern w:val="0"/>
                <w:sz w:val="21"/>
                <w:szCs w:val="21"/>
              </w:rPr>
              <w:t>mg/L</w:t>
            </w:r>
          </w:p>
        </w:tc>
        <w:tc>
          <w:tcPr>
            <w:tcW w:w="964" w:type="pct"/>
            <w:gridSpan w:val="2"/>
            <w:tcBorders>
              <w:tl2br w:val="nil"/>
              <w:tr2bl w:val="nil"/>
            </w:tcBorders>
            <w:vAlign w:val="center"/>
          </w:tcPr>
          <w:p>
            <w:pPr>
              <w:spacing w:line="240" w:lineRule="auto"/>
              <w:ind w:firstLine="0" w:firstLineChars="0"/>
              <w:jc w:val="center"/>
              <w:rPr>
                <w:color w:val="auto"/>
                <w:spacing w:val="-6"/>
                <w:kern w:val="0"/>
                <w:sz w:val="21"/>
                <w:szCs w:val="21"/>
              </w:rPr>
            </w:pPr>
            <w:r>
              <w:rPr>
                <w:color w:val="auto"/>
                <w:spacing w:val="-6"/>
                <w:kern w:val="0"/>
                <w:sz w:val="21"/>
                <w:szCs w:val="21"/>
              </w:rPr>
              <w:t>≤0.001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tcBorders>
              <w:tl2br w:val="nil"/>
              <w:tr2bl w:val="nil"/>
            </w:tcBorders>
            <w:vAlign w:val="center"/>
          </w:tcPr>
          <w:p>
            <w:pPr>
              <w:spacing w:line="240" w:lineRule="auto"/>
              <w:ind w:firstLine="0" w:firstLineChars="0"/>
              <w:jc w:val="center"/>
              <w:rPr>
                <w:color w:val="auto"/>
                <w:spacing w:val="-6"/>
                <w:kern w:val="0"/>
                <w:sz w:val="21"/>
                <w:szCs w:val="21"/>
              </w:rPr>
            </w:pPr>
            <w:r>
              <w:rPr>
                <w:color w:val="auto"/>
                <w:spacing w:val="-6"/>
                <w:kern w:val="0"/>
                <w:sz w:val="21"/>
                <w:szCs w:val="21"/>
              </w:rPr>
              <w:t>铬（六价）</w:t>
            </w:r>
          </w:p>
        </w:tc>
        <w:tc>
          <w:tcPr>
            <w:tcW w:w="567" w:type="pct"/>
            <w:tcBorders>
              <w:tl2br w:val="nil"/>
              <w:tr2bl w:val="nil"/>
            </w:tcBorders>
            <w:vAlign w:val="center"/>
          </w:tcPr>
          <w:p>
            <w:pPr>
              <w:spacing w:line="240" w:lineRule="auto"/>
              <w:ind w:firstLine="0" w:firstLineChars="0"/>
              <w:jc w:val="center"/>
              <w:rPr>
                <w:color w:val="auto"/>
                <w:spacing w:val="-6"/>
                <w:kern w:val="0"/>
                <w:sz w:val="21"/>
                <w:szCs w:val="21"/>
              </w:rPr>
            </w:pPr>
            <w:r>
              <w:rPr>
                <w:color w:val="auto"/>
                <w:spacing w:val="-6"/>
                <w:kern w:val="0"/>
                <w:sz w:val="21"/>
                <w:szCs w:val="21"/>
              </w:rPr>
              <w:t>mg/L</w:t>
            </w:r>
          </w:p>
        </w:tc>
        <w:tc>
          <w:tcPr>
            <w:tcW w:w="964" w:type="pct"/>
            <w:gridSpan w:val="2"/>
            <w:tcBorders>
              <w:tl2br w:val="nil"/>
              <w:tr2bl w:val="nil"/>
            </w:tcBorders>
            <w:vAlign w:val="center"/>
          </w:tcPr>
          <w:p>
            <w:pPr>
              <w:spacing w:line="240" w:lineRule="auto"/>
              <w:ind w:firstLine="0" w:firstLineChars="0"/>
              <w:jc w:val="center"/>
              <w:rPr>
                <w:color w:val="auto"/>
                <w:spacing w:val="-6"/>
                <w:kern w:val="0"/>
                <w:sz w:val="21"/>
                <w:szCs w:val="21"/>
              </w:rPr>
            </w:pPr>
            <w:r>
              <w:rPr>
                <w:color w:val="auto"/>
                <w:spacing w:val="-6"/>
                <w:kern w:val="0"/>
                <w:sz w:val="21"/>
                <w:szCs w:val="21"/>
              </w:rPr>
              <w:t>≤0.05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tcBorders>
              <w:tl2br w:val="nil"/>
              <w:tr2bl w:val="nil"/>
            </w:tcBorders>
            <w:vAlign w:val="center"/>
          </w:tcPr>
          <w:p>
            <w:pPr>
              <w:spacing w:line="240" w:lineRule="auto"/>
              <w:ind w:firstLine="0" w:firstLineChars="0"/>
              <w:jc w:val="center"/>
              <w:rPr>
                <w:color w:val="auto"/>
                <w:spacing w:val="-6"/>
                <w:kern w:val="0"/>
                <w:sz w:val="21"/>
                <w:szCs w:val="21"/>
              </w:rPr>
            </w:pPr>
            <w:r>
              <w:rPr>
                <w:color w:val="auto"/>
                <w:spacing w:val="-6"/>
                <w:kern w:val="0"/>
                <w:sz w:val="21"/>
                <w:szCs w:val="21"/>
              </w:rPr>
              <w:t>铅</w:t>
            </w:r>
          </w:p>
        </w:tc>
        <w:tc>
          <w:tcPr>
            <w:tcW w:w="567" w:type="pct"/>
            <w:tcBorders>
              <w:tl2br w:val="nil"/>
              <w:tr2bl w:val="nil"/>
            </w:tcBorders>
            <w:vAlign w:val="center"/>
          </w:tcPr>
          <w:p>
            <w:pPr>
              <w:spacing w:line="240" w:lineRule="auto"/>
              <w:ind w:firstLine="0" w:firstLineChars="0"/>
              <w:jc w:val="center"/>
              <w:rPr>
                <w:color w:val="auto"/>
                <w:spacing w:val="-6"/>
                <w:kern w:val="0"/>
                <w:sz w:val="21"/>
                <w:szCs w:val="21"/>
              </w:rPr>
            </w:pPr>
            <w:r>
              <w:rPr>
                <w:color w:val="auto"/>
                <w:spacing w:val="-6"/>
                <w:kern w:val="0"/>
                <w:sz w:val="21"/>
                <w:szCs w:val="21"/>
              </w:rPr>
              <w:t>mg/L</w:t>
            </w:r>
          </w:p>
        </w:tc>
        <w:tc>
          <w:tcPr>
            <w:tcW w:w="964" w:type="pct"/>
            <w:gridSpan w:val="2"/>
            <w:tcBorders>
              <w:tl2br w:val="nil"/>
              <w:tr2bl w:val="nil"/>
            </w:tcBorders>
            <w:vAlign w:val="center"/>
          </w:tcPr>
          <w:p>
            <w:pPr>
              <w:spacing w:line="240" w:lineRule="auto"/>
              <w:ind w:firstLine="0" w:firstLineChars="0"/>
              <w:jc w:val="center"/>
              <w:rPr>
                <w:color w:val="auto"/>
                <w:spacing w:val="-6"/>
                <w:kern w:val="0"/>
                <w:sz w:val="21"/>
                <w:szCs w:val="21"/>
              </w:rPr>
            </w:pPr>
            <w:r>
              <w:rPr>
                <w:color w:val="auto"/>
                <w:spacing w:val="-6"/>
                <w:kern w:val="0"/>
                <w:sz w:val="21"/>
                <w:szCs w:val="21"/>
              </w:rPr>
              <w:t>≤0.01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tcBorders>
              <w:tl2br w:val="nil"/>
              <w:tr2bl w:val="nil"/>
            </w:tcBorders>
            <w:vAlign w:val="center"/>
          </w:tcPr>
          <w:p>
            <w:pPr>
              <w:spacing w:line="240" w:lineRule="auto"/>
              <w:ind w:firstLine="0" w:firstLineChars="0"/>
              <w:jc w:val="center"/>
              <w:rPr>
                <w:color w:val="auto"/>
                <w:spacing w:val="-6"/>
                <w:kern w:val="0"/>
                <w:sz w:val="21"/>
                <w:szCs w:val="21"/>
              </w:rPr>
            </w:pPr>
            <w:r>
              <w:rPr>
                <w:color w:val="auto"/>
                <w:spacing w:val="-6"/>
                <w:kern w:val="0"/>
                <w:sz w:val="21"/>
                <w:szCs w:val="21"/>
              </w:rPr>
              <w:t>氟</w:t>
            </w:r>
          </w:p>
        </w:tc>
        <w:tc>
          <w:tcPr>
            <w:tcW w:w="567" w:type="pct"/>
            <w:tcBorders>
              <w:tl2br w:val="nil"/>
              <w:tr2bl w:val="nil"/>
            </w:tcBorders>
            <w:vAlign w:val="center"/>
          </w:tcPr>
          <w:p>
            <w:pPr>
              <w:spacing w:line="240" w:lineRule="auto"/>
              <w:ind w:firstLine="0" w:firstLineChars="0"/>
              <w:jc w:val="center"/>
              <w:rPr>
                <w:color w:val="auto"/>
                <w:spacing w:val="-6"/>
                <w:kern w:val="0"/>
                <w:sz w:val="21"/>
                <w:szCs w:val="21"/>
              </w:rPr>
            </w:pPr>
            <w:r>
              <w:rPr>
                <w:color w:val="auto"/>
                <w:spacing w:val="-6"/>
                <w:kern w:val="0"/>
                <w:sz w:val="21"/>
                <w:szCs w:val="21"/>
              </w:rPr>
              <w:t>mg/L</w:t>
            </w:r>
          </w:p>
        </w:tc>
        <w:tc>
          <w:tcPr>
            <w:tcW w:w="964" w:type="pct"/>
            <w:gridSpan w:val="2"/>
            <w:tcBorders>
              <w:tl2br w:val="nil"/>
              <w:tr2bl w:val="nil"/>
            </w:tcBorders>
            <w:vAlign w:val="center"/>
          </w:tcPr>
          <w:p>
            <w:pPr>
              <w:spacing w:line="240" w:lineRule="auto"/>
              <w:ind w:firstLine="0" w:firstLineChars="0"/>
              <w:jc w:val="center"/>
              <w:rPr>
                <w:color w:val="auto"/>
                <w:spacing w:val="-6"/>
                <w:kern w:val="0"/>
                <w:sz w:val="21"/>
                <w:szCs w:val="21"/>
              </w:rPr>
            </w:pPr>
            <w:r>
              <w:rPr>
                <w:color w:val="auto"/>
                <w:spacing w:val="-6"/>
                <w:kern w:val="0"/>
                <w:sz w:val="21"/>
                <w:szCs w:val="21"/>
              </w:rPr>
              <w:t>≤1.0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tcBorders>
              <w:tl2br w:val="nil"/>
              <w:tr2bl w:val="nil"/>
            </w:tcBorders>
            <w:vAlign w:val="center"/>
          </w:tcPr>
          <w:p>
            <w:pPr>
              <w:spacing w:line="240" w:lineRule="auto"/>
              <w:ind w:firstLine="0" w:firstLineChars="0"/>
              <w:jc w:val="center"/>
              <w:rPr>
                <w:color w:val="auto"/>
                <w:spacing w:val="-6"/>
                <w:kern w:val="0"/>
                <w:sz w:val="21"/>
                <w:szCs w:val="21"/>
              </w:rPr>
            </w:pPr>
            <w:r>
              <w:rPr>
                <w:color w:val="auto"/>
                <w:spacing w:val="-6"/>
                <w:kern w:val="0"/>
                <w:sz w:val="21"/>
                <w:szCs w:val="21"/>
              </w:rPr>
              <w:t>镉</w:t>
            </w:r>
          </w:p>
        </w:tc>
        <w:tc>
          <w:tcPr>
            <w:tcW w:w="567" w:type="pct"/>
            <w:tcBorders>
              <w:tl2br w:val="nil"/>
              <w:tr2bl w:val="nil"/>
            </w:tcBorders>
            <w:vAlign w:val="center"/>
          </w:tcPr>
          <w:p>
            <w:pPr>
              <w:spacing w:line="240" w:lineRule="auto"/>
              <w:ind w:firstLine="0" w:firstLineChars="0"/>
              <w:jc w:val="center"/>
              <w:rPr>
                <w:color w:val="auto"/>
                <w:spacing w:val="-6"/>
                <w:kern w:val="0"/>
                <w:sz w:val="21"/>
                <w:szCs w:val="21"/>
              </w:rPr>
            </w:pPr>
            <w:r>
              <w:rPr>
                <w:color w:val="auto"/>
                <w:spacing w:val="-6"/>
                <w:kern w:val="0"/>
                <w:sz w:val="21"/>
                <w:szCs w:val="21"/>
              </w:rPr>
              <w:t>mg/L</w:t>
            </w:r>
          </w:p>
        </w:tc>
        <w:tc>
          <w:tcPr>
            <w:tcW w:w="964" w:type="pct"/>
            <w:gridSpan w:val="2"/>
            <w:tcBorders>
              <w:tl2br w:val="nil"/>
              <w:tr2bl w:val="nil"/>
            </w:tcBorders>
            <w:vAlign w:val="center"/>
          </w:tcPr>
          <w:p>
            <w:pPr>
              <w:spacing w:line="240" w:lineRule="auto"/>
              <w:ind w:firstLine="0" w:firstLineChars="0"/>
              <w:jc w:val="center"/>
              <w:rPr>
                <w:color w:val="auto"/>
                <w:spacing w:val="-6"/>
                <w:kern w:val="0"/>
                <w:sz w:val="21"/>
                <w:szCs w:val="21"/>
              </w:rPr>
            </w:pPr>
            <w:r>
              <w:rPr>
                <w:color w:val="auto"/>
                <w:spacing w:val="-6"/>
                <w:kern w:val="0"/>
                <w:sz w:val="21"/>
                <w:szCs w:val="21"/>
              </w:rPr>
              <w:t>≤0.005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tcBorders>
              <w:tl2br w:val="nil"/>
              <w:tr2bl w:val="nil"/>
            </w:tcBorders>
            <w:vAlign w:val="center"/>
          </w:tcPr>
          <w:p>
            <w:pPr>
              <w:spacing w:line="240" w:lineRule="auto"/>
              <w:ind w:firstLine="0" w:firstLineChars="0"/>
              <w:jc w:val="center"/>
              <w:rPr>
                <w:color w:val="auto"/>
                <w:spacing w:val="-6"/>
                <w:kern w:val="0"/>
                <w:sz w:val="21"/>
                <w:szCs w:val="21"/>
              </w:rPr>
            </w:pPr>
            <w:r>
              <w:rPr>
                <w:color w:val="auto"/>
                <w:spacing w:val="-6"/>
                <w:kern w:val="0"/>
                <w:sz w:val="21"/>
                <w:szCs w:val="21"/>
              </w:rPr>
              <w:t>铁</w:t>
            </w:r>
          </w:p>
        </w:tc>
        <w:tc>
          <w:tcPr>
            <w:tcW w:w="567" w:type="pct"/>
            <w:tcBorders>
              <w:tl2br w:val="nil"/>
              <w:tr2bl w:val="nil"/>
            </w:tcBorders>
            <w:vAlign w:val="center"/>
          </w:tcPr>
          <w:p>
            <w:pPr>
              <w:spacing w:line="240" w:lineRule="auto"/>
              <w:ind w:firstLine="0" w:firstLineChars="0"/>
              <w:jc w:val="center"/>
              <w:rPr>
                <w:color w:val="auto"/>
                <w:spacing w:val="-6"/>
                <w:kern w:val="0"/>
                <w:sz w:val="21"/>
                <w:szCs w:val="21"/>
              </w:rPr>
            </w:pPr>
            <w:r>
              <w:rPr>
                <w:color w:val="auto"/>
                <w:spacing w:val="-6"/>
                <w:kern w:val="0"/>
                <w:sz w:val="21"/>
                <w:szCs w:val="21"/>
              </w:rPr>
              <w:t>mg/L</w:t>
            </w:r>
          </w:p>
        </w:tc>
        <w:tc>
          <w:tcPr>
            <w:tcW w:w="964" w:type="pct"/>
            <w:gridSpan w:val="2"/>
            <w:tcBorders>
              <w:tl2br w:val="nil"/>
              <w:tr2bl w:val="nil"/>
            </w:tcBorders>
            <w:vAlign w:val="center"/>
          </w:tcPr>
          <w:p>
            <w:pPr>
              <w:spacing w:line="240" w:lineRule="auto"/>
              <w:ind w:firstLine="0" w:firstLineChars="0"/>
              <w:jc w:val="center"/>
              <w:rPr>
                <w:color w:val="auto"/>
                <w:spacing w:val="-6"/>
                <w:kern w:val="0"/>
                <w:sz w:val="21"/>
                <w:szCs w:val="21"/>
              </w:rPr>
            </w:pPr>
            <w:r>
              <w:rPr>
                <w:color w:val="auto"/>
                <w:spacing w:val="-6"/>
                <w:kern w:val="0"/>
                <w:sz w:val="21"/>
                <w:szCs w:val="21"/>
              </w:rPr>
              <w:t>≤0.3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tcBorders>
              <w:tl2br w:val="nil"/>
              <w:tr2bl w:val="nil"/>
            </w:tcBorders>
            <w:vAlign w:val="center"/>
          </w:tcPr>
          <w:p>
            <w:pPr>
              <w:spacing w:line="240" w:lineRule="auto"/>
              <w:ind w:firstLine="0" w:firstLineChars="0"/>
              <w:jc w:val="center"/>
              <w:rPr>
                <w:color w:val="auto"/>
                <w:spacing w:val="-6"/>
                <w:kern w:val="0"/>
                <w:sz w:val="21"/>
                <w:szCs w:val="21"/>
              </w:rPr>
            </w:pPr>
            <w:r>
              <w:rPr>
                <w:color w:val="auto"/>
                <w:spacing w:val="-6"/>
                <w:kern w:val="0"/>
                <w:sz w:val="21"/>
                <w:szCs w:val="21"/>
              </w:rPr>
              <w:t>锰</w:t>
            </w:r>
          </w:p>
        </w:tc>
        <w:tc>
          <w:tcPr>
            <w:tcW w:w="567" w:type="pct"/>
            <w:tcBorders>
              <w:tl2br w:val="nil"/>
              <w:tr2bl w:val="nil"/>
            </w:tcBorders>
            <w:vAlign w:val="center"/>
          </w:tcPr>
          <w:p>
            <w:pPr>
              <w:spacing w:line="240" w:lineRule="auto"/>
              <w:ind w:firstLine="0" w:firstLineChars="0"/>
              <w:jc w:val="center"/>
              <w:rPr>
                <w:color w:val="auto"/>
                <w:spacing w:val="-6"/>
                <w:kern w:val="0"/>
                <w:sz w:val="21"/>
                <w:szCs w:val="21"/>
              </w:rPr>
            </w:pPr>
            <w:r>
              <w:rPr>
                <w:color w:val="auto"/>
                <w:spacing w:val="-6"/>
                <w:kern w:val="0"/>
                <w:sz w:val="21"/>
                <w:szCs w:val="21"/>
              </w:rPr>
              <w:t>mg/L</w:t>
            </w:r>
          </w:p>
        </w:tc>
        <w:tc>
          <w:tcPr>
            <w:tcW w:w="964" w:type="pct"/>
            <w:gridSpan w:val="2"/>
            <w:tcBorders>
              <w:tl2br w:val="nil"/>
              <w:tr2bl w:val="nil"/>
            </w:tcBorders>
            <w:vAlign w:val="center"/>
          </w:tcPr>
          <w:p>
            <w:pPr>
              <w:spacing w:line="240" w:lineRule="auto"/>
              <w:ind w:firstLine="0" w:firstLineChars="0"/>
              <w:jc w:val="center"/>
              <w:rPr>
                <w:color w:val="auto"/>
                <w:spacing w:val="-6"/>
                <w:kern w:val="0"/>
                <w:sz w:val="21"/>
                <w:szCs w:val="21"/>
              </w:rPr>
            </w:pPr>
            <w:r>
              <w:rPr>
                <w:color w:val="auto"/>
                <w:spacing w:val="-6"/>
                <w:kern w:val="0"/>
                <w:sz w:val="21"/>
                <w:szCs w:val="21"/>
              </w:rPr>
              <w:t>≤0.1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3" w:type="pct"/>
            <w:vMerge w:val="restar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土壤环境</w:t>
            </w:r>
          </w:p>
        </w:tc>
        <w:tc>
          <w:tcPr>
            <w:tcW w:w="1934" w:type="pct"/>
            <w:vMerge w:val="restar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《土壤环境质量标准 农用地土壤污染风险管控标准（试行）》GB15618-2018</w:t>
            </w:r>
          </w:p>
        </w:tc>
        <w:tc>
          <w:tcPr>
            <w:tcW w:w="949"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pH</w:t>
            </w:r>
          </w:p>
        </w:tc>
        <w:tc>
          <w:tcPr>
            <w:tcW w:w="567"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w:t>
            </w: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≥7.5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铜（其他）</w:t>
            </w:r>
          </w:p>
        </w:tc>
        <w:tc>
          <w:tcPr>
            <w:tcW w:w="567"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mg/kg</w:t>
            </w: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100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镉（其他）</w:t>
            </w:r>
          </w:p>
        </w:tc>
        <w:tc>
          <w:tcPr>
            <w:tcW w:w="567"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mg/kg</w:t>
            </w: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0.6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汞（其他）</w:t>
            </w:r>
          </w:p>
        </w:tc>
        <w:tc>
          <w:tcPr>
            <w:tcW w:w="567"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mg/kg</w:t>
            </w: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3.4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砷（其他）</w:t>
            </w:r>
          </w:p>
        </w:tc>
        <w:tc>
          <w:tcPr>
            <w:tcW w:w="567"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mg/kg</w:t>
            </w: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25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铅（其他）</w:t>
            </w:r>
          </w:p>
        </w:tc>
        <w:tc>
          <w:tcPr>
            <w:tcW w:w="567"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mg/kg</w:t>
            </w: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170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铬（其他）</w:t>
            </w:r>
          </w:p>
        </w:tc>
        <w:tc>
          <w:tcPr>
            <w:tcW w:w="567"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mg/kg</w:t>
            </w: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250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锌</w:t>
            </w:r>
          </w:p>
        </w:tc>
        <w:tc>
          <w:tcPr>
            <w:tcW w:w="567"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mg/kg</w:t>
            </w: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300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镍</w:t>
            </w:r>
          </w:p>
        </w:tc>
        <w:tc>
          <w:tcPr>
            <w:tcW w:w="567"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mg/kg</w:t>
            </w: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190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3" w:type="pct"/>
            <w:vMerge w:val="restart"/>
            <w:tcBorders>
              <w:tl2br w:val="nil"/>
              <w:tr2bl w:val="nil"/>
            </w:tcBorders>
            <w:vAlign w:val="center"/>
          </w:tcPr>
          <w:p>
            <w:pPr>
              <w:spacing w:line="240" w:lineRule="auto"/>
              <w:ind w:firstLine="0" w:firstLineChars="0"/>
              <w:jc w:val="center"/>
              <w:rPr>
                <w:color w:val="auto"/>
                <w:kern w:val="0"/>
                <w:sz w:val="21"/>
                <w:szCs w:val="21"/>
              </w:rPr>
            </w:pPr>
            <w:r>
              <w:rPr>
                <w:rFonts w:hint="eastAsia"/>
                <w:color w:val="auto"/>
                <w:kern w:val="0"/>
                <w:sz w:val="21"/>
                <w:szCs w:val="21"/>
              </w:rPr>
              <w:t>行业</w:t>
            </w:r>
            <w:r>
              <w:rPr>
                <w:color w:val="auto"/>
                <w:kern w:val="0"/>
                <w:sz w:val="21"/>
                <w:szCs w:val="21"/>
              </w:rPr>
              <w:t>标准</w:t>
            </w:r>
          </w:p>
        </w:tc>
        <w:tc>
          <w:tcPr>
            <w:tcW w:w="1934" w:type="pct"/>
            <w:vMerge w:val="restar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《畜禽养殖产地环境评价规范》（HJ568-2010）中表2畜禽饮用水水质评价指标限值禽类</w:t>
            </w:r>
          </w:p>
        </w:tc>
        <w:tc>
          <w:tcPr>
            <w:tcW w:w="949"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pH</w:t>
            </w:r>
          </w:p>
        </w:tc>
        <w:tc>
          <w:tcPr>
            <w:tcW w:w="567"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w:t>
            </w: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6.5-8.5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总硬度</w:t>
            </w:r>
          </w:p>
          <w:p>
            <w:pPr>
              <w:spacing w:line="240" w:lineRule="auto"/>
              <w:ind w:firstLine="0" w:firstLineChars="0"/>
              <w:jc w:val="center"/>
              <w:rPr>
                <w:color w:val="auto"/>
                <w:kern w:val="0"/>
                <w:sz w:val="21"/>
                <w:szCs w:val="21"/>
              </w:rPr>
            </w:pPr>
            <w:r>
              <w:rPr>
                <w:color w:val="auto"/>
                <w:kern w:val="0"/>
                <w:sz w:val="21"/>
                <w:szCs w:val="21"/>
              </w:rPr>
              <w:t>（以CaCO</w:t>
            </w:r>
            <w:r>
              <w:rPr>
                <w:color w:val="auto"/>
                <w:kern w:val="0"/>
                <w:sz w:val="21"/>
                <w:szCs w:val="21"/>
                <w:vertAlign w:val="subscript"/>
              </w:rPr>
              <w:t>3</w:t>
            </w:r>
            <w:r>
              <w:rPr>
                <w:color w:val="auto"/>
                <w:kern w:val="0"/>
                <w:sz w:val="21"/>
                <w:szCs w:val="21"/>
              </w:rPr>
              <w:t>）</w:t>
            </w:r>
          </w:p>
        </w:tc>
        <w:tc>
          <w:tcPr>
            <w:tcW w:w="567"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mg/L</w:t>
            </w: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1500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总大肠菌群</w:t>
            </w:r>
          </w:p>
        </w:tc>
        <w:tc>
          <w:tcPr>
            <w:tcW w:w="567"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mg/L</w:t>
            </w: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溶解性总固体</w:t>
            </w:r>
          </w:p>
        </w:tc>
        <w:tc>
          <w:tcPr>
            <w:tcW w:w="567"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mg/L</w:t>
            </w: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2000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硝酸盐(以N计)</w:t>
            </w:r>
          </w:p>
        </w:tc>
        <w:tc>
          <w:tcPr>
            <w:tcW w:w="567"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mg/L</w:t>
            </w: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3.0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硫酸盐</w:t>
            </w:r>
          </w:p>
          <w:p>
            <w:pPr>
              <w:spacing w:line="240" w:lineRule="auto"/>
              <w:ind w:firstLine="0" w:firstLineChars="0"/>
              <w:jc w:val="center"/>
              <w:rPr>
                <w:color w:val="auto"/>
                <w:kern w:val="0"/>
                <w:sz w:val="21"/>
                <w:szCs w:val="21"/>
              </w:rPr>
            </w:pPr>
            <w:r>
              <w:rPr>
                <w:color w:val="auto"/>
                <w:kern w:val="0"/>
                <w:sz w:val="21"/>
                <w:szCs w:val="21"/>
              </w:rPr>
              <w:t>（以SO</w:t>
            </w:r>
            <w:r>
              <w:rPr>
                <w:color w:val="auto"/>
                <w:kern w:val="0"/>
                <w:sz w:val="21"/>
                <w:szCs w:val="21"/>
                <w:vertAlign w:val="subscript"/>
              </w:rPr>
              <w:t>4</w:t>
            </w:r>
            <w:r>
              <w:rPr>
                <w:color w:val="auto"/>
                <w:kern w:val="0"/>
                <w:sz w:val="21"/>
                <w:szCs w:val="21"/>
                <w:vertAlign w:val="superscript"/>
              </w:rPr>
              <w:t>2-</w:t>
            </w:r>
            <w:r>
              <w:rPr>
                <w:color w:val="auto"/>
                <w:kern w:val="0"/>
                <w:sz w:val="21"/>
                <w:szCs w:val="21"/>
              </w:rPr>
              <w:t>）</w:t>
            </w:r>
          </w:p>
        </w:tc>
        <w:tc>
          <w:tcPr>
            <w:tcW w:w="567" w:type="pct"/>
            <w:tcBorders>
              <w:tl2br w:val="nil"/>
              <w:tr2bl w:val="nil"/>
            </w:tcBorders>
            <w:vAlign w:val="center"/>
          </w:tcPr>
          <w:p>
            <w:pPr>
              <w:spacing w:line="240" w:lineRule="auto"/>
              <w:ind w:firstLine="0" w:firstLineChars="0"/>
              <w:jc w:val="center"/>
              <w:rPr>
                <w:rFonts w:eastAsia="楷体_GB2312"/>
                <w:color w:val="auto"/>
                <w:spacing w:val="-6"/>
                <w:kern w:val="0"/>
                <w:sz w:val="28"/>
                <w:szCs w:val="20"/>
              </w:rPr>
            </w:pPr>
            <w:r>
              <w:rPr>
                <w:color w:val="auto"/>
                <w:kern w:val="0"/>
                <w:sz w:val="21"/>
                <w:szCs w:val="21"/>
              </w:rPr>
              <w:t>mg/L</w:t>
            </w: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250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砷</w:t>
            </w:r>
          </w:p>
        </w:tc>
        <w:tc>
          <w:tcPr>
            <w:tcW w:w="567" w:type="pct"/>
            <w:tcBorders>
              <w:tl2br w:val="nil"/>
              <w:tr2bl w:val="nil"/>
            </w:tcBorders>
            <w:vAlign w:val="center"/>
          </w:tcPr>
          <w:p>
            <w:pPr>
              <w:spacing w:line="240" w:lineRule="auto"/>
              <w:ind w:firstLine="0" w:firstLineChars="0"/>
              <w:jc w:val="center"/>
              <w:rPr>
                <w:rFonts w:eastAsia="楷体_GB2312"/>
                <w:color w:val="auto"/>
                <w:spacing w:val="-6"/>
                <w:kern w:val="0"/>
                <w:sz w:val="28"/>
                <w:szCs w:val="20"/>
              </w:rPr>
            </w:pPr>
            <w:r>
              <w:rPr>
                <w:color w:val="auto"/>
                <w:kern w:val="0"/>
                <w:sz w:val="21"/>
                <w:szCs w:val="21"/>
              </w:rPr>
              <w:t>mg/L</w:t>
            </w:r>
          </w:p>
        </w:tc>
        <w:tc>
          <w:tcPr>
            <w:tcW w:w="964" w:type="pct"/>
            <w:gridSpan w:val="2"/>
            <w:tcBorders>
              <w:tl2br w:val="nil"/>
              <w:tr2bl w:val="nil"/>
            </w:tcBorders>
            <w:vAlign w:val="center"/>
          </w:tcPr>
          <w:p>
            <w:pPr>
              <w:spacing w:line="240" w:lineRule="auto"/>
              <w:ind w:firstLine="525" w:firstLineChars="250"/>
              <w:jc w:val="center"/>
              <w:rPr>
                <w:color w:val="auto"/>
                <w:kern w:val="0"/>
                <w:sz w:val="21"/>
                <w:szCs w:val="21"/>
              </w:rPr>
            </w:pPr>
            <w:r>
              <w:rPr>
                <w:color w:val="auto"/>
                <w:kern w:val="0"/>
                <w:sz w:val="21"/>
                <w:szCs w:val="21"/>
              </w:rPr>
              <w:t>0.20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汞</w:t>
            </w:r>
          </w:p>
        </w:tc>
        <w:tc>
          <w:tcPr>
            <w:tcW w:w="567" w:type="pct"/>
            <w:tcBorders>
              <w:tl2br w:val="nil"/>
              <w:tr2bl w:val="nil"/>
            </w:tcBorders>
            <w:vAlign w:val="center"/>
          </w:tcPr>
          <w:p>
            <w:pPr>
              <w:spacing w:line="240" w:lineRule="auto"/>
              <w:ind w:firstLine="0" w:firstLineChars="0"/>
              <w:jc w:val="center"/>
              <w:rPr>
                <w:rFonts w:eastAsia="楷体_GB2312"/>
                <w:color w:val="auto"/>
                <w:spacing w:val="-6"/>
                <w:kern w:val="0"/>
                <w:sz w:val="28"/>
                <w:szCs w:val="20"/>
              </w:rPr>
            </w:pPr>
            <w:r>
              <w:rPr>
                <w:color w:val="auto"/>
                <w:kern w:val="0"/>
                <w:sz w:val="21"/>
                <w:szCs w:val="21"/>
              </w:rPr>
              <w:t>mg/L</w:t>
            </w: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0.001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铅</w:t>
            </w:r>
          </w:p>
        </w:tc>
        <w:tc>
          <w:tcPr>
            <w:tcW w:w="567" w:type="pct"/>
            <w:tcBorders>
              <w:tl2br w:val="nil"/>
              <w:tr2bl w:val="nil"/>
            </w:tcBorders>
            <w:vAlign w:val="center"/>
          </w:tcPr>
          <w:p>
            <w:pPr>
              <w:spacing w:line="240" w:lineRule="auto"/>
              <w:ind w:firstLine="0" w:firstLineChars="0"/>
              <w:jc w:val="center"/>
              <w:rPr>
                <w:rFonts w:eastAsia="楷体_GB2312"/>
                <w:color w:val="auto"/>
                <w:spacing w:val="-6"/>
                <w:kern w:val="0"/>
                <w:sz w:val="28"/>
                <w:szCs w:val="20"/>
              </w:rPr>
            </w:pPr>
            <w:r>
              <w:rPr>
                <w:color w:val="auto"/>
                <w:kern w:val="0"/>
                <w:sz w:val="21"/>
                <w:szCs w:val="21"/>
              </w:rPr>
              <w:t>mg/L</w:t>
            </w: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0.10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tcBorders>
              <w:tl2br w:val="nil"/>
              <w:tr2bl w:val="nil"/>
            </w:tcBorders>
            <w:vAlign w:val="center"/>
          </w:tcPr>
          <w:p>
            <w:pPr>
              <w:spacing w:line="240" w:lineRule="auto"/>
              <w:ind w:firstLine="0" w:firstLineChars="0"/>
              <w:jc w:val="center"/>
              <w:rPr>
                <w:color w:val="auto"/>
                <w:kern w:val="0"/>
                <w:sz w:val="21"/>
                <w:szCs w:val="21"/>
              </w:rPr>
            </w:pPr>
            <w:r>
              <w:rPr>
                <w:color w:val="auto"/>
                <w:spacing w:val="-6"/>
                <w:kern w:val="0"/>
                <w:sz w:val="21"/>
                <w:szCs w:val="21"/>
              </w:rPr>
              <w:t>铬（六价）</w:t>
            </w:r>
          </w:p>
        </w:tc>
        <w:tc>
          <w:tcPr>
            <w:tcW w:w="567" w:type="pct"/>
            <w:tcBorders>
              <w:tl2br w:val="nil"/>
              <w:tr2bl w:val="nil"/>
            </w:tcBorders>
            <w:vAlign w:val="center"/>
          </w:tcPr>
          <w:p>
            <w:pPr>
              <w:spacing w:line="240" w:lineRule="auto"/>
              <w:ind w:firstLine="0" w:firstLineChars="0"/>
              <w:jc w:val="center"/>
              <w:rPr>
                <w:rFonts w:eastAsia="楷体_GB2312"/>
                <w:color w:val="auto"/>
                <w:spacing w:val="-6"/>
                <w:kern w:val="0"/>
                <w:sz w:val="28"/>
                <w:szCs w:val="20"/>
              </w:rPr>
            </w:pPr>
            <w:r>
              <w:rPr>
                <w:color w:val="auto"/>
                <w:kern w:val="0"/>
                <w:sz w:val="21"/>
                <w:szCs w:val="21"/>
              </w:rPr>
              <w:t>mg/L</w:t>
            </w: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0.05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tcBorders>
              <w:tl2br w:val="nil"/>
              <w:tr2bl w:val="nil"/>
            </w:tcBorders>
            <w:vAlign w:val="center"/>
          </w:tcPr>
          <w:p>
            <w:pPr>
              <w:spacing w:line="240" w:lineRule="auto"/>
              <w:ind w:firstLine="0" w:firstLineChars="0"/>
              <w:jc w:val="center"/>
              <w:rPr>
                <w:color w:val="auto"/>
                <w:spacing w:val="-6"/>
                <w:kern w:val="0"/>
                <w:sz w:val="21"/>
                <w:szCs w:val="21"/>
              </w:rPr>
            </w:pPr>
            <w:r>
              <w:rPr>
                <w:color w:val="auto"/>
                <w:kern w:val="0"/>
                <w:sz w:val="21"/>
                <w:szCs w:val="21"/>
              </w:rPr>
              <w:t>镉</w:t>
            </w:r>
          </w:p>
        </w:tc>
        <w:tc>
          <w:tcPr>
            <w:tcW w:w="567" w:type="pct"/>
            <w:tcBorders>
              <w:tl2br w:val="nil"/>
              <w:tr2bl w:val="nil"/>
            </w:tcBorders>
            <w:vAlign w:val="center"/>
          </w:tcPr>
          <w:p>
            <w:pPr>
              <w:spacing w:line="240" w:lineRule="auto"/>
              <w:ind w:firstLine="0" w:firstLineChars="0"/>
              <w:jc w:val="center"/>
              <w:rPr>
                <w:rFonts w:eastAsia="楷体_GB2312"/>
                <w:color w:val="auto"/>
                <w:spacing w:val="-6"/>
                <w:kern w:val="0"/>
                <w:sz w:val="28"/>
                <w:szCs w:val="20"/>
              </w:rPr>
            </w:pPr>
            <w:r>
              <w:rPr>
                <w:color w:val="auto"/>
                <w:kern w:val="0"/>
                <w:sz w:val="21"/>
                <w:szCs w:val="21"/>
              </w:rPr>
              <w:t>mg/L</w:t>
            </w: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0.01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氟化物</w:t>
            </w:r>
          </w:p>
        </w:tc>
        <w:tc>
          <w:tcPr>
            <w:tcW w:w="567"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mg/L</w:t>
            </w: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restar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《畜禽养殖产地环境评价规范》（HJ568-2010）中表4土壤环境质量评价指标限值</w:t>
            </w:r>
          </w:p>
        </w:tc>
        <w:tc>
          <w:tcPr>
            <w:tcW w:w="949"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镉</w:t>
            </w:r>
          </w:p>
        </w:tc>
        <w:tc>
          <w:tcPr>
            <w:tcW w:w="567"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mg/kg</w:t>
            </w: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汞</w:t>
            </w:r>
          </w:p>
        </w:tc>
        <w:tc>
          <w:tcPr>
            <w:tcW w:w="567"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mg/kg</w:t>
            </w: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1.5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砷</w:t>
            </w:r>
          </w:p>
        </w:tc>
        <w:tc>
          <w:tcPr>
            <w:tcW w:w="567"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mg/kg</w:t>
            </w: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40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铜</w:t>
            </w:r>
          </w:p>
        </w:tc>
        <w:tc>
          <w:tcPr>
            <w:tcW w:w="567"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mg/kg</w:t>
            </w: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400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铅</w:t>
            </w:r>
          </w:p>
        </w:tc>
        <w:tc>
          <w:tcPr>
            <w:tcW w:w="567"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mg/kg</w:t>
            </w: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500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铬</w:t>
            </w:r>
          </w:p>
        </w:tc>
        <w:tc>
          <w:tcPr>
            <w:tcW w:w="567"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mg/kg</w:t>
            </w: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300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锌</w:t>
            </w:r>
          </w:p>
        </w:tc>
        <w:tc>
          <w:tcPr>
            <w:tcW w:w="567"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mg/kg</w:t>
            </w: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500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镍</w:t>
            </w:r>
          </w:p>
        </w:tc>
        <w:tc>
          <w:tcPr>
            <w:tcW w:w="567"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mg/kg</w:t>
            </w: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200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restar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《畜禽养殖产地环境评价规范》（HJ568-2010）中表5环境空气质量评价指标限值（1日平均）</w:t>
            </w:r>
          </w:p>
        </w:tc>
        <w:tc>
          <w:tcPr>
            <w:tcW w:w="949"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NH</w:t>
            </w:r>
            <w:r>
              <w:rPr>
                <w:color w:val="auto"/>
                <w:kern w:val="0"/>
                <w:sz w:val="21"/>
                <w:szCs w:val="21"/>
                <w:vertAlign w:val="subscript"/>
              </w:rPr>
              <w:t>3</w:t>
            </w:r>
          </w:p>
        </w:tc>
        <w:tc>
          <w:tcPr>
            <w:tcW w:w="567"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mg/m</w:t>
            </w:r>
            <w:r>
              <w:rPr>
                <w:color w:val="auto"/>
                <w:kern w:val="0"/>
                <w:sz w:val="21"/>
                <w:szCs w:val="21"/>
                <w:vertAlign w:val="superscript"/>
              </w:rPr>
              <w:t>3</w:t>
            </w: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H</w:t>
            </w:r>
            <w:r>
              <w:rPr>
                <w:color w:val="auto"/>
                <w:kern w:val="0"/>
                <w:sz w:val="21"/>
                <w:szCs w:val="21"/>
                <w:vertAlign w:val="subscript"/>
              </w:rPr>
              <w:t>2</w:t>
            </w:r>
            <w:r>
              <w:rPr>
                <w:color w:val="auto"/>
                <w:kern w:val="0"/>
                <w:sz w:val="21"/>
                <w:szCs w:val="21"/>
              </w:rPr>
              <w:t>S</w:t>
            </w:r>
          </w:p>
        </w:tc>
        <w:tc>
          <w:tcPr>
            <w:tcW w:w="567"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mg/m</w:t>
            </w:r>
            <w:r>
              <w:rPr>
                <w:color w:val="auto"/>
                <w:kern w:val="0"/>
                <w:sz w:val="21"/>
                <w:szCs w:val="21"/>
                <w:vertAlign w:val="superscript"/>
              </w:rPr>
              <w:t>3</w:t>
            </w: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PM</w:t>
            </w:r>
            <w:r>
              <w:rPr>
                <w:color w:val="auto"/>
                <w:kern w:val="0"/>
                <w:sz w:val="21"/>
                <w:szCs w:val="21"/>
                <w:vertAlign w:val="subscript"/>
              </w:rPr>
              <w:t>10</w:t>
            </w:r>
          </w:p>
        </w:tc>
        <w:tc>
          <w:tcPr>
            <w:tcW w:w="567"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mg/m</w:t>
            </w:r>
            <w:r>
              <w:rPr>
                <w:color w:val="auto"/>
                <w:kern w:val="0"/>
                <w:sz w:val="21"/>
                <w:szCs w:val="21"/>
                <w:vertAlign w:val="superscript"/>
              </w:rPr>
              <w:t>3</w:t>
            </w: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TSP</w:t>
            </w:r>
          </w:p>
        </w:tc>
        <w:tc>
          <w:tcPr>
            <w:tcW w:w="567"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mg/m</w:t>
            </w:r>
            <w:r>
              <w:rPr>
                <w:color w:val="auto"/>
                <w:kern w:val="0"/>
                <w:sz w:val="21"/>
                <w:szCs w:val="21"/>
                <w:vertAlign w:val="superscript"/>
              </w:rPr>
              <w:t>3</w:t>
            </w: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restar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《畜禽养殖产地环境评价规范》（HJ568-2010）中表6声环境质量评价指标限值</w:t>
            </w:r>
          </w:p>
        </w:tc>
        <w:tc>
          <w:tcPr>
            <w:tcW w:w="949"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昼间</w:t>
            </w:r>
          </w:p>
        </w:tc>
        <w:tc>
          <w:tcPr>
            <w:tcW w:w="567"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dB（A）</w:t>
            </w: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60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8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934"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49"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夜间</w:t>
            </w:r>
          </w:p>
        </w:tc>
        <w:tc>
          <w:tcPr>
            <w:tcW w:w="567"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dB（A）</w:t>
            </w:r>
          </w:p>
        </w:tc>
        <w:tc>
          <w:tcPr>
            <w:tcW w:w="96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50</w:t>
            </w:r>
          </w:p>
        </w:tc>
      </w:tr>
    </w:tbl>
    <w:p>
      <w:pPr>
        <w:pStyle w:val="6"/>
        <w:spacing w:line="600" w:lineRule="exact"/>
        <w:rPr>
          <w:rFonts w:hAnsi="宋体"/>
          <w:color w:val="auto"/>
        </w:rPr>
      </w:pPr>
      <w:r>
        <w:rPr>
          <w:rFonts w:hAnsi="宋体"/>
          <w:color w:val="auto"/>
        </w:rPr>
        <w:t>2.4.</w:t>
      </w:r>
      <w:r>
        <w:rPr>
          <w:rFonts w:hint="eastAsia" w:hAnsi="宋体"/>
          <w:color w:val="auto"/>
        </w:rPr>
        <w:t>2污染物排放</w:t>
      </w:r>
      <w:r>
        <w:rPr>
          <w:rFonts w:hAnsi="宋体"/>
          <w:color w:val="auto"/>
        </w:rPr>
        <w:t>标准</w:t>
      </w:r>
    </w:p>
    <w:p>
      <w:pPr>
        <w:numPr>
          <w:ilvl w:val="0"/>
          <w:numId w:val="4"/>
        </w:numPr>
        <w:spacing w:after="72" w:afterLines="30" w:line="500" w:lineRule="exact"/>
        <w:ind w:left="0" w:firstLine="482"/>
        <w:jc w:val="left"/>
        <w:rPr>
          <w:rFonts w:hAnsi="黑体" w:eastAsia="黑体"/>
          <w:color w:val="auto"/>
          <w:szCs w:val="21"/>
        </w:rPr>
      </w:pPr>
      <w:r>
        <w:rPr>
          <w:b/>
          <w:color w:val="auto"/>
          <w:szCs w:val="21"/>
        </w:rPr>
        <w:t xml:space="preserve">                污染物排放控制标准表</w:t>
      </w:r>
    </w:p>
    <w:tbl>
      <w:tblPr>
        <w:tblStyle w:val="27"/>
        <w:tblW w:w="4998" w:type="pct"/>
        <w:tblInd w:w="0" w:type="dxa"/>
        <w:tblBorders>
          <w:top w:val="single" w:color="auto" w:sz="6" w:space="0"/>
          <w:left w:val="none" w:color="auto" w:sz="0" w:space="0"/>
          <w:bottom w:val="single" w:color="auto" w:sz="6"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18"/>
        <w:gridCol w:w="3623"/>
        <w:gridCol w:w="1430"/>
        <w:gridCol w:w="1245"/>
        <w:gridCol w:w="751"/>
        <w:gridCol w:w="957"/>
        <w:gridCol w:w="20"/>
      </w:tblGrid>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blHeader/>
        </w:trPr>
        <w:tc>
          <w:tcPr>
            <w:tcW w:w="513" w:type="pct"/>
            <w:tcBorders>
              <w:tl2br w:val="nil"/>
              <w:tr2bl w:val="nil"/>
            </w:tcBorders>
            <w:vAlign w:val="center"/>
          </w:tcPr>
          <w:p>
            <w:pPr>
              <w:spacing w:line="240" w:lineRule="auto"/>
              <w:ind w:firstLine="0" w:firstLineChars="0"/>
              <w:jc w:val="center"/>
              <w:rPr>
                <w:b/>
                <w:color w:val="auto"/>
                <w:kern w:val="0"/>
                <w:sz w:val="21"/>
                <w:szCs w:val="21"/>
              </w:rPr>
            </w:pPr>
            <w:bookmarkStart w:id="153" w:name="_Toc413827929"/>
            <w:bookmarkStart w:id="154" w:name="_Toc402441862"/>
            <w:bookmarkStart w:id="155" w:name="_Toc441490826"/>
            <w:r>
              <w:rPr>
                <w:rFonts w:hAnsi="宋体"/>
                <w:b/>
                <w:color w:val="auto"/>
                <w:kern w:val="0"/>
                <w:sz w:val="21"/>
                <w:szCs w:val="21"/>
              </w:rPr>
              <w:t>污染</w:t>
            </w:r>
          </w:p>
          <w:p>
            <w:pPr>
              <w:spacing w:line="240" w:lineRule="auto"/>
              <w:ind w:firstLine="0" w:firstLineChars="0"/>
              <w:jc w:val="center"/>
              <w:rPr>
                <w:b/>
                <w:color w:val="auto"/>
                <w:kern w:val="0"/>
                <w:sz w:val="21"/>
                <w:szCs w:val="21"/>
              </w:rPr>
            </w:pPr>
            <w:r>
              <w:rPr>
                <w:rFonts w:hAnsi="宋体"/>
                <w:b/>
                <w:color w:val="auto"/>
                <w:kern w:val="0"/>
                <w:sz w:val="21"/>
                <w:szCs w:val="21"/>
              </w:rPr>
              <w:t>类型</w:t>
            </w:r>
          </w:p>
        </w:tc>
        <w:tc>
          <w:tcPr>
            <w:tcW w:w="2025" w:type="pct"/>
            <w:tcBorders>
              <w:tl2br w:val="nil"/>
              <w:tr2bl w:val="nil"/>
            </w:tcBorders>
            <w:vAlign w:val="center"/>
          </w:tcPr>
          <w:p>
            <w:pPr>
              <w:spacing w:line="240" w:lineRule="auto"/>
              <w:ind w:firstLine="0" w:firstLineChars="0"/>
              <w:jc w:val="center"/>
              <w:rPr>
                <w:b/>
                <w:color w:val="auto"/>
                <w:kern w:val="0"/>
                <w:sz w:val="21"/>
                <w:szCs w:val="21"/>
              </w:rPr>
            </w:pPr>
            <w:r>
              <w:rPr>
                <w:rFonts w:hAnsi="宋体"/>
                <w:b/>
                <w:color w:val="auto"/>
                <w:kern w:val="0"/>
                <w:sz w:val="21"/>
                <w:szCs w:val="21"/>
              </w:rPr>
              <w:t>标准名称</w:t>
            </w:r>
          </w:p>
        </w:tc>
        <w:tc>
          <w:tcPr>
            <w:tcW w:w="799" w:type="pct"/>
            <w:tcBorders>
              <w:tl2br w:val="nil"/>
              <w:tr2bl w:val="nil"/>
            </w:tcBorders>
            <w:vAlign w:val="center"/>
          </w:tcPr>
          <w:p>
            <w:pPr>
              <w:spacing w:line="240" w:lineRule="auto"/>
              <w:ind w:firstLine="0" w:firstLineChars="0"/>
              <w:jc w:val="center"/>
              <w:rPr>
                <w:b/>
                <w:color w:val="auto"/>
                <w:kern w:val="0"/>
                <w:sz w:val="21"/>
                <w:szCs w:val="21"/>
              </w:rPr>
            </w:pPr>
            <w:r>
              <w:rPr>
                <w:rFonts w:hAnsi="宋体"/>
                <w:b/>
                <w:color w:val="auto"/>
                <w:kern w:val="0"/>
                <w:sz w:val="21"/>
                <w:szCs w:val="21"/>
              </w:rPr>
              <w:t>污染因子</w:t>
            </w:r>
          </w:p>
        </w:tc>
        <w:tc>
          <w:tcPr>
            <w:tcW w:w="1661" w:type="pct"/>
            <w:gridSpan w:val="4"/>
            <w:tcBorders>
              <w:tl2br w:val="nil"/>
              <w:tr2bl w:val="nil"/>
            </w:tcBorders>
            <w:vAlign w:val="center"/>
          </w:tcPr>
          <w:p>
            <w:pPr>
              <w:spacing w:line="240" w:lineRule="auto"/>
              <w:ind w:firstLine="0" w:firstLineChars="0"/>
              <w:jc w:val="center"/>
              <w:rPr>
                <w:b/>
                <w:color w:val="auto"/>
                <w:kern w:val="0"/>
                <w:sz w:val="21"/>
                <w:szCs w:val="21"/>
              </w:rPr>
            </w:pPr>
            <w:r>
              <w:rPr>
                <w:rFonts w:hAnsi="宋体"/>
                <w:b/>
                <w:color w:val="auto"/>
                <w:kern w:val="0"/>
                <w:sz w:val="21"/>
                <w:szCs w:val="21"/>
              </w:rPr>
              <w:t>标准限值</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3" w:hRule="atLeast"/>
        </w:trPr>
        <w:tc>
          <w:tcPr>
            <w:tcW w:w="513" w:type="pct"/>
            <w:vMerge w:val="restart"/>
            <w:tcBorders>
              <w:tl2br w:val="nil"/>
              <w:tr2bl w:val="nil"/>
            </w:tcBorders>
            <w:vAlign w:val="center"/>
          </w:tcPr>
          <w:p>
            <w:pPr>
              <w:spacing w:line="240" w:lineRule="auto"/>
              <w:ind w:firstLine="0" w:firstLineChars="0"/>
              <w:jc w:val="center"/>
              <w:rPr>
                <w:color w:val="auto"/>
                <w:kern w:val="0"/>
                <w:sz w:val="21"/>
                <w:szCs w:val="21"/>
              </w:rPr>
            </w:pPr>
            <w:r>
              <w:rPr>
                <w:rFonts w:hAnsi="宋体"/>
                <w:color w:val="auto"/>
                <w:kern w:val="0"/>
                <w:sz w:val="21"/>
                <w:szCs w:val="21"/>
              </w:rPr>
              <w:t>废气</w:t>
            </w:r>
          </w:p>
        </w:tc>
        <w:tc>
          <w:tcPr>
            <w:tcW w:w="2025"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w:t>
            </w:r>
          </w:p>
        </w:tc>
        <w:tc>
          <w:tcPr>
            <w:tcW w:w="799"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w:t>
            </w:r>
          </w:p>
        </w:tc>
        <w:tc>
          <w:tcPr>
            <w:tcW w:w="1661" w:type="pct"/>
            <w:gridSpan w:val="4"/>
            <w:tcBorders>
              <w:tl2br w:val="nil"/>
              <w:tr2bl w:val="nil"/>
            </w:tcBorders>
            <w:vAlign w:val="center"/>
          </w:tcPr>
          <w:p>
            <w:pPr>
              <w:spacing w:line="240" w:lineRule="auto"/>
              <w:ind w:firstLine="0" w:firstLineChars="0"/>
              <w:jc w:val="center"/>
              <w:rPr>
                <w:color w:val="auto"/>
                <w:kern w:val="0"/>
                <w:sz w:val="21"/>
                <w:szCs w:val="21"/>
              </w:rPr>
            </w:pPr>
            <w:r>
              <w:rPr>
                <w:rFonts w:hAnsi="宋体"/>
                <w:color w:val="auto"/>
                <w:kern w:val="0"/>
                <w:sz w:val="21"/>
                <w:szCs w:val="21"/>
              </w:rPr>
              <w:t>最高允许排放浓度</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8" w:hRule="atLeast"/>
        </w:trPr>
        <w:tc>
          <w:tcPr>
            <w:tcW w:w="51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2025" w:type="pct"/>
            <w:vMerge w:val="restart"/>
            <w:tcBorders>
              <w:tl2br w:val="nil"/>
              <w:tr2bl w:val="nil"/>
            </w:tcBorders>
            <w:vAlign w:val="center"/>
          </w:tcPr>
          <w:p>
            <w:pPr>
              <w:spacing w:line="240" w:lineRule="auto"/>
              <w:ind w:firstLine="0" w:firstLineChars="0"/>
              <w:jc w:val="center"/>
              <w:rPr>
                <w:color w:val="auto"/>
                <w:kern w:val="0"/>
                <w:sz w:val="21"/>
                <w:szCs w:val="21"/>
              </w:rPr>
            </w:pPr>
            <w:r>
              <w:rPr>
                <w:rFonts w:hAnsi="宋体"/>
                <w:color w:val="auto"/>
                <w:kern w:val="0"/>
                <w:sz w:val="21"/>
                <w:szCs w:val="21"/>
              </w:rPr>
              <w:t>《恶臭污染物排放标准》（</w:t>
            </w:r>
            <w:r>
              <w:rPr>
                <w:color w:val="auto"/>
                <w:kern w:val="0"/>
                <w:sz w:val="21"/>
                <w:szCs w:val="21"/>
              </w:rPr>
              <w:t>GB14554-93</w:t>
            </w:r>
            <w:r>
              <w:rPr>
                <w:rFonts w:hAnsi="宋体"/>
                <w:color w:val="auto"/>
                <w:kern w:val="0"/>
                <w:sz w:val="21"/>
                <w:szCs w:val="21"/>
              </w:rPr>
              <w:t>）厂界</w:t>
            </w:r>
            <w:r>
              <w:rPr>
                <w:rFonts w:hint="eastAsia" w:hAnsi="宋体"/>
                <w:color w:val="auto"/>
                <w:kern w:val="0"/>
                <w:sz w:val="21"/>
                <w:szCs w:val="21"/>
              </w:rPr>
              <w:t>无组织</w:t>
            </w:r>
          </w:p>
        </w:tc>
        <w:tc>
          <w:tcPr>
            <w:tcW w:w="799"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NH</w:t>
            </w:r>
            <w:r>
              <w:rPr>
                <w:color w:val="auto"/>
                <w:kern w:val="0"/>
                <w:sz w:val="21"/>
                <w:szCs w:val="21"/>
                <w:vertAlign w:val="subscript"/>
              </w:rPr>
              <w:t>3</w:t>
            </w:r>
            <w:r>
              <w:rPr>
                <w:rFonts w:hAnsi="宋体"/>
                <w:color w:val="auto"/>
                <w:kern w:val="0"/>
                <w:sz w:val="21"/>
                <w:szCs w:val="21"/>
              </w:rPr>
              <w:t>（</w:t>
            </w:r>
            <w:r>
              <w:rPr>
                <w:color w:val="auto"/>
                <w:kern w:val="0"/>
                <w:sz w:val="21"/>
                <w:szCs w:val="21"/>
              </w:rPr>
              <w:t>mg/m</w:t>
            </w:r>
            <w:r>
              <w:rPr>
                <w:color w:val="auto"/>
                <w:kern w:val="0"/>
                <w:sz w:val="21"/>
                <w:szCs w:val="21"/>
                <w:vertAlign w:val="superscript"/>
              </w:rPr>
              <w:t>3</w:t>
            </w:r>
            <w:r>
              <w:rPr>
                <w:rFonts w:hAnsi="宋体"/>
                <w:color w:val="auto"/>
                <w:kern w:val="0"/>
                <w:sz w:val="21"/>
                <w:szCs w:val="21"/>
              </w:rPr>
              <w:t>）</w:t>
            </w:r>
          </w:p>
        </w:tc>
        <w:tc>
          <w:tcPr>
            <w:tcW w:w="1661" w:type="pct"/>
            <w:gridSpan w:val="4"/>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≤1.5</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51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2025"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799"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H</w:t>
            </w:r>
            <w:r>
              <w:rPr>
                <w:color w:val="auto"/>
                <w:kern w:val="0"/>
                <w:sz w:val="21"/>
                <w:szCs w:val="21"/>
                <w:vertAlign w:val="subscript"/>
              </w:rPr>
              <w:t>2</w:t>
            </w:r>
            <w:r>
              <w:rPr>
                <w:color w:val="auto"/>
                <w:kern w:val="0"/>
                <w:sz w:val="21"/>
                <w:szCs w:val="21"/>
              </w:rPr>
              <w:t>S</w:t>
            </w:r>
            <w:r>
              <w:rPr>
                <w:rFonts w:hAnsi="宋体"/>
                <w:color w:val="auto"/>
                <w:kern w:val="0"/>
                <w:sz w:val="21"/>
                <w:szCs w:val="21"/>
              </w:rPr>
              <w:t>（</w:t>
            </w:r>
            <w:r>
              <w:rPr>
                <w:color w:val="auto"/>
                <w:kern w:val="0"/>
                <w:sz w:val="21"/>
                <w:szCs w:val="21"/>
              </w:rPr>
              <w:t>mg/m</w:t>
            </w:r>
            <w:r>
              <w:rPr>
                <w:color w:val="auto"/>
                <w:kern w:val="0"/>
                <w:sz w:val="21"/>
                <w:szCs w:val="21"/>
                <w:vertAlign w:val="superscript"/>
              </w:rPr>
              <w:t>3</w:t>
            </w:r>
            <w:r>
              <w:rPr>
                <w:rFonts w:hAnsi="宋体"/>
                <w:color w:val="auto"/>
                <w:kern w:val="0"/>
                <w:sz w:val="21"/>
                <w:szCs w:val="21"/>
              </w:rPr>
              <w:t>）</w:t>
            </w:r>
          </w:p>
        </w:tc>
        <w:tc>
          <w:tcPr>
            <w:tcW w:w="1661" w:type="pct"/>
            <w:gridSpan w:val="4"/>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≤0.06</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5" w:hRule="atLeast"/>
        </w:trPr>
        <w:tc>
          <w:tcPr>
            <w:tcW w:w="51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2025" w:type="pct"/>
            <w:tcBorders>
              <w:tl2br w:val="nil"/>
              <w:tr2bl w:val="nil"/>
            </w:tcBorders>
            <w:vAlign w:val="center"/>
          </w:tcPr>
          <w:p>
            <w:pPr>
              <w:spacing w:line="240" w:lineRule="auto"/>
              <w:ind w:firstLine="0" w:firstLineChars="0"/>
              <w:jc w:val="center"/>
              <w:rPr>
                <w:color w:val="auto"/>
                <w:kern w:val="0"/>
                <w:sz w:val="21"/>
                <w:szCs w:val="21"/>
              </w:rPr>
            </w:pPr>
            <w:r>
              <w:rPr>
                <w:rFonts w:hAnsi="宋体"/>
                <w:color w:val="auto"/>
                <w:kern w:val="0"/>
                <w:sz w:val="21"/>
                <w:szCs w:val="21"/>
              </w:rPr>
              <w:t>《畜禽养殖业污染物排放标准》（</w:t>
            </w:r>
            <w:r>
              <w:rPr>
                <w:color w:val="auto"/>
                <w:kern w:val="0"/>
                <w:sz w:val="21"/>
                <w:szCs w:val="21"/>
              </w:rPr>
              <w:t>GB18596-2001</w:t>
            </w:r>
            <w:r>
              <w:rPr>
                <w:rFonts w:hAnsi="宋体"/>
                <w:color w:val="auto"/>
                <w:kern w:val="0"/>
                <w:sz w:val="21"/>
                <w:szCs w:val="21"/>
              </w:rPr>
              <w:t>）</w:t>
            </w:r>
          </w:p>
        </w:tc>
        <w:tc>
          <w:tcPr>
            <w:tcW w:w="799" w:type="pct"/>
            <w:tcBorders>
              <w:tl2br w:val="nil"/>
              <w:tr2bl w:val="nil"/>
            </w:tcBorders>
            <w:vAlign w:val="center"/>
          </w:tcPr>
          <w:p>
            <w:pPr>
              <w:spacing w:line="240" w:lineRule="auto"/>
              <w:ind w:firstLine="0" w:firstLineChars="0"/>
              <w:jc w:val="center"/>
              <w:rPr>
                <w:color w:val="auto"/>
                <w:kern w:val="0"/>
                <w:sz w:val="21"/>
                <w:szCs w:val="21"/>
              </w:rPr>
            </w:pPr>
            <w:r>
              <w:rPr>
                <w:rFonts w:hAnsi="宋体"/>
                <w:color w:val="auto"/>
                <w:kern w:val="0"/>
                <w:sz w:val="21"/>
                <w:szCs w:val="21"/>
              </w:rPr>
              <w:t>臭气浓度</w:t>
            </w:r>
          </w:p>
        </w:tc>
        <w:tc>
          <w:tcPr>
            <w:tcW w:w="1661" w:type="pct"/>
            <w:gridSpan w:val="4"/>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≤70</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2" w:hRule="atLeast"/>
        </w:trPr>
        <w:tc>
          <w:tcPr>
            <w:tcW w:w="51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2025" w:type="pct"/>
            <w:vMerge w:val="restart"/>
            <w:tcBorders>
              <w:tl2br w:val="nil"/>
              <w:tr2bl w:val="nil"/>
            </w:tcBorders>
            <w:vAlign w:val="center"/>
          </w:tcPr>
          <w:p>
            <w:pPr>
              <w:spacing w:line="240" w:lineRule="auto"/>
              <w:ind w:firstLine="0" w:firstLineChars="0"/>
              <w:jc w:val="center"/>
              <w:rPr>
                <w:rFonts w:hAnsi="宋体"/>
                <w:color w:val="auto"/>
                <w:kern w:val="0"/>
                <w:sz w:val="21"/>
                <w:szCs w:val="21"/>
              </w:rPr>
            </w:pPr>
            <w:r>
              <w:rPr>
                <w:rFonts w:hAnsi="宋体"/>
                <w:color w:val="auto"/>
                <w:kern w:val="0"/>
                <w:sz w:val="21"/>
                <w:szCs w:val="21"/>
              </w:rPr>
              <w:t>《餐饮业油烟污染物排放标准》（DB41/1604-2018）表</w:t>
            </w:r>
            <w:r>
              <w:rPr>
                <w:rFonts w:hint="eastAsia" w:hAnsi="宋体"/>
                <w:color w:val="auto"/>
                <w:kern w:val="0"/>
                <w:sz w:val="21"/>
                <w:szCs w:val="21"/>
              </w:rPr>
              <w:t>1</w:t>
            </w:r>
          </w:p>
        </w:tc>
        <w:tc>
          <w:tcPr>
            <w:tcW w:w="799" w:type="pct"/>
            <w:tcBorders>
              <w:tl2br w:val="nil"/>
              <w:tr2bl w:val="nil"/>
            </w:tcBorders>
            <w:vAlign w:val="center"/>
          </w:tcPr>
          <w:p>
            <w:pPr>
              <w:spacing w:line="240" w:lineRule="auto"/>
              <w:ind w:firstLine="0" w:firstLineChars="0"/>
              <w:jc w:val="center"/>
              <w:rPr>
                <w:rFonts w:hAnsi="宋体"/>
                <w:color w:val="auto"/>
                <w:kern w:val="0"/>
                <w:sz w:val="21"/>
                <w:szCs w:val="21"/>
              </w:rPr>
            </w:pPr>
            <w:r>
              <w:rPr>
                <w:rFonts w:hAnsi="宋体"/>
                <w:color w:val="auto"/>
                <w:kern w:val="0"/>
                <w:sz w:val="21"/>
                <w:szCs w:val="21"/>
              </w:rPr>
              <w:t>油烟排放限值</w:t>
            </w:r>
          </w:p>
        </w:tc>
        <w:tc>
          <w:tcPr>
            <w:tcW w:w="1661" w:type="pct"/>
            <w:gridSpan w:val="4"/>
            <w:tcBorders>
              <w:tl2br w:val="nil"/>
              <w:tr2bl w:val="nil"/>
            </w:tcBorders>
            <w:vAlign w:val="center"/>
          </w:tcPr>
          <w:p>
            <w:pPr>
              <w:spacing w:line="240" w:lineRule="auto"/>
              <w:ind w:firstLine="0" w:firstLineChars="0"/>
              <w:jc w:val="center"/>
              <w:rPr>
                <w:rFonts w:hAnsi="宋体"/>
                <w:color w:val="auto"/>
                <w:kern w:val="0"/>
                <w:sz w:val="21"/>
                <w:szCs w:val="21"/>
              </w:rPr>
            </w:pPr>
            <w:r>
              <w:rPr>
                <w:rFonts w:hint="eastAsia" w:hAnsi="宋体"/>
                <w:color w:val="auto"/>
                <w:kern w:val="0"/>
                <w:sz w:val="21"/>
                <w:szCs w:val="21"/>
              </w:rPr>
              <w:t>小型规模：</w:t>
            </w:r>
            <w:r>
              <w:rPr>
                <w:rFonts w:hAnsi="宋体"/>
                <w:color w:val="auto"/>
                <w:kern w:val="0"/>
                <w:sz w:val="21"/>
                <w:szCs w:val="21"/>
              </w:rPr>
              <w:t>油烟排放限值1.</w:t>
            </w:r>
            <w:r>
              <w:rPr>
                <w:rFonts w:hint="eastAsia" w:hAnsi="宋体"/>
                <w:color w:val="auto"/>
                <w:kern w:val="0"/>
                <w:sz w:val="21"/>
                <w:szCs w:val="21"/>
              </w:rPr>
              <w:t>5</w:t>
            </w:r>
            <w:r>
              <w:rPr>
                <w:rFonts w:hAnsi="宋体"/>
                <w:color w:val="auto"/>
                <w:kern w:val="0"/>
                <w:sz w:val="21"/>
                <w:szCs w:val="21"/>
              </w:rPr>
              <w:t>mg/m</w:t>
            </w:r>
            <w:r>
              <w:rPr>
                <w:rFonts w:hAnsi="宋体"/>
                <w:color w:val="auto"/>
                <w:kern w:val="0"/>
                <w:sz w:val="21"/>
                <w:szCs w:val="21"/>
                <w:vertAlign w:val="superscript"/>
              </w:rPr>
              <w:t>3</w:t>
            </w:r>
            <w:r>
              <w:rPr>
                <w:rFonts w:hAnsi="宋体"/>
                <w:color w:val="auto"/>
                <w:kern w:val="0"/>
                <w:sz w:val="21"/>
                <w:szCs w:val="21"/>
              </w:rPr>
              <w:t>、</w:t>
            </w:r>
            <w:r>
              <w:rPr>
                <w:rFonts w:hint="eastAsia" w:hAnsi="宋体"/>
                <w:color w:val="auto"/>
                <w:kern w:val="0"/>
                <w:sz w:val="21"/>
                <w:szCs w:val="21"/>
              </w:rPr>
              <w:t>烟去除效率≥90%</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1" w:hRule="atLeast"/>
        </w:trPr>
        <w:tc>
          <w:tcPr>
            <w:tcW w:w="51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2025" w:type="pct"/>
            <w:vMerge w:val="continue"/>
            <w:tcBorders>
              <w:tl2br w:val="nil"/>
              <w:tr2bl w:val="nil"/>
            </w:tcBorders>
            <w:vAlign w:val="center"/>
          </w:tcPr>
          <w:p>
            <w:pPr>
              <w:spacing w:line="240" w:lineRule="auto"/>
              <w:ind w:firstLine="0" w:firstLineChars="0"/>
              <w:jc w:val="center"/>
              <w:rPr>
                <w:rFonts w:hAnsi="宋体"/>
                <w:color w:val="auto"/>
                <w:kern w:val="0"/>
                <w:sz w:val="21"/>
                <w:szCs w:val="21"/>
              </w:rPr>
            </w:pPr>
          </w:p>
        </w:tc>
        <w:tc>
          <w:tcPr>
            <w:tcW w:w="799" w:type="pct"/>
            <w:tcBorders>
              <w:tl2br w:val="nil"/>
              <w:tr2bl w:val="nil"/>
            </w:tcBorders>
            <w:vAlign w:val="center"/>
          </w:tcPr>
          <w:p>
            <w:pPr>
              <w:spacing w:line="240" w:lineRule="auto"/>
              <w:ind w:firstLine="0" w:firstLineChars="0"/>
              <w:jc w:val="center"/>
              <w:rPr>
                <w:rFonts w:hAnsi="宋体"/>
                <w:color w:val="auto"/>
                <w:kern w:val="0"/>
                <w:sz w:val="21"/>
                <w:szCs w:val="21"/>
              </w:rPr>
            </w:pPr>
            <w:r>
              <w:rPr>
                <w:rFonts w:hAnsi="宋体"/>
                <w:color w:val="auto"/>
                <w:kern w:val="0"/>
                <w:sz w:val="21"/>
                <w:szCs w:val="21"/>
              </w:rPr>
              <w:t>非甲烷总烃排放限值</w:t>
            </w:r>
          </w:p>
        </w:tc>
        <w:tc>
          <w:tcPr>
            <w:tcW w:w="1661" w:type="pct"/>
            <w:gridSpan w:val="4"/>
            <w:tcBorders>
              <w:tl2br w:val="nil"/>
              <w:tr2bl w:val="nil"/>
            </w:tcBorders>
            <w:vAlign w:val="center"/>
          </w:tcPr>
          <w:p>
            <w:pPr>
              <w:spacing w:line="240" w:lineRule="auto"/>
              <w:ind w:firstLine="0" w:firstLineChars="0"/>
              <w:jc w:val="center"/>
              <w:rPr>
                <w:rFonts w:hAnsi="宋体"/>
                <w:color w:val="auto"/>
                <w:kern w:val="0"/>
                <w:sz w:val="21"/>
                <w:szCs w:val="21"/>
              </w:rPr>
            </w:pPr>
            <w:r>
              <w:rPr>
                <w:rFonts w:hint="eastAsia" w:hAnsi="宋体"/>
                <w:color w:val="auto"/>
                <w:kern w:val="0"/>
                <w:sz w:val="21"/>
                <w:szCs w:val="21"/>
              </w:rPr>
              <w:t>/</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0" w:type="pct"/>
          <w:trHeight w:val="465" w:hRule="atLeast"/>
        </w:trPr>
        <w:tc>
          <w:tcPr>
            <w:tcW w:w="513" w:type="pct"/>
            <w:vMerge w:val="restart"/>
            <w:tcBorders>
              <w:tl2br w:val="nil"/>
              <w:tr2bl w:val="nil"/>
            </w:tcBorders>
            <w:vAlign w:val="center"/>
          </w:tcPr>
          <w:p>
            <w:pPr>
              <w:spacing w:line="240" w:lineRule="auto"/>
              <w:ind w:firstLine="0" w:firstLineChars="0"/>
              <w:jc w:val="center"/>
              <w:rPr>
                <w:color w:val="auto"/>
                <w:kern w:val="0"/>
                <w:sz w:val="21"/>
                <w:szCs w:val="21"/>
              </w:rPr>
            </w:pPr>
            <w:r>
              <w:rPr>
                <w:rFonts w:hAnsi="宋体"/>
                <w:color w:val="auto"/>
                <w:kern w:val="0"/>
                <w:sz w:val="21"/>
                <w:szCs w:val="21"/>
              </w:rPr>
              <w:t>噪声</w:t>
            </w:r>
          </w:p>
        </w:tc>
        <w:tc>
          <w:tcPr>
            <w:tcW w:w="2025" w:type="pct"/>
            <w:vMerge w:val="restart"/>
            <w:tcBorders>
              <w:tl2br w:val="nil"/>
              <w:tr2bl w:val="nil"/>
            </w:tcBorders>
            <w:vAlign w:val="center"/>
          </w:tcPr>
          <w:p>
            <w:pPr>
              <w:spacing w:line="240" w:lineRule="auto"/>
              <w:ind w:firstLine="0" w:firstLineChars="0"/>
              <w:jc w:val="center"/>
              <w:rPr>
                <w:color w:val="auto"/>
                <w:kern w:val="0"/>
                <w:sz w:val="21"/>
                <w:szCs w:val="21"/>
              </w:rPr>
            </w:pPr>
            <w:r>
              <w:rPr>
                <w:rFonts w:hAnsi="宋体"/>
                <w:color w:val="auto"/>
                <w:kern w:val="0"/>
                <w:sz w:val="21"/>
                <w:szCs w:val="21"/>
              </w:rPr>
              <w:t>《建筑施工</w:t>
            </w:r>
            <w:r>
              <w:rPr>
                <w:rFonts w:hint="eastAsia" w:hAnsi="宋体"/>
                <w:color w:val="auto"/>
                <w:kern w:val="0"/>
                <w:sz w:val="21"/>
                <w:szCs w:val="21"/>
              </w:rPr>
              <w:t>厂界</w:t>
            </w:r>
            <w:r>
              <w:rPr>
                <w:rFonts w:hAnsi="宋体"/>
                <w:color w:val="auto"/>
                <w:kern w:val="0"/>
                <w:sz w:val="21"/>
                <w:szCs w:val="21"/>
              </w:rPr>
              <w:t>环境噪声排放标准》（</w:t>
            </w:r>
            <w:r>
              <w:rPr>
                <w:color w:val="auto"/>
                <w:kern w:val="0"/>
                <w:sz w:val="21"/>
                <w:szCs w:val="21"/>
              </w:rPr>
              <w:t>GB12523-2011</w:t>
            </w:r>
            <w:r>
              <w:rPr>
                <w:rFonts w:hAnsi="宋体"/>
                <w:color w:val="auto"/>
                <w:kern w:val="0"/>
                <w:sz w:val="21"/>
                <w:szCs w:val="21"/>
              </w:rPr>
              <w:t>）</w:t>
            </w:r>
          </w:p>
        </w:tc>
        <w:tc>
          <w:tcPr>
            <w:tcW w:w="799" w:type="pct"/>
            <w:vMerge w:val="restart"/>
            <w:tcBorders>
              <w:tl2br w:val="nil"/>
              <w:tr2bl w:val="nil"/>
            </w:tcBorders>
            <w:vAlign w:val="center"/>
          </w:tcPr>
          <w:p>
            <w:pPr>
              <w:spacing w:line="240" w:lineRule="auto"/>
              <w:ind w:firstLine="0" w:firstLineChars="0"/>
              <w:jc w:val="center"/>
              <w:rPr>
                <w:color w:val="auto"/>
                <w:kern w:val="0"/>
                <w:sz w:val="21"/>
                <w:szCs w:val="21"/>
              </w:rPr>
            </w:pPr>
            <w:r>
              <w:rPr>
                <w:rFonts w:hAnsi="宋体"/>
                <w:color w:val="auto"/>
                <w:kern w:val="0"/>
                <w:sz w:val="21"/>
                <w:szCs w:val="21"/>
              </w:rPr>
              <w:t>噪声</w:t>
            </w:r>
            <w:r>
              <w:rPr>
                <w:color w:val="auto"/>
                <w:kern w:val="0"/>
                <w:sz w:val="21"/>
                <w:szCs w:val="21"/>
              </w:rPr>
              <w:t>dB</w:t>
            </w:r>
            <w:r>
              <w:rPr>
                <w:rFonts w:hAnsi="宋体"/>
                <w:color w:val="auto"/>
                <w:kern w:val="0"/>
                <w:sz w:val="21"/>
                <w:szCs w:val="21"/>
              </w:rPr>
              <w:t>（</w:t>
            </w:r>
            <w:r>
              <w:rPr>
                <w:color w:val="auto"/>
                <w:kern w:val="0"/>
                <w:sz w:val="21"/>
                <w:szCs w:val="21"/>
              </w:rPr>
              <w:t>A</w:t>
            </w:r>
            <w:r>
              <w:rPr>
                <w:rFonts w:hAnsi="宋体"/>
                <w:color w:val="auto"/>
                <w:kern w:val="0"/>
                <w:sz w:val="21"/>
                <w:szCs w:val="21"/>
              </w:rPr>
              <w:t>）</w:t>
            </w:r>
          </w:p>
        </w:tc>
        <w:tc>
          <w:tcPr>
            <w:tcW w:w="696" w:type="pct"/>
            <w:tcBorders>
              <w:tl2br w:val="nil"/>
              <w:tr2bl w:val="nil"/>
            </w:tcBorders>
            <w:vAlign w:val="center"/>
          </w:tcPr>
          <w:p>
            <w:pPr>
              <w:spacing w:line="240" w:lineRule="auto"/>
              <w:ind w:firstLine="0" w:firstLineChars="0"/>
              <w:jc w:val="center"/>
              <w:rPr>
                <w:color w:val="auto"/>
                <w:kern w:val="0"/>
                <w:sz w:val="21"/>
                <w:szCs w:val="21"/>
              </w:rPr>
            </w:pPr>
            <w:r>
              <w:rPr>
                <w:rFonts w:hAnsi="宋体"/>
                <w:color w:val="auto"/>
                <w:kern w:val="0"/>
                <w:sz w:val="21"/>
                <w:szCs w:val="21"/>
              </w:rPr>
              <w:t>昼间</w:t>
            </w:r>
          </w:p>
        </w:tc>
        <w:tc>
          <w:tcPr>
            <w:tcW w:w="955"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70</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0" w:type="pct"/>
          <w:trHeight w:val="465" w:hRule="atLeast"/>
        </w:trPr>
        <w:tc>
          <w:tcPr>
            <w:tcW w:w="51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2025"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799"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696" w:type="pct"/>
            <w:tcBorders>
              <w:tl2br w:val="nil"/>
              <w:tr2bl w:val="nil"/>
            </w:tcBorders>
            <w:vAlign w:val="center"/>
          </w:tcPr>
          <w:p>
            <w:pPr>
              <w:spacing w:line="240" w:lineRule="auto"/>
              <w:ind w:firstLine="0" w:firstLineChars="0"/>
              <w:jc w:val="center"/>
              <w:rPr>
                <w:color w:val="auto"/>
                <w:kern w:val="0"/>
                <w:sz w:val="21"/>
                <w:szCs w:val="21"/>
              </w:rPr>
            </w:pPr>
            <w:r>
              <w:rPr>
                <w:rFonts w:hAnsi="宋体"/>
                <w:color w:val="auto"/>
                <w:kern w:val="0"/>
                <w:sz w:val="21"/>
                <w:szCs w:val="21"/>
              </w:rPr>
              <w:t>夜间</w:t>
            </w:r>
          </w:p>
        </w:tc>
        <w:tc>
          <w:tcPr>
            <w:tcW w:w="955"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55</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51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2025" w:type="pct"/>
            <w:vMerge w:val="restart"/>
            <w:tcBorders>
              <w:tl2br w:val="nil"/>
              <w:tr2bl w:val="nil"/>
            </w:tcBorders>
            <w:vAlign w:val="center"/>
          </w:tcPr>
          <w:p>
            <w:pPr>
              <w:spacing w:line="240" w:lineRule="auto"/>
              <w:ind w:firstLine="0" w:firstLineChars="0"/>
              <w:jc w:val="center"/>
              <w:rPr>
                <w:color w:val="auto"/>
                <w:kern w:val="0"/>
                <w:sz w:val="21"/>
                <w:szCs w:val="21"/>
              </w:rPr>
            </w:pPr>
            <w:r>
              <w:rPr>
                <w:rFonts w:hAnsi="宋体"/>
                <w:color w:val="auto"/>
                <w:kern w:val="0"/>
                <w:sz w:val="21"/>
                <w:szCs w:val="21"/>
              </w:rPr>
              <w:t>《工业企业厂界环境噪声排放标准》（</w:t>
            </w:r>
            <w:r>
              <w:rPr>
                <w:color w:val="auto"/>
                <w:kern w:val="0"/>
                <w:sz w:val="21"/>
                <w:szCs w:val="21"/>
              </w:rPr>
              <w:t>GB12348-2008</w:t>
            </w:r>
            <w:r>
              <w:rPr>
                <w:rFonts w:hAnsi="宋体"/>
                <w:color w:val="auto"/>
                <w:kern w:val="0"/>
                <w:sz w:val="21"/>
                <w:szCs w:val="21"/>
              </w:rPr>
              <w:t>）</w:t>
            </w:r>
          </w:p>
        </w:tc>
        <w:tc>
          <w:tcPr>
            <w:tcW w:w="799" w:type="pct"/>
            <w:vMerge w:val="restart"/>
            <w:tcBorders>
              <w:tl2br w:val="nil"/>
              <w:tr2bl w:val="nil"/>
            </w:tcBorders>
            <w:vAlign w:val="center"/>
          </w:tcPr>
          <w:p>
            <w:pPr>
              <w:spacing w:line="240" w:lineRule="auto"/>
              <w:ind w:firstLine="0" w:firstLineChars="0"/>
              <w:jc w:val="center"/>
              <w:rPr>
                <w:color w:val="auto"/>
                <w:kern w:val="0"/>
                <w:sz w:val="21"/>
                <w:szCs w:val="21"/>
              </w:rPr>
            </w:pPr>
            <w:r>
              <w:rPr>
                <w:rFonts w:hAnsi="宋体"/>
                <w:color w:val="auto"/>
                <w:kern w:val="0"/>
                <w:sz w:val="21"/>
                <w:szCs w:val="21"/>
              </w:rPr>
              <w:t>噪声</w:t>
            </w:r>
            <w:r>
              <w:rPr>
                <w:color w:val="auto"/>
                <w:kern w:val="0"/>
                <w:sz w:val="21"/>
                <w:szCs w:val="21"/>
              </w:rPr>
              <w:t>dB</w:t>
            </w:r>
            <w:r>
              <w:rPr>
                <w:rFonts w:hAnsi="宋体"/>
                <w:color w:val="auto"/>
                <w:kern w:val="0"/>
                <w:sz w:val="21"/>
                <w:szCs w:val="21"/>
              </w:rPr>
              <w:t>（</w:t>
            </w:r>
            <w:r>
              <w:rPr>
                <w:color w:val="auto"/>
                <w:kern w:val="0"/>
                <w:sz w:val="21"/>
                <w:szCs w:val="21"/>
              </w:rPr>
              <w:t>A</w:t>
            </w:r>
            <w:r>
              <w:rPr>
                <w:rFonts w:hAnsi="宋体"/>
                <w:color w:val="auto"/>
                <w:kern w:val="0"/>
                <w:sz w:val="21"/>
                <w:szCs w:val="21"/>
              </w:rPr>
              <w:t>）</w:t>
            </w:r>
          </w:p>
        </w:tc>
        <w:tc>
          <w:tcPr>
            <w:tcW w:w="696" w:type="pct"/>
            <w:tcBorders>
              <w:tl2br w:val="nil"/>
              <w:tr2bl w:val="nil"/>
            </w:tcBorders>
            <w:vAlign w:val="center"/>
          </w:tcPr>
          <w:p>
            <w:pPr>
              <w:spacing w:line="240" w:lineRule="auto"/>
              <w:ind w:firstLine="0" w:firstLineChars="0"/>
              <w:jc w:val="center"/>
              <w:rPr>
                <w:color w:val="auto"/>
                <w:kern w:val="0"/>
                <w:sz w:val="21"/>
                <w:szCs w:val="21"/>
              </w:rPr>
            </w:pPr>
            <w:r>
              <w:rPr>
                <w:rFonts w:hAnsi="宋体"/>
                <w:color w:val="auto"/>
                <w:kern w:val="0"/>
                <w:sz w:val="21"/>
                <w:szCs w:val="21"/>
              </w:rPr>
              <w:t>功能类别</w:t>
            </w:r>
          </w:p>
        </w:tc>
        <w:tc>
          <w:tcPr>
            <w:tcW w:w="420" w:type="pct"/>
            <w:tcBorders>
              <w:tl2br w:val="nil"/>
              <w:tr2bl w:val="nil"/>
            </w:tcBorders>
            <w:vAlign w:val="center"/>
          </w:tcPr>
          <w:p>
            <w:pPr>
              <w:spacing w:line="240" w:lineRule="auto"/>
              <w:ind w:firstLine="0" w:firstLineChars="0"/>
              <w:jc w:val="center"/>
              <w:rPr>
                <w:color w:val="auto"/>
                <w:kern w:val="0"/>
                <w:sz w:val="21"/>
                <w:szCs w:val="21"/>
              </w:rPr>
            </w:pPr>
            <w:r>
              <w:rPr>
                <w:rFonts w:hAnsi="宋体"/>
                <w:color w:val="auto"/>
                <w:kern w:val="0"/>
                <w:sz w:val="21"/>
                <w:szCs w:val="21"/>
              </w:rPr>
              <w:t>昼间</w:t>
            </w:r>
          </w:p>
        </w:tc>
        <w:tc>
          <w:tcPr>
            <w:tcW w:w="544" w:type="pct"/>
            <w:gridSpan w:val="2"/>
            <w:tcBorders>
              <w:tl2br w:val="nil"/>
              <w:tr2bl w:val="nil"/>
            </w:tcBorders>
            <w:vAlign w:val="center"/>
          </w:tcPr>
          <w:p>
            <w:pPr>
              <w:spacing w:line="240" w:lineRule="auto"/>
              <w:ind w:firstLine="0" w:firstLineChars="0"/>
              <w:jc w:val="center"/>
              <w:rPr>
                <w:color w:val="auto"/>
                <w:kern w:val="0"/>
                <w:sz w:val="21"/>
                <w:szCs w:val="21"/>
              </w:rPr>
            </w:pPr>
            <w:r>
              <w:rPr>
                <w:rFonts w:hAnsi="宋体"/>
                <w:color w:val="auto"/>
                <w:kern w:val="0"/>
                <w:sz w:val="21"/>
                <w:szCs w:val="21"/>
              </w:rPr>
              <w:t>夜间</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51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2025"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799"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696"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2</w:t>
            </w:r>
            <w:r>
              <w:rPr>
                <w:rFonts w:hAnsi="宋体"/>
                <w:color w:val="auto"/>
                <w:kern w:val="0"/>
                <w:sz w:val="21"/>
                <w:szCs w:val="21"/>
              </w:rPr>
              <w:t>类</w:t>
            </w:r>
          </w:p>
        </w:tc>
        <w:tc>
          <w:tcPr>
            <w:tcW w:w="420"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60</w:t>
            </w:r>
          </w:p>
        </w:tc>
        <w:tc>
          <w:tcPr>
            <w:tcW w:w="544" w:type="pct"/>
            <w:gridSpan w:val="2"/>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50</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513" w:type="pct"/>
            <w:vMerge w:val="restart"/>
            <w:tcBorders>
              <w:tl2br w:val="nil"/>
              <w:tr2bl w:val="nil"/>
            </w:tcBorders>
            <w:vAlign w:val="center"/>
          </w:tcPr>
          <w:p>
            <w:pPr>
              <w:spacing w:line="240" w:lineRule="auto"/>
              <w:ind w:firstLine="0" w:firstLineChars="0"/>
              <w:jc w:val="center"/>
              <w:rPr>
                <w:color w:val="auto"/>
                <w:kern w:val="0"/>
                <w:sz w:val="21"/>
                <w:szCs w:val="21"/>
              </w:rPr>
            </w:pPr>
            <w:r>
              <w:rPr>
                <w:rFonts w:hAnsi="宋体"/>
                <w:color w:val="auto"/>
                <w:kern w:val="0"/>
                <w:sz w:val="21"/>
                <w:szCs w:val="21"/>
              </w:rPr>
              <w:t>固废</w:t>
            </w:r>
          </w:p>
        </w:tc>
        <w:tc>
          <w:tcPr>
            <w:tcW w:w="4486" w:type="pct"/>
            <w:gridSpan w:val="6"/>
            <w:tcBorders>
              <w:tl2br w:val="nil"/>
              <w:tr2bl w:val="nil"/>
            </w:tcBorders>
            <w:vAlign w:val="center"/>
          </w:tcPr>
          <w:p>
            <w:pPr>
              <w:spacing w:line="240" w:lineRule="auto"/>
              <w:ind w:firstLine="0" w:firstLineChars="0"/>
              <w:jc w:val="center"/>
              <w:rPr>
                <w:color w:val="auto"/>
                <w:kern w:val="0"/>
                <w:sz w:val="21"/>
                <w:szCs w:val="21"/>
              </w:rPr>
            </w:pPr>
            <w:r>
              <w:rPr>
                <w:rFonts w:hAnsi="宋体"/>
                <w:color w:val="auto"/>
                <w:kern w:val="0"/>
                <w:sz w:val="21"/>
                <w:szCs w:val="21"/>
              </w:rPr>
              <w:t>《一般工业固体废物贮存、污染控制标准》（</w:t>
            </w:r>
            <w:r>
              <w:rPr>
                <w:color w:val="auto"/>
                <w:kern w:val="0"/>
                <w:sz w:val="21"/>
                <w:szCs w:val="21"/>
              </w:rPr>
              <w:t>GB18599-2001)及其2013年修改单</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0" w:hRule="atLeast"/>
        </w:trPr>
        <w:tc>
          <w:tcPr>
            <w:tcW w:w="51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4486" w:type="pct"/>
            <w:gridSpan w:val="6"/>
            <w:tcBorders>
              <w:tl2br w:val="nil"/>
              <w:tr2bl w:val="nil"/>
            </w:tcBorders>
            <w:vAlign w:val="center"/>
          </w:tcPr>
          <w:p>
            <w:pPr>
              <w:spacing w:line="240" w:lineRule="auto"/>
              <w:ind w:firstLine="0" w:firstLineChars="0"/>
              <w:jc w:val="center"/>
              <w:rPr>
                <w:color w:val="auto"/>
                <w:kern w:val="0"/>
                <w:sz w:val="21"/>
                <w:szCs w:val="21"/>
              </w:rPr>
            </w:pPr>
            <w:r>
              <w:rPr>
                <w:rFonts w:hAnsi="宋体"/>
                <w:color w:val="auto"/>
                <w:kern w:val="0"/>
                <w:sz w:val="21"/>
                <w:szCs w:val="21"/>
              </w:rPr>
              <w:t>《危险废物贮存污染控制标准》（</w:t>
            </w:r>
            <w:r>
              <w:rPr>
                <w:color w:val="auto"/>
                <w:kern w:val="0"/>
                <w:sz w:val="21"/>
                <w:szCs w:val="21"/>
              </w:rPr>
              <w:t>GB18597-2001</w:t>
            </w:r>
            <w:r>
              <w:rPr>
                <w:rFonts w:hAnsi="宋体"/>
                <w:color w:val="auto"/>
                <w:kern w:val="0"/>
                <w:sz w:val="21"/>
                <w:szCs w:val="21"/>
              </w:rPr>
              <w:t>）及其</w:t>
            </w:r>
            <w:r>
              <w:rPr>
                <w:rFonts w:hint="eastAsia" w:hAnsi="宋体"/>
                <w:color w:val="auto"/>
                <w:kern w:val="0"/>
                <w:sz w:val="21"/>
                <w:szCs w:val="21"/>
              </w:rPr>
              <w:t>2013年修改单</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8" w:hRule="atLeast"/>
        </w:trPr>
        <w:tc>
          <w:tcPr>
            <w:tcW w:w="51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2025" w:type="pct"/>
            <w:vMerge w:val="restart"/>
            <w:tcBorders>
              <w:tl2br w:val="nil"/>
              <w:tr2bl w:val="nil"/>
            </w:tcBorders>
            <w:vAlign w:val="center"/>
          </w:tcPr>
          <w:p>
            <w:pPr>
              <w:spacing w:line="240" w:lineRule="auto"/>
              <w:ind w:firstLine="0" w:firstLineChars="0"/>
              <w:jc w:val="center"/>
              <w:rPr>
                <w:color w:val="auto"/>
                <w:kern w:val="0"/>
                <w:sz w:val="21"/>
                <w:szCs w:val="21"/>
              </w:rPr>
            </w:pPr>
            <w:r>
              <w:rPr>
                <w:rFonts w:hAnsi="宋体"/>
                <w:color w:val="auto"/>
                <w:kern w:val="0"/>
                <w:sz w:val="21"/>
                <w:szCs w:val="21"/>
              </w:rPr>
              <w:t>《畜禽养殖业污染物排放标准》（</w:t>
            </w:r>
            <w:r>
              <w:rPr>
                <w:color w:val="auto"/>
                <w:kern w:val="0"/>
                <w:sz w:val="21"/>
                <w:szCs w:val="21"/>
              </w:rPr>
              <w:t>GB18596-2001</w:t>
            </w:r>
            <w:r>
              <w:rPr>
                <w:rFonts w:hAnsi="宋体"/>
                <w:color w:val="auto"/>
                <w:kern w:val="0"/>
                <w:sz w:val="21"/>
                <w:szCs w:val="21"/>
              </w:rPr>
              <w:t>）</w:t>
            </w:r>
          </w:p>
        </w:tc>
        <w:tc>
          <w:tcPr>
            <w:tcW w:w="799" w:type="pct"/>
            <w:tcBorders>
              <w:tl2br w:val="nil"/>
              <w:tr2bl w:val="nil"/>
            </w:tcBorders>
            <w:vAlign w:val="center"/>
          </w:tcPr>
          <w:p>
            <w:pPr>
              <w:spacing w:line="240" w:lineRule="auto"/>
              <w:ind w:firstLine="0" w:firstLineChars="0"/>
              <w:jc w:val="center"/>
              <w:rPr>
                <w:color w:val="auto"/>
                <w:kern w:val="0"/>
                <w:sz w:val="21"/>
                <w:szCs w:val="21"/>
              </w:rPr>
            </w:pPr>
            <w:r>
              <w:rPr>
                <w:rFonts w:hAnsi="宋体"/>
                <w:color w:val="auto"/>
                <w:kern w:val="0"/>
                <w:sz w:val="21"/>
                <w:szCs w:val="21"/>
              </w:rPr>
              <w:t>蛔虫卵</w:t>
            </w:r>
          </w:p>
        </w:tc>
        <w:tc>
          <w:tcPr>
            <w:tcW w:w="1661" w:type="pct"/>
            <w:gridSpan w:val="4"/>
            <w:tcBorders>
              <w:tl2br w:val="nil"/>
              <w:tr2bl w:val="nil"/>
            </w:tcBorders>
            <w:vAlign w:val="center"/>
          </w:tcPr>
          <w:p>
            <w:pPr>
              <w:spacing w:line="240" w:lineRule="auto"/>
              <w:ind w:firstLine="0" w:firstLineChars="0"/>
              <w:jc w:val="center"/>
              <w:rPr>
                <w:color w:val="auto"/>
                <w:kern w:val="0"/>
                <w:sz w:val="21"/>
                <w:szCs w:val="21"/>
              </w:rPr>
            </w:pPr>
            <w:r>
              <w:rPr>
                <w:rFonts w:hAnsi="宋体"/>
                <w:color w:val="auto"/>
                <w:kern w:val="0"/>
                <w:sz w:val="21"/>
                <w:szCs w:val="21"/>
              </w:rPr>
              <w:t>死亡率</w:t>
            </w:r>
            <w:r>
              <w:rPr>
                <w:color w:val="auto"/>
                <w:kern w:val="0"/>
                <w:sz w:val="21"/>
                <w:szCs w:val="21"/>
              </w:rPr>
              <w:t>≥95%</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8" w:hRule="atLeast"/>
        </w:trPr>
        <w:tc>
          <w:tcPr>
            <w:tcW w:w="513"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2025" w:type="pct"/>
            <w:vMerge w:val="continue"/>
            <w:tcBorders>
              <w:tl2br w:val="nil"/>
              <w:tr2bl w:val="nil"/>
            </w:tcBorders>
            <w:vAlign w:val="center"/>
          </w:tcPr>
          <w:p>
            <w:pPr>
              <w:spacing w:line="240" w:lineRule="auto"/>
              <w:ind w:firstLine="0" w:firstLineChars="0"/>
              <w:jc w:val="center"/>
              <w:rPr>
                <w:color w:val="auto"/>
                <w:kern w:val="0"/>
                <w:sz w:val="21"/>
                <w:szCs w:val="21"/>
              </w:rPr>
            </w:pPr>
          </w:p>
        </w:tc>
        <w:tc>
          <w:tcPr>
            <w:tcW w:w="799" w:type="pct"/>
            <w:tcBorders>
              <w:tl2br w:val="nil"/>
              <w:tr2bl w:val="nil"/>
            </w:tcBorders>
            <w:vAlign w:val="center"/>
          </w:tcPr>
          <w:p>
            <w:pPr>
              <w:spacing w:line="240" w:lineRule="auto"/>
              <w:ind w:firstLine="0" w:firstLineChars="0"/>
              <w:jc w:val="center"/>
              <w:rPr>
                <w:color w:val="auto"/>
                <w:kern w:val="0"/>
                <w:sz w:val="21"/>
                <w:szCs w:val="21"/>
              </w:rPr>
            </w:pPr>
            <w:r>
              <w:rPr>
                <w:rFonts w:hAnsi="宋体"/>
                <w:color w:val="auto"/>
                <w:kern w:val="0"/>
                <w:sz w:val="21"/>
                <w:szCs w:val="21"/>
              </w:rPr>
              <w:t>粪大肠菌群数值</w:t>
            </w:r>
          </w:p>
        </w:tc>
        <w:tc>
          <w:tcPr>
            <w:tcW w:w="1661" w:type="pct"/>
            <w:gridSpan w:val="4"/>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≤10</w:t>
            </w:r>
            <w:r>
              <w:rPr>
                <w:color w:val="auto"/>
                <w:kern w:val="0"/>
                <w:sz w:val="21"/>
                <w:szCs w:val="21"/>
                <w:vertAlign w:val="superscript"/>
              </w:rPr>
              <w:t>5</w:t>
            </w:r>
            <w:r>
              <w:rPr>
                <w:rFonts w:hAnsi="宋体"/>
                <w:color w:val="auto"/>
                <w:kern w:val="0"/>
                <w:sz w:val="21"/>
                <w:szCs w:val="21"/>
              </w:rPr>
              <w:t>个</w:t>
            </w:r>
            <w:r>
              <w:rPr>
                <w:color w:val="auto"/>
                <w:kern w:val="0"/>
                <w:sz w:val="21"/>
                <w:szCs w:val="21"/>
              </w:rPr>
              <w:t>/kg</w:t>
            </w:r>
          </w:p>
        </w:tc>
      </w:tr>
    </w:tbl>
    <w:p>
      <w:pPr>
        <w:pStyle w:val="32"/>
        <w:spacing w:before="156" w:line="360" w:lineRule="auto"/>
        <w:rPr>
          <w:color w:val="auto"/>
        </w:rPr>
      </w:pPr>
      <w:bookmarkStart w:id="156" w:name="_Toc16591"/>
      <w:bookmarkStart w:id="157" w:name="_Toc14919"/>
      <w:r>
        <w:rPr>
          <w:color w:val="auto"/>
        </w:rPr>
        <w:t xml:space="preserve">2.5 </w:t>
      </w:r>
      <w:r>
        <w:rPr>
          <w:rFonts w:hint="eastAsia"/>
          <w:color w:val="auto"/>
        </w:rPr>
        <w:t>评价等级及评价范围</w:t>
      </w:r>
      <w:bookmarkEnd w:id="153"/>
      <w:bookmarkEnd w:id="154"/>
      <w:bookmarkEnd w:id="155"/>
      <w:bookmarkEnd w:id="156"/>
      <w:bookmarkEnd w:id="157"/>
    </w:p>
    <w:p>
      <w:pPr>
        <w:pStyle w:val="6"/>
        <w:rPr>
          <w:color w:val="auto"/>
        </w:rPr>
      </w:pPr>
      <w:bookmarkStart w:id="158" w:name="_Toc345417247"/>
      <w:bookmarkStart w:id="159" w:name="_Toc275449591"/>
      <w:bookmarkStart w:id="160" w:name="_Toc278310151"/>
      <w:bookmarkStart w:id="161" w:name="_Toc275796686"/>
      <w:bookmarkStart w:id="162" w:name="_Toc275448960"/>
      <w:bookmarkStart w:id="163" w:name="_Toc328371597"/>
      <w:bookmarkStart w:id="164" w:name="_Toc275796849"/>
      <w:r>
        <w:rPr>
          <w:color w:val="auto"/>
        </w:rPr>
        <w:t xml:space="preserve">2.5.1 </w:t>
      </w:r>
      <w:bookmarkEnd w:id="158"/>
      <w:bookmarkEnd w:id="159"/>
      <w:bookmarkEnd w:id="160"/>
      <w:bookmarkEnd w:id="161"/>
      <w:bookmarkEnd w:id="162"/>
      <w:bookmarkEnd w:id="163"/>
      <w:bookmarkEnd w:id="164"/>
      <w:r>
        <w:rPr>
          <w:rFonts w:hint="eastAsia"/>
          <w:color w:val="auto"/>
        </w:rPr>
        <w:t>环境空气</w:t>
      </w:r>
    </w:p>
    <w:p>
      <w:pPr>
        <w:pStyle w:val="34"/>
        <w:rPr>
          <w:color w:val="auto"/>
        </w:rPr>
      </w:pPr>
      <w:r>
        <w:rPr>
          <w:color w:val="auto"/>
        </w:rPr>
        <w:t>按照《环境影响评价技术导则 大气环境》（HJ2.2-20</w:t>
      </w:r>
      <w:r>
        <w:rPr>
          <w:rFonts w:hint="eastAsia"/>
          <w:color w:val="auto"/>
        </w:rPr>
        <w:t>18</w:t>
      </w:r>
      <w:r>
        <w:rPr>
          <w:color w:val="auto"/>
        </w:rPr>
        <w:t>）规定，分别计算每一种污染物的最大地面浓度占标率Pi（第i个污染物），及第i个污染物的地面浓度达标准限值10%时所对应的最远距离D</w:t>
      </w:r>
      <w:r>
        <w:rPr>
          <w:color w:val="auto"/>
          <w:vertAlign w:val="subscript"/>
        </w:rPr>
        <w:t>10%</w:t>
      </w:r>
      <w:r>
        <w:rPr>
          <w:color w:val="auto"/>
        </w:rPr>
        <w:t>，其中Pi定义为：</w:t>
      </w:r>
    </w:p>
    <w:p>
      <w:pPr>
        <w:pStyle w:val="34"/>
        <w:ind w:firstLine="2160" w:firstLineChars="900"/>
        <w:rPr>
          <w:color w:val="auto"/>
        </w:rPr>
      </w:pPr>
      <w:r>
        <w:rPr>
          <w:color w:val="auto"/>
        </w:rPr>
        <w:t>Pi＝(C</w:t>
      </w:r>
      <w:r>
        <w:rPr>
          <w:color w:val="auto"/>
          <w:vertAlign w:val="subscript"/>
        </w:rPr>
        <w:t>i</w:t>
      </w:r>
      <w:r>
        <w:rPr>
          <w:color w:val="auto"/>
        </w:rPr>
        <w:t>/C</w:t>
      </w:r>
      <w:r>
        <w:rPr>
          <w:color w:val="auto"/>
          <w:vertAlign w:val="subscript"/>
        </w:rPr>
        <w:t>0i</w:t>
      </w:r>
      <w:r>
        <w:rPr>
          <w:color w:val="auto"/>
        </w:rPr>
        <w:t>)×100%</w:t>
      </w:r>
    </w:p>
    <w:p>
      <w:pPr>
        <w:pStyle w:val="34"/>
        <w:ind w:firstLine="480" w:firstLineChars="200"/>
        <w:rPr>
          <w:color w:val="auto"/>
        </w:rPr>
      </w:pPr>
      <w:r>
        <w:rPr>
          <w:color w:val="auto"/>
        </w:rPr>
        <w:t>式中：P</w:t>
      </w:r>
      <w:r>
        <w:rPr>
          <w:color w:val="auto"/>
          <w:vertAlign w:val="subscript"/>
        </w:rPr>
        <w:t>i</w:t>
      </w:r>
      <w:r>
        <w:rPr>
          <w:color w:val="auto"/>
        </w:rPr>
        <w:t>－第i个污染物的最大地面浓度占标率，%；</w:t>
      </w:r>
    </w:p>
    <w:p>
      <w:pPr>
        <w:pStyle w:val="34"/>
        <w:ind w:firstLine="1200" w:firstLineChars="500"/>
        <w:rPr>
          <w:color w:val="auto"/>
        </w:rPr>
      </w:pPr>
      <w:r>
        <w:rPr>
          <w:color w:val="auto"/>
        </w:rPr>
        <w:t>C</w:t>
      </w:r>
      <w:r>
        <w:rPr>
          <w:color w:val="auto"/>
          <w:vertAlign w:val="subscript"/>
        </w:rPr>
        <w:t>i</w:t>
      </w:r>
      <w:r>
        <w:rPr>
          <w:color w:val="auto"/>
        </w:rPr>
        <w:t>－采用估算模式计算出的第i个污染物的最大地面浓度，mg/m</w:t>
      </w:r>
      <w:r>
        <w:rPr>
          <w:color w:val="auto"/>
          <w:vertAlign w:val="superscript"/>
        </w:rPr>
        <w:t>3</w:t>
      </w:r>
      <w:r>
        <w:rPr>
          <w:color w:val="auto"/>
        </w:rPr>
        <w:t>；</w:t>
      </w:r>
    </w:p>
    <w:p>
      <w:pPr>
        <w:pStyle w:val="34"/>
        <w:ind w:firstLine="1200" w:firstLineChars="500"/>
        <w:rPr>
          <w:color w:val="auto"/>
        </w:rPr>
      </w:pPr>
      <w:r>
        <w:rPr>
          <w:color w:val="auto"/>
        </w:rPr>
        <w:t>C</w:t>
      </w:r>
      <w:r>
        <w:rPr>
          <w:color w:val="auto"/>
          <w:vertAlign w:val="subscript"/>
        </w:rPr>
        <w:t>0i</w:t>
      </w:r>
      <w:r>
        <w:rPr>
          <w:color w:val="auto"/>
        </w:rPr>
        <w:t>－第i个污染物的环境空气质量标准，mg/m</w:t>
      </w:r>
      <w:r>
        <w:rPr>
          <w:color w:val="auto"/>
          <w:vertAlign w:val="superscript"/>
        </w:rPr>
        <w:t>3</w:t>
      </w:r>
      <w:r>
        <w:rPr>
          <w:color w:val="auto"/>
        </w:rPr>
        <w:t>；</w:t>
      </w:r>
    </w:p>
    <w:p>
      <w:pPr>
        <w:ind w:firstLine="480"/>
        <w:jc w:val="left"/>
        <w:rPr>
          <w:color w:val="auto"/>
        </w:rPr>
      </w:pPr>
      <w:r>
        <w:rPr>
          <w:color w:val="auto"/>
        </w:rPr>
        <w:t>评价</w:t>
      </w:r>
      <w:r>
        <w:rPr>
          <w:rFonts w:hint="eastAsia"/>
          <w:color w:val="auto"/>
        </w:rPr>
        <w:t>工作</w:t>
      </w:r>
      <w:r>
        <w:rPr>
          <w:color w:val="auto"/>
        </w:rPr>
        <w:t>等级</w:t>
      </w:r>
      <w:r>
        <w:rPr>
          <w:rFonts w:hint="eastAsia"/>
          <w:color w:val="auto"/>
        </w:rPr>
        <w:t>判定依据</w:t>
      </w:r>
      <w:r>
        <w:rPr>
          <w:color w:val="auto"/>
        </w:rPr>
        <w:t>见表2.5-1，估值模式参数取值见表2.5-2。</w:t>
      </w:r>
    </w:p>
    <w:p>
      <w:pPr>
        <w:numPr>
          <w:ilvl w:val="0"/>
          <w:numId w:val="5"/>
        </w:numPr>
        <w:spacing w:line="500" w:lineRule="exact"/>
        <w:ind w:left="0" w:firstLine="482"/>
        <w:jc w:val="left"/>
        <w:rPr>
          <w:b/>
          <w:color w:val="auto"/>
          <w:szCs w:val="21"/>
        </w:rPr>
      </w:pPr>
      <w:r>
        <w:rPr>
          <w:rFonts w:hint="eastAsia"/>
          <w:b/>
          <w:color w:val="auto"/>
          <w:szCs w:val="21"/>
        </w:rPr>
        <w:t xml:space="preserve">              </w:t>
      </w:r>
      <w:r>
        <w:rPr>
          <w:b/>
          <w:color w:val="auto"/>
          <w:szCs w:val="21"/>
        </w:rPr>
        <w:t>估算模式参数取值</w:t>
      </w:r>
      <w:r>
        <w:rPr>
          <w:rFonts w:hint="eastAsia"/>
          <w:b/>
          <w:color w:val="auto"/>
          <w:szCs w:val="21"/>
        </w:rPr>
        <w:t>及结果</w:t>
      </w:r>
      <w:r>
        <w:rPr>
          <w:b/>
          <w:color w:val="auto"/>
          <w:szCs w:val="21"/>
        </w:rPr>
        <w:t>一览</w:t>
      </w:r>
      <w:r>
        <w:rPr>
          <w:rFonts w:hint="eastAsia"/>
          <w:b/>
          <w:color w:val="auto"/>
          <w:szCs w:val="21"/>
        </w:rPr>
        <w:t>表</w:t>
      </w:r>
    </w:p>
    <w:tbl>
      <w:tblPr>
        <w:tblStyle w:val="27"/>
        <w:tblW w:w="8946" w:type="dxa"/>
        <w:jc w:val="center"/>
        <w:tblBorders>
          <w:top w:val="single" w:color="auto" w:sz="6" w:space="0"/>
          <w:left w:val="none" w:color="auto" w:sz="0" w:space="0"/>
          <w:bottom w:val="single" w:color="auto" w:sz="6"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97"/>
        <w:gridCol w:w="998"/>
        <w:gridCol w:w="1838"/>
        <w:gridCol w:w="1592"/>
        <w:gridCol w:w="1000"/>
        <w:gridCol w:w="1721"/>
      </w:tblGrid>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797" w:type="dxa"/>
            <w:vMerge w:val="restart"/>
            <w:tcBorders>
              <w:tl2br w:val="nil"/>
              <w:tr2bl w:val="nil"/>
            </w:tcBorders>
            <w:vAlign w:val="center"/>
          </w:tcPr>
          <w:p>
            <w:pPr>
              <w:spacing w:line="240" w:lineRule="auto"/>
              <w:ind w:firstLine="0" w:firstLineChars="0"/>
              <w:jc w:val="center"/>
              <w:rPr>
                <w:b/>
                <w:color w:val="auto"/>
                <w:kern w:val="0"/>
                <w:sz w:val="21"/>
                <w:szCs w:val="21"/>
              </w:rPr>
            </w:pPr>
            <w:r>
              <w:rPr>
                <w:b/>
                <w:color w:val="auto"/>
                <w:kern w:val="0"/>
                <w:sz w:val="21"/>
                <w:szCs w:val="21"/>
              </w:rPr>
              <w:t>项  目</w:t>
            </w:r>
          </w:p>
        </w:tc>
        <w:tc>
          <w:tcPr>
            <w:tcW w:w="998" w:type="dxa"/>
            <w:vMerge w:val="restart"/>
            <w:tcBorders>
              <w:tl2br w:val="nil"/>
              <w:tr2bl w:val="nil"/>
            </w:tcBorders>
            <w:vAlign w:val="center"/>
          </w:tcPr>
          <w:p>
            <w:pPr>
              <w:spacing w:line="240" w:lineRule="auto"/>
              <w:ind w:firstLine="0" w:firstLineChars="0"/>
              <w:jc w:val="center"/>
              <w:rPr>
                <w:b/>
                <w:color w:val="auto"/>
                <w:kern w:val="0"/>
                <w:sz w:val="21"/>
                <w:szCs w:val="21"/>
              </w:rPr>
            </w:pPr>
            <w:r>
              <w:rPr>
                <w:b/>
                <w:color w:val="auto"/>
                <w:kern w:val="0"/>
                <w:sz w:val="21"/>
                <w:szCs w:val="21"/>
              </w:rPr>
              <w:t>污染物</w:t>
            </w:r>
          </w:p>
        </w:tc>
        <w:tc>
          <w:tcPr>
            <w:tcW w:w="1838" w:type="dxa"/>
            <w:vMerge w:val="restart"/>
            <w:tcBorders>
              <w:tl2br w:val="nil"/>
              <w:tr2bl w:val="nil"/>
            </w:tcBorders>
            <w:vAlign w:val="center"/>
          </w:tcPr>
          <w:p>
            <w:pPr>
              <w:spacing w:line="240" w:lineRule="auto"/>
              <w:ind w:firstLine="0" w:firstLineChars="0"/>
              <w:jc w:val="center"/>
              <w:rPr>
                <w:b/>
                <w:color w:val="auto"/>
                <w:kern w:val="0"/>
                <w:sz w:val="21"/>
                <w:szCs w:val="21"/>
              </w:rPr>
            </w:pPr>
            <w:r>
              <w:rPr>
                <w:b/>
                <w:color w:val="auto"/>
                <w:kern w:val="0"/>
                <w:sz w:val="21"/>
                <w:szCs w:val="21"/>
              </w:rPr>
              <w:t>排放速率kg/h</w:t>
            </w:r>
          </w:p>
        </w:tc>
        <w:tc>
          <w:tcPr>
            <w:tcW w:w="1592" w:type="dxa"/>
            <w:tcBorders>
              <w:tl2br w:val="nil"/>
              <w:tr2bl w:val="nil"/>
            </w:tcBorders>
            <w:vAlign w:val="center"/>
          </w:tcPr>
          <w:p>
            <w:pPr>
              <w:spacing w:line="240" w:lineRule="auto"/>
              <w:ind w:firstLine="0" w:firstLineChars="0"/>
              <w:jc w:val="center"/>
              <w:rPr>
                <w:b/>
                <w:color w:val="auto"/>
                <w:kern w:val="0"/>
                <w:sz w:val="21"/>
                <w:szCs w:val="21"/>
              </w:rPr>
            </w:pPr>
            <w:r>
              <w:rPr>
                <w:b/>
                <w:color w:val="auto"/>
                <w:kern w:val="0"/>
                <w:sz w:val="21"/>
                <w:szCs w:val="21"/>
              </w:rPr>
              <w:t>排放源参数</w:t>
            </w:r>
          </w:p>
        </w:tc>
        <w:tc>
          <w:tcPr>
            <w:tcW w:w="1000" w:type="dxa"/>
            <w:vMerge w:val="restart"/>
            <w:tcBorders>
              <w:tl2br w:val="nil"/>
              <w:tr2bl w:val="nil"/>
            </w:tcBorders>
            <w:vAlign w:val="center"/>
          </w:tcPr>
          <w:p>
            <w:pPr>
              <w:spacing w:line="240" w:lineRule="auto"/>
              <w:ind w:firstLine="0" w:firstLineChars="0"/>
              <w:jc w:val="center"/>
              <w:rPr>
                <w:b/>
                <w:color w:val="auto"/>
                <w:kern w:val="0"/>
                <w:sz w:val="21"/>
                <w:szCs w:val="21"/>
              </w:rPr>
            </w:pPr>
            <w:r>
              <w:rPr>
                <w:b/>
                <w:color w:val="auto"/>
                <w:kern w:val="0"/>
                <w:sz w:val="21"/>
                <w:szCs w:val="21"/>
              </w:rPr>
              <w:t>占标率</w:t>
            </w:r>
            <w:r>
              <w:rPr>
                <w:rFonts w:hint="eastAsia"/>
                <w:color w:val="auto"/>
              </w:rPr>
              <w:t>%</w:t>
            </w:r>
          </w:p>
        </w:tc>
        <w:tc>
          <w:tcPr>
            <w:tcW w:w="1721" w:type="dxa"/>
            <w:vMerge w:val="restart"/>
            <w:tcBorders>
              <w:tl2br w:val="nil"/>
              <w:tr2bl w:val="nil"/>
            </w:tcBorders>
            <w:vAlign w:val="center"/>
          </w:tcPr>
          <w:p>
            <w:pPr>
              <w:spacing w:line="240" w:lineRule="auto"/>
              <w:ind w:firstLine="0" w:firstLineChars="0"/>
              <w:jc w:val="center"/>
              <w:rPr>
                <w:b/>
                <w:color w:val="auto"/>
                <w:kern w:val="0"/>
                <w:sz w:val="21"/>
                <w:szCs w:val="21"/>
              </w:rPr>
            </w:pPr>
            <w:r>
              <w:rPr>
                <w:b/>
                <w:color w:val="auto"/>
                <w:kern w:val="0"/>
                <w:sz w:val="21"/>
                <w:szCs w:val="21"/>
              </w:rPr>
              <w:t>评价等级</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797" w:type="dxa"/>
            <w:vMerge w:val="continue"/>
            <w:tcBorders>
              <w:tl2br w:val="nil"/>
              <w:tr2bl w:val="nil"/>
            </w:tcBorders>
            <w:vAlign w:val="center"/>
          </w:tcPr>
          <w:p>
            <w:pPr>
              <w:spacing w:line="240" w:lineRule="auto"/>
              <w:ind w:firstLine="0" w:firstLineChars="0"/>
              <w:jc w:val="center"/>
              <w:rPr>
                <w:b/>
                <w:color w:val="auto"/>
                <w:kern w:val="0"/>
                <w:sz w:val="21"/>
                <w:szCs w:val="21"/>
              </w:rPr>
            </w:pPr>
          </w:p>
        </w:tc>
        <w:tc>
          <w:tcPr>
            <w:tcW w:w="998" w:type="dxa"/>
            <w:vMerge w:val="continue"/>
            <w:tcBorders>
              <w:tl2br w:val="nil"/>
              <w:tr2bl w:val="nil"/>
            </w:tcBorders>
            <w:vAlign w:val="center"/>
          </w:tcPr>
          <w:p>
            <w:pPr>
              <w:spacing w:line="240" w:lineRule="auto"/>
              <w:ind w:firstLine="0" w:firstLineChars="0"/>
              <w:jc w:val="center"/>
              <w:rPr>
                <w:b/>
                <w:color w:val="auto"/>
                <w:kern w:val="0"/>
                <w:sz w:val="21"/>
                <w:szCs w:val="21"/>
              </w:rPr>
            </w:pPr>
          </w:p>
        </w:tc>
        <w:tc>
          <w:tcPr>
            <w:tcW w:w="1838" w:type="dxa"/>
            <w:vMerge w:val="continue"/>
            <w:tcBorders>
              <w:tl2br w:val="nil"/>
              <w:tr2bl w:val="nil"/>
            </w:tcBorders>
            <w:vAlign w:val="center"/>
          </w:tcPr>
          <w:p>
            <w:pPr>
              <w:spacing w:line="240" w:lineRule="auto"/>
              <w:ind w:firstLine="0" w:firstLineChars="0"/>
              <w:jc w:val="center"/>
              <w:rPr>
                <w:b/>
                <w:color w:val="auto"/>
                <w:kern w:val="0"/>
                <w:sz w:val="21"/>
                <w:szCs w:val="21"/>
              </w:rPr>
            </w:pPr>
          </w:p>
        </w:tc>
        <w:tc>
          <w:tcPr>
            <w:tcW w:w="1592" w:type="dxa"/>
            <w:tcBorders>
              <w:tl2br w:val="nil"/>
              <w:tr2bl w:val="nil"/>
            </w:tcBorders>
            <w:vAlign w:val="center"/>
          </w:tcPr>
          <w:p>
            <w:pPr>
              <w:spacing w:line="240" w:lineRule="auto"/>
              <w:ind w:firstLine="0" w:firstLineChars="0"/>
              <w:jc w:val="center"/>
              <w:rPr>
                <w:b/>
                <w:color w:val="auto"/>
                <w:kern w:val="0"/>
                <w:sz w:val="21"/>
                <w:szCs w:val="21"/>
              </w:rPr>
            </w:pPr>
            <w:r>
              <w:rPr>
                <w:b/>
                <w:color w:val="auto"/>
                <w:kern w:val="0"/>
                <w:sz w:val="21"/>
                <w:szCs w:val="21"/>
              </w:rPr>
              <w:t>长×宽×高（m）</w:t>
            </w:r>
          </w:p>
        </w:tc>
        <w:tc>
          <w:tcPr>
            <w:tcW w:w="1000" w:type="dxa"/>
            <w:vMerge w:val="continue"/>
            <w:tcBorders>
              <w:tl2br w:val="nil"/>
              <w:tr2bl w:val="nil"/>
            </w:tcBorders>
            <w:vAlign w:val="center"/>
          </w:tcPr>
          <w:p>
            <w:pPr>
              <w:spacing w:line="240" w:lineRule="auto"/>
              <w:ind w:firstLine="0" w:firstLineChars="0"/>
              <w:jc w:val="center"/>
              <w:rPr>
                <w:b/>
                <w:color w:val="auto"/>
                <w:kern w:val="0"/>
                <w:sz w:val="21"/>
                <w:szCs w:val="21"/>
              </w:rPr>
            </w:pPr>
          </w:p>
        </w:tc>
        <w:tc>
          <w:tcPr>
            <w:tcW w:w="1721" w:type="dxa"/>
            <w:vMerge w:val="continue"/>
            <w:tcBorders>
              <w:tl2br w:val="nil"/>
              <w:tr2bl w:val="nil"/>
            </w:tcBorders>
            <w:vAlign w:val="center"/>
          </w:tcPr>
          <w:p>
            <w:pPr>
              <w:spacing w:line="240" w:lineRule="auto"/>
              <w:ind w:firstLine="0" w:firstLineChars="0"/>
              <w:jc w:val="center"/>
              <w:rPr>
                <w:b/>
                <w:color w:val="auto"/>
                <w:kern w:val="0"/>
                <w:sz w:val="21"/>
                <w:szCs w:val="21"/>
              </w:rPr>
            </w:pP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1797" w:type="dxa"/>
            <w:vMerge w:val="restar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养殖厂</w:t>
            </w:r>
          </w:p>
        </w:tc>
        <w:tc>
          <w:tcPr>
            <w:tcW w:w="998" w:type="dxa"/>
            <w:tcBorders>
              <w:tl2br w:val="nil"/>
              <w:tr2bl w:val="nil"/>
            </w:tcBorders>
            <w:vAlign w:val="center"/>
          </w:tcPr>
          <w:p>
            <w:pPr>
              <w:spacing w:line="240" w:lineRule="auto"/>
              <w:ind w:firstLine="105" w:firstLineChars="50"/>
              <w:jc w:val="center"/>
              <w:rPr>
                <w:color w:val="auto"/>
                <w:kern w:val="0"/>
                <w:sz w:val="21"/>
                <w:szCs w:val="21"/>
              </w:rPr>
            </w:pPr>
            <w:r>
              <w:rPr>
                <w:color w:val="auto"/>
                <w:kern w:val="0"/>
                <w:sz w:val="21"/>
                <w:szCs w:val="21"/>
              </w:rPr>
              <w:t>NH</w:t>
            </w:r>
            <w:r>
              <w:rPr>
                <w:color w:val="auto"/>
                <w:kern w:val="0"/>
                <w:sz w:val="21"/>
                <w:szCs w:val="21"/>
                <w:vertAlign w:val="subscript"/>
              </w:rPr>
              <w:t>3</w:t>
            </w:r>
          </w:p>
        </w:tc>
        <w:tc>
          <w:tcPr>
            <w:tcW w:w="1838" w:type="dxa"/>
            <w:tcBorders>
              <w:tl2br w:val="nil"/>
              <w:tr2bl w:val="nil"/>
            </w:tcBorders>
            <w:vAlign w:val="center"/>
          </w:tcPr>
          <w:p>
            <w:pPr>
              <w:autoSpaceDE w:val="0"/>
              <w:autoSpaceDN w:val="0"/>
              <w:spacing w:line="240" w:lineRule="atLeast"/>
              <w:ind w:firstLine="0" w:firstLineChars="0"/>
              <w:jc w:val="center"/>
              <w:textAlignment w:val="baseline"/>
              <w:rPr>
                <w:rFonts w:hint="eastAsia" w:eastAsia="宋体"/>
                <w:color w:val="auto"/>
                <w:kern w:val="0"/>
                <w:sz w:val="21"/>
                <w:szCs w:val="21"/>
                <w:lang w:eastAsia="zh-CN"/>
              </w:rPr>
            </w:pPr>
            <w:r>
              <w:rPr>
                <w:rFonts w:hint="eastAsia"/>
                <w:color w:val="auto"/>
                <w:kern w:val="0"/>
                <w:sz w:val="21"/>
                <w:szCs w:val="21"/>
              </w:rPr>
              <w:t>0.0</w:t>
            </w:r>
            <w:r>
              <w:rPr>
                <w:rFonts w:hint="eastAsia"/>
                <w:color w:val="auto"/>
                <w:kern w:val="0"/>
                <w:sz w:val="21"/>
                <w:szCs w:val="21"/>
                <w:lang w:val="en-US" w:eastAsia="zh-CN"/>
              </w:rPr>
              <w:t>5</w:t>
            </w:r>
          </w:p>
        </w:tc>
        <w:tc>
          <w:tcPr>
            <w:tcW w:w="1592" w:type="dxa"/>
            <w:vMerge w:val="restart"/>
            <w:tcBorders>
              <w:tl2br w:val="nil"/>
              <w:tr2bl w:val="nil"/>
            </w:tcBorders>
            <w:vAlign w:val="center"/>
          </w:tcPr>
          <w:p>
            <w:pPr>
              <w:spacing w:line="240" w:lineRule="auto"/>
              <w:ind w:firstLine="105" w:firstLineChars="50"/>
              <w:jc w:val="center"/>
              <w:rPr>
                <w:color w:val="auto"/>
                <w:kern w:val="0"/>
                <w:sz w:val="21"/>
                <w:szCs w:val="21"/>
              </w:rPr>
            </w:pPr>
            <w:r>
              <w:rPr>
                <w:rFonts w:hint="eastAsia"/>
                <w:color w:val="auto"/>
                <w:kern w:val="0"/>
                <w:sz w:val="21"/>
                <w:szCs w:val="21"/>
              </w:rPr>
              <w:t>300</w:t>
            </w:r>
            <w:r>
              <w:rPr>
                <w:rFonts w:ascii="Arial" w:hAnsi="Arial" w:cs="Arial"/>
                <w:color w:val="auto"/>
                <w:kern w:val="0"/>
                <w:sz w:val="21"/>
                <w:szCs w:val="21"/>
              </w:rPr>
              <w:t>×</w:t>
            </w:r>
            <w:r>
              <w:rPr>
                <w:rFonts w:hint="eastAsia"/>
                <w:color w:val="auto"/>
                <w:kern w:val="0"/>
                <w:sz w:val="21"/>
                <w:szCs w:val="21"/>
              </w:rPr>
              <w:t>130</w:t>
            </w:r>
            <w:r>
              <w:rPr>
                <w:rFonts w:ascii="Arial" w:hAnsi="Arial" w:cs="Arial"/>
                <w:color w:val="auto"/>
                <w:kern w:val="0"/>
                <w:sz w:val="21"/>
                <w:szCs w:val="21"/>
              </w:rPr>
              <w:t>×</w:t>
            </w:r>
            <w:r>
              <w:rPr>
                <w:rFonts w:hint="eastAsia"/>
                <w:color w:val="auto"/>
                <w:kern w:val="0"/>
                <w:sz w:val="21"/>
                <w:szCs w:val="21"/>
              </w:rPr>
              <w:t>5</w:t>
            </w:r>
          </w:p>
        </w:tc>
        <w:tc>
          <w:tcPr>
            <w:tcW w:w="1000" w:type="dxa"/>
            <w:tcBorders>
              <w:tl2br w:val="nil"/>
              <w:tr2bl w:val="nil"/>
            </w:tcBorders>
            <w:vAlign w:val="center"/>
          </w:tcPr>
          <w:p>
            <w:pPr>
              <w:spacing w:line="240" w:lineRule="auto"/>
              <w:ind w:firstLine="0" w:firstLineChars="0"/>
              <w:jc w:val="center"/>
              <w:rPr>
                <w:rFonts w:hint="default" w:eastAsia="宋体"/>
                <w:color w:val="auto"/>
                <w:kern w:val="0"/>
                <w:sz w:val="21"/>
                <w:szCs w:val="21"/>
                <w:lang w:val="en-US" w:eastAsia="zh-CN"/>
              </w:rPr>
            </w:pPr>
            <w:r>
              <w:rPr>
                <w:rFonts w:hint="eastAsia"/>
                <w:color w:val="auto"/>
                <w:kern w:val="0"/>
                <w:sz w:val="21"/>
                <w:szCs w:val="21"/>
                <w:lang w:val="en-US" w:eastAsia="zh-CN"/>
              </w:rPr>
              <w:t>16.12</w:t>
            </w:r>
          </w:p>
        </w:tc>
        <w:tc>
          <w:tcPr>
            <w:tcW w:w="1721" w:type="dxa"/>
            <w:tcBorders>
              <w:tl2br w:val="nil"/>
              <w:tr2bl w:val="nil"/>
            </w:tcBorders>
            <w:vAlign w:val="center"/>
          </w:tcPr>
          <w:p>
            <w:pPr>
              <w:spacing w:line="240" w:lineRule="auto"/>
              <w:ind w:firstLine="0" w:firstLineChars="0"/>
              <w:jc w:val="center"/>
              <w:rPr>
                <w:color w:val="auto"/>
                <w:kern w:val="0"/>
                <w:sz w:val="21"/>
                <w:szCs w:val="21"/>
              </w:rPr>
            </w:pPr>
            <w:r>
              <w:rPr>
                <w:rFonts w:hint="eastAsia"/>
                <w:color w:val="auto"/>
                <w:kern w:val="0"/>
                <w:sz w:val="21"/>
                <w:szCs w:val="21"/>
              </w:rPr>
              <w:t>一</w:t>
            </w:r>
            <w:r>
              <w:rPr>
                <w:color w:val="auto"/>
                <w:kern w:val="0"/>
                <w:sz w:val="21"/>
                <w:szCs w:val="21"/>
              </w:rPr>
              <w:t>级</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797" w:type="dxa"/>
            <w:vMerge w:val="continue"/>
            <w:tcBorders>
              <w:tl2br w:val="nil"/>
              <w:tr2bl w:val="nil"/>
            </w:tcBorders>
            <w:vAlign w:val="center"/>
          </w:tcPr>
          <w:p>
            <w:pPr>
              <w:spacing w:line="240" w:lineRule="auto"/>
              <w:ind w:firstLine="0" w:firstLineChars="0"/>
              <w:jc w:val="center"/>
              <w:rPr>
                <w:color w:val="auto"/>
                <w:kern w:val="0"/>
                <w:sz w:val="21"/>
                <w:szCs w:val="21"/>
              </w:rPr>
            </w:pPr>
          </w:p>
        </w:tc>
        <w:tc>
          <w:tcPr>
            <w:tcW w:w="998" w:type="dxa"/>
            <w:tcBorders>
              <w:tl2br w:val="nil"/>
              <w:tr2bl w:val="nil"/>
            </w:tcBorders>
            <w:vAlign w:val="center"/>
          </w:tcPr>
          <w:p>
            <w:pPr>
              <w:spacing w:line="240" w:lineRule="auto"/>
              <w:ind w:firstLine="105" w:firstLineChars="50"/>
              <w:jc w:val="center"/>
              <w:rPr>
                <w:color w:val="auto"/>
                <w:kern w:val="0"/>
                <w:sz w:val="21"/>
                <w:szCs w:val="21"/>
              </w:rPr>
            </w:pPr>
            <w:r>
              <w:rPr>
                <w:color w:val="auto"/>
                <w:kern w:val="0"/>
                <w:sz w:val="21"/>
                <w:szCs w:val="21"/>
              </w:rPr>
              <w:t>H</w:t>
            </w:r>
            <w:r>
              <w:rPr>
                <w:color w:val="auto"/>
                <w:kern w:val="0"/>
                <w:sz w:val="21"/>
                <w:szCs w:val="21"/>
                <w:vertAlign w:val="subscript"/>
              </w:rPr>
              <w:t>2</w:t>
            </w:r>
            <w:r>
              <w:rPr>
                <w:color w:val="auto"/>
                <w:kern w:val="0"/>
                <w:sz w:val="21"/>
                <w:szCs w:val="21"/>
              </w:rPr>
              <w:t>S</w:t>
            </w:r>
          </w:p>
        </w:tc>
        <w:tc>
          <w:tcPr>
            <w:tcW w:w="1838" w:type="dxa"/>
            <w:tcBorders>
              <w:tl2br w:val="nil"/>
              <w:tr2bl w:val="nil"/>
            </w:tcBorders>
            <w:vAlign w:val="center"/>
          </w:tcPr>
          <w:p>
            <w:pPr>
              <w:autoSpaceDE w:val="0"/>
              <w:autoSpaceDN w:val="0"/>
              <w:spacing w:line="240" w:lineRule="auto"/>
              <w:ind w:firstLine="0" w:firstLineChars="0"/>
              <w:jc w:val="center"/>
              <w:textAlignment w:val="baseline"/>
              <w:rPr>
                <w:rFonts w:hint="default" w:eastAsia="宋体"/>
                <w:color w:val="auto"/>
                <w:kern w:val="0"/>
                <w:sz w:val="21"/>
                <w:szCs w:val="21"/>
                <w:lang w:val="en-US" w:eastAsia="zh-CN"/>
              </w:rPr>
            </w:pPr>
            <w:r>
              <w:rPr>
                <w:color w:val="auto"/>
                <w:kern w:val="0"/>
                <w:sz w:val="21"/>
                <w:szCs w:val="21"/>
              </w:rPr>
              <w:t>0.0</w:t>
            </w:r>
            <w:r>
              <w:rPr>
                <w:rFonts w:hint="eastAsia"/>
                <w:color w:val="auto"/>
                <w:kern w:val="0"/>
                <w:sz w:val="21"/>
                <w:szCs w:val="21"/>
              </w:rPr>
              <w:t>0</w:t>
            </w:r>
            <w:r>
              <w:rPr>
                <w:rFonts w:hint="eastAsia"/>
                <w:color w:val="auto"/>
                <w:kern w:val="0"/>
                <w:sz w:val="21"/>
                <w:szCs w:val="21"/>
                <w:lang w:val="en-US" w:eastAsia="zh-CN"/>
              </w:rPr>
              <w:t>32</w:t>
            </w:r>
          </w:p>
        </w:tc>
        <w:tc>
          <w:tcPr>
            <w:tcW w:w="1592" w:type="dxa"/>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000" w:type="dxa"/>
            <w:tcBorders>
              <w:tl2br w:val="nil"/>
              <w:tr2bl w:val="nil"/>
            </w:tcBorders>
            <w:vAlign w:val="center"/>
          </w:tcPr>
          <w:p>
            <w:pPr>
              <w:spacing w:line="240" w:lineRule="auto"/>
              <w:ind w:firstLine="0" w:firstLineChars="0"/>
              <w:jc w:val="center"/>
              <w:rPr>
                <w:rFonts w:hint="default" w:eastAsia="宋体"/>
                <w:color w:val="auto"/>
                <w:kern w:val="0"/>
                <w:sz w:val="21"/>
                <w:szCs w:val="21"/>
                <w:lang w:val="en-US" w:eastAsia="zh-CN"/>
              </w:rPr>
            </w:pPr>
            <w:r>
              <w:rPr>
                <w:rFonts w:hint="eastAsia"/>
                <w:color w:val="auto"/>
                <w:kern w:val="0"/>
                <w:sz w:val="21"/>
                <w:szCs w:val="21"/>
                <w:lang w:val="en-US" w:eastAsia="zh-CN"/>
              </w:rPr>
              <w:t>20.49</w:t>
            </w:r>
          </w:p>
        </w:tc>
        <w:tc>
          <w:tcPr>
            <w:tcW w:w="1721" w:type="dxa"/>
            <w:tcBorders>
              <w:tl2br w:val="nil"/>
              <w:tr2bl w:val="nil"/>
            </w:tcBorders>
            <w:vAlign w:val="center"/>
          </w:tcPr>
          <w:p>
            <w:pPr>
              <w:spacing w:line="240" w:lineRule="auto"/>
              <w:ind w:firstLine="0" w:firstLineChars="0"/>
              <w:jc w:val="center"/>
              <w:rPr>
                <w:color w:val="auto"/>
                <w:kern w:val="0"/>
                <w:sz w:val="21"/>
                <w:szCs w:val="21"/>
              </w:rPr>
            </w:pPr>
            <w:r>
              <w:rPr>
                <w:rFonts w:hint="eastAsia"/>
                <w:color w:val="auto"/>
                <w:kern w:val="0"/>
                <w:sz w:val="21"/>
                <w:szCs w:val="21"/>
              </w:rPr>
              <w:t>一</w:t>
            </w:r>
            <w:r>
              <w:rPr>
                <w:color w:val="auto"/>
                <w:kern w:val="0"/>
                <w:sz w:val="21"/>
                <w:szCs w:val="21"/>
              </w:rPr>
              <w:t>级</w:t>
            </w:r>
          </w:p>
        </w:tc>
      </w:tr>
    </w:tbl>
    <w:p>
      <w:pPr>
        <w:ind w:firstLine="480"/>
        <w:rPr>
          <w:bCs/>
          <w:color w:val="auto"/>
        </w:rPr>
      </w:pPr>
      <w:r>
        <w:rPr>
          <w:rFonts w:hint="eastAsia" w:hAnsi="宋体"/>
          <w:bCs/>
          <w:color w:val="auto"/>
        </w:rPr>
        <w:t>由表</w:t>
      </w:r>
      <w:r>
        <w:rPr>
          <w:rFonts w:hAnsi="宋体"/>
          <w:bCs/>
          <w:color w:val="auto"/>
        </w:rPr>
        <w:t>2.5-</w:t>
      </w:r>
      <w:r>
        <w:rPr>
          <w:rFonts w:hint="eastAsia" w:hAnsi="宋体"/>
          <w:bCs/>
          <w:color w:val="auto"/>
        </w:rPr>
        <w:t>2可见，结合《环境影响评价技术导则—大气环境》（HJ2.2—2018）中的规定，确定大气环境影响评价为一级评价，</w:t>
      </w:r>
      <w:r>
        <w:rPr>
          <w:bCs/>
          <w:color w:val="auto"/>
        </w:rPr>
        <w:t>根据《环境影响评价技术导则—大气环境》（HJ2.2—2018）中的规定，一级评价范围根据建设项目排放污染物的最远影响距离（D</w:t>
      </w:r>
      <w:r>
        <w:rPr>
          <w:bCs/>
          <w:color w:val="auto"/>
          <w:vertAlign w:val="subscript"/>
        </w:rPr>
        <w:t>10%</w:t>
      </w:r>
      <w:r>
        <w:rPr>
          <w:bCs/>
          <w:color w:val="auto"/>
        </w:rPr>
        <w:t>）确定大气环境影响评价范围，当D</w:t>
      </w:r>
      <w:r>
        <w:rPr>
          <w:bCs/>
          <w:color w:val="auto"/>
          <w:vertAlign w:val="subscript"/>
        </w:rPr>
        <w:t>10%</w:t>
      </w:r>
      <w:r>
        <w:rPr>
          <w:bCs/>
          <w:color w:val="auto"/>
        </w:rPr>
        <w:t>小于2.5km时，评价范围取边长取5km。</w:t>
      </w:r>
    </w:p>
    <w:p>
      <w:pPr>
        <w:ind w:firstLine="480"/>
        <w:rPr>
          <w:bCs/>
          <w:color w:val="auto"/>
        </w:rPr>
      </w:pPr>
      <w:r>
        <w:rPr>
          <w:bCs/>
          <w:color w:val="auto"/>
        </w:rPr>
        <w:t>本项目D</w:t>
      </w:r>
      <w:r>
        <w:rPr>
          <w:bCs/>
          <w:color w:val="auto"/>
          <w:vertAlign w:val="subscript"/>
        </w:rPr>
        <w:t>10%</w:t>
      </w:r>
      <w:r>
        <w:rPr>
          <w:bCs/>
          <w:color w:val="auto"/>
        </w:rPr>
        <w:t>为</w:t>
      </w:r>
      <w:r>
        <w:rPr>
          <w:rFonts w:hint="eastAsia"/>
          <w:bCs/>
          <w:color w:val="auto"/>
        </w:rPr>
        <w:t>525</w:t>
      </w:r>
      <w:r>
        <w:rPr>
          <w:bCs/>
          <w:color w:val="auto"/>
        </w:rPr>
        <w:t>m，故</w:t>
      </w:r>
      <w:r>
        <w:rPr>
          <w:rFonts w:hint="eastAsia"/>
          <w:bCs/>
          <w:color w:val="auto"/>
        </w:rPr>
        <w:t>确定</w:t>
      </w:r>
      <w:r>
        <w:rPr>
          <w:bCs/>
          <w:color w:val="auto"/>
        </w:rPr>
        <w:t>本项目大气环境影响评价范围为以</w:t>
      </w:r>
      <w:r>
        <w:rPr>
          <w:rFonts w:hint="eastAsia"/>
          <w:bCs/>
          <w:color w:val="auto"/>
        </w:rPr>
        <w:t>养殖场为中心区域，自厂界外延2500m的矩形区域</w:t>
      </w:r>
      <w:r>
        <w:rPr>
          <w:bCs/>
          <w:color w:val="auto"/>
        </w:rPr>
        <w:t>。</w:t>
      </w:r>
    </w:p>
    <w:p>
      <w:pPr>
        <w:pStyle w:val="6"/>
        <w:rPr>
          <w:color w:val="auto"/>
        </w:rPr>
      </w:pPr>
      <w:r>
        <w:rPr>
          <w:color w:val="auto"/>
        </w:rPr>
        <w:t>2.5.</w:t>
      </w:r>
      <w:r>
        <w:rPr>
          <w:rFonts w:hint="eastAsia"/>
          <w:color w:val="auto"/>
        </w:rPr>
        <w:t>2</w:t>
      </w:r>
      <w:r>
        <w:rPr>
          <w:color w:val="auto"/>
        </w:rPr>
        <w:t xml:space="preserve"> </w:t>
      </w:r>
      <w:r>
        <w:rPr>
          <w:rFonts w:hint="eastAsia"/>
          <w:color w:val="auto"/>
        </w:rPr>
        <w:t>地表水</w:t>
      </w:r>
    </w:p>
    <w:p>
      <w:pPr>
        <w:widowControl/>
        <w:adjustRightInd/>
        <w:snapToGrid/>
        <w:ind w:firstLine="480"/>
        <w:rPr>
          <w:rFonts w:ascii="宋体" w:hAnsi="宋体" w:cs="宋体"/>
          <w:color w:val="auto"/>
          <w:kern w:val="0"/>
        </w:rPr>
      </w:pPr>
      <w:r>
        <w:rPr>
          <w:rFonts w:hint="eastAsia" w:ascii="宋体" w:hAnsi="宋体" w:cs="宋体"/>
          <w:color w:val="auto"/>
          <w:kern w:val="0"/>
        </w:rPr>
        <w:t>本项目废水水质复杂程度属简单，主要污染物为</w:t>
      </w:r>
      <w:r>
        <w:rPr>
          <w:rFonts w:ascii="TimesNewRomanPSMT" w:hAnsi="TimesNewRomanPSMT" w:eastAsia="TimesNewRomanPSMT" w:cs="TimesNewRomanPSMT"/>
          <w:color w:val="auto"/>
          <w:kern w:val="0"/>
        </w:rPr>
        <w:t>COD</w:t>
      </w:r>
      <w:r>
        <w:rPr>
          <w:rFonts w:hint="eastAsia" w:ascii="宋体" w:hAnsi="宋体" w:cs="宋体"/>
          <w:color w:val="auto"/>
          <w:kern w:val="0"/>
        </w:rPr>
        <w:t>、</w:t>
      </w:r>
      <w:r>
        <w:rPr>
          <w:rFonts w:ascii="TimesNewRomanPSMT" w:hAnsi="TimesNewRomanPSMT" w:eastAsia="TimesNewRomanPSMT" w:cs="TimesNewRomanPSMT"/>
          <w:color w:val="auto"/>
          <w:kern w:val="0"/>
        </w:rPr>
        <w:t>BOD</w:t>
      </w:r>
      <w:r>
        <w:rPr>
          <w:rFonts w:ascii="TimesNewRomanPSMT" w:hAnsi="TimesNewRomanPSMT" w:eastAsia="TimesNewRomanPSMT" w:cs="TimesNewRomanPSMT"/>
          <w:color w:val="auto"/>
          <w:kern w:val="0"/>
          <w:sz w:val="15"/>
          <w:szCs w:val="15"/>
        </w:rPr>
        <w:t>5</w:t>
      </w:r>
      <w:r>
        <w:rPr>
          <w:rFonts w:hint="eastAsia" w:ascii="宋体" w:hAnsi="宋体" w:cs="宋体"/>
          <w:color w:val="auto"/>
          <w:kern w:val="0"/>
        </w:rPr>
        <w:t>、</w:t>
      </w:r>
      <w:r>
        <w:rPr>
          <w:rFonts w:ascii="TimesNewRomanPSMT" w:hAnsi="TimesNewRomanPSMT" w:eastAsia="TimesNewRomanPSMT" w:cs="TimesNewRomanPSMT"/>
          <w:color w:val="auto"/>
          <w:kern w:val="0"/>
        </w:rPr>
        <w:t>NH</w:t>
      </w:r>
      <w:r>
        <w:rPr>
          <w:rFonts w:ascii="TimesNewRomanPSMT" w:hAnsi="TimesNewRomanPSMT" w:eastAsia="TimesNewRomanPSMT" w:cs="TimesNewRomanPSMT"/>
          <w:color w:val="auto"/>
          <w:kern w:val="0"/>
          <w:sz w:val="15"/>
          <w:szCs w:val="15"/>
        </w:rPr>
        <w:t>3</w:t>
      </w:r>
      <w:r>
        <w:rPr>
          <w:rFonts w:ascii="TimesNewRomanPSMT" w:hAnsi="TimesNewRomanPSMT" w:eastAsia="TimesNewRomanPSMT" w:cs="TimesNewRomanPSMT"/>
          <w:color w:val="auto"/>
          <w:kern w:val="0"/>
        </w:rPr>
        <w:t>-N</w:t>
      </w:r>
      <w:r>
        <w:rPr>
          <w:rFonts w:hint="eastAsia" w:ascii="宋体" w:hAnsi="宋体" w:cs="宋体"/>
          <w:color w:val="auto"/>
          <w:kern w:val="0"/>
        </w:rPr>
        <w:t>等，全部实现资源化利用，无废水外排。参照《环境影响评价技术导则 地表水环境》（</w:t>
      </w:r>
      <w:r>
        <w:rPr>
          <w:rFonts w:ascii="TimesNewRomanPSMT" w:hAnsi="TimesNewRomanPSMT" w:eastAsia="TimesNewRomanPSMT" w:cs="TimesNewRomanPSMT"/>
          <w:color w:val="auto"/>
          <w:kern w:val="0"/>
        </w:rPr>
        <w:t>HJ2.3-2018</w:t>
      </w:r>
      <w:r>
        <w:rPr>
          <w:rFonts w:hint="eastAsia" w:ascii="宋体" w:hAnsi="宋体" w:cs="宋体"/>
          <w:color w:val="auto"/>
          <w:kern w:val="0"/>
        </w:rPr>
        <w:t>）对水环境影响评价等级划分的原则，</w:t>
      </w:r>
      <w:r>
        <w:rPr>
          <w:rFonts w:ascii="TimesNewRomanPSMT" w:hAnsi="TimesNewRomanPSMT" w:eastAsia="TimesNewRomanPSMT" w:cs="TimesNewRomanPSMT"/>
          <w:color w:val="auto"/>
          <w:kern w:val="0"/>
        </w:rPr>
        <w:t>“</w:t>
      </w:r>
      <w:r>
        <w:rPr>
          <w:rFonts w:hint="eastAsia" w:ascii="宋体" w:hAnsi="宋体" w:cs="宋体"/>
          <w:color w:val="auto"/>
          <w:kern w:val="0"/>
        </w:rPr>
        <w:t>建设项目生产工艺有废水产生，但作为回水利用，不排放到外环境的，按三级</w:t>
      </w:r>
      <w:r>
        <w:rPr>
          <w:rFonts w:ascii="TimesNewRomanPSMT" w:hAnsi="TimesNewRomanPSMT" w:eastAsia="TimesNewRomanPSMT" w:cs="TimesNewRomanPSMT"/>
          <w:color w:val="auto"/>
          <w:kern w:val="0"/>
        </w:rPr>
        <w:t>B</w:t>
      </w:r>
      <w:r>
        <w:rPr>
          <w:rFonts w:hint="eastAsia" w:ascii="宋体" w:hAnsi="宋体" w:cs="宋体"/>
          <w:color w:val="auto"/>
          <w:kern w:val="0"/>
        </w:rPr>
        <w:t>评价</w:t>
      </w:r>
      <w:r>
        <w:rPr>
          <w:rFonts w:ascii="TimesNewRomanPSMT" w:hAnsi="TimesNewRomanPSMT" w:eastAsia="TimesNewRomanPSMT" w:cs="TimesNewRomanPSMT"/>
          <w:color w:val="auto"/>
          <w:kern w:val="0"/>
        </w:rPr>
        <w:t>”</w:t>
      </w:r>
      <w:r>
        <w:rPr>
          <w:rFonts w:hint="eastAsia" w:ascii="宋体" w:hAnsi="宋体" w:cs="宋体"/>
          <w:color w:val="auto"/>
          <w:kern w:val="0"/>
        </w:rPr>
        <w:t>，本项目确定地表水评价等级为三级</w:t>
      </w:r>
      <w:r>
        <w:rPr>
          <w:rFonts w:ascii="TimesNewRomanPSMT" w:hAnsi="TimesNewRomanPSMT" w:eastAsia="TimesNewRomanPSMT" w:cs="TimesNewRomanPSMT"/>
          <w:color w:val="auto"/>
          <w:kern w:val="0"/>
        </w:rPr>
        <w:t>B</w:t>
      </w:r>
      <w:r>
        <w:rPr>
          <w:rFonts w:hint="eastAsia" w:ascii="宋体" w:hAnsi="宋体" w:cs="宋体"/>
          <w:color w:val="auto"/>
          <w:kern w:val="0"/>
        </w:rPr>
        <w:t>。地表水环境影响三级</w:t>
      </w:r>
      <w:r>
        <w:rPr>
          <w:rFonts w:ascii="TimesNewRomanPSMT" w:hAnsi="TimesNewRomanPSMT" w:eastAsia="TimesNewRomanPSMT" w:cs="TimesNewRomanPSMT"/>
          <w:color w:val="auto"/>
          <w:kern w:val="0"/>
        </w:rPr>
        <w:t>B</w:t>
      </w:r>
      <w:r>
        <w:rPr>
          <w:rFonts w:hint="eastAsia" w:ascii="宋体" w:hAnsi="宋体" w:cs="宋体"/>
          <w:color w:val="auto"/>
          <w:kern w:val="0"/>
        </w:rPr>
        <w:t>评价项目可不进行水环境影响预测，重点针对水污染控制和水环境影响减缓措施有效性及依托污水处理设施的环境可行性进行评价分析。</w:t>
      </w:r>
    </w:p>
    <w:p>
      <w:pPr>
        <w:pStyle w:val="6"/>
        <w:rPr>
          <w:color w:val="auto"/>
        </w:rPr>
      </w:pPr>
      <w:r>
        <w:rPr>
          <w:color w:val="auto"/>
        </w:rPr>
        <w:t>2.5.</w:t>
      </w:r>
      <w:r>
        <w:rPr>
          <w:rFonts w:hint="eastAsia"/>
          <w:color w:val="auto"/>
        </w:rPr>
        <w:t>3</w:t>
      </w:r>
      <w:r>
        <w:rPr>
          <w:color w:val="auto"/>
        </w:rPr>
        <w:t xml:space="preserve"> </w:t>
      </w:r>
      <w:r>
        <w:rPr>
          <w:rFonts w:hint="eastAsia"/>
          <w:color w:val="auto"/>
        </w:rPr>
        <w:t>地下水</w:t>
      </w:r>
    </w:p>
    <w:p>
      <w:pPr>
        <w:ind w:firstLine="480"/>
        <w:rPr>
          <w:color w:val="auto"/>
        </w:rPr>
      </w:pPr>
      <w:r>
        <w:rPr>
          <w:color w:val="auto"/>
        </w:rPr>
        <w:t>本项目位于</w:t>
      </w:r>
      <w:r>
        <w:rPr>
          <w:rFonts w:hint="eastAsia"/>
          <w:color w:val="auto"/>
        </w:rPr>
        <w:t>河南省濮阳市濮阳县五星乡于屯村东</w:t>
      </w:r>
      <w:r>
        <w:rPr>
          <w:color w:val="auto"/>
        </w:rPr>
        <w:t>，根据2016年1月7日实施的《环境影响评价技术导则  地下水环境》（HJ610-2016）结合《建设项目环境影响评价分类管理名录》内容，本项目属于“地下水环境评价行业分类表中：B 农、林、牧、渔、海洋 14畜禽养殖场、养殖小区，环评类别属于报告书”，此类报告书地下水环境影响评价项目类别属于Ⅲ类。</w:t>
      </w:r>
    </w:p>
    <w:p>
      <w:pPr>
        <w:ind w:firstLine="480"/>
        <w:rPr>
          <w:color w:val="auto"/>
        </w:rPr>
      </w:pPr>
      <w:r>
        <w:rPr>
          <w:color w:val="auto"/>
        </w:rPr>
        <w:t>根据《环境影响评价技术导则  地下水环境》（HJ610-2016）地下水敏感程度可分为敏感、较敏感、不敏感三级，地下水敏感程度分级表见</w:t>
      </w:r>
      <w:r>
        <w:rPr>
          <w:rFonts w:hint="eastAsia"/>
          <w:color w:val="auto"/>
        </w:rPr>
        <w:fldChar w:fldCharType="begin"/>
      </w:r>
      <w:r>
        <w:rPr>
          <w:color w:val="auto"/>
        </w:rPr>
        <w:instrText xml:space="preserve"> REF _Ref478121195 \h  \* MERGEFORMAT </w:instrText>
      </w:r>
      <w:r>
        <w:rPr>
          <w:rFonts w:hint="eastAsia"/>
          <w:color w:val="auto"/>
        </w:rPr>
        <w:fldChar w:fldCharType="separate"/>
      </w:r>
      <w:r>
        <w:rPr>
          <w:rFonts w:eastAsia="黑体"/>
          <w:color w:val="auto"/>
        </w:rPr>
        <w:t xml:space="preserve">表 </w:t>
      </w:r>
      <w:r>
        <w:rPr>
          <w:rFonts w:hint="eastAsia" w:eastAsia="黑体"/>
          <w:color w:val="auto"/>
        </w:rPr>
        <w:t>2</w:t>
      </w:r>
      <w:r>
        <w:rPr>
          <w:rFonts w:hint="eastAsia" w:eastAsia="黑体"/>
          <w:color w:val="auto"/>
        </w:rPr>
        <w:fldChar w:fldCharType="end"/>
      </w:r>
      <w:r>
        <w:rPr>
          <w:rFonts w:hint="eastAsia"/>
          <w:color w:val="auto"/>
        </w:rPr>
        <w:t>.5-3</w:t>
      </w:r>
      <w:r>
        <w:rPr>
          <w:color w:val="auto"/>
        </w:rPr>
        <w:t>。</w:t>
      </w:r>
    </w:p>
    <w:p>
      <w:pPr>
        <w:spacing w:line="240" w:lineRule="auto"/>
        <w:ind w:firstLine="0" w:firstLineChars="0"/>
        <w:jc w:val="center"/>
        <w:rPr>
          <w:b/>
          <w:bCs/>
          <w:color w:val="auto"/>
        </w:rPr>
      </w:pPr>
      <w:bookmarkStart w:id="165" w:name="_Ref478121195"/>
      <w:r>
        <w:rPr>
          <w:b/>
          <w:bCs/>
          <w:color w:val="auto"/>
        </w:rPr>
        <w:t xml:space="preserve">表 </w:t>
      </w:r>
      <w:bookmarkEnd w:id="165"/>
      <w:r>
        <w:rPr>
          <w:rFonts w:hint="eastAsia"/>
          <w:b/>
          <w:bCs/>
          <w:color w:val="auto"/>
        </w:rPr>
        <w:t>2.5-3</w:t>
      </w:r>
      <w:r>
        <w:rPr>
          <w:b/>
          <w:bCs/>
          <w:color w:val="auto"/>
        </w:rPr>
        <w:t xml:space="preserve">   地下水敏感程度分级表</w:t>
      </w:r>
    </w:p>
    <w:tbl>
      <w:tblPr>
        <w:tblStyle w:val="27"/>
        <w:tblW w:w="8946"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83"/>
        <w:gridCol w:w="726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4" w:hRule="atLeast"/>
          <w:tblHeader/>
        </w:trPr>
        <w:tc>
          <w:tcPr>
            <w:tcW w:w="1683" w:type="dxa"/>
            <w:tcBorders>
              <w:tl2br w:val="nil"/>
              <w:tr2bl w:val="nil"/>
            </w:tcBorders>
            <w:vAlign w:val="center"/>
          </w:tcPr>
          <w:p>
            <w:pPr>
              <w:spacing w:line="360" w:lineRule="exact"/>
              <w:ind w:firstLine="0" w:firstLineChars="0"/>
              <w:jc w:val="center"/>
              <w:rPr>
                <w:b/>
                <w:bCs/>
                <w:color w:val="auto"/>
                <w:kern w:val="0"/>
                <w:sz w:val="21"/>
                <w:szCs w:val="21"/>
                <w:lang w:val="en-GB"/>
              </w:rPr>
            </w:pPr>
            <w:r>
              <w:rPr>
                <w:color w:val="auto"/>
                <w:kern w:val="0"/>
                <w:sz w:val="21"/>
                <w:szCs w:val="21"/>
                <w:lang w:val="en-GB"/>
              </w:rPr>
              <w:t>敏感程度</w:t>
            </w:r>
          </w:p>
        </w:tc>
        <w:tc>
          <w:tcPr>
            <w:tcW w:w="7263" w:type="dxa"/>
            <w:tcBorders>
              <w:tl2br w:val="nil"/>
              <w:tr2bl w:val="nil"/>
            </w:tcBorders>
            <w:vAlign w:val="center"/>
          </w:tcPr>
          <w:p>
            <w:pPr>
              <w:spacing w:line="360" w:lineRule="exact"/>
              <w:ind w:firstLine="0" w:firstLineChars="0"/>
              <w:jc w:val="center"/>
              <w:rPr>
                <w:b/>
                <w:bCs/>
                <w:color w:val="auto"/>
                <w:kern w:val="0"/>
                <w:sz w:val="21"/>
                <w:szCs w:val="21"/>
                <w:lang w:val="en-GB"/>
              </w:rPr>
            </w:pPr>
            <w:r>
              <w:rPr>
                <w:color w:val="auto"/>
                <w:kern w:val="0"/>
                <w:sz w:val="21"/>
                <w:szCs w:val="21"/>
                <w:lang w:val="en-GB"/>
              </w:rPr>
              <w:t>地下水环境敏感特征</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83" w:type="dxa"/>
            <w:tcBorders>
              <w:tl2br w:val="nil"/>
              <w:tr2bl w:val="nil"/>
            </w:tcBorders>
            <w:vAlign w:val="center"/>
          </w:tcPr>
          <w:p>
            <w:pPr>
              <w:spacing w:line="360" w:lineRule="exact"/>
              <w:ind w:firstLine="0" w:firstLineChars="0"/>
              <w:jc w:val="center"/>
              <w:rPr>
                <w:bCs/>
                <w:color w:val="auto"/>
                <w:kern w:val="0"/>
                <w:sz w:val="21"/>
                <w:szCs w:val="21"/>
                <w:lang w:val="en-GB"/>
              </w:rPr>
            </w:pPr>
            <w:r>
              <w:rPr>
                <w:bCs/>
                <w:color w:val="auto"/>
                <w:kern w:val="0"/>
                <w:sz w:val="21"/>
                <w:szCs w:val="21"/>
                <w:lang w:val="en-GB"/>
              </w:rPr>
              <w:t>敏感</w:t>
            </w:r>
          </w:p>
        </w:tc>
        <w:tc>
          <w:tcPr>
            <w:tcW w:w="7263" w:type="dxa"/>
            <w:tcBorders>
              <w:tl2br w:val="nil"/>
              <w:tr2bl w:val="nil"/>
            </w:tcBorders>
            <w:vAlign w:val="center"/>
          </w:tcPr>
          <w:p>
            <w:pPr>
              <w:spacing w:line="360" w:lineRule="exact"/>
              <w:ind w:firstLine="0" w:firstLineChars="0"/>
              <w:jc w:val="center"/>
              <w:rPr>
                <w:bCs/>
                <w:color w:val="auto"/>
                <w:kern w:val="0"/>
                <w:sz w:val="21"/>
                <w:szCs w:val="21"/>
                <w:lang w:val="en-GB"/>
              </w:rPr>
            </w:pPr>
            <w:r>
              <w:rPr>
                <w:bCs/>
                <w:color w:val="auto"/>
                <w:kern w:val="0"/>
                <w:sz w:val="21"/>
                <w:szCs w:val="21"/>
                <w:lang w:val="en-GB"/>
              </w:rPr>
              <w:t>集中式饮用水水源（包括已建成的在用、备用、应急水源，在建和规划的饮用水水源）准保护区；除集中式饮用水水源以外的国家或地方政府设定的与地下水环境相关的其它保护区，如热水、矿泉水、温泉等特殊地下水资源保护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83" w:type="dxa"/>
            <w:tcBorders>
              <w:tl2br w:val="nil"/>
              <w:tr2bl w:val="nil"/>
            </w:tcBorders>
            <w:vAlign w:val="center"/>
          </w:tcPr>
          <w:p>
            <w:pPr>
              <w:spacing w:line="360" w:lineRule="exact"/>
              <w:ind w:firstLine="0" w:firstLineChars="0"/>
              <w:jc w:val="center"/>
              <w:rPr>
                <w:bCs/>
                <w:color w:val="auto"/>
                <w:kern w:val="0"/>
                <w:sz w:val="21"/>
                <w:szCs w:val="21"/>
                <w:lang w:val="en-GB"/>
              </w:rPr>
            </w:pPr>
            <w:r>
              <w:rPr>
                <w:bCs/>
                <w:color w:val="auto"/>
                <w:kern w:val="0"/>
                <w:sz w:val="21"/>
                <w:szCs w:val="21"/>
                <w:lang w:val="en-GB"/>
              </w:rPr>
              <w:t>较敏感</w:t>
            </w:r>
          </w:p>
        </w:tc>
        <w:tc>
          <w:tcPr>
            <w:tcW w:w="7263" w:type="dxa"/>
            <w:tcBorders>
              <w:tl2br w:val="nil"/>
              <w:tr2bl w:val="nil"/>
            </w:tcBorders>
            <w:vAlign w:val="center"/>
          </w:tcPr>
          <w:p>
            <w:pPr>
              <w:spacing w:line="360" w:lineRule="exact"/>
              <w:ind w:firstLine="0" w:firstLineChars="0"/>
              <w:jc w:val="center"/>
              <w:rPr>
                <w:bCs/>
                <w:color w:val="auto"/>
                <w:kern w:val="0"/>
                <w:sz w:val="21"/>
                <w:szCs w:val="21"/>
                <w:lang w:val="en-GB"/>
              </w:rPr>
            </w:pPr>
            <w:r>
              <w:rPr>
                <w:bCs/>
                <w:color w:val="auto"/>
                <w:kern w:val="0"/>
                <w:sz w:val="21"/>
                <w:szCs w:val="21"/>
                <w:lang w:val="en-GB"/>
              </w:rPr>
              <w:t>集中式饮用水水源（包括已建成的在用、备用、应急水源，在建和规划的饮用水水源）准保护区以外的补给径流区；未划定准保护区的集中水式饮用水水源，其保护区以外的补给径流区；分散式饮用水水源地；特殊地下水资源（如矿泉水、温泉等）保护区以外的分布区等其他未列入上述敏感分级的环境敏感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683" w:type="dxa"/>
            <w:tcBorders>
              <w:tl2br w:val="nil"/>
              <w:tr2bl w:val="nil"/>
            </w:tcBorders>
            <w:vAlign w:val="center"/>
          </w:tcPr>
          <w:p>
            <w:pPr>
              <w:spacing w:line="360" w:lineRule="exact"/>
              <w:ind w:firstLine="0" w:firstLineChars="0"/>
              <w:jc w:val="center"/>
              <w:rPr>
                <w:bCs/>
                <w:color w:val="auto"/>
                <w:kern w:val="0"/>
                <w:sz w:val="21"/>
                <w:szCs w:val="21"/>
                <w:lang w:val="en-GB"/>
              </w:rPr>
            </w:pPr>
            <w:r>
              <w:rPr>
                <w:bCs/>
                <w:color w:val="auto"/>
                <w:kern w:val="0"/>
                <w:sz w:val="21"/>
                <w:szCs w:val="21"/>
                <w:lang w:val="en-GB"/>
              </w:rPr>
              <w:t>不敏感</w:t>
            </w:r>
          </w:p>
        </w:tc>
        <w:tc>
          <w:tcPr>
            <w:tcW w:w="7263" w:type="dxa"/>
            <w:tcBorders>
              <w:tl2br w:val="nil"/>
              <w:tr2bl w:val="nil"/>
            </w:tcBorders>
            <w:vAlign w:val="center"/>
          </w:tcPr>
          <w:p>
            <w:pPr>
              <w:spacing w:line="360" w:lineRule="exact"/>
              <w:ind w:firstLine="0" w:firstLineChars="0"/>
              <w:jc w:val="center"/>
              <w:rPr>
                <w:bCs/>
                <w:color w:val="auto"/>
                <w:kern w:val="0"/>
                <w:sz w:val="21"/>
                <w:szCs w:val="21"/>
                <w:lang w:val="en-GB"/>
              </w:rPr>
            </w:pPr>
            <w:r>
              <w:rPr>
                <w:bCs/>
                <w:color w:val="auto"/>
                <w:kern w:val="0"/>
                <w:sz w:val="21"/>
                <w:szCs w:val="21"/>
                <w:lang w:val="en-GB"/>
              </w:rPr>
              <w:t>上述地区之外的其它区域</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946" w:type="dxa"/>
            <w:gridSpan w:val="2"/>
            <w:tcBorders>
              <w:tl2br w:val="nil"/>
              <w:tr2bl w:val="nil"/>
            </w:tcBorders>
            <w:vAlign w:val="center"/>
          </w:tcPr>
          <w:p>
            <w:pPr>
              <w:spacing w:line="360" w:lineRule="exact"/>
              <w:ind w:firstLine="0" w:firstLineChars="0"/>
              <w:jc w:val="center"/>
              <w:rPr>
                <w:bCs/>
                <w:color w:val="auto"/>
                <w:kern w:val="0"/>
                <w:sz w:val="21"/>
                <w:szCs w:val="21"/>
                <w:lang w:val="en-GB"/>
              </w:rPr>
            </w:pPr>
            <w:r>
              <w:rPr>
                <w:bCs/>
                <w:color w:val="auto"/>
                <w:kern w:val="0"/>
                <w:sz w:val="21"/>
                <w:szCs w:val="21"/>
                <w:lang w:val="en-GB"/>
              </w:rPr>
              <w:t>注：a“环境敏感区”是指《建设项目环境影响评价分类管理名录》</w:t>
            </w:r>
          </w:p>
          <w:p>
            <w:pPr>
              <w:spacing w:line="360" w:lineRule="exact"/>
              <w:ind w:firstLine="0" w:firstLineChars="0"/>
              <w:jc w:val="center"/>
              <w:rPr>
                <w:bCs/>
                <w:color w:val="auto"/>
                <w:kern w:val="0"/>
                <w:sz w:val="21"/>
                <w:szCs w:val="21"/>
                <w:lang w:val="en-GB"/>
              </w:rPr>
            </w:pPr>
            <w:r>
              <w:rPr>
                <w:bCs/>
                <w:color w:val="auto"/>
                <w:kern w:val="0"/>
                <w:sz w:val="21"/>
                <w:szCs w:val="21"/>
                <w:lang w:val="en-GB"/>
              </w:rPr>
              <w:t>中所界定的涉及地下水的环境敏感区</w:t>
            </w:r>
          </w:p>
        </w:tc>
      </w:tr>
    </w:tbl>
    <w:p>
      <w:pPr>
        <w:ind w:firstLine="480"/>
        <w:jc w:val="left"/>
        <w:rPr>
          <w:color w:val="auto"/>
        </w:rPr>
      </w:pPr>
      <w:r>
        <w:rPr>
          <w:color w:val="auto"/>
        </w:rPr>
        <w:t>经现场调查，项目区周边村庄采用集中供水，</w:t>
      </w:r>
      <w:r>
        <w:rPr>
          <w:rFonts w:hint="eastAsia"/>
          <w:color w:val="auto"/>
        </w:rPr>
        <w:t>距离本项目最近的为李子园地下水井群（共23眼井）饮用水水源一级保护区：取水井外50米的区域。本项目位于李子园地下水井群准保护区边界东侧2.6km，不在其准备其准保护区范围内，位于其下游。根据</w:t>
      </w:r>
      <w:r>
        <w:rPr>
          <w:color w:val="auto"/>
        </w:rPr>
        <w:t>《环境影响评价技术导则地下水环境》（HJ 610-2016）</w:t>
      </w:r>
      <w:r>
        <w:rPr>
          <w:rFonts w:hint="eastAsia"/>
          <w:color w:val="auto"/>
        </w:rPr>
        <w:t>，</w:t>
      </w:r>
      <w:r>
        <w:rPr>
          <w:color w:val="auto"/>
        </w:rPr>
        <w:t>判断建项目场地地下水环境敏感程度为“</w:t>
      </w:r>
      <w:r>
        <w:rPr>
          <w:rFonts w:hint="eastAsia"/>
          <w:color w:val="auto"/>
        </w:rPr>
        <w:t>较</w:t>
      </w:r>
      <w:r>
        <w:rPr>
          <w:color w:val="auto"/>
        </w:rPr>
        <w:t>敏感”</w:t>
      </w:r>
      <w:r>
        <w:rPr>
          <w:rFonts w:hint="eastAsia"/>
          <w:color w:val="auto"/>
        </w:rPr>
        <w:t>，同时</w:t>
      </w:r>
      <w:r>
        <w:rPr>
          <w:color w:val="auto"/>
        </w:rPr>
        <w:t>地下水环境影响评价项目类别为Ⅲ类。</w:t>
      </w:r>
    </w:p>
    <w:p>
      <w:pPr>
        <w:ind w:firstLine="480"/>
        <w:rPr>
          <w:rFonts w:eastAsia="黑体"/>
          <w:color w:val="auto"/>
        </w:rPr>
      </w:pPr>
      <w:r>
        <w:rPr>
          <w:color w:val="auto"/>
        </w:rPr>
        <w:t>建设项目地下水环境影响评价工作等级划分情况见表</w:t>
      </w:r>
      <w:r>
        <w:rPr>
          <w:rFonts w:hint="eastAsia"/>
          <w:color w:val="auto"/>
        </w:rPr>
        <w:t>2.5-4</w:t>
      </w:r>
      <w:r>
        <w:rPr>
          <w:color w:val="auto"/>
        </w:rPr>
        <w:t>。</w:t>
      </w:r>
      <w:bookmarkStart w:id="166" w:name="_Ref478121227"/>
    </w:p>
    <w:p>
      <w:pPr>
        <w:spacing w:line="360" w:lineRule="exact"/>
        <w:ind w:firstLine="0" w:firstLineChars="0"/>
        <w:jc w:val="center"/>
        <w:rPr>
          <w:b/>
          <w:bCs/>
          <w:color w:val="auto"/>
          <w:kern w:val="0"/>
          <w:lang w:val="en-GB"/>
        </w:rPr>
      </w:pPr>
      <w:r>
        <w:rPr>
          <w:b/>
          <w:bCs/>
          <w:color w:val="auto"/>
          <w:kern w:val="0"/>
          <w:lang w:val="en-GB"/>
        </w:rPr>
        <w:t xml:space="preserve">表 </w:t>
      </w:r>
      <w:bookmarkEnd w:id="166"/>
      <w:r>
        <w:rPr>
          <w:rFonts w:hint="eastAsia"/>
          <w:b/>
          <w:bCs/>
          <w:color w:val="auto"/>
          <w:kern w:val="0"/>
        </w:rPr>
        <w:t>2.5-4</w:t>
      </w:r>
      <w:r>
        <w:rPr>
          <w:b/>
          <w:bCs/>
          <w:color w:val="auto"/>
          <w:kern w:val="0"/>
          <w:lang w:val="en-GB"/>
        </w:rPr>
        <w:t xml:space="preserve">    本项目地下水环境影响评价工作等级划分一览表</w:t>
      </w:r>
    </w:p>
    <w:tbl>
      <w:tblPr>
        <w:tblStyle w:val="27"/>
        <w:tblW w:w="8946"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282"/>
        <w:gridCol w:w="1888"/>
        <w:gridCol w:w="1888"/>
        <w:gridCol w:w="188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85" w:hRule="atLeast"/>
          <w:tblHeader/>
          <w:jc w:val="center"/>
        </w:trPr>
        <w:tc>
          <w:tcPr>
            <w:tcW w:w="3282" w:type="dxa"/>
            <w:tcBorders>
              <w:tl2br w:val="nil"/>
              <w:tr2bl w:val="nil"/>
            </w:tcBorders>
            <w:vAlign w:val="center"/>
          </w:tcPr>
          <w:p>
            <w:pPr>
              <w:spacing w:line="360" w:lineRule="exact"/>
              <w:ind w:firstLine="0" w:firstLineChars="0"/>
              <w:jc w:val="center"/>
              <w:rPr>
                <w:b/>
                <w:bCs/>
                <w:color w:val="auto"/>
                <w:kern w:val="0"/>
                <w:sz w:val="21"/>
                <w:szCs w:val="21"/>
                <w:lang w:val="en-GB"/>
              </w:rPr>
            </w:pPr>
            <w:r>
              <w:rPr>
                <w:b/>
                <w:bCs/>
                <w:color w:val="auto"/>
                <w:kern w:val="0"/>
                <w:sz w:val="21"/>
                <w:szCs w:val="21"/>
                <w:lang w:val="en-GB"/>
              </w:rPr>
              <w:t xml:space="preserve">            环评类别</w:t>
            </w:r>
          </w:p>
          <w:p>
            <w:pPr>
              <w:spacing w:line="360" w:lineRule="exact"/>
              <w:ind w:firstLine="0" w:firstLineChars="0"/>
              <w:rPr>
                <w:b/>
                <w:bCs/>
                <w:color w:val="auto"/>
                <w:kern w:val="0"/>
                <w:sz w:val="21"/>
                <w:szCs w:val="21"/>
                <w:lang w:val="en-GB"/>
              </w:rPr>
            </w:pPr>
            <w:r>
              <w:rPr>
                <w:b/>
                <w:bCs/>
                <w:color w:val="auto"/>
                <w:kern w:val="0"/>
                <w:sz w:val="21"/>
                <w:szCs w:val="21"/>
                <w:lang w:val="en-GB"/>
              </w:rPr>
              <w:t>环境敏感程度</w:t>
            </w:r>
          </w:p>
        </w:tc>
        <w:tc>
          <w:tcPr>
            <w:tcW w:w="1888" w:type="dxa"/>
            <w:tcBorders>
              <w:tl2br w:val="nil"/>
              <w:tr2bl w:val="nil"/>
            </w:tcBorders>
            <w:vAlign w:val="center"/>
          </w:tcPr>
          <w:p>
            <w:pPr>
              <w:spacing w:line="360" w:lineRule="exact"/>
              <w:ind w:firstLine="0" w:firstLineChars="0"/>
              <w:jc w:val="center"/>
              <w:rPr>
                <w:b/>
                <w:bCs/>
                <w:color w:val="auto"/>
                <w:kern w:val="0"/>
                <w:sz w:val="21"/>
                <w:szCs w:val="21"/>
                <w:lang w:val="en-GB"/>
              </w:rPr>
            </w:pPr>
            <w:r>
              <w:rPr>
                <w:b/>
                <w:color w:val="auto"/>
                <w:kern w:val="0"/>
                <w:sz w:val="21"/>
                <w:szCs w:val="21"/>
              </w:rPr>
              <w:t>Ⅰ类项目</w:t>
            </w:r>
          </w:p>
        </w:tc>
        <w:tc>
          <w:tcPr>
            <w:tcW w:w="1888" w:type="dxa"/>
            <w:tcBorders>
              <w:tl2br w:val="nil"/>
              <w:tr2bl w:val="nil"/>
            </w:tcBorders>
            <w:vAlign w:val="center"/>
          </w:tcPr>
          <w:p>
            <w:pPr>
              <w:spacing w:line="360" w:lineRule="exact"/>
              <w:ind w:firstLine="0" w:firstLineChars="0"/>
              <w:jc w:val="center"/>
              <w:rPr>
                <w:b/>
                <w:bCs/>
                <w:color w:val="auto"/>
                <w:kern w:val="0"/>
                <w:sz w:val="21"/>
                <w:szCs w:val="21"/>
                <w:lang w:val="en-GB"/>
              </w:rPr>
            </w:pPr>
            <w:r>
              <w:rPr>
                <w:b/>
                <w:color w:val="auto"/>
                <w:kern w:val="0"/>
                <w:sz w:val="21"/>
                <w:szCs w:val="21"/>
              </w:rPr>
              <w:t>Ⅱ类项目</w:t>
            </w:r>
          </w:p>
        </w:tc>
        <w:tc>
          <w:tcPr>
            <w:tcW w:w="1888" w:type="dxa"/>
            <w:tcBorders>
              <w:tl2br w:val="nil"/>
              <w:tr2bl w:val="nil"/>
            </w:tcBorders>
            <w:vAlign w:val="center"/>
          </w:tcPr>
          <w:p>
            <w:pPr>
              <w:spacing w:line="360" w:lineRule="exact"/>
              <w:ind w:firstLine="0" w:firstLineChars="0"/>
              <w:jc w:val="center"/>
              <w:rPr>
                <w:b/>
                <w:color w:val="auto"/>
                <w:kern w:val="0"/>
                <w:sz w:val="21"/>
                <w:szCs w:val="21"/>
                <w:lang w:val="en-GB"/>
              </w:rPr>
            </w:pPr>
            <w:r>
              <w:rPr>
                <w:b/>
                <w:color w:val="auto"/>
                <w:kern w:val="0"/>
                <w:sz w:val="21"/>
                <w:szCs w:val="21"/>
              </w:rPr>
              <w:t>Ⅲ类项目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9" w:hRule="atLeast"/>
          <w:tblHeader/>
          <w:jc w:val="center"/>
        </w:trPr>
        <w:tc>
          <w:tcPr>
            <w:tcW w:w="3282" w:type="dxa"/>
            <w:tcBorders>
              <w:tl2br w:val="nil"/>
              <w:tr2bl w:val="nil"/>
            </w:tcBorders>
            <w:vAlign w:val="center"/>
          </w:tcPr>
          <w:p>
            <w:pPr>
              <w:spacing w:line="360" w:lineRule="exact"/>
              <w:ind w:firstLine="0" w:firstLineChars="0"/>
              <w:jc w:val="center"/>
              <w:rPr>
                <w:bCs/>
                <w:color w:val="auto"/>
                <w:kern w:val="0"/>
                <w:sz w:val="21"/>
                <w:szCs w:val="21"/>
                <w:lang w:val="en-GB"/>
              </w:rPr>
            </w:pPr>
            <w:r>
              <w:rPr>
                <w:bCs/>
                <w:color w:val="auto"/>
                <w:kern w:val="0"/>
                <w:sz w:val="21"/>
                <w:szCs w:val="21"/>
                <w:lang w:val="en-GB"/>
              </w:rPr>
              <w:t>敏感</w:t>
            </w:r>
          </w:p>
        </w:tc>
        <w:tc>
          <w:tcPr>
            <w:tcW w:w="1888" w:type="dxa"/>
            <w:tcBorders>
              <w:tl2br w:val="nil"/>
              <w:tr2bl w:val="nil"/>
            </w:tcBorders>
            <w:vAlign w:val="center"/>
          </w:tcPr>
          <w:p>
            <w:pPr>
              <w:spacing w:line="360" w:lineRule="exact"/>
              <w:ind w:firstLine="0" w:firstLineChars="0"/>
              <w:jc w:val="center"/>
              <w:rPr>
                <w:b/>
                <w:bCs/>
                <w:color w:val="auto"/>
                <w:kern w:val="0"/>
                <w:sz w:val="21"/>
                <w:szCs w:val="21"/>
                <w:lang w:val="en-GB"/>
              </w:rPr>
            </w:pPr>
            <w:r>
              <w:rPr>
                <w:b/>
                <w:bCs/>
                <w:color w:val="auto"/>
                <w:kern w:val="0"/>
                <w:sz w:val="21"/>
                <w:szCs w:val="21"/>
                <w:lang w:val="en-GB"/>
              </w:rPr>
              <w:t>一</w:t>
            </w:r>
          </w:p>
        </w:tc>
        <w:tc>
          <w:tcPr>
            <w:tcW w:w="1888" w:type="dxa"/>
            <w:tcBorders>
              <w:tl2br w:val="nil"/>
              <w:tr2bl w:val="nil"/>
            </w:tcBorders>
            <w:vAlign w:val="center"/>
          </w:tcPr>
          <w:p>
            <w:pPr>
              <w:spacing w:line="360" w:lineRule="exact"/>
              <w:ind w:firstLine="0" w:firstLineChars="0"/>
              <w:jc w:val="center"/>
              <w:rPr>
                <w:b/>
                <w:bCs/>
                <w:color w:val="auto"/>
                <w:kern w:val="0"/>
                <w:sz w:val="21"/>
                <w:szCs w:val="21"/>
                <w:lang w:val="en-GB"/>
              </w:rPr>
            </w:pPr>
            <w:r>
              <w:rPr>
                <w:b/>
                <w:bCs/>
                <w:color w:val="auto"/>
                <w:kern w:val="0"/>
                <w:sz w:val="21"/>
                <w:szCs w:val="21"/>
                <w:lang w:val="en-GB"/>
              </w:rPr>
              <w:t>一</w:t>
            </w:r>
          </w:p>
        </w:tc>
        <w:tc>
          <w:tcPr>
            <w:tcW w:w="1888" w:type="dxa"/>
            <w:tcBorders>
              <w:tl2br w:val="nil"/>
              <w:tr2bl w:val="nil"/>
            </w:tcBorders>
            <w:vAlign w:val="center"/>
          </w:tcPr>
          <w:p>
            <w:pPr>
              <w:spacing w:line="360" w:lineRule="exact"/>
              <w:ind w:firstLine="0" w:firstLineChars="0"/>
              <w:jc w:val="center"/>
              <w:rPr>
                <w:b/>
                <w:bCs/>
                <w:color w:val="auto"/>
                <w:kern w:val="0"/>
                <w:sz w:val="21"/>
                <w:szCs w:val="21"/>
                <w:lang w:val="en-GB"/>
              </w:rPr>
            </w:pPr>
            <w:r>
              <w:rPr>
                <w:b/>
                <w:bCs/>
                <w:color w:val="auto"/>
                <w:kern w:val="0"/>
                <w:sz w:val="21"/>
                <w:szCs w:val="21"/>
                <w:lang w:val="en-GB"/>
              </w:rPr>
              <w:t>二</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282" w:type="dxa"/>
            <w:tcBorders>
              <w:tl2br w:val="nil"/>
              <w:tr2bl w:val="nil"/>
            </w:tcBorders>
            <w:vAlign w:val="center"/>
          </w:tcPr>
          <w:p>
            <w:pPr>
              <w:spacing w:line="360" w:lineRule="exact"/>
              <w:ind w:firstLine="0" w:firstLineChars="0"/>
              <w:jc w:val="center"/>
              <w:rPr>
                <w:bCs/>
                <w:color w:val="auto"/>
                <w:kern w:val="0"/>
                <w:sz w:val="21"/>
                <w:szCs w:val="21"/>
                <w:lang w:val="en-GB"/>
              </w:rPr>
            </w:pPr>
            <w:r>
              <w:rPr>
                <w:bCs/>
                <w:color w:val="auto"/>
                <w:kern w:val="0"/>
                <w:sz w:val="21"/>
                <w:szCs w:val="21"/>
                <w:lang w:val="en-GB"/>
              </w:rPr>
              <w:t>较敏感</w:t>
            </w:r>
          </w:p>
        </w:tc>
        <w:tc>
          <w:tcPr>
            <w:tcW w:w="1888" w:type="dxa"/>
            <w:tcBorders>
              <w:tl2br w:val="nil"/>
              <w:tr2bl w:val="nil"/>
            </w:tcBorders>
            <w:vAlign w:val="center"/>
          </w:tcPr>
          <w:p>
            <w:pPr>
              <w:spacing w:line="360" w:lineRule="exact"/>
              <w:ind w:firstLine="0" w:firstLineChars="0"/>
              <w:jc w:val="center"/>
              <w:rPr>
                <w:b/>
                <w:bCs/>
                <w:color w:val="auto"/>
                <w:kern w:val="0"/>
                <w:sz w:val="21"/>
                <w:szCs w:val="21"/>
                <w:lang w:val="en-GB"/>
              </w:rPr>
            </w:pPr>
            <w:r>
              <w:rPr>
                <w:b/>
                <w:bCs/>
                <w:color w:val="auto"/>
                <w:kern w:val="0"/>
                <w:sz w:val="21"/>
                <w:szCs w:val="21"/>
                <w:lang w:val="en-GB"/>
              </w:rPr>
              <w:t>一</w:t>
            </w:r>
          </w:p>
        </w:tc>
        <w:tc>
          <w:tcPr>
            <w:tcW w:w="1888" w:type="dxa"/>
            <w:tcBorders>
              <w:tl2br w:val="nil"/>
              <w:tr2bl w:val="nil"/>
            </w:tcBorders>
            <w:vAlign w:val="center"/>
          </w:tcPr>
          <w:p>
            <w:pPr>
              <w:spacing w:line="360" w:lineRule="exact"/>
              <w:ind w:firstLine="0" w:firstLineChars="0"/>
              <w:jc w:val="center"/>
              <w:rPr>
                <w:b/>
                <w:bCs/>
                <w:color w:val="auto"/>
                <w:kern w:val="0"/>
                <w:sz w:val="21"/>
                <w:szCs w:val="21"/>
                <w:lang w:val="en-GB"/>
              </w:rPr>
            </w:pPr>
            <w:r>
              <w:rPr>
                <w:b/>
                <w:bCs/>
                <w:color w:val="auto"/>
                <w:kern w:val="0"/>
                <w:sz w:val="21"/>
                <w:szCs w:val="21"/>
                <w:lang w:val="en-GB"/>
              </w:rPr>
              <w:t>二</w:t>
            </w:r>
          </w:p>
        </w:tc>
        <w:tc>
          <w:tcPr>
            <w:tcW w:w="1888" w:type="dxa"/>
            <w:tcBorders>
              <w:tl2br w:val="nil"/>
              <w:tr2bl w:val="nil"/>
            </w:tcBorders>
            <w:vAlign w:val="center"/>
          </w:tcPr>
          <w:p>
            <w:pPr>
              <w:spacing w:line="360" w:lineRule="exact"/>
              <w:ind w:firstLine="0" w:firstLineChars="0"/>
              <w:jc w:val="center"/>
              <w:rPr>
                <w:b/>
                <w:bCs/>
                <w:color w:val="auto"/>
                <w:kern w:val="0"/>
                <w:sz w:val="21"/>
                <w:szCs w:val="21"/>
                <w:lang w:val="en-GB"/>
              </w:rPr>
            </w:pPr>
            <w:r>
              <w:rPr>
                <w:b/>
                <w:bCs/>
                <w:color w:val="auto"/>
                <w:kern w:val="0"/>
                <w:sz w:val="21"/>
                <w:szCs w:val="21"/>
                <w:lang w:val="en-GB"/>
              </w:rPr>
              <w:t>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8" w:hRule="atLeast"/>
          <w:tblHeader/>
          <w:jc w:val="center"/>
        </w:trPr>
        <w:tc>
          <w:tcPr>
            <w:tcW w:w="3282" w:type="dxa"/>
            <w:tcBorders>
              <w:tl2br w:val="nil"/>
              <w:tr2bl w:val="nil"/>
            </w:tcBorders>
            <w:vAlign w:val="center"/>
          </w:tcPr>
          <w:p>
            <w:pPr>
              <w:spacing w:line="360" w:lineRule="exact"/>
              <w:ind w:firstLine="0" w:firstLineChars="0"/>
              <w:jc w:val="center"/>
              <w:rPr>
                <w:bCs/>
                <w:color w:val="auto"/>
                <w:kern w:val="0"/>
                <w:sz w:val="21"/>
                <w:szCs w:val="21"/>
                <w:lang w:val="en-GB"/>
              </w:rPr>
            </w:pPr>
            <w:r>
              <w:rPr>
                <w:bCs/>
                <w:color w:val="auto"/>
                <w:kern w:val="0"/>
                <w:sz w:val="21"/>
                <w:szCs w:val="21"/>
                <w:lang w:val="en-GB"/>
              </w:rPr>
              <w:t>不敏感</w:t>
            </w:r>
          </w:p>
        </w:tc>
        <w:tc>
          <w:tcPr>
            <w:tcW w:w="1888" w:type="dxa"/>
            <w:tcBorders>
              <w:tl2br w:val="nil"/>
              <w:tr2bl w:val="nil"/>
            </w:tcBorders>
            <w:vAlign w:val="center"/>
          </w:tcPr>
          <w:p>
            <w:pPr>
              <w:spacing w:line="360" w:lineRule="exact"/>
              <w:ind w:firstLine="0" w:firstLineChars="0"/>
              <w:jc w:val="center"/>
              <w:rPr>
                <w:b/>
                <w:bCs/>
                <w:color w:val="auto"/>
                <w:kern w:val="0"/>
                <w:sz w:val="21"/>
                <w:szCs w:val="21"/>
                <w:lang w:val="en-GB"/>
              </w:rPr>
            </w:pPr>
            <w:r>
              <w:rPr>
                <w:b/>
                <w:bCs/>
                <w:color w:val="auto"/>
                <w:kern w:val="0"/>
                <w:sz w:val="21"/>
                <w:szCs w:val="21"/>
                <w:lang w:val="en-GB"/>
              </w:rPr>
              <w:t>二</w:t>
            </w:r>
          </w:p>
        </w:tc>
        <w:tc>
          <w:tcPr>
            <w:tcW w:w="1888" w:type="dxa"/>
            <w:tcBorders>
              <w:tl2br w:val="nil"/>
              <w:tr2bl w:val="nil"/>
            </w:tcBorders>
            <w:vAlign w:val="center"/>
          </w:tcPr>
          <w:p>
            <w:pPr>
              <w:spacing w:line="360" w:lineRule="exact"/>
              <w:ind w:firstLine="0" w:firstLineChars="0"/>
              <w:jc w:val="center"/>
              <w:rPr>
                <w:b/>
                <w:bCs/>
                <w:color w:val="auto"/>
                <w:kern w:val="0"/>
                <w:sz w:val="21"/>
                <w:szCs w:val="21"/>
                <w:lang w:val="en-GB"/>
              </w:rPr>
            </w:pPr>
            <w:r>
              <w:rPr>
                <w:b/>
                <w:bCs/>
                <w:color w:val="auto"/>
                <w:kern w:val="0"/>
                <w:sz w:val="21"/>
                <w:szCs w:val="21"/>
                <w:lang w:val="en-GB"/>
              </w:rPr>
              <w:t>三</w:t>
            </w:r>
          </w:p>
        </w:tc>
        <w:tc>
          <w:tcPr>
            <w:tcW w:w="1888" w:type="dxa"/>
            <w:tcBorders>
              <w:tl2br w:val="nil"/>
              <w:tr2bl w:val="nil"/>
            </w:tcBorders>
            <w:vAlign w:val="center"/>
          </w:tcPr>
          <w:p>
            <w:pPr>
              <w:spacing w:line="360" w:lineRule="exact"/>
              <w:ind w:firstLine="0" w:firstLineChars="0"/>
              <w:jc w:val="center"/>
              <w:rPr>
                <w:b/>
                <w:bCs/>
                <w:color w:val="auto"/>
                <w:kern w:val="0"/>
                <w:sz w:val="21"/>
                <w:szCs w:val="21"/>
                <w:lang w:val="en-GB"/>
              </w:rPr>
            </w:pPr>
            <w:r>
              <w:rPr>
                <w:b/>
                <w:bCs/>
                <w:color w:val="auto"/>
                <w:kern w:val="0"/>
                <w:sz w:val="21"/>
                <w:szCs w:val="21"/>
                <w:lang w:val="en-GB"/>
              </w:rPr>
              <w:t>三</w:t>
            </w:r>
          </w:p>
        </w:tc>
      </w:tr>
    </w:tbl>
    <w:p>
      <w:pPr>
        <w:ind w:firstLine="480"/>
        <w:rPr>
          <w:color w:val="auto"/>
        </w:rPr>
      </w:pPr>
      <w:r>
        <w:rPr>
          <w:color w:val="auto"/>
        </w:rPr>
        <w:t>综合以上分析，地下水评价工作等级确定为</w:t>
      </w:r>
      <w:r>
        <w:rPr>
          <w:rFonts w:hint="eastAsia"/>
          <w:color w:val="auto"/>
        </w:rPr>
        <w:t>三</w:t>
      </w:r>
      <w:r>
        <w:rPr>
          <w:color w:val="auto"/>
        </w:rPr>
        <w:t>级。</w:t>
      </w:r>
    </w:p>
    <w:p>
      <w:pPr>
        <w:ind w:firstLine="480"/>
        <w:rPr>
          <w:color w:val="auto"/>
        </w:rPr>
      </w:pPr>
      <w:r>
        <w:rPr>
          <w:rFonts w:hint="eastAsia"/>
          <w:color w:val="auto"/>
        </w:rPr>
        <w:t>评价范围：根据本项目特点，评价范围为场址及拟施肥农田区域，具体为评价范围以项目区西南侧1km，项目两侧1km，东北侧（下游）2km的区域，约6km</w:t>
      </w:r>
      <w:r>
        <w:rPr>
          <w:rFonts w:hint="eastAsia"/>
          <w:color w:val="auto"/>
          <w:vertAlign w:val="superscript"/>
        </w:rPr>
        <w:t>2</w:t>
      </w:r>
      <w:r>
        <w:rPr>
          <w:rFonts w:hint="eastAsia"/>
          <w:color w:val="auto"/>
        </w:rPr>
        <w:t>范围，满足二级评价要求。</w:t>
      </w:r>
    </w:p>
    <w:p>
      <w:pPr>
        <w:pStyle w:val="6"/>
        <w:rPr>
          <w:color w:val="auto"/>
        </w:rPr>
      </w:pPr>
      <w:r>
        <w:rPr>
          <w:color w:val="auto"/>
        </w:rPr>
        <w:t>2.5.</w:t>
      </w:r>
      <w:r>
        <w:rPr>
          <w:rFonts w:hint="eastAsia"/>
          <w:color w:val="auto"/>
        </w:rPr>
        <w:t>4</w:t>
      </w:r>
      <w:r>
        <w:rPr>
          <w:color w:val="auto"/>
        </w:rPr>
        <w:t xml:space="preserve"> </w:t>
      </w:r>
      <w:r>
        <w:rPr>
          <w:rFonts w:hint="eastAsia"/>
          <w:color w:val="auto"/>
        </w:rPr>
        <w:t>噪声</w:t>
      </w:r>
    </w:p>
    <w:p>
      <w:pPr>
        <w:ind w:firstLine="480"/>
        <w:rPr>
          <w:rFonts w:hAnsi="宋体"/>
          <w:color w:val="auto"/>
        </w:rPr>
      </w:pPr>
      <w:bookmarkStart w:id="167" w:name="_Toc402441863"/>
      <w:r>
        <w:rPr>
          <w:rFonts w:hAnsi="宋体"/>
          <w:color w:val="auto"/>
        </w:rPr>
        <w:t>营运期噪声源主要来自废水处理设备等运行产生的设备噪声及猪的叫声，</w:t>
      </w:r>
      <w:r>
        <w:rPr>
          <w:rFonts w:hint="eastAsia" w:hAnsi="宋体"/>
          <w:color w:val="auto"/>
        </w:rPr>
        <w:t>项目</w:t>
      </w:r>
      <w:r>
        <w:rPr>
          <w:rFonts w:hAnsi="宋体"/>
          <w:color w:val="auto"/>
        </w:rPr>
        <w:t>建设前后，噪声级增加量不大，根据《环境影响评价技术导则—声环境》（HJ2.4-2009），声环境影响评价等级为二级。</w:t>
      </w:r>
      <w:bookmarkEnd w:id="167"/>
      <w:r>
        <w:rPr>
          <w:rFonts w:hAnsi="宋体"/>
          <w:color w:val="auto"/>
        </w:rPr>
        <w:t>本项目声环境评价等级划分详见表</w:t>
      </w:r>
      <w:r>
        <w:rPr>
          <w:rFonts w:hint="eastAsia" w:hAnsi="宋体"/>
          <w:color w:val="auto"/>
        </w:rPr>
        <w:t>2.5-5</w:t>
      </w:r>
      <w:r>
        <w:rPr>
          <w:rFonts w:hAnsi="宋体"/>
          <w:color w:val="auto"/>
        </w:rPr>
        <w:t>。</w:t>
      </w:r>
    </w:p>
    <w:p>
      <w:pPr>
        <w:spacing w:after="72" w:afterLines="30"/>
        <w:ind w:left="480" w:leftChars="200" w:firstLine="0" w:firstLineChars="0"/>
        <w:jc w:val="left"/>
        <w:rPr>
          <w:b/>
          <w:color w:val="auto"/>
          <w:szCs w:val="21"/>
        </w:rPr>
      </w:pPr>
      <w:r>
        <w:rPr>
          <w:rFonts w:hint="eastAsia"/>
          <w:b/>
          <w:color w:val="auto"/>
          <w:szCs w:val="21"/>
        </w:rPr>
        <w:t xml:space="preserve">表2.5-5                    </w:t>
      </w:r>
      <w:r>
        <w:rPr>
          <w:b/>
          <w:color w:val="auto"/>
          <w:szCs w:val="21"/>
        </w:rPr>
        <w:t>声环境评价等级划分表</w:t>
      </w:r>
    </w:p>
    <w:tbl>
      <w:tblPr>
        <w:tblStyle w:val="27"/>
        <w:tblW w:w="4998" w:type="pct"/>
        <w:tblInd w:w="0" w:type="dxa"/>
        <w:tblBorders>
          <w:top w:val="single" w:color="auto" w:sz="2" w:space="0"/>
          <w:left w:val="none" w:color="auto" w:sz="0" w:space="0"/>
          <w:bottom w:val="single" w:color="auto" w:sz="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3754"/>
        <w:gridCol w:w="3087"/>
        <w:gridCol w:w="2103"/>
      </w:tblGrid>
      <w:tr>
        <w:tblPrEx>
          <w:tblBorders>
            <w:top w:val="single" w:color="auto" w:sz="2" w:space="0"/>
            <w:left w:val="none" w:color="auto" w:sz="0" w:space="0"/>
            <w:bottom w:val="sing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trPr>
        <w:tc>
          <w:tcPr>
            <w:tcW w:w="2098" w:type="pct"/>
            <w:vAlign w:val="center"/>
          </w:tcPr>
          <w:p>
            <w:pPr>
              <w:tabs>
                <w:tab w:val="left" w:pos="1080"/>
              </w:tabs>
              <w:spacing w:line="240" w:lineRule="auto"/>
              <w:ind w:firstLine="0" w:firstLineChars="0"/>
              <w:jc w:val="center"/>
              <w:rPr>
                <w:b/>
                <w:color w:val="auto"/>
                <w:sz w:val="21"/>
                <w:szCs w:val="21"/>
              </w:rPr>
            </w:pPr>
            <w:r>
              <w:rPr>
                <w:b/>
                <w:color w:val="auto"/>
                <w:sz w:val="21"/>
                <w:szCs w:val="21"/>
              </w:rPr>
              <w:t>评价类别</w:t>
            </w:r>
          </w:p>
        </w:tc>
        <w:tc>
          <w:tcPr>
            <w:tcW w:w="1725" w:type="pct"/>
            <w:vAlign w:val="center"/>
          </w:tcPr>
          <w:p>
            <w:pPr>
              <w:tabs>
                <w:tab w:val="left" w:pos="1080"/>
              </w:tabs>
              <w:spacing w:line="240" w:lineRule="auto"/>
              <w:ind w:firstLine="0" w:firstLineChars="0"/>
              <w:jc w:val="center"/>
              <w:rPr>
                <w:b/>
                <w:color w:val="auto"/>
                <w:sz w:val="21"/>
                <w:szCs w:val="21"/>
              </w:rPr>
            </w:pPr>
            <w:r>
              <w:rPr>
                <w:b/>
                <w:color w:val="auto"/>
                <w:sz w:val="21"/>
                <w:szCs w:val="21"/>
              </w:rPr>
              <w:t>指标</w:t>
            </w:r>
          </w:p>
        </w:tc>
        <w:tc>
          <w:tcPr>
            <w:tcW w:w="1175" w:type="pct"/>
            <w:vAlign w:val="center"/>
          </w:tcPr>
          <w:p>
            <w:pPr>
              <w:tabs>
                <w:tab w:val="left" w:pos="1080"/>
              </w:tabs>
              <w:spacing w:line="240" w:lineRule="auto"/>
              <w:ind w:firstLine="0" w:firstLineChars="0"/>
              <w:jc w:val="center"/>
              <w:rPr>
                <w:b/>
                <w:color w:val="auto"/>
                <w:sz w:val="21"/>
                <w:szCs w:val="21"/>
              </w:rPr>
            </w:pPr>
            <w:r>
              <w:rPr>
                <w:b/>
                <w:color w:val="auto"/>
                <w:sz w:val="21"/>
                <w:szCs w:val="21"/>
              </w:rPr>
              <w:t>评价等级</w:t>
            </w:r>
          </w:p>
        </w:tc>
      </w:tr>
      <w:tr>
        <w:tblPrEx>
          <w:tblBorders>
            <w:top w:val="single" w:color="auto" w:sz="2" w:space="0"/>
            <w:left w:val="none" w:color="auto" w:sz="0" w:space="0"/>
            <w:bottom w:val="sing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trPr>
        <w:tc>
          <w:tcPr>
            <w:tcW w:w="2098" w:type="pct"/>
            <w:vAlign w:val="center"/>
          </w:tcPr>
          <w:p>
            <w:pPr>
              <w:tabs>
                <w:tab w:val="left" w:pos="1080"/>
              </w:tabs>
              <w:spacing w:line="240" w:lineRule="auto"/>
              <w:ind w:firstLine="0" w:firstLineChars="0"/>
              <w:jc w:val="center"/>
              <w:rPr>
                <w:color w:val="auto"/>
                <w:sz w:val="21"/>
                <w:szCs w:val="21"/>
              </w:rPr>
            </w:pPr>
            <w:r>
              <w:rPr>
                <w:color w:val="auto"/>
                <w:sz w:val="21"/>
                <w:szCs w:val="21"/>
              </w:rPr>
              <w:t>所在区域环境功能区划</w:t>
            </w:r>
          </w:p>
        </w:tc>
        <w:tc>
          <w:tcPr>
            <w:tcW w:w="1725" w:type="pct"/>
            <w:vAlign w:val="center"/>
          </w:tcPr>
          <w:p>
            <w:pPr>
              <w:tabs>
                <w:tab w:val="left" w:pos="1080"/>
              </w:tabs>
              <w:spacing w:line="240" w:lineRule="auto"/>
              <w:ind w:firstLine="0" w:firstLineChars="0"/>
              <w:jc w:val="center"/>
              <w:rPr>
                <w:color w:val="auto"/>
                <w:sz w:val="21"/>
                <w:szCs w:val="21"/>
              </w:rPr>
            </w:pPr>
            <w:r>
              <w:rPr>
                <w:color w:val="auto"/>
                <w:sz w:val="21"/>
                <w:szCs w:val="21"/>
              </w:rPr>
              <w:t>GB3096-2008</w:t>
            </w:r>
            <w:r>
              <w:rPr>
                <w:rFonts w:hint="eastAsia"/>
                <w:color w:val="auto"/>
                <w:sz w:val="21"/>
                <w:szCs w:val="21"/>
              </w:rPr>
              <w:t xml:space="preserve">  2</w:t>
            </w:r>
            <w:r>
              <w:rPr>
                <w:color w:val="auto"/>
                <w:sz w:val="21"/>
                <w:szCs w:val="21"/>
              </w:rPr>
              <w:t>类</w:t>
            </w:r>
          </w:p>
        </w:tc>
        <w:tc>
          <w:tcPr>
            <w:tcW w:w="1175" w:type="pct"/>
            <w:vMerge w:val="restart"/>
            <w:vAlign w:val="center"/>
          </w:tcPr>
          <w:p>
            <w:pPr>
              <w:tabs>
                <w:tab w:val="left" w:pos="1080"/>
              </w:tabs>
              <w:spacing w:line="240" w:lineRule="auto"/>
              <w:ind w:firstLine="0" w:firstLineChars="0"/>
              <w:jc w:val="center"/>
              <w:rPr>
                <w:color w:val="auto"/>
                <w:sz w:val="21"/>
                <w:szCs w:val="21"/>
              </w:rPr>
            </w:pPr>
            <w:r>
              <w:rPr>
                <w:color w:val="auto"/>
                <w:sz w:val="21"/>
                <w:szCs w:val="21"/>
              </w:rPr>
              <w:t>二级</w:t>
            </w:r>
          </w:p>
        </w:tc>
      </w:tr>
      <w:tr>
        <w:tblPrEx>
          <w:tblBorders>
            <w:top w:val="single" w:color="auto" w:sz="2" w:space="0"/>
            <w:left w:val="none" w:color="auto" w:sz="0" w:space="0"/>
            <w:bottom w:val="sing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trPr>
        <w:tc>
          <w:tcPr>
            <w:tcW w:w="2098" w:type="pct"/>
            <w:vAlign w:val="center"/>
          </w:tcPr>
          <w:p>
            <w:pPr>
              <w:tabs>
                <w:tab w:val="left" w:pos="1080"/>
              </w:tabs>
              <w:spacing w:line="240" w:lineRule="auto"/>
              <w:ind w:firstLine="0" w:firstLineChars="0"/>
              <w:jc w:val="center"/>
              <w:rPr>
                <w:color w:val="auto"/>
                <w:sz w:val="21"/>
                <w:szCs w:val="21"/>
              </w:rPr>
            </w:pPr>
            <w:r>
              <w:rPr>
                <w:color w:val="auto"/>
                <w:sz w:val="21"/>
                <w:szCs w:val="21"/>
              </w:rPr>
              <w:t>噪声增幅</w:t>
            </w:r>
          </w:p>
        </w:tc>
        <w:tc>
          <w:tcPr>
            <w:tcW w:w="1725" w:type="pct"/>
            <w:vAlign w:val="center"/>
          </w:tcPr>
          <w:p>
            <w:pPr>
              <w:tabs>
                <w:tab w:val="left" w:pos="1080"/>
              </w:tabs>
              <w:spacing w:line="240" w:lineRule="auto"/>
              <w:ind w:firstLine="0" w:firstLineChars="0"/>
              <w:jc w:val="center"/>
              <w:rPr>
                <w:color w:val="auto"/>
                <w:sz w:val="21"/>
                <w:szCs w:val="21"/>
              </w:rPr>
            </w:pPr>
            <w:r>
              <w:rPr>
                <w:color w:val="auto"/>
                <w:sz w:val="21"/>
                <w:szCs w:val="21"/>
              </w:rPr>
              <w:t>预计增加＜3dB(A)</w:t>
            </w:r>
          </w:p>
        </w:tc>
        <w:tc>
          <w:tcPr>
            <w:tcW w:w="1175" w:type="pct"/>
            <w:vMerge w:val="continue"/>
            <w:vAlign w:val="center"/>
          </w:tcPr>
          <w:p>
            <w:pPr>
              <w:tabs>
                <w:tab w:val="left" w:pos="1080"/>
              </w:tabs>
              <w:spacing w:line="240" w:lineRule="auto"/>
              <w:ind w:firstLine="0" w:firstLineChars="0"/>
              <w:jc w:val="center"/>
              <w:rPr>
                <w:color w:val="auto"/>
                <w:sz w:val="21"/>
                <w:szCs w:val="21"/>
              </w:rPr>
            </w:pPr>
          </w:p>
        </w:tc>
      </w:tr>
      <w:tr>
        <w:tblPrEx>
          <w:tblBorders>
            <w:top w:val="single" w:color="auto" w:sz="2" w:space="0"/>
            <w:left w:val="none" w:color="auto" w:sz="0" w:space="0"/>
            <w:bottom w:val="sing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trPr>
        <w:tc>
          <w:tcPr>
            <w:tcW w:w="2098" w:type="pct"/>
            <w:vAlign w:val="center"/>
          </w:tcPr>
          <w:p>
            <w:pPr>
              <w:tabs>
                <w:tab w:val="left" w:pos="1080"/>
              </w:tabs>
              <w:spacing w:line="240" w:lineRule="auto"/>
              <w:ind w:firstLine="0" w:firstLineChars="0"/>
              <w:jc w:val="center"/>
              <w:rPr>
                <w:color w:val="auto"/>
                <w:sz w:val="21"/>
                <w:szCs w:val="21"/>
              </w:rPr>
            </w:pPr>
            <w:r>
              <w:rPr>
                <w:rFonts w:hint="eastAsia"/>
                <w:color w:val="auto"/>
                <w:sz w:val="21"/>
                <w:szCs w:val="21"/>
              </w:rPr>
              <w:t>受噪声影响人口数量变化</w:t>
            </w:r>
          </w:p>
        </w:tc>
        <w:tc>
          <w:tcPr>
            <w:tcW w:w="1725" w:type="pct"/>
            <w:vAlign w:val="center"/>
          </w:tcPr>
          <w:p>
            <w:pPr>
              <w:tabs>
                <w:tab w:val="left" w:pos="1080"/>
              </w:tabs>
              <w:spacing w:line="240" w:lineRule="auto"/>
              <w:ind w:firstLine="0" w:firstLineChars="0"/>
              <w:jc w:val="center"/>
              <w:rPr>
                <w:color w:val="auto"/>
                <w:sz w:val="21"/>
                <w:szCs w:val="21"/>
              </w:rPr>
            </w:pPr>
            <w:r>
              <w:rPr>
                <w:color w:val="auto"/>
                <w:sz w:val="21"/>
                <w:szCs w:val="21"/>
              </w:rPr>
              <w:t>变化不大</w:t>
            </w:r>
          </w:p>
        </w:tc>
        <w:tc>
          <w:tcPr>
            <w:tcW w:w="1175" w:type="pct"/>
            <w:vMerge w:val="continue"/>
            <w:vAlign w:val="center"/>
          </w:tcPr>
          <w:p>
            <w:pPr>
              <w:tabs>
                <w:tab w:val="left" w:pos="1080"/>
              </w:tabs>
              <w:spacing w:line="240" w:lineRule="auto"/>
              <w:ind w:firstLine="0" w:firstLineChars="0"/>
              <w:jc w:val="center"/>
              <w:rPr>
                <w:color w:val="auto"/>
                <w:sz w:val="21"/>
                <w:szCs w:val="21"/>
              </w:rPr>
            </w:pPr>
          </w:p>
        </w:tc>
      </w:tr>
    </w:tbl>
    <w:p>
      <w:pPr>
        <w:ind w:firstLine="480"/>
        <w:rPr>
          <w:bCs/>
          <w:color w:val="auto"/>
        </w:rPr>
      </w:pPr>
      <w:r>
        <w:rPr>
          <w:rFonts w:hint="eastAsia"/>
          <w:color w:val="auto"/>
        </w:rPr>
        <w:t>评价范围：</w:t>
      </w:r>
      <w:r>
        <w:rPr>
          <w:bCs/>
          <w:color w:val="auto"/>
        </w:rPr>
        <w:t>由于</w:t>
      </w:r>
      <w:r>
        <w:rPr>
          <w:rFonts w:hint="eastAsia"/>
          <w:bCs/>
          <w:color w:val="auto"/>
        </w:rPr>
        <w:t>本项目</w:t>
      </w:r>
      <w:r>
        <w:rPr>
          <w:bCs/>
          <w:color w:val="auto"/>
        </w:rPr>
        <w:t>200m范围内无声环境敏感点，因此，本次评价声环境影响预测范围确定为各</w:t>
      </w:r>
      <w:r>
        <w:rPr>
          <w:rFonts w:hint="eastAsia"/>
          <w:bCs/>
          <w:color w:val="auto"/>
        </w:rPr>
        <w:t>厂界外1米处</w:t>
      </w:r>
      <w:r>
        <w:rPr>
          <w:bCs/>
          <w:color w:val="auto"/>
        </w:rPr>
        <w:t>。</w:t>
      </w:r>
    </w:p>
    <w:p>
      <w:pPr>
        <w:pStyle w:val="6"/>
        <w:rPr>
          <w:color w:val="auto"/>
        </w:rPr>
      </w:pPr>
      <w:r>
        <w:rPr>
          <w:color w:val="auto"/>
        </w:rPr>
        <w:t>2.5.</w:t>
      </w:r>
      <w:r>
        <w:rPr>
          <w:rFonts w:hint="eastAsia"/>
          <w:color w:val="auto"/>
        </w:rPr>
        <w:t>5</w:t>
      </w:r>
      <w:r>
        <w:rPr>
          <w:color w:val="auto"/>
        </w:rPr>
        <w:t xml:space="preserve"> </w:t>
      </w:r>
      <w:r>
        <w:rPr>
          <w:rFonts w:hint="eastAsia"/>
          <w:color w:val="auto"/>
        </w:rPr>
        <w:t>生态环境</w:t>
      </w:r>
    </w:p>
    <w:p>
      <w:pPr>
        <w:ind w:firstLine="480"/>
        <w:rPr>
          <w:color w:val="auto"/>
          <w:kern w:val="0"/>
        </w:rPr>
      </w:pPr>
      <w:r>
        <w:rPr>
          <w:rFonts w:hint="eastAsia" w:hAnsi="宋体"/>
          <w:color w:val="auto"/>
        </w:rPr>
        <w:t>项目所在地为一般耕地，不属于特殊生态敏感区和重要生态敏感区，项目占地70.068亩（合0.047km</w:t>
      </w:r>
      <w:r>
        <w:rPr>
          <w:rFonts w:hint="eastAsia" w:hAnsi="宋体"/>
          <w:color w:val="auto"/>
          <w:vertAlign w:val="superscript"/>
        </w:rPr>
        <w:t>2</w:t>
      </w:r>
      <w:r>
        <w:rPr>
          <w:rFonts w:hint="eastAsia" w:hAnsi="宋体"/>
          <w:color w:val="auto"/>
        </w:rPr>
        <w:t>），根据《环境影响评价技术导则  生态影响》（</w:t>
      </w:r>
      <w:r>
        <w:rPr>
          <w:rFonts w:hAnsi="宋体"/>
          <w:color w:val="auto"/>
        </w:rPr>
        <w:t>HJ19</w:t>
      </w:r>
      <w:r>
        <w:rPr>
          <w:rFonts w:hint="eastAsia" w:hAnsi="宋体"/>
          <w:color w:val="auto"/>
        </w:rPr>
        <w:t>-2011），生态影响评价工作等级为三级</w:t>
      </w:r>
      <w:r>
        <w:rPr>
          <w:color w:val="auto"/>
          <w:kern w:val="0"/>
        </w:rPr>
        <w:t>。</w:t>
      </w:r>
    </w:p>
    <w:p>
      <w:pPr>
        <w:spacing w:after="72" w:afterLines="30" w:line="500" w:lineRule="exact"/>
        <w:ind w:left="480" w:leftChars="200" w:firstLine="0" w:firstLineChars="0"/>
        <w:jc w:val="left"/>
        <w:rPr>
          <w:b/>
          <w:color w:val="auto"/>
          <w:szCs w:val="21"/>
        </w:rPr>
      </w:pPr>
      <w:r>
        <w:rPr>
          <w:rFonts w:hint="eastAsia"/>
          <w:b/>
          <w:color w:val="auto"/>
          <w:szCs w:val="21"/>
        </w:rPr>
        <w:t xml:space="preserve">表2.5-6 </w:t>
      </w:r>
      <w:r>
        <w:rPr>
          <w:b/>
          <w:color w:val="auto"/>
          <w:szCs w:val="21"/>
        </w:rPr>
        <w:t xml:space="preserve">                    生态影响评价工作等级划分表</w:t>
      </w:r>
    </w:p>
    <w:tbl>
      <w:tblPr>
        <w:tblStyle w:val="27"/>
        <w:tblW w:w="0" w:type="auto"/>
        <w:jc w:val="center"/>
        <w:tblBorders>
          <w:top w:val="single" w:color="auto" w:sz="2" w:space="0"/>
          <w:left w:val="none" w:color="auto" w:sz="0" w:space="0"/>
          <w:bottom w:val="single" w:color="auto" w:sz="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1849"/>
        <w:gridCol w:w="2319"/>
        <w:gridCol w:w="2675"/>
        <w:gridCol w:w="2103"/>
      </w:tblGrid>
      <w:tr>
        <w:tblPrEx>
          <w:tblBorders>
            <w:top w:val="single" w:color="auto" w:sz="2" w:space="0"/>
            <w:left w:val="none" w:color="auto" w:sz="0" w:space="0"/>
            <w:bottom w:val="single" w:color="auto" w:sz="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tblHeader/>
          <w:jc w:val="center"/>
        </w:trPr>
        <w:tc>
          <w:tcPr>
            <w:tcW w:w="1849" w:type="dxa"/>
            <w:vMerge w:val="restart"/>
            <w:vAlign w:val="center"/>
          </w:tcPr>
          <w:p>
            <w:pPr>
              <w:spacing w:line="240" w:lineRule="auto"/>
              <w:ind w:firstLine="0" w:firstLineChars="0"/>
              <w:jc w:val="center"/>
              <w:rPr>
                <w:color w:val="auto"/>
                <w:kern w:val="0"/>
                <w:sz w:val="21"/>
                <w:szCs w:val="21"/>
              </w:rPr>
            </w:pPr>
            <w:r>
              <w:rPr>
                <w:color w:val="auto"/>
                <w:kern w:val="0"/>
                <w:sz w:val="21"/>
                <w:szCs w:val="21"/>
              </w:rPr>
              <w:t>影响区域生态敏感性</w:t>
            </w:r>
          </w:p>
        </w:tc>
        <w:tc>
          <w:tcPr>
            <w:tcW w:w="7097" w:type="dxa"/>
            <w:gridSpan w:val="3"/>
            <w:vAlign w:val="center"/>
          </w:tcPr>
          <w:p>
            <w:pPr>
              <w:spacing w:line="240" w:lineRule="auto"/>
              <w:ind w:firstLine="0" w:firstLineChars="0"/>
              <w:jc w:val="center"/>
              <w:rPr>
                <w:color w:val="auto"/>
                <w:kern w:val="0"/>
                <w:sz w:val="21"/>
                <w:szCs w:val="21"/>
              </w:rPr>
            </w:pPr>
            <w:r>
              <w:rPr>
                <w:color w:val="auto"/>
                <w:kern w:val="0"/>
                <w:sz w:val="21"/>
                <w:szCs w:val="21"/>
              </w:rPr>
              <w:t>工程占地（水域）范围</w:t>
            </w:r>
          </w:p>
        </w:tc>
      </w:tr>
      <w:tr>
        <w:tblPrEx>
          <w:tblBorders>
            <w:top w:val="single" w:color="auto" w:sz="2" w:space="0"/>
            <w:left w:val="none" w:color="auto" w:sz="0" w:space="0"/>
            <w:bottom w:val="single" w:color="auto" w:sz="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tblHeader/>
          <w:jc w:val="center"/>
        </w:trPr>
        <w:tc>
          <w:tcPr>
            <w:tcW w:w="1849" w:type="dxa"/>
            <w:vMerge w:val="continue"/>
            <w:vAlign w:val="center"/>
          </w:tcPr>
          <w:p>
            <w:pPr>
              <w:spacing w:line="240" w:lineRule="auto"/>
              <w:ind w:firstLine="0" w:firstLineChars="0"/>
              <w:jc w:val="center"/>
              <w:rPr>
                <w:color w:val="auto"/>
                <w:kern w:val="0"/>
                <w:sz w:val="21"/>
                <w:szCs w:val="21"/>
              </w:rPr>
            </w:pPr>
          </w:p>
        </w:tc>
        <w:tc>
          <w:tcPr>
            <w:tcW w:w="2319" w:type="dxa"/>
            <w:vAlign w:val="center"/>
          </w:tcPr>
          <w:p>
            <w:pPr>
              <w:spacing w:line="240" w:lineRule="auto"/>
              <w:ind w:firstLine="0" w:firstLineChars="0"/>
              <w:jc w:val="center"/>
              <w:rPr>
                <w:color w:val="auto"/>
                <w:kern w:val="0"/>
                <w:sz w:val="21"/>
                <w:szCs w:val="21"/>
              </w:rPr>
            </w:pPr>
            <w:r>
              <w:rPr>
                <w:color w:val="auto"/>
                <w:kern w:val="0"/>
                <w:sz w:val="21"/>
                <w:szCs w:val="21"/>
              </w:rPr>
              <w:t>面积≥20km</w:t>
            </w:r>
            <w:r>
              <w:rPr>
                <w:color w:val="auto"/>
                <w:kern w:val="0"/>
                <w:sz w:val="21"/>
                <w:szCs w:val="21"/>
                <w:vertAlign w:val="superscript"/>
              </w:rPr>
              <w:t>2</w:t>
            </w:r>
            <w:r>
              <w:rPr>
                <w:color w:val="auto"/>
                <w:kern w:val="0"/>
                <w:sz w:val="21"/>
                <w:szCs w:val="21"/>
              </w:rPr>
              <w:t>或长度≥100km</w:t>
            </w:r>
          </w:p>
        </w:tc>
        <w:tc>
          <w:tcPr>
            <w:tcW w:w="2675" w:type="dxa"/>
            <w:vAlign w:val="center"/>
          </w:tcPr>
          <w:p>
            <w:pPr>
              <w:spacing w:line="240" w:lineRule="auto"/>
              <w:ind w:firstLine="0" w:firstLineChars="0"/>
              <w:jc w:val="center"/>
              <w:rPr>
                <w:color w:val="auto"/>
                <w:kern w:val="0"/>
                <w:sz w:val="21"/>
                <w:szCs w:val="21"/>
              </w:rPr>
            </w:pPr>
            <w:r>
              <w:rPr>
                <w:color w:val="auto"/>
                <w:kern w:val="0"/>
                <w:sz w:val="21"/>
                <w:szCs w:val="21"/>
              </w:rPr>
              <w:t>面积2km</w:t>
            </w:r>
            <w:r>
              <w:rPr>
                <w:color w:val="auto"/>
                <w:kern w:val="0"/>
                <w:sz w:val="21"/>
                <w:szCs w:val="21"/>
                <w:vertAlign w:val="superscript"/>
              </w:rPr>
              <w:t>2</w:t>
            </w:r>
            <w:r>
              <w:rPr>
                <w:color w:val="auto"/>
                <w:kern w:val="0"/>
                <w:sz w:val="21"/>
                <w:szCs w:val="21"/>
              </w:rPr>
              <w:t>～20km</w:t>
            </w:r>
            <w:r>
              <w:rPr>
                <w:color w:val="auto"/>
                <w:kern w:val="0"/>
                <w:sz w:val="21"/>
                <w:szCs w:val="21"/>
                <w:vertAlign w:val="superscript"/>
              </w:rPr>
              <w:t>2</w:t>
            </w:r>
            <w:r>
              <w:rPr>
                <w:color w:val="auto"/>
                <w:kern w:val="0"/>
                <w:sz w:val="21"/>
                <w:szCs w:val="21"/>
              </w:rPr>
              <w:t>或长度50km～100km</w:t>
            </w:r>
          </w:p>
        </w:tc>
        <w:tc>
          <w:tcPr>
            <w:tcW w:w="2103" w:type="dxa"/>
            <w:vAlign w:val="center"/>
          </w:tcPr>
          <w:p>
            <w:pPr>
              <w:spacing w:line="240" w:lineRule="auto"/>
              <w:ind w:firstLine="0" w:firstLineChars="0"/>
              <w:jc w:val="center"/>
              <w:rPr>
                <w:color w:val="auto"/>
                <w:kern w:val="0"/>
                <w:sz w:val="21"/>
                <w:szCs w:val="21"/>
              </w:rPr>
            </w:pPr>
            <w:r>
              <w:rPr>
                <w:color w:val="auto"/>
                <w:kern w:val="0"/>
                <w:sz w:val="21"/>
                <w:szCs w:val="21"/>
              </w:rPr>
              <w:t>面积≤2km</w:t>
            </w:r>
            <w:r>
              <w:rPr>
                <w:color w:val="auto"/>
                <w:kern w:val="0"/>
                <w:sz w:val="21"/>
                <w:szCs w:val="21"/>
                <w:vertAlign w:val="superscript"/>
              </w:rPr>
              <w:t>2</w:t>
            </w:r>
            <w:r>
              <w:rPr>
                <w:color w:val="auto"/>
                <w:kern w:val="0"/>
                <w:sz w:val="21"/>
                <w:szCs w:val="21"/>
              </w:rPr>
              <w:t>或长度≤50km</w:t>
            </w:r>
          </w:p>
        </w:tc>
      </w:tr>
      <w:tr>
        <w:tblPrEx>
          <w:tblBorders>
            <w:top w:val="single" w:color="auto" w:sz="2" w:space="0"/>
            <w:left w:val="none" w:color="auto" w:sz="0" w:space="0"/>
            <w:bottom w:val="single" w:color="auto" w:sz="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tblHeader/>
          <w:jc w:val="center"/>
        </w:trPr>
        <w:tc>
          <w:tcPr>
            <w:tcW w:w="1849" w:type="dxa"/>
            <w:vAlign w:val="center"/>
          </w:tcPr>
          <w:p>
            <w:pPr>
              <w:spacing w:line="240" w:lineRule="auto"/>
              <w:ind w:firstLine="0" w:firstLineChars="0"/>
              <w:jc w:val="center"/>
              <w:rPr>
                <w:color w:val="auto"/>
                <w:kern w:val="0"/>
                <w:sz w:val="21"/>
                <w:szCs w:val="21"/>
              </w:rPr>
            </w:pPr>
            <w:r>
              <w:rPr>
                <w:color w:val="auto"/>
                <w:kern w:val="0"/>
                <w:sz w:val="21"/>
                <w:szCs w:val="21"/>
              </w:rPr>
              <w:t>特殊生态敏感区</w:t>
            </w:r>
          </w:p>
        </w:tc>
        <w:tc>
          <w:tcPr>
            <w:tcW w:w="2319" w:type="dxa"/>
            <w:vAlign w:val="center"/>
          </w:tcPr>
          <w:p>
            <w:pPr>
              <w:spacing w:line="240" w:lineRule="auto"/>
              <w:ind w:firstLine="0" w:firstLineChars="0"/>
              <w:jc w:val="center"/>
              <w:rPr>
                <w:color w:val="auto"/>
                <w:kern w:val="0"/>
                <w:sz w:val="21"/>
                <w:szCs w:val="21"/>
              </w:rPr>
            </w:pPr>
            <w:r>
              <w:rPr>
                <w:color w:val="auto"/>
                <w:kern w:val="0"/>
                <w:sz w:val="21"/>
                <w:szCs w:val="21"/>
              </w:rPr>
              <w:t>一级</w:t>
            </w:r>
          </w:p>
        </w:tc>
        <w:tc>
          <w:tcPr>
            <w:tcW w:w="2675" w:type="dxa"/>
            <w:vAlign w:val="center"/>
          </w:tcPr>
          <w:p>
            <w:pPr>
              <w:spacing w:line="240" w:lineRule="auto"/>
              <w:ind w:firstLine="0" w:firstLineChars="0"/>
              <w:jc w:val="center"/>
              <w:rPr>
                <w:color w:val="auto"/>
                <w:kern w:val="0"/>
                <w:sz w:val="21"/>
                <w:szCs w:val="21"/>
              </w:rPr>
            </w:pPr>
            <w:r>
              <w:rPr>
                <w:color w:val="auto"/>
                <w:kern w:val="0"/>
                <w:sz w:val="21"/>
                <w:szCs w:val="21"/>
              </w:rPr>
              <w:t>一级</w:t>
            </w:r>
          </w:p>
        </w:tc>
        <w:tc>
          <w:tcPr>
            <w:tcW w:w="2103" w:type="dxa"/>
            <w:vAlign w:val="center"/>
          </w:tcPr>
          <w:p>
            <w:pPr>
              <w:spacing w:line="240" w:lineRule="auto"/>
              <w:ind w:firstLine="0" w:firstLineChars="0"/>
              <w:jc w:val="center"/>
              <w:rPr>
                <w:color w:val="auto"/>
                <w:kern w:val="0"/>
                <w:sz w:val="21"/>
                <w:szCs w:val="21"/>
              </w:rPr>
            </w:pPr>
            <w:r>
              <w:rPr>
                <w:color w:val="auto"/>
                <w:kern w:val="0"/>
                <w:sz w:val="21"/>
                <w:szCs w:val="21"/>
              </w:rPr>
              <w:t>一级</w:t>
            </w:r>
          </w:p>
        </w:tc>
      </w:tr>
      <w:tr>
        <w:tblPrEx>
          <w:tblBorders>
            <w:top w:val="single" w:color="auto" w:sz="2" w:space="0"/>
            <w:left w:val="none" w:color="auto" w:sz="0" w:space="0"/>
            <w:bottom w:val="single" w:color="auto" w:sz="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tblHeader/>
          <w:jc w:val="center"/>
        </w:trPr>
        <w:tc>
          <w:tcPr>
            <w:tcW w:w="1849" w:type="dxa"/>
            <w:vAlign w:val="center"/>
          </w:tcPr>
          <w:p>
            <w:pPr>
              <w:spacing w:line="240" w:lineRule="auto"/>
              <w:ind w:firstLine="0" w:firstLineChars="0"/>
              <w:jc w:val="center"/>
              <w:rPr>
                <w:color w:val="auto"/>
                <w:kern w:val="0"/>
                <w:sz w:val="21"/>
                <w:szCs w:val="21"/>
              </w:rPr>
            </w:pPr>
            <w:r>
              <w:rPr>
                <w:color w:val="auto"/>
                <w:kern w:val="0"/>
                <w:sz w:val="21"/>
                <w:szCs w:val="21"/>
              </w:rPr>
              <w:t>重要生态敏感区</w:t>
            </w:r>
          </w:p>
        </w:tc>
        <w:tc>
          <w:tcPr>
            <w:tcW w:w="2319" w:type="dxa"/>
            <w:vAlign w:val="center"/>
          </w:tcPr>
          <w:p>
            <w:pPr>
              <w:spacing w:line="240" w:lineRule="auto"/>
              <w:ind w:firstLine="0" w:firstLineChars="0"/>
              <w:jc w:val="center"/>
              <w:rPr>
                <w:color w:val="auto"/>
                <w:kern w:val="0"/>
                <w:sz w:val="21"/>
                <w:szCs w:val="21"/>
              </w:rPr>
            </w:pPr>
            <w:r>
              <w:rPr>
                <w:color w:val="auto"/>
                <w:kern w:val="0"/>
                <w:sz w:val="21"/>
                <w:szCs w:val="21"/>
              </w:rPr>
              <w:t>一级</w:t>
            </w:r>
          </w:p>
        </w:tc>
        <w:tc>
          <w:tcPr>
            <w:tcW w:w="2675" w:type="dxa"/>
            <w:vAlign w:val="center"/>
          </w:tcPr>
          <w:p>
            <w:pPr>
              <w:spacing w:line="240" w:lineRule="auto"/>
              <w:ind w:firstLine="0" w:firstLineChars="0"/>
              <w:jc w:val="center"/>
              <w:rPr>
                <w:color w:val="auto"/>
                <w:kern w:val="0"/>
                <w:sz w:val="21"/>
                <w:szCs w:val="21"/>
              </w:rPr>
            </w:pPr>
            <w:r>
              <w:rPr>
                <w:color w:val="auto"/>
                <w:kern w:val="0"/>
                <w:sz w:val="21"/>
                <w:szCs w:val="21"/>
              </w:rPr>
              <w:t>二级</w:t>
            </w:r>
          </w:p>
        </w:tc>
        <w:tc>
          <w:tcPr>
            <w:tcW w:w="2103" w:type="dxa"/>
            <w:vAlign w:val="center"/>
          </w:tcPr>
          <w:p>
            <w:pPr>
              <w:spacing w:line="240" w:lineRule="auto"/>
              <w:ind w:firstLine="0" w:firstLineChars="0"/>
              <w:jc w:val="center"/>
              <w:rPr>
                <w:color w:val="auto"/>
                <w:kern w:val="0"/>
                <w:sz w:val="21"/>
                <w:szCs w:val="21"/>
              </w:rPr>
            </w:pPr>
            <w:r>
              <w:rPr>
                <w:color w:val="auto"/>
                <w:kern w:val="0"/>
                <w:sz w:val="21"/>
                <w:szCs w:val="21"/>
              </w:rPr>
              <w:t>三级</w:t>
            </w:r>
          </w:p>
        </w:tc>
      </w:tr>
      <w:tr>
        <w:tblPrEx>
          <w:tblBorders>
            <w:top w:val="single" w:color="auto" w:sz="2" w:space="0"/>
            <w:left w:val="none" w:color="auto" w:sz="0" w:space="0"/>
            <w:bottom w:val="single" w:color="auto" w:sz="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tblHeader/>
          <w:jc w:val="center"/>
        </w:trPr>
        <w:tc>
          <w:tcPr>
            <w:tcW w:w="1849" w:type="dxa"/>
            <w:vAlign w:val="center"/>
          </w:tcPr>
          <w:p>
            <w:pPr>
              <w:spacing w:line="240" w:lineRule="auto"/>
              <w:ind w:firstLine="0" w:firstLineChars="0"/>
              <w:jc w:val="center"/>
              <w:rPr>
                <w:color w:val="auto"/>
                <w:kern w:val="0"/>
                <w:sz w:val="21"/>
                <w:szCs w:val="21"/>
              </w:rPr>
            </w:pPr>
            <w:r>
              <w:rPr>
                <w:color w:val="auto"/>
                <w:kern w:val="0"/>
                <w:sz w:val="21"/>
                <w:szCs w:val="21"/>
              </w:rPr>
              <w:t>一般区域</w:t>
            </w:r>
          </w:p>
        </w:tc>
        <w:tc>
          <w:tcPr>
            <w:tcW w:w="2319" w:type="dxa"/>
            <w:vAlign w:val="center"/>
          </w:tcPr>
          <w:p>
            <w:pPr>
              <w:spacing w:line="240" w:lineRule="auto"/>
              <w:ind w:firstLine="0" w:firstLineChars="0"/>
              <w:jc w:val="center"/>
              <w:rPr>
                <w:color w:val="auto"/>
                <w:kern w:val="0"/>
                <w:sz w:val="21"/>
                <w:szCs w:val="21"/>
              </w:rPr>
            </w:pPr>
            <w:r>
              <w:rPr>
                <w:color w:val="auto"/>
                <w:kern w:val="0"/>
                <w:sz w:val="21"/>
                <w:szCs w:val="21"/>
              </w:rPr>
              <w:t>二级</w:t>
            </w:r>
          </w:p>
        </w:tc>
        <w:tc>
          <w:tcPr>
            <w:tcW w:w="2675" w:type="dxa"/>
            <w:vAlign w:val="center"/>
          </w:tcPr>
          <w:p>
            <w:pPr>
              <w:spacing w:line="240" w:lineRule="auto"/>
              <w:ind w:firstLine="0" w:firstLineChars="0"/>
              <w:jc w:val="center"/>
              <w:rPr>
                <w:color w:val="auto"/>
                <w:kern w:val="0"/>
                <w:sz w:val="21"/>
                <w:szCs w:val="21"/>
              </w:rPr>
            </w:pPr>
            <w:r>
              <w:rPr>
                <w:color w:val="auto"/>
                <w:kern w:val="0"/>
                <w:sz w:val="21"/>
                <w:szCs w:val="21"/>
              </w:rPr>
              <w:t>三级</w:t>
            </w:r>
          </w:p>
        </w:tc>
        <w:tc>
          <w:tcPr>
            <w:tcW w:w="2103" w:type="dxa"/>
            <w:vAlign w:val="center"/>
          </w:tcPr>
          <w:p>
            <w:pPr>
              <w:spacing w:line="240" w:lineRule="auto"/>
              <w:ind w:firstLine="0" w:firstLineChars="0"/>
              <w:jc w:val="center"/>
              <w:rPr>
                <w:color w:val="auto"/>
                <w:kern w:val="0"/>
                <w:sz w:val="21"/>
                <w:szCs w:val="21"/>
              </w:rPr>
            </w:pPr>
            <w:r>
              <w:rPr>
                <w:color w:val="auto"/>
                <w:kern w:val="0"/>
                <w:sz w:val="21"/>
                <w:szCs w:val="21"/>
              </w:rPr>
              <w:t>三级</w:t>
            </w:r>
          </w:p>
        </w:tc>
      </w:tr>
    </w:tbl>
    <w:p>
      <w:pPr>
        <w:pStyle w:val="6"/>
        <w:rPr>
          <w:color w:val="auto"/>
        </w:rPr>
      </w:pPr>
      <w:r>
        <w:rPr>
          <w:color w:val="auto"/>
        </w:rPr>
        <w:t>2.5.</w:t>
      </w:r>
      <w:r>
        <w:rPr>
          <w:rFonts w:hint="eastAsia"/>
          <w:color w:val="auto"/>
        </w:rPr>
        <w:t>6</w:t>
      </w:r>
      <w:r>
        <w:rPr>
          <w:color w:val="auto"/>
        </w:rPr>
        <w:t xml:space="preserve"> </w:t>
      </w:r>
      <w:r>
        <w:rPr>
          <w:rFonts w:hint="eastAsia"/>
          <w:color w:val="auto"/>
        </w:rPr>
        <w:t>环境风险</w:t>
      </w:r>
    </w:p>
    <w:p>
      <w:pPr>
        <w:ind w:firstLine="480"/>
        <w:rPr>
          <w:color w:val="auto"/>
        </w:rPr>
      </w:pPr>
      <w:bookmarkStart w:id="168" w:name="_Toc9513"/>
      <w:bookmarkStart w:id="169" w:name="_Toc22271"/>
      <w:bookmarkStart w:id="170" w:name="_Toc402441864"/>
      <w:bookmarkStart w:id="171" w:name="_Toc413827930"/>
      <w:bookmarkStart w:id="172" w:name="_Toc441490828"/>
      <w:r>
        <w:rPr>
          <w:rFonts w:hint="eastAsia"/>
          <w:color w:val="auto"/>
        </w:rPr>
        <w:t>依据《建设项目环境风险评价技术导则》（HJ</w:t>
      </w:r>
      <w:r>
        <w:rPr>
          <w:color w:val="auto"/>
        </w:rPr>
        <w:t xml:space="preserve"> </w:t>
      </w:r>
      <w:r>
        <w:rPr>
          <w:rFonts w:hint="eastAsia"/>
          <w:color w:val="auto"/>
        </w:rPr>
        <w:t>169-20</w:t>
      </w:r>
      <w:r>
        <w:rPr>
          <w:color w:val="auto"/>
        </w:rPr>
        <w:t>18</w:t>
      </w:r>
      <w:r>
        <w:rPr>
          <w:rFonts w:hint="eastAsia"/>
          <w:color w:val="auto"/>
        </w:rPr>
        <w:t>），建设项目环境风险评价工作级别按表</w:t>
      </w:r>
      <w:r>
        <w:rPr>
          <w:color w:val="auto"/>
        </w:rPr>
        <w:t>2.5</w:t>
      </w:r>
      <w:r>
        <w:rPr>
          <w:rFonts w:hint="eastAsia"/>
          <w:color w:val="auto"/>
        </w:rPr>
        <w:t>-7内容进行划分。</w:t>
      </w:r>
    </w:p>
    <w:p>
      <w:pPr>
        <w:spacing w:after="72" w:afterLines="30"/>
        <w:ind w:left="480" w:leftChars="200" w:firstLine="0" w:firstLineChars="0"/>
        <w:jc w:val="center"/>
        <w:rPr>
          <w:b/>
          <w:color w:val="auto"/>
          <w:szCs w:val="21"/>
        </w:rPr>
      </w:pPr>
      <w:r>
        <w:rPr>
          <w:rFonts w:hint="eastAsia"/>
          <w:b/>
          <w:color w:val="auto"/>
          <w:szCs w:val="21"/>
        </w:rPr>
        <w:t>表2.5-7             风险评价工作级别</w:t>
      </w:r>
    </w:p>
    <w:tbl>
      <w:tblPr>
        <w:tblStyle w:val="27"/>
        <w:tblW w:w="5000" w:type="pct"/>
        <w:tblInd w:w="0" w:type="dxa"/>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473"/>
        <w:gridCol w:w="1587"/>
        <w:gridCol w:w="2038"/>
        <w:gridCol w:w="2264"/>
        <w:gridCol w:w="1586"/>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23" w:type="pct"/>
            <w:vAlign w:val="center"/>
          </w:tcPr>
          <w:p>
            <w:pPr>
              <w:spacing w:line="240" w:lineRule="auto"/>
              <w:ind w:firstLine="0" w:firstLineChars="0"/>
              <w:jc w:val="center"/>
              <w:textAlignment w:val="center"/>
              <w:rPr>
                <w:b/>
                <w:bCs/>
                <w:color w:val="auto"/>
                <w:sz w:val="21"/>
                <w:szCs w:val="21"/>
              </w:rPr>
            </w:pPr>
            <w:r>
              <w:rPr>
                <w:rFonts w:hint="eastAsia"/>
                <w:b/>
                <w:bCs/>
                <w:color w:val="auto"/>
                <w:sz w:val="21"/>
                <w:szCs w:val="21"/>
              </w:rPr>
              <w:t>环境风险潜势</w:t>
            </w:r>
          </w:p>
        </w:tc>
        <w:tc>
          <w:tcPr>
            <w:tcW w:w="887" w:type="pct"/>
            <w:tcBorders>
              <w:bottom w:val="single" w:color="auto" w:sz="6" w:space="0"/>
            </w:tcBorders>
            <w:vAlign w:val="center"/>
          </w:tcPr>
          <w:p>
            <w:pPr>
              <w:spacing w:line="240" w:lineRule="auto"/>
              <w:ind w:firstLine="0" w:firstLineChars="0"/>
              <w:jc w:val="center"/>
              <w:textAlignment w:val="center"/>
              <w:rPr>
                <w:b/>
                <w:bCs/>
                <w:color w:val="auto"/>
                <w:sz w:val="21"/>
                <w:szCs w:val="21"/>
              </w:rPr>
            </w:pPr>
            <w:r>
              <w:rPr>
                <w:rFonts w:hint="eastAsia"/>
                <w:b/>
                <w:bCs/>
                <w:color w:val="auto"/>
                <w:sz w:val="21"/>
                <w:szCs w:val="21"/>
              </w:rPr>
              <w:t>Ⅳ、Ⅳ</w:t>
            </w:r>
            <w:r>
              <w:rPr>
                <w:rFonts w:hint="eastAsia"/>
                <w:b/>
                <w:bCs/>
                <w:color w:val="auto"/>
                <w:sz w:val="21"/>
                <w:szCs w:val="21"/>
                <w:vertAlign w:val="superscript"/>
              </w:rPr>
              <w:t>+</w:t>
            </w:r>
          </w:p>
        </w:tc>
        <w:tc>
          <w:tcPr>
            <w:tcW w:w="1139" w:type="pct"/>
            <w:tcBorders>
              <w:bottom w:val="single" w:color="auto" w:sz="6" w:space="0"/>
            </w:tcBorders>
            <w:vAlign w:val="center"/>
          </w:tcPr>
          <w:p>
            <w:pPr>
              <w:spacing w:line="240" w:lineRule="auto"/>
              <w:ind w:firstLine="0" w:firstLineChars="0"/>
              <w:jc w:val="center"/>
              <w:textAlignment w:val="center"/>
              <w:rPr>
                <w:b/>
                <w:bCs/>
                <w:color w:val="auto"/>
                <w:sz w:val="21"/>
                <w:szCs w:val="21"/>
              </w:rPr>
            </w:pPr>
            <w:r>
              <w:rPr>
                <w:rFonts w:hint="eastAsia"/>
                <w:b/>
                <w:bCs/>
                <w:color w:val="auto"/>
                <w:sz w:val="21"/>
                <w:szCs w:val="21"/>
              </w:rPr>
              <w:t>Ⅲ</w:t>
            </w:r>
          </w:p>
        </w:tc>
        <w:tc>
          <w:tcPr>
            <w:tcW w:w="1265" w:type="pct"/>
            <w:vAlign w:val="center"/>
          </w:tcPr>
          <w:p>
            <w:pPr>
              <w:spacing w:line="240" w:lineRule="auto"/>
              <w:ind w:firstLine="0" w:firstLineChars="0"/>
              <w:jc w:val="center"/>
              <w:rPr>
                <w:b/>
                <w:color w:val="auto"/>
                <w:kern w:val="0"/>
                <w:sz w:val="21"/>
                <w:szCs w:val="21"/>
              </w:rPr>
            </w:pPr>
            <w:r>
              <w:rPr>
                <w:rFonts w:hint="eastAsia" w:ascii="宋体" w:hAnsi="宋体"/>
                <w:b/>
                <w:color w:val="auto"/>
                <w:kern w:val="0"/>
                <w:sz w:val="21"/>
                <w:szCs w:val="21"/>
              </w:rPr>
              <w:t>Ⅱ</w:t>
            </w:r>
          </w:p>
        </w:tc>
        <w:tc>
          <w:tcPr>
            <w:tcW w:w="886" w:type="pct"/>
            <w:tcBorders>
              <w:bottom w:val="single" w:color="auto" w:sz="6" w:space="0"/>
            </w:tcBorders>
            <w:vAlign w:val="center"/>
          </w:tcPr>
          <w:p>
            <w:pPr>
              <w:spacing w:line="240" w:lineRule="auto"/>
              <w:ind w:firstLine="0" w:firstLineChars="0"/>
              <w:jc w:val="center"/>
              <w:rPr>
                <w:b/>
                <w:color w:val="auto"/>
                <w:kern w:val="0"/>
                <w:sz w:val="21"/>
                <w:szCs w:val="21"/>
              </w:rPr>
            </w:pPr>
            <w:r>
              <w:rPr>
                <w:rFonts w:hint="eastAsia" w:ascii="宋体" w:hAnsi="宋体"/>
                <w:b/>
                <w:color w:val="auto"/>
                <w:kern w:val="0"/>
                <w:sz w:val="21"/>
                <w:szCs w:val="21"/>
              </w:rPr>
              <w:t>Ⅰ</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23" w:type="pct"/>
            <w:shd w:val="clear" w:color="auto" w:fill="auto"/>
            <w:vAlign w:val="center"/>
          </w:tcPr>
          <w:p>
            <w:pPr>
              <w:spacing w:line="240" w:lineRule="auto"/>
              <w:ind w:firstLine="0" w:firstLineChars="0"/>
              <w:jc w:val="center"/>
              <w:textAlignment w:val="center"/>
              <w:rPr>
                <w:bCs/>
                <w:color w:val="auto"/>
                <w:sz w:val="21"/>
                <w:szCs w:val="21"/>
              </w:rPr>
            </w:pPr>
            <w:r>
              <w:rPr>
                <w:rFonts w:hint="eastAsia"/>
                <w:bCs/>
                <w:color w:val="auto"/>
                <w:sz w:val="21"/>
                <w:szCs w:val="21"/>
              </w:rPr>
              <w:t>评价工作等级</w:t>
            </w:r>
          </w:p>
        </w:tc>
        <w:tc>
          <w:tcPr>
            <w:tcW w:w="887" w:type="pct"/>
            <w:tcBorders>
              <w:top w:val="single" w:color="auto" w:sz="6" w:space="0"/>
              <w:bottom w:val="single" w:color="auto" w:sz="6" w:space="0"/>
            </w:tcBorders>
            <w:shd w:val="clear" w:color="auto" w:fill="auto"/>
            <w:vAlign w:val="center"/>
          </w:tcPr>
          <w:p>
            <w:pPr>
              <w:spacing w:line="240" w:lineRule="auto"/>
              <w:ind w:firstLine="0" w:firstLineChars="0"/>
              <w:jc w:val="center"/>
              <w:textAlignment w:val="center"/>
              <w:rPr>
                <w:bCs/>
                <w:color w:val="auto"/>
                <w:sz w:val="21"/>
                <w:szCs w:val="21"/>
              </w:rPr>
            </w:pPr>
            <w:r>
              <w:rPr>
                <w:rFonts w:hint="eastAsia"/>
                <w:bCs/>
                <w:color w:val="auto"/>
                <w:sz w:val="21"/>
                <w:szCs w:val="21"/>
              </w:rPr>
              <w:t>一</w:t>
            </w:r>
          </w:p>
        </w:tc>
        <w:tc>
          <w:tcPr>
            <w:tcW w:w="1139" w:type="pct"/>
            <w:tcBorders>
              <w:top w:val="single" w:color="auto" w:sz="6" w:space="0"/>
              <w:bottom w:val="single" w:color="auto" w:sz="6" w:space="0"/>
            </w:tcBorders>
            <w:shd w:val="clear" w:color="auto" w:fill="auto"/>
            <w:vAlign w:val="center"/>
          </w:tcPr>
          <w:p>
            <w:pPr>
              <w:spacing w:line="240" w:lineRule="auto"/>
              <w:ind w:firstLine="0" w:firstLineChars="0"/>
              <w:jc w:val="center"/>
              <w:textAlignment w:val="center"/>
              <w:rPr>
                <w:bCs/>
                <w:color w:val="auto"/>
                <w:sz w:val="21"/>
                <w:szCs w:val="21"/>
              </w:rPr>
            </w:pPr>
            <w:r>
              <w:rPr>
                <w:rFonts w:hint="eastAsia"/>
                <w:bCs/>
                <w:color w:val="auto"/>
                <w:sz w:val="21"/>
                <w:szCs w:val="21"/>
              </w:rPr>
              <w:t>二</w:t>
            </w:r>
          </w:p>
        </w:tc>
        <w:tc>
          <w:tcPr>
            <w:tcW w:w="1265" w:type="pct"/>
            <w:vAlign w:val="center"/>
          </w:tcPr>
          <w:p>
            <w:pPr>
              <w:spacing w:line="240" w:lineRule="auto"/>
              <w:ind w:firstLine="0" w:firstLineChars="0"/>
              <w:jc w:val="center"/>
              <w:rPr>
                <w:color w:val="auto"/>
                <w:kern w:val="0"/>
                <w:sz w:val="21"/>
                <w:szCs w:val="21"/>
              </w:rPr>
            </w:pPr>
            <w:r>
              <w:rPr>
                <w:rFonts w:hint="eastAsia"/>
                <w:color w:val="auto"/>
                <w:kern w:val="0"/>
                <w:sz w:val="21"/>
                <w:szCs w:val="21"/>
              </w:rPr>
              <w:t>三</w:t>
            </w:r>
          </w:p>
        </w:tc>
        <w:tc>
          <w:tcPr>
            <w:tcW w:w="886" w:type="pct"/>
            <w:tcBorders>
              <w:top w:val="single" w:color="auto" w:sz="6" w:space="0"/>
              <w:bottom w:val="single" w:color="auto" w:sz="6" w:space="0"/>
            </w:tcBorders>
            <w:vAlign w:val="center"/>
          </w:tcPr>
          <w:p>
            <w:pPr>
              <w:spacing w:line="240" w:lineRule="auto"/>
              <w:ind w:firstLine="0" w:firstLineChars="0"/>
              <w:jc w:val="center"/>
              <w:rPr>
                <w:color w:val="auto"/>
                <w:kern w:val="0"/>
                <w:sz w:val="21"/>
                <w:szCs w:val="21"/>
              </w:rPr>
            </w:pPr>
            <w:r>
              <w:rPr>
                <w:rFonts w:hint="eastAsia"/>
                <w:color w:val="auto"/>
                <w:kern w:val="0"/>
                <w:sz w:val="21"/>
                <w:szCs w:val="21"/>
              </w:rPr>
              <w:t>简单分析</w:t>
            </w:r>
            <w:r>
              <w:rPr>
                <w:rFonts w:hint="eastAsia"/>
                <w:color w:val="auto"/>
                <w:kern w:val="0"/>
                <w:sz w:val="21"/>
                <w:szCs w:val="21"/>
                <w:vertAlign w:val="superscript"/>
              </w:rPr>
              <w:t>a</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000" w:type="pct"/>
            <w:gridSpan w:val="5"/>
            <w:vAlign w:val="center"/>
          </w:tcPr>
          <w:p>
            <w:pPr>
              <w:spacing w:line="240" w:lineRule="auto"/>
              <w:ind w:firstLine="0" w:firstLineChars="0"/>
              <w:jc w:val="left"/>
              <w:textAlignment w:val="center"/>
              <w:rPr>
                <w:bCs/>
                <w:color w:val="auto"/>
                <w:sz w:val="21"/>
                <w:szCs w:val="21"/>
              </w:rPr>
            </w:pPr>
            <w:r>
              <w:rPr>
                <w:bCs/>
                <w:color w:val="auto"/>
                <w:sz w:val="21"/>
                <w:szCs w:val="21"/>
              </w:rPr>
              <w:t>a是相对于详细评价工作内容而言</w:t>
            </w:r>
            <w:r>
              <w:rPr>
                <w:rFonts w:hint="eastAsia"/>
                <w:bCs/>
                <w:color w:val="auto"/>
                <w:sz w:val="21"/>
                <w:szCs w:val="21"/>
              </w:rPr>
              <w:t>，</w:t>
            </w:r>
            <w:r>
              <w:rPr>
                <w:bCs/>
                <w:color w:val="auto"/>
                <w:sz w:val="21"/>
                <w:szCs w:val="21"/>
              </w:rPr>
              <w:t>在描述危险物质</w:t>
            </w:r>
            <w:r>
              <w:rPr>
                <w:rFonts w:hint="eastAsia"/>
                <w:bCs/>
                <w:color w:val="auto"/>
                <w:sz w:val="21"/>
                <w:szCs w:val="21"/>
              </w:rPr>
              <w:t>、影响途径、环境危害后果、风险防范措施等方面给出定性的说明。见附录A。</w:t>
            </w:r>
          </w:p>
        </w:tc>
      </w:tr>
    </w:tbl>
    <w:p>
      <w:pPr>
        <w:ind w:firstLine="480"/>
        <w:rPr>
          <w:color w:val="auto"/>
        </w:rPr>
      </w:pPr>
      <w:r>
        <w:rPr>
          <w:rFonts w:hint="eastAsia"/>
          <w:bCs/>
          <w:color w:val="auto"/>
        </w:rPr>
        <w:t>根据环境风险调查</w:t>
      </w:r>
      <w:r>
        <w:rPr>
          <w:bCs/>
          <w:color w:val="auto"/>
        </w:rPr>
        <w:t>，项目环境风险潜势判定详见5.3</w:t>
      </w:r>
      <w:r>
        <w:rPr>
          <w:rFonts w:hint="eastAsia"/>
          <w:bCs/>
          <w:color w:val="auto"/>
        </w:rPr>
        <w:t>章节</w:t>
      </w:r>
      <w:r>
        <w:rPr>
          <w:bCs/>
          <w:color w:val="auto"/>
        </w:rPr>
        <w:t>，</w:t>
      </w:r>
      <w:r>
        <w:rPr>
          <w:rFonts w:hint="eastAsia"/>
          <w:bCs/>
          <w:color w:val="auto"/>
        </w:rPr>
        <w:t>项目环境风险潜势为</w:t>
      </w:r>
      <w:r>
        <w:rPr>
          <w:rFonts w:hint="eastAsia"/>
          <w:b/>
          <w:bCs/>
          <w:color w:val="auto"/>
        </w:rPr>
        <w:fldChar w:fldCharType="begin"/>
      </w:r>
      <w:r>
        <w:rPr>
          <w:rFonts w:hint="eastAsia"/>
          <w:b/>
          <w:bCs/>
          <w:color w:val="auto"/>
        </w:rPr>
        <w:instrText xml:space="preserve"> = 2 \* ROMAN \* MERGEFORMAT </w:instrText>
      </w:r>
      <w:r>
        <w:rPr>
          <w:rFonts w:hint="eastAsia"/>
          <w:b/>
          <w:bCs/>
          <w:color w:val="auto"/>
        </w:rPr>
        <w:fldChar w:fldCharType="separate"/>
      </w:r>
      <w:r>
        <w:rPr>
          <w:color w:val="auto"/>
        </w:rPr>
        <w:t>I</w:t>
      </w:r>
      <w:r>
        <w:rPr>
          <w:rFonts w:hint="eastAsia"/>
          <w:b/>
          <w:bCs/>
          <w:color w:val="auto"/>
        </w:rPr>
        <w:fldChar w:fldCharType="end"/>
      </w:r>
      <w:r>
        <w:rPr>
          <w:bCs/>
          <w:color w:val="auto"/>
        </w:rPr>
        <w:t>。因此，根据表2.5-</w:t>
      </w:r>
      <w:r>
        <w:rPr>
          <w:rFonts w:hint="eastAsia"/>
          <w:bCs/>
          <w:color w:val="auto"/>
        </w:rPr>
        <w:t>7</w:t>
      </w:r>
      <w:r>
        <w:rPr>
          <w:bCs/>
          <w:color w:val="auto"/>
        </w:rPr>
        <w:t>的工作级别判定依据，确定</w:t>
      </w:r>
      <w:r>
        <w:rPr>
          <w:rFonts w:hint="eastAsia"/>
          <w:bCs/>
          <w:color w:val="auto"/>
        </w:rPr>
        <w:t>本项目环境风险综合评价等级为简单分析</w:t>
      </w:r>
      <w:r>
        <w:rPr>
          <w:bCs/>
          <w:color w:val="auto"/>
        </w:rPr>
        <w:t>。</w:t>
      </w:r>
    </w:p>
    <w:p>
      <w:pPr>
        <w:pStyle w:val="32"/>
        <w:spacing w:line="360" w:lineRule="auto"/>
        <w:rPr>
          <w:color w:val="auto"/>
          <w:sz w:val="24"/>
          <w:szCs w:val="24"/>
        </w:rPr>
      </w:pPr>
      <w:r>
        <w:rPr>
          <w:rFonts w:hint="eastAsia"/>
          <w:color w:val="auto"/>
          <w:sz w:val="24"/>
          <w:szCs w:val="24"/>
        </w:rPr>
        <w:t>2.5.7土壤</w:t>
      </w:r>
    </w:p>
    <w:p>
      <w:pPr>
        <w:ind w:firstLine="480"/>
        <w:rPr>
          <w:color w:val="auto"/>
          <w:kern w:val="0"/>
          <w:lang w:bidi="ar"/>
        </w:rPr>
      </w:pPr>
      <w:r>
        <w:rPr>
          <w:color w:val="auto"/>
          <w:kern w:val="0"/>
          <w:lang w:bidi="ar"/>
        </w:rPr>
        <w:t>根据《环境影响评价技术导则土壤环境（试行）》（</w:t>
      </w:r>
      <w:r>
        <w:rPr>
          <w:rFonts w:eastAsia="TimesNewRomanPSMT"/>
          <w:color w:val="auto"/>
          <w:kern w:val="0"/>
          <w:lang w:bidi="ar"/>
        </w:rPr>
        <w:t>HJ964-2018</w:t>
      </w:r>
      <w:r>
        <w:rPr>
          <w:color w:val="auto"/>
          <w:kern w:val="0"/>
          <w:lang w:bidi="ar"/>
        </w:rPr>
        <w:t xml:space="preserve">）中有关分级的判别，对照附录 </w:t>
      </w:r>
      <w:r>
        <w:rPr>
          <w:rFonts w:eastAsia="TimesNewRomanPSMT"/>
          <w:color w:val="auto"/>
          <w:kern w:val="0"/>
          <w:lang w:bidi="ar"/>
        </w:rPr>
        <w:t>A.1</w:t>
      </w:r>
      <w:r>
        <w:rPr>
          <w:color w:val="auto"/>
          <w:kern w:val="0"/>
          <w:lang w:bidi="ar"/>
        </w:rPr>
        <w:t>，本项目为土壤环境影响评价Ⅲ类项目，再根据建设项目占地规模，本项目占地面积为</w:t>
      </w:r>
      <w:r>
        <w:rPr>
          <w:rFonts w:hint="eastAsia"/>
          <w:color w:val="auto"/>
          <w:kern w:val="0"/>
          <w:lang w:bidi="ar"/>
        </w:rPr>
        <w:t>70.068</w:t>
      </w:r>
      <w:r>
        <w:rPr>
          <w:rFonts w:hint="eastAsia" w:eastAsia="TimesNewRomanPSMT"/>
          <w:color w:val="auto"/>
          <w:kern w:val="0"/>
          <w:lang w:bidi="ar"/>
        </w:rPr>
        <w:t>亩</w:t>
      </w:r>
      <w:r>
        <w:rPr>
          <w:color w:val="auto"/>
          <w:kern w:val="0"/>
          <w:lang w:bidi="ar"/>
        </w:rPr>
        <w:t>，属于</w:t>
      </w:r>
      <w:r>
        <w:rPr>
          <w:rFonts w:hint="eastAsia"/>
          <w:color w:val="auto"/>
          <w:kern w:val="0"/>
          <w:lang w:bidi="ar"/>
        </w:rPr>
        <w:t>小</w:t>
      </w:r>
      <w:r>
        <w:rPr>
          <w:color w:val="auto"/>
          <w:kern w:val="0"/>
          <w:lang w:bidi="ar"/>
        </w:rPr>
        <w:t>型（</w:t>
      </w:r>
      <w:r>
        <w:rPr>
          <w:rFonts w:hint="eastAsia" w:ascii="宋体" w:hAnsi="宋体" w:cs="宋体"/>
          <w:color w:val="auto"/>
          <w:kern w:val="0"/>
          <w:lang w:bidi="ar"/>
        </w:rPr>
        <w:t>≦</w:t>
      </w:r>
      <w:r>
        <w:rPr>
          <w:rFonts w:hint="eastAsia" w:eastAsia="TimesNewRomanPSMT"/>
          <w:color w:val="auto"/>
          <w:kern w:val="0"/>
          <w:lang w:bidi="ar"/>
        </w:rPr>
        <w:t>5</w:t>
      </w:r>
      <w:r>
        <w:rPr>
          <w:rFonts w:eastAsia="TimesNewRomanPSMT"/>
          <w:color w:val="auto"/>
          <w:kern w:val="0"/>
          <w:lang w:bidi="ar"/>
        </w:rPr>
        <w:t>hm</w:t>
      </w:r>
      <w:r>
        <w:rPr>
          <w:rFonts w:eastAsia="TimesNewRomanPSMT"/>
          <w:color w:val="auto"/>
          <w:kern w:val="0"/>
          <w:vertAlign w:val="superscript"/>
          <w:lang w:bidi="ar"/>
        </w:rPr>
        <w:t>2</w:t>
      </w:r>
      <w:r>
        <w:rPr>
          <w:color w:val="auto"/>
          <w:kern w:val="0"/>
          <w:lang w:bidi="ar"/>
        </w:rPr>
        <w:t>），最后根据敏感程度划分情况，见表</w:t>
      </w:r>
      <w:r>
        <w:rPr>
          <w:rFonts w:hint="eastAsia" w:eastAsia="TimesNewRomanPSMT"/>
          <w:color w:val="auto"/>
          <w:kern w:val="0"/>
          <w:lang w:bidi="ar"/>
        </w:rPr>
        <w:t>2.5-</w:t>
      </w:r>
      <w:r>
        <w:rPr>
          <w:rFonts w:hint="eastAsia"/>
          <w:color w:val="auto"/>
          <w:kern w:val="0"/>
          <w:lang w:bidi="ar"/>
        </w:rPr>
        <w:t>8</w:t>
      </w:r>
      <w:r>
        <w:rPr>
          <w:color w:val="auto"/>
          <w:kern w:val="0"/>
          <w:lang w:bidi="ar"/>
        </w:rPr>
        <w:t>。</w:t>
      </w:r>
    </w:p>
    <w:p>
      <w:pPr>
        <w:spacing w:after="72" w:afterLines="30"/>
        <w:ind w:left="480" w:leftChars="200" w:firstLine="0" w:firstLineChars="0"/>
        <w:jc w:val="center"/>
        <w:rPr>
          <w:b/>
          <w:color w:val="auto"/>
          <w:szCs w:val="21"/>
        </w:rPr>
      </w:pPr>
      <w:r>
        <w:rPr>
          <w:rFonts w:hint="eastAsia"/>
          <w:b/>
          <w:color w:val="auto"/>
          <w:szCs w:val="21"/>
        </w:rPr>
        <w:t>表2.5-8  污染影响型敏感程度分级表</w:t>
      </w:r>
    </w:p>
    <w:tbl>
      <w:tblPr>
        <w:tblStyle w:val="28"/>
        <w:tblW w:w="0" w:type="auto"/>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27"/>
        <w:gridCol w:w="731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7" w:type="dxa"/>
            <w:tcBorders>
              <w:tl2br w:val="nil"/>
              <w:tr2bl w:val="nil"/>
            </w:tcBorders>
          </w:tcPr>
          <w:p>
            <w:pPr>
              <w:adjustRightInd/>
              <w:snapToGrid/>
              <w:spacing w:line="240" w:lineRule="auto"/>
              <w:ind w:firstLine="0" w:firstLineChars="0"/>
              <w:jc w:val="center"/>
              <w:rPr>
                <w:color w:val="auto"/>
                <w:sz w:val="21"/>
                <w:szCs w:val="21"/>
              </w:rPr>
            </w:pPr>
            <w:r>
              <w:rPr>
                <w:color w:val="auto"/>
                <w:sz w:val="21"/>
                <w:szCs w:val="21"/>
              </w:rPr>
              <w:t>敏感程度</w:t>
            </w:r>
          </w:p>
        </w:tc>
        <w:tc>
          <w:tcPr>
            <w:tcW w:w="7319" w:type="dxa"/>
            <w:tcBorders>
              <w:tl2br w:val="nil"/>
              <w:tr2bl w:val="nil"/>
            </w:tcBorders>
          </w:tcPr>
          <w:p>
            <w:pPr>
              <w:adjustRightInd/>
              <w:snapToGrid/>
              <w:spacing w:line="240" w:lineRule="auto"/>
              <w:ind w:firstLine="0" w:firstLineChars="0"/>
              <w:jc w:val="center"/>
              <w:rPr>
                <w:color w:val="auto"/>
                <w:sz w:val="21"/>
                <w:szCs w:val="21"/>
              </w:rPr>
            </w:pPr>
            <w:r>
              <w:rPr>
                <w:color w:val="auto"/>
                <w:sz w:val="21"/>
                <w:szCs w:val="21"/>
              </w:rPr>
              <w:t>判别依据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7" w:type="dxa"/>
            <w:tcBorders>
              <w:tl2br w:val="nil"/>
              <w:tr2bl w:val="nil"/>
            </w:tcBorders>
            <w:vAlign w:val="center"/>
          </w:tcPr>
          <w:p>
            <w:pPr>
              <w:adjustRightInd/>
              <w:snapToGrid/>
              <w:spacing w:line="240" w:lineRule="auto"/>
              <w:ind w:firstLine="0" w:firstLineChars="0"/>
              <w:jc w:val="center"/>
              <w:rPr>
                <w:color w:val="auto"/>
                <w:sz w:val="21"/>
                <w:szCs w:val="21"/>
              </w:rPr>
            </w:pPr>
            <w:r>
              <w:rPr>
                <w:color w:val="auto"/>
                <w:sz w:val="21"/>
                <w:szCs w:val="21"/>
              </w:rPr>
              <w:t>敏感</w:t>
            </w:r>
          </w:p>
        </w:tc>
        <w:tc>
          <w:tcPr>
            <w:tcW w:w="7319" w:type="dxa"/>
            <w:tcBorders>
              <w:tl2br w:val="nil"/>
              <w:tr2bl w:val="nil"/>
            </w:tcBorders>
          </w:tcPr>
          <w:p>
            <w:pPr>
              <w:adjustRightInd/>
              <w:snapToGrid/>
              <w:spacing w:line="240" w:lineRule="auto"/>
              <w:ind w:firstLine="0" w:firstLineChars="0"/>
              <w:jc w:val="center"/>
              <w:rPr>
                <w:color w:val="auto"/>
                <w:sz w:val="21"/>
                <w:szCs w:val="21"/>
              </w:rPr>
            </w:pPr>
            <w:r>
              <w:rPr>
                <w:color w:val="auto"/>
                <w:sz w:val="21"/>
                <w:szCs w:val="21"/>
              </w:rPr>
              <w:t xml:space="preserve">建设项目周边存在耕地、园地、牧草地、饮用水水源地或居民区、学校、医院、疗养院、养老院等土壤环境敏感目标的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7" w:type="dxa"/>
            <w:tcBorders>
              <w:tl2br w:val="nil"/>
              <w:tr2bl w:val="nil"/>
            </w:tcBorders>
          </w:tcPr>
          <w:p>
            <w:pPr>
              <w:adjustRightInd/>
              <w:snapToGrid/>
              <w:spacing w:line="240" w:lineRule="auto"/>
              <w:ind w:firstLine="0" w:firstLineChars="0"/>
              <w:jc w:val="center"/>
              <w:rPr>
                <w:color w:val="auto"/>
                <w:sz w:val="21"/>
                <w:szCs w:val="21"/>
              </w:rPr>
            </w:pPr>
            <w:r>
              <w:rPr>
                <w:color w:val="auto"/>
                <w:sz w:val="21"/>
                <w:szCs w:val="21"/>
              </w:rPr>
              <w:t>较敏感</w:t>
            </w:r>
          </w:p>
        </w:tc>
        <w:tc>
          <w:tcPr>
            <w:tcW w:w="7319" w:type="dxa"/>
            <w:tcBorders>
              <w:tl2br w:val="nil"/>
              <w:tr2bl w:val="nil"/>
            </w:tcBorders>
          </w:tcPr>
          <w:p>
            <w:pPr>
              <w:widowControl/>
              <w:adjustRightInd/>
              <w:snapToGrid/>
              <w:spacing w:line="240" w:lineRule="auto"/>
              <w:ind w:firstLine="0" w:firstLineChars="0"/>
              <w:jc w:val="center"/>
              <w:rPr>
                <w:color w:val="auto"/>
                <w:sz w:val="21"/>
                <w:szCs w:val="21"/>
              </w:rPr>
            </w:pPr>
            <w:r>
              <w:rPr>
                <w:color w:val="auto"/>
                <w:kern w:val="0"/>
                <w:sz w:val="21"/>
                <w:szCs w:val="21"/>
                <w:lang w:bidi="ar"/>
              </w:rPr>
              <w:t>建设项目周边存在其他土壤环境敏感目标的</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7" w:type="dxa"/>
            <w:tcBorders>
              <w:tl2br w:val="nil"/>
              <w:tr2bl w:val="nil"/>
            </w:tcBorders>
          </w:tcPr>
          <w:p>
            <w:pPr>
              <w:adjustRightInd/>
              <w:snapToGrid/>
              <w:spacing w:line="240" w:lineRule="auto"/>
              <w:ind w:firstLine="0" w:firstLineChars="0"/>
              <w:jc w:val="center"/>
              <w:rPr>
                <w:color w:val="auto"/>
                <w:sz w:val="21"/>
                <w:szCs w:val="21"/>
              </w:rPr>
            </w:pPr>
            <w:r>
              <w:rPr>
                <w:color w:val="auto"/>
                <w:sz w:val="21"/>
                <w:szCs w:val="21"/>
              </w:rPr>
              <w:t>不敏感</w:t>
            </w:r>
          </w:p>
        </w:tc>
        <w:tc>
          <w:tcPr>
            <w:tcW w:w="7319" w:type="dxa"/>
            <w:tcBorders>
              <w:tl2br w:val="nil"/>
              <w:tr2bl w:val="nil"/>
            </w:tcBorders>
          </w:tcPr>
          <w:p>
            <w:pPr>
              <w:widowControl/>
              <w:adjustRightInd/>
              <w:snapToGrid/>
              <w:spacing w:line="240" w:lineRule="auto"/>
              <w:ind w:firstLine="0" w:firstLineChars="0"/>
              <w:jc w:val="center"/>
              <w:rPr>
                <w:color w:val="auto"/>
                <w:sz w:val="21"/>
                <w:szCs w:val="21"/>
              </w:rPr>
            </w:pPr>
            <w:r>
              <w:rPr>
                <w:color w:val="auto"/>
                <w:kern w:val="0"/>
                <w:sz w:val="21"/>
                <w:szCs w:val="21"/>
                <w:lang w:bidi="ar"/>
              </w:rPr>
              <w:t>其他情况</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7" w:type="dxa"/>
            <w:tcBorders>
              <w:tl2br w:val="nil"/>
              <w:tr2bl w:val="nil"/>
            </w:tcBorders>
          </w:tcPr>
          <w:p>
            <w:pPr>
              <w:adjustRightInd/>
              <w:snapToGrid/>
              <w:spacing w:line="240" w:lineRule="auto"/>
              <w:ind w:firstLine="0" w:firstLineChars="0"/>
              <w:jc w:val="center"/>
              <w:rPr>
                <w:color w:val="auto"/>
                <w:sz w:val="21"/>
                <w:szCs w:val="21"/>
              </w:rPr>
            </w:pPr>
            <w:r>
              <w:rPr>
                <w:color w:val="auto"/>
                <w:sz w:val="21"/>
                <w:szCs w:val="21"/>
              </w:rPr>
              <w:t>本项目</w:t>
            </w:r>
          </w:p>
        </w:tc>
        <w:tc>
          <w:tcPr>
            <w:tcW w:w="7319" w:type="dxa"/>
            <w:tcBorders>
              <w:tl2br w:val="nil"/>
              <w:tr2bl w:val="nil"/>
            </w:tcBorders>
          </w:tcPr>
          <w:p>
            <w:pPr>
              <w:adjustRightInd/>
              <w:snapToGrid/>
              <w:spacing w:line="240" w:lineRule="auto"/>
              <w:ind w:firstLine="0" w:firstLineChars="0"/>
              <w:jc w:val="center"/>
              <w:rPr>
                <w:color w:val="auto"/>
                <w:sz w:val="21"/>
                <w:szCs w:val="21"/>
              </w:rPr>
            </w:pPr>
            <w:r>
              <w:rPr>
                <w:color w:val="auto"/>
                <w:sz w:val="21"/>
                <w:szCs w:val="21"/>
              </w:rPr>
              <w:t>敏感</w:t>
            </w:r>
          </w:p>
        </w:tc>
      </w:tr>
    </w:tbl>
    <w:p>
      <w:pPr>
        <w:ind w:firstLine="480"/>
        <w:jc w:val="center"/>
        <w:rPr>
          <w:rFonts w:eastAsia="黑体"/>
          <w:color w:val="auto"/>
          <w:szCs w:val="21"/>
        </w:rPr>
      </w:pPr>
    </w:p>
    <w:p>
      <w:pPr>
        <w:ind w:firstLine="480"/>
        <w:jc w:val="center"/>
        <w:rPr>
          <w:rFonts w:eastAsia="黑体"/>
          <w:color w:val="auto"/>
          <w:szCs w:val="21"/>
        </w:rPr>
      </w:pPr>
    </w:p>
    <w:p>
      <w:pPr>
        <w:ind w:firstLine="480"/>
        <w:jc w:val="center"/>
        <w:rPr>
          <w:rFonts w:eastAsia="黑体"/>
          <w:color w:val="auto"/>
          <w:szCs w:val="21"/>
        </w:rPr>
      </w:pPr>
    </w:p>
    <w:p>
      <w:pPr>
        <w:spacing w:after="72" w:afterLines="30"/>
        <w:ind w:left="480" w:leftChars="200" w:firstLine="0" w:firstLineChars="0"/>
        <w:jc w:val="center"/>
        <w:rPr>
          <w:b/>
          <w:color w:val="auto"/>
          <w:szCs w:val="21"/>
        </w:rPr>
      </w:pPr>
      <w:r>
        <w:rPr>
          <w:rFonts w:hint="eastAsia"/>
          <w:b/>
          <w:color w:val="auto"/>
          <w:szCs w:val="21"/>
        </w:rPr>
        <w:t>表2.5-9   评价工作等级分级表</w:t>
      </w:r>
    </w:p>
    <w:tbl>
      <w:tblPr>
        <w:tblStyle w:val="28"/>
        <w:tblW w:w="0" w:type="auto"/>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779"/>
        <w:gridCol w:w="750"/>
        <w:gridCol w:w="742"/>
        <w:gridCol w:w="672"/>
        <w:gridCol w:w="686"/>
        <w:gridCol w:w="658"/>
        <w:gridCol w:w="714"/>
        <w:gridCol w:w="652"/>
        <w:gridCol w:w="652"/>
        <w:gridCol w:w="64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779" w:type="dxa"/>
            <w:vMerge w:val="restart"/>
            <w:tcBorders>
              <w:tl2br w:val="nil"/>
              <w:tr2bl w:val="nil"/>
            </w:tcBorders>
            <w:vAlign w:val="center"/>
          </w:tcPr>
          <w:p>
            <w:pPr>
              <w:adjustRightInd/>
              <w:snapToGrid/>
              <w:ind w:firstLine="0" w:firstLineChars="0"/>
              <w:jc w:val="center"/>
              <w:rPr>
                <w:color w:val="auto"/>
                <w:sz w:val="21"/>
                <w:szCs w:val="21"/>
              </w:rPr>
            </w:pPr>
            <w:r>
              <w:rPr>
                <w:color w:val="auto"/>
                <w:sz w:val="21"/>
                <w:szCs w:val="21"/>
              </w:rPr>
              <w:pict>
                <v:shape id="直接连接符 4" o:spid="_x0000_s1026" o:spt="32" type="#_x0000_t32" style="position:absolute;left:0pt;margin-left:60.45pt;margin-top:0.1pt;height:60.95pt;width:73.2pt;z-index:251658240;mso-width-relative:page;mso-height-relative:page;" filled="f" coordsize="21600,21600">
                  <v:path arrowok="t"/>
                  <v:fill on="f" focussize="0,0"/>
                  <v:stroke/>
                  <v:imagedata o:title=""/>
                  <o:lock v:ext="edit"/>
                </v:shape>
              </w:pict>
            </w:r>
            <w:r>
              <w:rPr>
                <w:color w:val="auto"/>
                <w:sz w:val="21"/>
                <w:szCs w:val="21"/>
              </w:rPr>
              <w:t xml:space="preserve">              占地规模</w:t>
            </w:r>
          </w:p>
          <w:p>
            <w:pPr>
              <w:adjustRightInd/>
              <w:snapToGrid/>
              <w:ind w:firstLine="0" w:firstLineChars="0"/>
              <w:jc w:val="center"/>
              <w:rPr>
                <w:color w:val="auto"/>
                <w:sz w:val="21"/>
                <w:szCs w:val="21"/>
              </w:rPr>
            </w:pPr>
            <w:r>
              <w:rPr>
                <w:color w:val="auto"/>
                <w:sz w:val="21"/>
                <w:szCs w:val="21"/>
              </w:rPr>
              <w:pict>
                <v:shape id="直接连接符 5" o:spid="_x0000_s1027" o:spt="32" type="#_x0000_t32" style="position:absolute;left:0pt;margin-left:-3.45pt;margin-top:10.1pt;height:29.95pt;width:135.25pt;z-index:251659264;mso-width-relative:page;mso-height-relative:page;" filled="f" coordsize="21600,21600">
                  <v:path arrowok="t"/>
                  <v:fill on="f" focussize="0,0"/>
                  <v:stroke/>
                  <v:imagedata o:title=""/>
                  <o:lock v:ext="edit"/>
                </v:shape>
              </w:pict>
            </w:r>
            <w:r>
              <w:rPr>
                <w:color w:val="auto"/>
                <w:sz w:val="21"/>
                <w:szCs w:val="21"/>
              </w:rPr>
              <w:t>评价工作等级</w:t>
            </w:r>
          </w:p>
          <w:p>
            <w:pPr>
              <w:adjustRightInd/>
              <w:snapToGrid/>
              <w:ind w:firstLine="0" w:firstLineChars="0"/>
              <w:jc w:val="center"/>
              <w:rPr>
                <w:color w:val="auto"/>
                <w:sz w:val="21"/>
                <w:szCs w:val="21"/>
              </w:rPr>
            </w:pPr>
            <w:r>
              <w:rPr>
                <w:color w:val="auto"/>
                <w:sz w:val="21"/>
                <w:szCs w:val="21"/>
              </w:rPr>
              <w:t>敏感程度</w:t>
            </w:r>
          </w:p>
        </w:tc>
        <w:tc>
          <w:tcPr>
            <w:tcW w:w="2164" w:type="dxa"/>
            <w:gridSpan w:val="3"/>
            <w:tcBorders>
              <w:tl2br w:val="nil"/>
              <w:tr2bl w:val="nil"/>
            </w:tcBorders>
            <w:vAlign w:val="center"/>
          </w:tcPr>
          <w:p>
            <w:pPr>
              <w:adjustRightInd/>
              <w:snapToGrid/>
              <w:spacing w:line="240" w:lineRule="auto"/>
              <w:ind w:firstLine="0" w:firstLineChars="0"/>
              <w:jc w:val="center"/>
              <w:rPr>
                <w:color w:val="auto"/>
                <w:sz w:val="21"/>
                <w:szCs w:val="21"/>
              </w:rPr>
            </w:pPr>
            <w:r>
              <w:rPr>
                <w:color w:val="auto"/>
                <w:sz w:val="21"/>
                <w:szCs w:val="21"/>
              </w:rPr>
              <w:fldChar w:fldCharType="begin"/>
            </w:r>
            <w:r>
              <w:rPr>
                <w:color w:val="auto"/>
                <w:sz w:val="21"/>
                <w:szCs w:val="21"/>
              </w:rPr>
              <w:instrText xml:space="preserve"> = 1 \* ROMAN \* MERGEFORMAT </w:instrText>
            </w:r>
            <w:r>
              <w:rPr>
                <w:color w:val="auto"/>
                <w:sz w:val="21"/>
                <w:szCs w:val="21"/>
              </w:rPr>
              <w:fldChar w:fldCharType="separate"/>
            </w:r>
            <w:r>
              <w:rPr>
                <w:color w:val="auto"/>
                <w:sz w:val="21"/>
                <w:szCs w:val="21"/>
              </w:rPr>
              <w:t>I</w:t>
            </w:r>
            <w:r>
              <w:rPr>
                <w:color w:val="auto"/>
                <w:sz w:val="21"/>
                <w:szCs w:val="21"/>
              </w:rPr>
              <w:fldChar w:fldCharType="end"/>
            </w:r>
          </w:p>
        </w:tc>
        <w:tc>
          <w:tcPr>
            <w:tcW w:w="2058" w:type="dxa"/>
            <w:gridSpan w:val="3"/>
            <w:tcBorders>
              <w:tl2br w:val="nil"/>
              <w:tr2bl w:val="nil"/>
            </w:tcBorders>
            <w:vAlign w:val="center"/>
          </w:tcPr>
          <w:p>
            <w:pPr>
              <w:adjustRightInd/>
              <w:snapToGrid/>
              <w:spacing w:line="240" w:lineRule="auto"/>
              <w:ind w:firstLine="0" w:firstLineChars="0"/>
              <w:jc w:val="center"/>
              <w:rPr>
                <w:color w:val="auto"/>
                <w:sz w:val="21"/>
                <w:szCs w:val="21"/>
              </w:rPr>
            </w:pPr>
            <w:r>
              <w:rPr>
                <w:color w:val="auto"/>
                <w:sz w:val="21"/>
                <w:szCs w:val="21"/>
              </w:rPr>
              <w:fldChar w:fldCharType="begin"/>
            </w:r>
            <w:r>
              <w:rPr>
                <w:color w:val="auto"/>
                <w:sz w:val="21"/>
                <w:szCs w:val="21"/>
              </w:rPr>
              <w:instrText xml:space="preserve"> = 2 \* ROMAN \* MERGEFORMAT </w:instrText>
            </w:r>
            <w:r>
              <w:rPr>
                <w:color w:val="auto"/>
                <w:sz w:val="21"/>
                <w:szCs w:val="21"/>
              </w:rPr>
              <w:fldChar w:fldCharType="separate"/>
            </w:r>
            <w:r>
              <w:rPr>
                <w:color w:val="auto"/>
                <w:sz w:val="21"/>
                <w:szCs w:val="21"/>
              </w:rPr>
              <w:t>II</w:t>
            </w:r>
            <w:r>
              <w:rPr>
                <w:color w:val="auto"/>
                <w:sz w:val="21"/>
                <w:szCs w:val="21"/>
              </w:rPr>
              <w:fldChar w:fldCharType="end"/>
            </w:r>
          </w:p>
        </w:tc>
        <w:tc>
          <w:tcPr>
            <w:tcW w:w="1945" w:type="dxa"/>
            <w:gridSpan w:val="3"/>
            <w:tcBorders>
              <w:tl2br w:val="nil"/>
              <w:tr2bl w:val="nil"/>
            </w:tcBorders>
            <w:vAlign w:val="center"/>
          </w:tcPr>
          <w:p>
            <w:pPr>
              <w:adjustRightInd/>
              <w:snapToGrid/>
              <w:spacing w:line="240" w:lineRule="auto"/>
              <w:ind w:firstLine="0" w:firstLineChars="0"/>
              <w:jc w:val="center"/>
              <w:rPr>
                <w:color w:val="auto"/>
                <w:sz w:val="21"/>
                <w:szCs w:val="21"/>
              </w:rPr>
            </w:pPr>
            <w:r>
              <w:rPr>
                <w:color w:val="auto"/>
                <w:sz w:val="21"/>
                <w:szCs w:val="21"/>
              </w:rPr>
              <w:fldChar w:fldCharType="begin"/>
            </w:r>
            <w:r>
              <w:rPr>
                <w:color w:val="auto"/>
                <w:sz w:val="21"/>
                <w:szCs w:val="21"/>
              </w:rPr>
              <w:instrText xml:space="preserve"> = 3 \* ROMAN \* MERGEFORMAT </w:instrText>
            </w:r>
            <w:r>
              <w:rPr>
                <w:color w:val="auto"/>
                <w:sz w:val="21"/>
                <w:szCs w:val="21"/>
              </w:rPr>
              <w:fldChar w:fldCharType="separate"/>
            </w:r>
            <w:r>
              <w:rPr>
                <w:color w:val="auto"/>
                <w:sz w:val="21"/>
                <w:szCs w:val="21"/>
              </w:rPr>
              <w:t>III</w:t>
            </w:r>
            <w:r>
              <w:rPr>
                <w:color w:val="auto"/>
                <w:sz w:val="21"/>
                <w:szCs w:val="21"/>
              </w:rPr>
              <w:fldChar w:fldCharType="end"/>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779" w:type="dxa"/>
            <w:vMerge w:val="continue"/>
            <w:tcBorders>
              <w:tl2br w:val="nil"/>
              <w:tr2bl w:val="nil"/>
            </w:tcBorders>
            <w:vAlign w:val="center"/>
          </w:tcPr>
          <w:p>
            <w:pPr>
              <w:adjustRightInd/>
              <w:snapToGrid/>
              <w:ind w:firstLine="0" w:firstLineChars="0"/>
              <w:jc w:val="center"/>
              <w:rPr>
                <w:color w:val="auto"/>
                <w:sz w:val="21"/>
                <w:szCs w:val="21"/>
              </w:rPr>
            </w:pPr>
          </w:p>
        </w:tc>
        <w:tc>
          <w:tcPr>
            <w:tcW w:w="750" w:type="dxa"/>
            <w:tcBorders>
              <w:tl2br w:val="nil"/>
              <w:tr2bl w:val="nil"/>
            </w:tcBorders>
            <w:vAlign w:val="center"/>
          </w:tcPr>
          <w:p>
            <w:pPr>
              <w:adjustRightInd/>
              <w:snapToGrid/>
              <w:spacing w:line="240" w:lineRule="auto"/>
              <w:ind w:firstLine="0" w:firstLineChars="0"/>
              <w:jc w:val="center"/>
              <w:rPr>
                <w:color w:val="auto"/>
                <w:sz w:val="21"/>
                <w:szCs w:val="21"/>
              </w:rPr>
            </w:pPr>
            <w:r>
              <w:rPr>
                <w:color w:val="auto"/>
                <w:sz w:val="21"/>
                <w:szCs w:val="21"/>
              </w:rPr>
              <w:t>大</w:t>
            </w:r>
          </w:p>
        </w:tc>
        <w:tc>
          <w:tcPr>
            <w:tcW w:w="742" w:type="dxa"/>
            <w:tcBorders>
              <w:tl2br w:val="nil"/>
              <w:tr2bl w:val="nil"/>
            </w:tcBorders>
            <w:vAlign w:val="center"/>
          </w:tcPr>
          <w:p>
            <w:pPr>
              <w:adjustRightInd/>
              <w:snapToGrid/>
              <w:spacing w:line="240" w:lineRule="auto"/>
              <w:ind w:firstLine="0" w:firstLineChars="0"/>
              <w:jc w:val="center"/>
              <w:rPr>
                <w:color w:val="auto"/>
                <w:sz w:val="21"/>
                <w:szCs w:val="21"/>
              </w:rPr>
            </w:pPr>
            <w:r>
              <w:rPr>
                <w:color w:val="auto"/>
                <w:sz w:val="21"/>
                <w:szCs w:val="21"/>
              </w:rPr>
              <w:t>中</w:t>
            </w:r>
          </w:p>
        </w:tc>
        <w:tc>
          <w:tcPr>
            <w:tcW w:w="672" w:type="dxa"/>
            <w:tcBorders>
              <w:tl2br w:val="nil"/>
              <w:tr2bl w:val="nil"/>
            </w:tcBorders>
            <w:vAlign w:val="center"/>
          </w:tcPr>
          <w:p>
            <w:pPr>
              <w:adjustRightInd/>
              <w:snapToGrid/>
              <w:spacing w:line="240" w:lineRule="auto"/>
              <w:ind w:firstLine="0" w:firstLineChars="0"/>
              <w:jc w:val="center"/>
              <w:rPr>
                <w:color w:val="auto"/>
                <w:sz w:val="21"/>
                <w:szCs w:val="21"/>
              </w:rPr>
            </w:pPr>
            <w:r>
              <w:rPr>
                <w:color w:val="auto"/>
                <w:sz w:val="21"/>
                <w:szCs w:val="21"/>
              </w:rPr>
              <w:t>小</w:t>
            </w:r>
          </w:p>
        </w:tc>
        <w:tc>
          <w:tcPr>
            <w:tcW w:w="686" w:type="dxa"/>
            <w:tcBorders>
              <w:tl2br w:val="nil"/>
              <w:tr2bl w:val="nil"/>
            </w:tcBorders>
            <w:vAlign w:val="center"/>
          </w:tcPr>
          <w:p>
            <w:pPr>
              <w:adjustRightInd/>
              <w:snapToGrid/>
              <w:spacing w:line="240" w:lineRule="auto"/>
              <w:ind w:firstLine="0" w:firstLineChars="0"/>
              <w:jc w:val="center"/>
              <w:rPr>
                <w:color w:val="auto"/>
                <w:sz w:val="21"/>
                <w:szCs w:val="21"/>
              </w:rPr>
            </w:pPr>
            <w:r>
              <w:rPr>
                <w:color w:val="auto"/>
                <w:sz w:val="21"/>
                <w:szCs w:val="21"/>
              </w:rPr>
              <w:t>大</w:t>
            </w:r>
          </w:p>
        </w:tc>
        <w:tc>
          <w:tcPr>
            <w:tcW w:w="658" w:type="dxa"/>
            <w:tcBorders>
              <w:tl2br w:val="nil"/>
              <w:tr2bl w:val="nil"/>
            </w:tcBorders>
            <w:vAlign w:val="center"/>
          </w:tcPr>
          <w:p>
            <w:pPr>
              <w:adjustRightInd/>
              <w:snapToGrid/>
              <w:spacing w:line="240" w:lineRule="auto"/>
              <w:ind w:firstLine="0" w:firstLineChars="0"/>
              <w:jc w:val="center"/>
              <w:rPr>
                <w:color w:val="auto"/>
                <w:sz w:val="21"/>
                <w:szCs w:val="21"/>
              </w:rPr>
            </w:pPr>
            <w:r>
              <w:rPr>
                <w:color w:val="auto"/>
                <w:sz w:val="21"/>
                <w:szCs w:val="21"/>
              </w:rPr>
              <w:t>中</w:t>
            </w:r>
          </w:p>
        </w:tc>
        <w:tc>
          <w:tcPr>
            <w:tcW w:w="714" w:type="dxa"/>
            <w:tcBorders>
              <w:tl2br w:val="nil"/>
              <w:tr2bl w:val="nil"/>
            </w:tcBorders>
            <w:vAlign w:val="center"/>
          </w:tcPr>
          <w:p>
            <w:pPr>
              <w:adjustRightInd/>
              <w:snapToGrid/>
              <w:spacing w:line="240" w:lineRule="auto"/>
              <w:ind w:firstLine="0" w:firstLineChars="0"/>
              <w:jc w:val="center"/>
              <w:rPr>
                <w:color w:val="auto"/>
                <w:sz w:val="21"/>
                <w:szCs w:val="21"/>
              </w:rPr>
            </w:pPr>
            <w:r>
              <w:rPr>
                <w:color w:val="auto"/>
                <w:sz w:val="21"/>
                <w:szCs w:val="21"/>
              </w:rPr>
              <w:t>小</w:t>
            </w:r>
          </w:p>
        </w:tc>
        <w:tc>
          <w:tcPr>
            <w:tcW w:w="652" w:type="dxa"/>
            <w:tcBorders>
              <w:tl2br w:val="nil"/>
              <w:tr2bl w:val="nil"/>
            </w:tcBorders>
            <w:vAlign w:val="center"/>
          </w:tcPr>
          <w:p>
            <w:pPr>
              <w:adjustRightInd/>
              <w:snapToGrid/>
              <w:spacing w:line="240" w:lineRule="auto"/>
              <w:ind w:firstLine="0" w:firstLineChars="0"/>
              <w:jc w:val="center"/>
              <w:rPr>
                <w:color w:val="auto"/>
                <w:sz w:val="21"/>
                <w:szCs w:val="21"/>
              </w:rPr>
            </w:pPr>
            <w:r>
              <w:rPr>
                <w:color w:val="auto"/>
                <w:sz w:val="21"/>
                <w:szCs w:val="21"/>
              </w:rPr>
              <w:t>大</w:t>
            </w:r>
          </w:p>
        </w:tc>
        <w:tc>
          <w:tcPr>
            <w:tcW w:w="652" w:type="dxa"/>
            <w:tcBorders>
              <w:tl2br w:val="nil"/>
              <w:tr2bl w:val="nil"/>
            </w:tcBorders>
            <w:vAlign w:val="center"/>
          </w:tcPr>
          <w:p>
            <w:pPr>
              <w:adjustRightInd/>
              <w:snapToGrid/>
              <w:spacing w:line="240" w:lineRule="auto"/>
              <w:ind w:firstLine="0" w:firstLineChars="0"/>
              <w:jc w:val="center"/>
              <w:rPr>
                <w:color w:val="auto"/>
                <w:sz w:val="21"/>
                <w:szCs w:val="21"/>
              </w:rPr>
            </w:pPr>
            <w:r>
              <w:rPr>
                <w:color w:val="auto"/>
                <w:sz w:val="21"/>
                <w:szCs w:val="21"/>
              </w:rPr>
              <w:t>中</w:t>
            </w:r>
          </w:p>
        </w:tc>
        <w:tc>
          <w:tcPr>
            <w:tcW w:w="641" w:type="dxa"/>
            <w:tcBorders>
              <w:tl2br w:val="nil"/>
              <w:tr2bl w:val="nil"/>
            </w:tcBorders>
            <w:vAlign w:val="center"/>
          </w:tcPr>
          <w:p>
            <w:pPr>
              <w:adjustRightInd/>
              <w:snapToGrid/>
              <w:spacing w:line="240" w:lineRule="auto"/>
              <w:ind w:firstLine="0" w:firstLineChars="0"/>
              <w:jc w:val="center"/>
              <w:rPr>
                <w:color w:val="auto"/>
                <w:sz w:val="21"/>
                <w:szCs w:val="21"/>
              </w:rPr>
            </w:pPr>
            <w:r>
              <w:rPr>
                <w:color w:val="auto"/>
                <w:sz w:val="21"/>
                <w:szCs w:val="21"/>
              </w:rPr>
              <w:t>小</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2779" w:type="dxa"/>
            <w:tcBorders>
              <w:tl2br w:val="nil"/>
              <w:tr2bl w:val="nil"/>
            </w:tcBorders>
            <w:vAlign w:val="center"/>
          </w:tcPr>
          <w:p>
            <w:pPr>
              <w:adjustRightInd/>
              <w:snapToGrid/>
              <w:spacing w:line="240" w:lineRule="auto"/>
              <w:ind w:firstLine="0" w:firstLineChars="0"/>
              <w:jc w:val="center"/>
              <w:rPr>
                <w:color w:val="auto"/>
                <w:sz w:val="21"/>
                <w:szCs w:val="21"/>
              </w:rPr>
            </w:pPr>
            <w:r>
              <w:rPr>
                <w:color w:val="auto"/>
                <w:sz w:val="21"/>
                <w:szCs w:val="21"/>
              </w:rPr>
              <w:t>敏感</w:t>
            </w:r>
          </w:p>
        </w:tc>
        <w:tc>
          <w:tcPr>
            <w:tcW w:w="750" w:type="dxa"/>
            <w:tcBorders>
              <w:tl2br w:val="nil"/>
              <w:tr2bl w:val="nil"/>
            </w:tcBorders>
            <w:vAlign w:val="center"/>
          </w:tcPr>
          <w:p>
            <w:pPr>
              <w:adjustRightInd/>
              <w:snapToGrid/>
              <w:spacing w:line="240" w:lineRule="auto"/>
              <w:ind w:firstLine="0" w:firstLineChars="0"/>
              <w:jc w:val="center"/>
              <w:rPr>
                <w:color w:val="auto"/>
                <w:sz w:val="21"/>
                <w:szCs w:val="21"/>
              </w:rPr>
            </w:pPr>
            <w:r>
              <w:rPr>
                <w:color w:val="auto"/>
                <w:sz w:val="21"/>
                <w:szCs w:val="21"/>
              </w:rPr>
              <w:t>一级</w:t>
            </w:r>
          </w:p>
        </w:tc>
        <w:tc>
          <w:tcPr>
            <w:tcW w:w="742" w:type="dxa"/>
            <w:tcBorders>
              <w:tl2br w:val="nil"/>
              <w:tr2bl w:val="nil"/>
            </w:tcBorders>
            <w:vAlign w:val="center"/>
          </w:tcPr>
          <w:p>
            <w:pPr>
              <w:adjustRightInd/>
              <w:snapToGrid/>
              <w:spacing w:line="240" w:lineRule="auto"/>
              <w:ind w:firstLine="0" w:firstLineChars="0"/>
              <w:jc w:val="center"/>
              <w:rPr>
                <w:color w:val="auto"/>
                <w:sz w:val="21"/>
                <w:szCs w:val="21"/>
              </w:rPr>
            </w:pPr>
            <w:r>
              <w:rPr>
                <w:color w:val="auto"/>
                <w:sz w:val="21"/>
                <w:szCs w:val="21"/>
              </w:rPr>
              <w:t>一级</w:t>
            </w:r>
          </w:p>
        </w:tc>
        <w:tc>
          <w:tcPr>
            <w:tcW w:w="672" w:type="dxa"/>
            <w:tcBorders>
              <w:tl2br w:val="nil"/>
              <w:tr2bl w:val="nil"/>
            </w:tcBorders>
            <w:vAlign w:val="center"/>
          </w:tcPr>
          <w:p>
            <w:pPr>
              <w:adjustRightInd/>
              <w:snapToGrid/>
              <w:spacing w:line="240" w:lineRule="auto"/>
              <w:ind w:firstLine="0" w:firstLineChars="0"/>
              <w:jc w:val="center"/>
              <w:rPr>
                <w:color w:val="auto"/>
                <w:sz w:val="21"/>
                <w:szCs w:val="21"/>
              </w:rPr>
            </w:pPr>
            <w:r>
              <w:rPr>
                <w:color w:val="auto"/>
                <w:sz w:val="21"/>
                <w:szCs w:val="21"/>
              </w:rPr>
              <w:t>一级</w:t>
            </w:r>
          </w:p>
        </w:tc>
        <w:tc>
          <w:tcPr>
            <w:tcW w:w="686" w:type="dxa"/>
            <w:tcBorders>
              <w:tl2br w:val="nil"/>
              <w:tr2bl w:val="nil"/>
            </w:tcBorders>
            <w:vAlign w:val="center"/>
          </w:tcPr>
          <w:p>
            <w:pPr>
              <w:adjustRightInd/>
              <w:snapToGrid/>
              <w:spacing w:line="240" w:lineRule="auto"/>
              <w:ind w:firstLine="0" w:firstLineChars="0"/>
              <w:jc w:val="center"/>
              <w:rPr>
                <w:color w:val="auto"/>
                <w:sz w:val="21"/>
                <w:szCs w:val="21"/>
              </w:rPr>
            </w:pPr>
            <w:r>
              <w:rPr>
                <w:color w:val="auto"/>
                <w:sz w:val="21"/>
                <w:szCs w:val="21"/>
              </w:rPr>
              <w:t>二级</w:t>
            </w:r>
          </w:p>
        </w:tc>
        <w:tc>
          <w:tcPr>
            <w:tcW w:w="658" w:type="dxa"/>
            <w:tcBorders>
              <w:tl2br w:val="nil"/>
              <w:tr2bl w:val="nil"/>
            </w:tcBorders>
            <w:vAlign w:val="center"/>
          </w:tcPr>
          <w:p>
            <w:pPr>
              <w:adjustRightInd/>
              <w:snapToGrid/>
              <w:spacing w:line="240" w:lineRule="auto"/>
              <w:ind w:firstLine="0" w:firstLineChars="0"/>
              <w:jc w:val="center"/>
              <w:rPr>
                <w:color w:val="auto"/>
                <w:sz w:val="21"/>
                <w:szCs w:val="21"/>
              </w:rPr>
            </w:pPr>
            <w:r>
              <w:rPr>
                <w:color w:val="auto"/>
                <w:sz w:val="21"/>
                <w:szCs w:val="21"/>
              </w:rPr>
              <w:t>二级</w:t>
            </w:r>
          </w:p>
        </w:tc>
        <w:tc>
          <w:tcPr>
            <w:tcW w:w="714" w:type="dxa"/>
            <w:tcBorders>
              <w:tl2br w:val="nil"/>
              <w:tr2bl w:val="nil"/>
            </w:tcBorders>
            <w:vAlign w:val="center"/>
          </w:tcPr>
          <w:p>
            <w:pPr>
              <w:adjustRightInd/>
              <w:snapToGrid/>
              <w:spacing w:line="240" w:lineRule="auto"/>
              <w:ind w:firstLine="0" w:firstLineChars="0"/>
              <w:jc w:val="center"/>
              <w:rPr>
                <w:color w:val="auto"/>
                <w:sz w:val="21"/>
                <w:szCs w:val="21"/>
              </w:rPr>
            </w:pPr>
            <w:r>
              <w:rPr>
                <w:color w:val="auto"/>
                <w:sz w:val="21"/>
                <w:szCs w:val="21"/>
              </w:rPr>
              <w:t>二级</w:t>
            </w:r>
          </w:p>
        </w:tc>
        <w:tc>
          <w:tcPr>
            <w:tcW w:w="652" w:type="dxa"/>
            <w:tcBorders>
              <w:tl2br w:val="nil"/>
              <w:tr2bl w:val="nil"/>
            </w:tcBorders>
            <w:vAlign w:val="center"/>
          </w:tcPr>
          <w:p>
            <w:pPr>
              <w:adjustRightInd/>
              <w:snapToGrid/>
              <w:spacing w:line="240" w:lineRule="auto"/>
              <w:ind w:firstLine="0" w:firstLineChars="0"/>
              <w:jc w:val="center"/>
              <w:rPr>
                <w:color w:val="auto"/>
                <w:sz w:val="21"/>
                <w:szCs w:val="21"/>
              </w:rPr>
            </w:pPr>
            <w:r>
              <w:rPr>
                <w:color w:val="auto"/>
                <w:sz w:val="21"/>
                <w:szCs w:val="21"/>
              </w:rPr>
              <w:t>三级</w:t>
            </w:r>
          </w:p>
        </w:tc>
        <w:tc>
          <w:tcPr>
            <w:tcW w:w="652" w:type="dxa"/>
            <w:tcBorders>
              <w:tl2br w:val="nil"/>
              <w:tr2bl w:val="nil"/>
            </w:tcBorders>
            <w:vAlign w:val="center"/>
          </w:tcPr>
          <w:p>
            <w:pPr>
              <w:adjustRightInd/>
              <w:snapToGrid/>
              <w:spacing w:line="240" w:lineRule="auto"/>
              <w:ind w:firstLine="0" w:firstLineChars="0"/>
              <w:jc w:val="center"/>
              <w:rPr>
                <w:color w:val="auto"/>
                <w:sz w:val="21"/>
                <w:szCs w:val="21"/>
              </w:rPr>
            </w:pPr>
            <w:r>
              <w:rPr>
                <w:color w:val="auto"/>
                <w:sz w:val="21"/>
                <w:szCs w:val="21"/>
              </w:rPr>
              <w:t>三级</w:t>
            </w:r>
          </w:p>
        </w:tc>
        <w:tc>
          <w:tcPr>
            <w:tcW w:w="641" w:type="dxa"/>
            <w:tcBorders>
              <w:tl2br w:val="nil"/>
              <w:tr2bl w:val="nil"/>
            </w:tcBorders>
            <w:vAlign w:val="center"/>
          </w:tcPr>
          <w:p>
            <w:pPr>
              <w:adjustRightInd/>
              <w:snapToGrid/>
              <w:spacing w:line="240" w:lineRule="auto"/>
              <w:ind w:firstLine="0" w:firstLineChars="0"/>
              <w:jc w:val="center"/>
              <w:rPr>
                <w:color w:val="auto"/>
                <w:sz w:val="21"/>
                <w:szCs w:val="21"/>
              </w:rPr>
            </w:pPr>
            <w:r>
              <w:rPr>
                <w:color w:val="auto"/>
                <w:sz w:val="21"/>
                <w:szCs w:val="21"/>
              </w:rPr>
              <w:t>三级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779" w:type="dxa"/>
            <w:tcBorders>
              <w:tl2br w:val="nil"/>
              <w:tr2bl w:val="nil"/>
            </w:tcBorders>
            <w:vAlign w:val="center"/>
          </w:tcPr>
          <w:p>
            <w:pPr>
              <w:adjustRightInd/>
              <w:snapToGrid/>
              <w:spacing w:line="240" w:lineRule="auto"/>
              <w:ind w:firstLine="0" w:firstLineChars="0"/>
              <w:jc w:val="center"/>
              <w:rPr>
                <w:color w:val="auto"/>
                <w:sz w:val="21"/>
                <w:szCs w:val="21"/>
              </w:rPr>
            </w:pPr>
            <w:r>
              <w:rPr>
                <w:color w:val="auto"/>
                <w:sz w:val="21"/>
                <w:szCs w:val="21"/>
              </w:rPr>
              <w:t>较敏感</w:t>
            </w:r>
          </w:p>
        </w:tc>
        <w:tc>
          <w:tcPr>
            <w:tcW w:w="750" w:type="dxa"/>
            <w:tcBorders>
              <w:tl2br w:val="nil"/>
              <w:tr2bl w:val="nil"/>
            </w:tcBorders>
            <w:vAlign w:val="center"/>
          </w:tcPr>
          <w:p>
            <w:pPr>
              <w:adjustRightInd/>
              <w:snapToGrid/>
              <w:spacing w:line="240" w:lineRule="auto"/>
              <w:ind w:firstLine="0" w:firstLineChars="0"/>
              <w:jc w:val="center"/>
              <w:rPr>
                <w:color w:val="auto"/>
                <w:sz w:val="21"/>
                <w:szCs w:val="21"/>
              </w:rPr>
            </w:pPr>
            <w:r>
              <w:rPr>
                <w:color w:val="auto"/>
                <w:sz w:val="21"/>
                <w:szCs w:val="21"/>
              </w:rPr>
              <w:t>一级</w:t>
            </w:r>
          </w:p>
        </w:tc>
        <w:tc>
          <w:tcPr>
            <w:tcW w:w="742" w:type="dxa"/>
            <w:tcBorders>
              <w:tl2br w:val="nil"/>
              <w:tr2bl w:val="nil"/>
            </w:tcBorders>
            <w:vAlign w:val="center"/>
          </w:tcPr>
          <w:p>
            <w:pPr>
              <w:adjustRightInd/>
              <w:snapToGrid/>
              <w:spacing w:line="240" w:lineRule="auto"/>
              <w:ind w:firstLine="0" w:firstLineChars="0"/>
              <w:jc w:val="center"/>
              <w:rPr>
                <w:color w:val="auto"/>
                <w:sz w:val="21"/>
                <w:szCs w:val="21"/>
              </w:rPr>
            </w:pPr>
            <w:r>
              <w:rPr>
                <w:color w:val="auto"/>
                <w:sz w:val="21"/>
                <w:szCs w:val="21"/>
              </w:rPr>
              <w:t>一级</w:t>
            </w:r>
          </w:p>
        </w:tc>
        <w:tc>
          <w:tcPr>
            <w:tcW w:w="672" w:type="dxa"/>
            <w:tcBorders>
              <w:tl2br w:val="nil"/>
              <w:tr2bl w:val="nil"/>
            </w:tcBorders>
            <w:vAlign w:val="center"/>
          </w:tcPr>
          <w:p>
            <w:pPr>
              <w:adjustRightInd/>
              <w:snapToGrid/>
              <w:spacing w:line="240" w:lineRule="auto"/>
              <w:ind w:firstLine="0" w:firstLineChars="0"/>
              <w:jc w:val="center"/>
              <w:rPr>
                <w:color w:val="auto"/>
                <w:sz w:val="21"/>
                <w:szCs w:val="21"/>
              </w:rPr>
            </w:pPr>
            <w:r>
              <w:rPr>
                <w:color w:val="auto"/>
                <w:sz w:val="21"/>
                <w:szCs w:val="21"/>
              </w:rPr>
              <w:t>二级</w:t>
            </w:r>
          </w:p>
        </w:tc>
        <w:tc>
          <w:tcPr>
            <w:tcW w:w="686" w:type="dxa"/>
            <w:tcBorders>
              <w:tl2br w:val="nil"/>
              <w:tr2bl w:val="nil"/>
            </w:tcBorders>
            <w:vAlign w:val="center"/>
          </w:tcPr>
          <w:p>
            <w:pPr>
              <w:adjustRightInd/>
              <w:snapToGrid/>
              <w:spacing w:line="240" w:lineRule="auto"/>
              <w:ind w:firstLine="0" w:firstLineChars="0"/>
              <w:jc w:val="center"/>
              <w:rPr>
                <w:color w:val="auto"/>
                <w:sz w:val="21"/>
                <w:szCs w:val="21"/>
              </w:rPr>
            </w:pPr>
            <w:r>
              <w:rPr>
                <w:color w:val="auto"/>
                <w:sz w:val="21"/>
                <w:szCs w:val="21"/>
              </w:rPr>
              <w:t>二级</w:t>
            </w:r>
          </w:p>
        </w:tc>
        <w:tc>
          <w:tcPr>
            <w:tcW w:w="658" w:type="dxa"/>
            <w:tcBorders>
              <w:tl2br w:val="nil"/>
              <w:tr2bl w:val="nil"/>
            </w:tcBorders>
            <w:vAlign w:val="center"/>
          </w:tcPr>
          <w:p>
            <w:pPr>
              <w:adjustRightInd/>
              <w:snapToGrid/>
              <w:spacing w:line="240" w:lineRule="auto"/>
              <w:ind w:firstLine="0" w:firstLineChars="0"/>
              <w:jc w:val="center"/>
              <w:rPr>
                <w:color w:val="auto"/>
                <w:sz w:val="21"/>
                <w:szCs w:val="21"/>
              </w:rPr>
            </w:pPr>
            <w:r>
              <w:rPr>
                <w:color w:val="auto"/>
                <w:sz w:val="21"/>
                <w:szCs w:val="21"/>
              </w:rPr>
              <w:t>二级</w:t>
            </w:r>
          </w:p>
        </w:tc>
        <w:tc>
          <w:tcPr>
            <w:tcW w:w="714" w:type="dxa"/>
            <w:tcBorders>
              <w:tl2br w:val="nil"/>
              <w:tr2bl w:val="nil"/>
            </w:tcBorders>
            <w:vAlign w:val="center"/>
          </w:tcPr>
          <w:p>
            <w:pPr>
              <w:adjustRightInd/>
              <w:snapToGrid/>
              <w:spacing w:line="240" w:lineRule="auto"/>
              <w:ind w:firstLine="0" w:firstLineChars="0"/>
              <w:jc w:val="center"/>
              <w:rPr>
                <w:color w:val="auto"/>
                <w:sz w:val="21"/>
                <w:szCs w:val="21"/>
              </w:rPr>
            </w:pPr>
            <w:r>
              <w:rPr>
                <w:color w:val="auto"/>
                <w:sz w:val="21"/>
                <w:szCs w:val="21"/>
              </w:rPr>
              <w:t>三级</w:t>
            </w:r>
          </w:p>
        </w:tc>
        <w:tc>
          <w:tcPr>
            <w:tcW w:w="652" w:type="dxa"/>
            <w:tcBorders>
              <w:tl2br w:val="nil"/>
              <w:tr2bl w:val="nil"/>
            </w:tcBorders>
            <w:vAlign w:val="center"/>
          </w:tcPr>
          <w:p>
            <w:pPr>
              <w:adjustRightInd/>
              <w:snapToGrid/>
              <w:spacing w:line="240" w:lineRule="auto"/>
              <w:ind w:firstLine="0" w:firstLineChars="0"/>
              <w:jc w:val="center"/>
              <w:rPr>
                <w:color w:val="auto"/>
                <w:sz w:val="21"/>
                <w:szCs w:val="21"/>
              </w:rPr>
            </w:pPr>
            <w:r>
              <w:rPr>
                <w:color w:val="auto"/>
                <w:sz w:val="21"/>
                <w:szCs w:val="21"/>
              </w:rPr>
              <w:t>三级</w:t>
            </w:r>
          </w:p>
        </w:tc>
        <w:tc>
          <w:tcPr>
            <w:tcW w:w="652" w:type="dxa"/>
            <w:tcBorders>
              <w:tl2br w:val="nil"/>
              <w:tr2bl w:val="nil"/>
            </w:tcBorders>
            <w:vAlign w:val="center"/>
          </w:tcPr>
          <w:p>
            <w:pPr>
              <w:adjustRightInd/>
              <w:snapToGrid/>
              <w:spacing w:line="240" w:lineRule="auto"/>
              <w:ind w:firstLine="0" w:firstLineChars="0"/>
              <w:jc w:val="center"/>
              <w:rPr>
                <w:color w:val="auto"/>
                <w:sz w:val="21"/>
                <w:szCs w:val="21"/>
              </w:rPr>
            </w:pPr>
            <w:r>
              <w:rPr>
                <w:color w:val="auto"/>
                <w:sz w:val="21"/>
                <w:szCs w:val="21"/>
              </w:rPr>
              <w:t>三级</w:t>
            </w:r>
          </w:p>
        </w:tc>
        <w:tc>
          <w:tcPr>
            <w:tcW w:w="641" w:type="dxa"/>
            <w:tcBorders>
              <w:tl2br w:val="nil"/>
              <w:tr2bl w:val="nil"/>
            </w:tcBorders>
            <w:vAlign w:val="center"/>
          </w:tcPr>
          <w:p>
            <w:pPr>
              <w:adjustRightInd/>
              <w:snapToGrid/>
              <w:spacing w:line="240" w:lineRule="auto"/>
              <w:ind w:firstLine="0" w:firstLineChars="0"/>
              <w:jc w:val="center"/>
              <w:rPr>
                <w:color w:val="auto"/>
                <w:sz w:val="21"/>
                <w:szCs w:val="21"/>
              </w:rPr>
            </w:pPr>
            <w:r>
              <w:rPr>
                <w:color w:val="auto"/>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779" w:type="dxa"/>
            <w:tcBorders>
              <w:tl2br w:val="nil"/>
              <w:tr2bl w:val="nil"/>
            </w:tcBorders>
            <w:vAlign w:val="center"/>
          </w:tcPr>
          <w:p>
            <w:pPr>
              <w:adjustRightInd/>
              <w:snapToGrid/>
              <w:spacing w:line="240" w:lineRule="auto"/>
              <w:ind w:firstLine="0" w:firstLineChars="0"/>
              <w:jc w:val="center"/>
              <w:rPr>
                <w:color w:val="auto"/>
                <w:sz w:val="21"/>
                <w:szCs w:val="21"/>
              </w:rPr>
            </w:pPr>
            <w:r>
              <w:rPr>
                <w:color w:val="auto"/>
                <w:sz w:val="21"/>
                <w:szCs w:val="21"/>
              </w:rPr>
              <w:t>不敏感</w:t>
            </w:r>
          </w:p>
        </w:tc>
        <w:tc>
          <w:tcPr>
            <w:tcW w:w="750" w:type="dxa"/>
            <w:tcBorders>
              <w:tl2br w:val="nil"/>
              <w:tr2bl w:val="nil"/>
            </w:tcBorders>
            <w:vAlign w:val="center"/>
          </w:tcPr>
          <w:p>
            <w:pPr>
              <w:adjustRightInd/>
              <w:snapToGrid/>
              <w:spacing w:line="240" w:lineRule="auto"/>
              <w:ind w:firstLine="0" w:firstLineChars="0"/>
              <w:jc w:val="center"/>
              <w:rPr>
                <w:color w:val="auto"/>
                <w:sz w:val="21"/>
                <w:szCs w:val="21"/>
              </w:rPr>
            </w:pPr>
            <w:r>
              <w:rPr>
                <w:color w:val="auto"/>
                <w:sz w:val="21"/>
                <w:szCs w:val="21"/>
              </w:rPr>
              <w:t>一级</w:t>
            </w:r>
          </w:p>
        </w:tc>
        <w:tc>
          <w:tcPr>
            <w:tcW w:w="742" w:type="dxa"/>
            <w:tcBorders>
              <w:tl2br w:val="nil"/>
              <w:tr2bl w:val="nil"/>
            </w:tcBorders>
            <w:vAlign w:val="center"/>
          </w:tcPr>
          <w:p>
            <w:pPr>
              <w:adjustRightInd/>
              <w:snapToGrid/>
              <w:spacing w:line="240" w:lineRule="auto"/>
              <w:ind w:firstLine="0" w:firstLineChars="0"/>
              <w:jc w:val="center"/>
              <w:rPr>
                <w:color w:val="auto"/>
                <w:sz w:val="21"/>
                <w:szCs w:val="21"/>
              </w:rPr>
            </w:pPr>
            <w:r>
              <w:rPr>
                <w:color w:val="auto"/>
                <w:sz w:val="21"/>
                <w:szCs w:val="21"/>
              </w:rPr>
              <w:t>二级</w:t>
            </w:r>
          </w:p>
        </w:tc>
        <w:tc>
          <w:tcPr>
            <w:tcW w:w="672" w:type="dxa"/>
            <w:tcBorders>
              <w:tl2br w:val="nil"/>
              <w:tr2bl w:val="nil"/>
            </w:tcBorders>
            <w:vAlign w:val="center"/>
          </w:tcPr>
          <w:p>
            <w:pPr>
              <w:adjustRightInd/>
              <w:snapToGrid/>
              <w:spacing w:line="240" w:lineRule="auto"/>
              <w:ind w:firstLine="0" w:firstLineChars="0"/>
              <w:jc w:val="center"/>
              <w:rPr>
                <w:color w:val="auto"/>
                <w:sz w:val="21"/>
                <w:szCs w:val="21"/>
              </w:rPr>
            </w:pPr>
            <w:r>
              <w:rPr>
                <w:color w:val="auto"/>
                <w:sz w:val="21"/>
                <w:szCs w:val="21"/>
              </w:rPr>
              <w:t>二级</w:t>
            </w:r>
          </w:p>
        </w:tc>
        <w:tc>
          <w:tcPr>
            <w:tcW w:w="686" w:type="dxa"/>
            <w:tcBorders>
              <w:tl2br w:val="nil"/>
              <w:tr2bl w:val="nil"/>
            </w:tcBorders>
            <w:vAlign w:val="center"/>
          </w:tcPr>
          <w:p>
            <w:pPr>
              <w:adjustRightInd/>
              <w:snapToGrid/>
              <w:spacing w:line="240" w:lineRule="auto"/>
              <w:ind w:firstLine="0" w:firstLineChars="0"/>
              <w:jc w:val="center"/>
              <w:rPr>
                <w:color w:val="auto"/>
                <w:sz w:val="21"/>
                <w:szCs w:val="21"/>
              </w:rPr>
            </w:pPr>
            <w:r>
              <w:rPr>
                <w:color w:val="auto"/>
                <w:sz w:val="21"/>
                <w:szCs w:val="21"/>
              </w:rPr>
              <w:t>二级</w:t>
            </w:r>
          </w:p>
        </w:tc>
        <w:tc>
          <w:tcPr>
            <w:tcW w:w="658" w:type="dxa"/>
            <w:tcBorders>
              <w:tl2br w:val="nil"/>
              <w:tr2bl w:val="nil"/>
            </w:tcBorders>
            <w:vAlign w:val="center"/>
          </w:tcPr>
          <w:p>
            <w:pPr>
              <w:adjustRightInd/>
              <w:snapToGrid/>
              <w:spacing w:line="240" w:lineRule="auto"/>
              <w:ind w:firstLine="0" w:firstLineChars="0"/>
              <w:jc w:val="center"/>
              <w:rPr>
                <w:color w:val="auto"/>
                <w:sz w:val="21"/>
                <w:szCs w:val="21"/>
              </w:rPr>
            </w:pPr>
            <w:r>
              <w:rPr>
                <w:color w:val="auto"/>
                <w:sz w:val="21"/>
                <w:szCs w:val="21"/>
              </w:rPr>
              <w:t>三级</w:t>
            </w:r>
          </w:p>
        </w:tc>
        <w:tc>
          <w:tcPr>
            <w:tcW w:w="714" w:type="dxa"/>
            <w:tcBorders>
              <w:tl2br w:val="nil"/>
              <w:tr2bl w:val="nil"/>
            </w:tcBorders>
            <w:vAlign w:val="center"/>
          </w:tcPr>
          <w:p>
            <w:pPr>
              <w:adjustRightInd/>
              <w:snapToGrid/>
              <w:spacing w:line="240" w:lineRule="auto"/>
              <w:ind w:firstLine="0" w:firstLineChars="0"/>
              <w:jc w:val="center"/>
              <w:rPr>
                <w:color w:val="auto"/>
                <w:sz w:val="21"/>
                <w:szCs w:val="21"/>
              </w:rPr>
            </w:pPr>
            <w:r>
              <w:rPr>
                <w:color w:val="auto"/>
                <w:sz w:val="21"/>
                <w:szCs w:val="21"/>
              </w:rPr>
              <w:t>三级</w:t>
            </w:r>
          </w:p>
        </w:tc>
        <w:tc>
          <w:tcPr>
            <w:tcW w:w="652" w:type="dxa"/>
            <w:tcBorders>
              <w:tl2br w:val="nil"/>
              <w:tr2bl w:val="nil"/>
            </w:tcBorders>
            <w:vAlign w:val="center"/>
          </w:tcPr>
          <w:p>
            <w:pPr>
              <w:adjustRightInd/>
              <w:snapToGrid/>
              <w:spacing w:line="240" w:lineRule="auto"/>
              <w:ind w:firstLine="0" w:firstLineChars="0"/>
              <w:jc w:val="center"/>
              <w:rPr>
                <w:color w:val="auto"/>
                <w:sz w:val="21"/>
                <w:szCs w:val="21"/>
              </w:rPr>
            </w:pPr>
            <w:r>
              <w:rPr>
                <w:color w:val="auto"/>
                <w:sz w:val="21"/>
                <w:szCs w:val="21"/>
              </w:rPr>
              <w:t>三级</w:t>
            </w:r>
          </w:p>
        </w:tc>
        <w:tc>
          <w:tcPr>
            <w:tcW w:w="652" w:type="dxa"/>
            <w:tcBorders>
              <w:tl2br w:val="nil"/>
              <w:tr2bl w:val="nil"/>
            </w:tcBorders>
            <w:vAlign w:val="center"/>
          </w:tcPr>
          <w:p>
            <w:pPr>
              <w:adjustRightInd/>
              <w:snapToGrid/>
              <w:spacing w:line="240" w:lineRule="auto"/>
              <w:ind w:firstLine="0" w:firstLineChars="0"/>
              <w:jc w:val="center"/>
              <w:rPr>
                <w:color w:val="auto"/>
                <w:sz w:val="21"/>
                <w:szCs w:val="21"/>
              </w:rPr>
            </w:pPr>
            <w:r>
              <w:rPr>
                <w:color w:val="auto"/>
                <w:sz w:val="21"/>
                <w:szCs w:val="21"/>
              </w:rPr>
              <w:t>-</w:t>
            </w:r>
          </w:p>
        </w:tc>
        <w:tc>
          <w:tcPr>
            <w:tcW w:w="641" w:type="dxa"/>
            <w:tcBorders>
              <w:tl2br w:val="nil"/>
              <w:tr2bl w:val="nil"/>
            </w:tcBorders>
            <w:vAlign w:val="center"/>
          </w:tcPr>
          <w:p>
            <w:pPr>
              <w:adjustRightInd/>
              <w:snapToGrid/>
              <w:spacing w:line="240" w:lineRule="auto"/>
              <w:ind w:firstLine="0" w:firstLineChars="0"/>
              <w:jc w:val="center"/>
              <w:rPr>
                <w:color w:val="auto"/>
                <w:sz w:val="21"/>
                <w:szCs w:val="21"/>
              </w:rPr>
            </w:pPr>
            <w:r>
              <w:rPr>
                <w:color w:val="auto"/>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5" w:hRule="atLeast"/>
        </w:trPr>
        <w:tc>
          <w:tcPr>
            <w:tcW w:w="8946" w:type="dxa"/>
            <w:gridSpan w:val="10"/>
            <w:tcBorders>
              <w:tl2br w:val="nil"/>
              <w:tr2bl w:val="nil"/>
            </w:tcBorders>
            <w:vAlign w:val="center"/>
          </w:tcPr>
          <w:p>
            <w:pPr>
              <w:adjustRightInd/>
              <w:snapToGrid/>
              <w:spacing w:line="240" w:lineRule="auto"/>
              <w:ind w:firstLine="0" w:firstLineChars="0"/>
              <w:jc w:val="center"/>
              <w:rPr>
                <w:color w:val="auto"/>
                <w:sz w:val="21"/>
                <w:szCs w:val="21"/>
              </w:rPr>
            </w:pPr>
            <w:r>
              <w:rPr>
                <w:color w:val="auto"/>
                <w:sz w:val="21"/>
                <w:szCs w:val="21"/>
              </w:rPr>
              <w:t>注：“-”表示可不开展土壤环境影响评价工作</w:t>
            </w:r>
          </w:p>
        </w:tc>
      </w:tr>
    </w:tbl>
    <w:p>
      <w:pPr>
        <w:widowControl/>
        <w:ind w:firstLine="480"/>
        <w:rPr>
          <w:color w:val="auto"/>
        </w:rPr>
      </w:pPr>
      <w:r>
        <w:rPr>
          <w:color w:val="auto"/>
          <w:kern w:val="0"/>
          <w:lang w:bidi="ar"/>
        </w:rPr>
        <w:t>本项目</w:t>
      </w:r>
      <w:r>
        <w:rPr>
          <w:rFonts w:hint="eastAsia"/>
          <w:color w:val="auto"/>
          <w:kern w:val="0"/>
          <w:lang w:bidi="ar"/>
        </w:rPr>
        <w:t>用</w:t>
      </w:r>
      <w:r>
        <w:rPr>
          <w:color w:val="auto"/>
          <w:kern w:val="0"/>
          <w:lang w:bidi="ar"/>
        </w:rPr>
        <w:t>地规模为</w:t>
      </w:r>
      <w:r>
        <w:rPr>
          <w:rFonts w:eastAsia="TimesNewRomanPSMT"/>
          <w:color w:val="auto"/>
          <w:kern w:val="0"/>
          <w:lang w:bidi="ar"/>
        </w:rPr>
        <w:t>“</w:t>
      </w:r>
      <w:r>
        <w:rPr>
          <w:rFonts w:hint="eastAsia"/>
          <w:color w:val="auto"/>
          <w:kern w:val="0"/>
          <w:lang w:bidi="ar"/>
        </w:rPr>
        <w:t>小</w:t>
      </w:r>
      <w:r>
        <w:rPr>
          <w:color w:val="auto"/>
          <w:kern w:val="0"/>
          <w:lang w:bidi="ar"/>
        </w:rPr>
        <w:t>型</w:t>
      </w:r>
      <w:r>
        <w:rPr>
          <w:rFonts w:eastAsia="TimesNewRomanPSMT"/>
          <w:color w:val="auto"/>
          <w:kern w:val="0"/>
          <w:lang w:bidi="ar"/>
        </w:rPr>
        <w:t>”</w:t>
      </w:r>
      <w:r>
        <w:rPr>
          <w:color w:val="auto"/>
          <w:kern w:val="0"/>
          <w:lang w:bidi="ar"/>
        </w:rPr>
        <w:t>，环境敏感程度为</w:t>
      </w:r>
      <w:r>
        <w:rPr>
          <w:rFonts w:eastAsia="TimesNewRomanPSMT"/>
          <w:color w:val="auto"/>
          <w:kern w:val="0"/>
          <w:lang w:bidi="ar"/>
        </w:rPr>
        <w:t>“</w:t>
      </w:r>
      <w:r>
        <w:rPr>
          <w:color w:val="auto"/>
          <w:kern w:val="0"/>
          <w:lang w:bidi="ar"/>
        </w:rPr>
        <w:t>敏感</w:t>
      </w:r>
      <w:r>
        <w:rPr>
          <w:rFonts w:eastAsia="TimesNewRomanPSMT"/>
          <w:color w:val="auto"/>
          <w:kern w:val="0"/>
          <w:lang w:bidi="ar"/>
        </w:rPr>
        <w:t>”</w:t>
      </w:r>
      <w:r>
        <w:rPr>
          <w:color w:val="auto"/>
          <w:kern w:val="0"/>
          <w:lang w:bidi="ar"/>
        </w:rPr>
        <w:t>，因此，本项目土壤环境评价等级为</w:t>
      </w:r>
      <w:r>
        <w:rPr>
          <w:rFonts w:hint="eastAsia" w:eastAsia="TimesNewRomanPSMT"/>
          <w:color w:val="auto"/>
          <w:kern w:val="0"/>
          <w:lang w:bidi="ar"/>
        </w:rPr>
        <w:t>三级</w:t>
      </w:r>
      <w:r>
        <w:rPr>
          <w:color w:val="auto"/>
          <w:kern w:val="0"/>
          <w:lang w:bidi="ar"/>
        </w:rPr>
        <w:t>。</w:t>
      </w:r>
    </w:p>
    <w:p>
      <w:pPr>
        <w:pStyle w:val="32"/>
        <w:spacing w:line="360" w:lineRule="auto"/>
        <w:rPr>
          <w:color w:val="auto"/>
        </w:rPr>
      </w:pPr>
      <w:r>
        <w:rPr>
          <w:color w:val="auto"/>
        </w:rPr>
        <w:t>2.6 环境保护目标</w:t>
      </w:r>
      <w:bookmarkEnd w:id="168"/>
      <w:bookmarkEnd w:id="169"/>
    </w:p>
    <w:p>
      <w:pPr>
        <w:ind w:firstLine="480"/>
        <w:rPr>
          <w:rFonts w:hAnsi="黑体" w:eastAsia="黑体"/>
          <w:color w:val="auto"/>
          <w:szCs w:val="21"/>
        </w:rPr>
      </w:pPr>
      <w:r>
        <w:rPr>
          <w:rFonts w:hint="eastAsia"/>
          <w:color w:val="auto"/>
        </w:rPr>
        <w:t>根据工程特征、建设项目周边环境状况和地方环境保护要求确定环境保护目标，结果见</w:t>
      </w:r>
      <w:r>
        <w:rPr>
          <w:color w:val="auto"/>
        </w:rPr>
        <w:t>表2.6-1。</w:t>
      </w:r>
    </w:p>
    <w:p>
      <w:pPr>
        <w:numPr>
          <w:ilvl w:val="0"/>
          <w:numId w:val="6"/>
        </w:numPr>
        <w:spacing w:after="72" w:afterLines="30"/>
        <w:ind w:left="1271" w:firstLine="482"/>
        <w:jc w:val="center"/>
        <w:rPr>
          <w:b/>
          <w:color w:val="auto"/>
          <w:szCs w:val="21"/>
        </w:rPr>
      </w:pPr>
      <w:r>
        <w:rPr>
          <w:rFonts w:hint="eastAsia"/>
          <w:b/>
          <w:color w:val="auto"/>
          <w:szCs w:val="21"/>
        </w:rPr>
        <w:t>拟建工程环境保护目标</w:t>
      </w:r>
    </w:p>
    <w:tbl>
      <w:tblPr>
        <w:tblStyle w:val="27"/>
        <w:tblW w:w="9102"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934"/>
        <w:gridCol w:w="1521"/>
        <w:gridCol w:w="1341"/>
        <w:gridCol w:w="1269"/>
        <w:gridCol w:w="723"/>
        <w:gridCol w:w="1041"/>
        <w:gridCol w:w="1278"/>
        <w:gridCol w:w="99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66" w:hRule="atLeast"/>
          <w:tblHeader/>
          <w:jc w:val="center"/>
        </w:trPr>
        <w:tc>
          <w:tcPr>
            <w:tcW w:w="934" w:type="dxa"/>
            <w:vMerge w:val="restart"/>
            <w:tcBorders>
              <w:tl2br w:val="nil"/>
              <w:tr2bl w:val="nil"/>
            </w:tcBorders>
            <w:vAlign w:val="center"/>
          </w:tcPr>
          <w:p>
            <w:pPr>
              <w:pStyle w:val="35"/>
              <w:spacing w:line="240" w:lineRule="auto"/>
              <w:ind w:firstLine="0" w:firstLineChars="0"/>
              <w:rPr>
                <w:b/>
                <w:color w:val="auto"/>
                <w:sz w:val="21"/>
                <w:szCs w:val="21"/>
              </w:rPr>
            </w:pPr>
            <w:bookmarkStart w:id="173" w:name="_Toc479539765"/>
            <w:bookmarkStart w:id="174" w:name="_Toc483650755"/>
            <w:r>
              <w:rPr>
                <w:b/>
                <w:color w:val="auto"/>
                <w:sz w:val="21"/>
                <w:szCs w:val="21"/>
              </w:rPr>
              <w:t>项目</w:t>
            </w:r>
          </w:p>
        </w:tc>
        <w:tc>
          <w:tcPr>
            <w:tcW w:w="1521" w:type="dxa"/>
            <w:vMerge w:val="restart"/>
            <w:tcBorders>
              <w:tl2br w:val="nil"/>
              <w:tr2bl w:val="nil"/>
            </w:tcBorders>
            <w:vAlign w:val="center"/>
          </w:tcPr>
          <w:p>
            <w:pPr>
              <w:pStyle w:val="35"/>
              <w:spacing w:line="240" w:lineRule="auto"/>
              <w:ind w:firstLine="0" w:firstLineChars="0"/>
              <w:rPr>
                <w:b/>
                <w:color w:val="auto"/>
                <w:sz w:val="21"/>
                <w:szCs w:val="21"/>
              </w:rPr>
            </w:pPr>
            <w:r>
              <w:rPr>
                <w:b/>
                <w:color w:val="auto"/>
                <w:sz w:val="21"/>
                <w:szCs w:val="21"/>
              </w:rPr>
              <w:t>保护目标</w:t>
            </w:r>
          </w:p>
        </w:tc>
        <w:tc>
          <w:tcPr>
            <w:tcW w:w="2610" w:type="dxa"/>
            <w:gridSpan w:val="2"/>
            <w:tcBorders>
              <w:tl2br w:val="nil"/>
              <w:tr2bl w:val="nil"/>
            </w:tcBorders>
            <w:vAlign w:val="center"/>
          </w:tcPr>
          <w:p>
            <w:pPr>
              <w:pStyle w:val="35"/>
              <w:spacing w:line="240" w:lineRule="auto"/>
              <w:ind w:firstLine="0" w:firstLineChars="0"/>
              <w:rPr>
                <w:b/>
                <w:color w:val="auto"/>
                <w:sz w:val="21"/>
                <w:szCs w:val="21"/>
              </w:rPr>
            </w:pPr>
            <w:r>
              <w:rPr>
                <w:b/>
                <w:color w:val="auto"/>
                <w:sz w:val="21"/>
                <w:szCs w:val="21"/>
              </w:rPr>
              <w:t>位置</w:t>
            </w:r>
          </w:p>
        </w:tc>
        <w:tc>
          <w:tcPr>
            <w:tcW w:w="723" w:type="dxa"/>
            <w:vMerge w:val="restart"/>
            <w:tcBorders>
              <w:tl2br w:val="nil"/>
              <w:tr2bl w:val="nil"/>
            </w:tcBorders>
            <w:vAlign w:val="center"/>
          </w:tcPr>
          <w:p>
            <w:pPr>
              <w:pStyle w:val="35"/>
              <w:spacing w:line="240" w:lineRule="auto"/>
              <w:ind w:firstLine="0" w:firstLineChars="0"/>
              <w:rPr>
                <w:b/>
                <w:color w:val="auto"/>
                <w:sz w:val="21"/>
                <w:szCs w:val="21"/>
              </w:rPr>
            </w:pPr>
            <w:r>
              <w:rPr>
                <w:b/>
                <w:color w:val="auto"/>
                <w:sz w:val="21"/>
                <w:szCs w:val="21"/>
              </w:rPr>
              <w:t>方位</w:t>
            </w:r>
          </w:p>
        </w:tc>
        <w:tc>
          <w:tcPr>
            <w:tcW w:w="1041" w:type="dxa"/>
            <w:vMerge w:val="restart"/>
            <w:tcBorders>
              <w:tl2br w:val="nil"/>
              <w:tr2bl w:val="nil"/>
            </w:tcBorders>
            <w:vAlign w:val="center"/>
          </w:tcPr>
          <w:p>
            <w:pPr>
              <w:pStyle w:val="35"/>
              <w:spacing w:line="240" w:lineRule="auto"/>
              <w:ind w:firstLine="0" w:firstLineChars="0"/>
              <w:rPr>
                <w:b/>
                <w:color w:val="auto"/>
                <w:sz w:val="21"/>
                <w:szCs w:val="21"/>
              </w:rPr>
            </w:pPr>
            <w:r>
              <w:rPr>
                <w:b/>
                <w:color w:val="auto"/>
                <w:sz w:val="21"/>
                <w:szCs w:val="21"/>
              </w:rPr>
              <w:t>距厂界距离（m）</w:t>
            </w:r>
          </w:p>
        </w:tc>
        <w:tc>
          <w:tcPr>
            <w:tcW w:w="1278" w:type="dxa"/>
            <w:vMerge w:val="restart"/>
            <w:tcBorders>
              <w:tl2br w:val="nil"/>
              <w:tr2bl w:val="nil"/>
            </w:tcBorders>
            <w:vAlign w:val="center"/>
          </w:tcPr>
          <w:p>
            <w:pPr>
              <w:pStyle w:val="35"/>
              <w:spacing w:line="240" w:lineRule="auto"/>
              <w:ind w:firstLine="0" w:firstLineChars="0"/>
              <w:rPr>
                <w:b/>
                <w:color w:val="auto"/>
                <w:sz w:val="21"/>
                <w:szCs w:val="21"/>
              </w:rPr>
            </w:pPr>
            <w:r>
              <w:rPr>
                <w:b/>
                <w:color w:val="auto"/>
                <w:sz w:val="21"/>
                <w:szCs w:val="21"/>
              </w:rPr>
              <w:t>环境功能</w:t>
            </w:r>
          </w:p>
        </w:tc>
        <w:tc>
          <w:tcPr>
            <w:tcW w:w="995" w:type="dxa"/>
            <w:vMerge w:val="restart"/>
            <w:tcBorders>
              <w:tl2br w:val="nil"/>
              <w:tr2bl w:val="nil"/>
            </w:tcBorders>
            <w:vAlign w:val="center"/>
          </w:tcPr>
          <w:p>
            <w:pPr>
              <w:pStyle w:val="35"/>
              <w:spacing w:line="240" w:lineRule="auto"/>
              <w:ind w:firstLine="0" w:firstLineChars="0"/>
              <w:rPr>
                <w:b/>
                <w:color w:val="auto"/>
                <w:sz w:val="21"/>
                <w:szCs w:val="21"/>
              </w:rPr>
            </w:pPr>
            <w:r>
              <w:rPr>
                <w:b/>
                <w:color w:val="auto"/>
                <w:sz w:val="21"/>
                <w:szCs w:val="21"/>
              </w:rPr>
              <w:t>保护要求</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65" w:hRule="atLeast"/>
          <w:tblHeader/>
          <w:jc w:val="center"/>
        </w:trPr>
        <w:tc>
          <w:tcPr>
            <w:tcW w:w="934" w:type="dxa"/>
            <w:vMerge w:val="continue"/>
            <w:tcBorders>
              <w:tl2br w:val="nil"/>
              <w:tr2bl w:val="nil"/>
            </w:tcBorders>
            <w:vAlign w:val="center"/>
          </w:tcPr>
          <w:p>
            <w:pPr>
              <w:pStyle w:val="35"/>
              <w:spacing w:line="240" w:lineRule="auto"/>
              <w:ind w:firstLine="0" w:firstLineChars="0"/>
              <w:rPr>
                <w:b/>
                <w:color w:val="auto"/>
                <w:sz w:val="21"/>
                <w:szCs w:val="21"/>
              </w:rPr>
            </w:pPr>
          </w:p>
        </w:tc>
        <w:tc>
          <w:tcPr>
            <w:tcW w:w="1521" w:type="dxa"/>
            <w:vMerge w:val="continue"/>
            <w:tcBorders>
              <w:tl2br w:val="nil"/>
              <w:tr2bl w:val="nil"/>
            </w:tcBorders>
            <w:vAlign w:val="center"/>
          </w:tcPr>
          <w:p>
            <w:pPr>
              <w:pStyle w:val="35"/>
              <w:spacing w:line="240" w:lineRule="auto"/>
              <w:ind w:firstLine="0" w:firstLineChars="0"/>
              <w:rPr>
                <w:b/>
                <w:color w:val="auto"/>
                <w:sz w:val="21"/>
                <w:szCs w:val="21"/>
              </w:rPr>
            </w:pPr>
          </w:p>
        </w:tc>
        <w:tc>
          <w:tcPr>
            <w:tcW w:w="1341" w:type="dxa"/>
            <w:tcBorders>
              <w:tl2br w:val="nil"/>
              <w:tr2bl w:val="nil"/>
            </w:tcBorders>
            <w:vAlign w:val="center"/>
          </w:tcPr>
          <w:p>
            <w:pPr>
              <w:pStyle w:val="35"/>
              <w:spacing w:line="240" w:lineRule="auto"/>
              <w:ind w:firstLine="0" w:firstLineChars="0"/>
              <w:rPr>
                <w:b/>
                <w:color w:val="auto"/>
                <w:sz w:val="21"/>
                <w:szCs w:val="21"/>
              </w:rPr>
            </w:pPr>
            <w:r>
              <w:rPr>
                <w:b/>
                <w:color w:val="auto"/>
                <w:sz w:val="21"/>
                <w:szCs w:val="21"/>
              </w:rPr>
              <w:t>经度</w:t>
            </w:r>
          </w:p>
        </w:tc>
        <w:tc>
          <w:tcPr>
            <w:tcW w:w="1269" w:type="dxa"/>
            <w:tcBorders>
              <w:tl2br w:val="nil"/>
              <w:tr2bl w:val="nil"/>
            </w:tcBorders>
            <w:vAlign w:val="center"/>
          </w:tcPr>
          <w:p>
            <w:pPr>
              <w:pStyle w:val="35"/>
              <w:spacing w:line="240" w:lineRule="auto"/>
              <w:ind w:firstLine="0" w:firstLineChars="0"/>
              <w:rPr>
                <w:b/>
                <w:color w:val="auto"/>
                <w:sz w:val="21"/>
                <w:szCs w:val="21"/>
              </w:rPr>
            </w:pPr>
            <w:r>
              <w:rPr>
                <w:b/>
                <w:color w:val="auto"/>
                <w:sz w:val="21"/>
                <w:szCs w:val="21"/>
              </w:rPr>
              <w:t>纬度</w:t>
            </w:r>
          </w:p>
        </w:tc>
        <w:tc>
          <w:tcPr>
            <w:tcW w:w="723" w:type="dxa"/>
            <w:vMerge w:val="continue"/>
            <w:tcBorders>
              <w:tl2br w:val="nil"/>
              <w:tr2bl w:val="nil"/>
            </w:tcBorders>
            <w:vAlign w:val="center"/>
          </w:tcPr>
          <w:p>
            <w:pPr>
              <w:pStyle w:val="35"/>
              <w:spacing w:line="240" w:lineRule="auto"/>
              <w:ind w:firstLine="0" w:firstLineChars="0"/>
              <w:rPr>
                <w:b/>
                <w:color w:val="auto"/>
                <w:sz w:val="21"/>
                <w:szCs w:val="21"/>
              </w:rPr>
            </w:pPr>
          </w:p>
        </w:tc>
        <w:tc>
          <w:tcPr>
            <w:tcW w:w="1041" w:type="dxa"/>
            <w:vMerge w:val="continue"/>
            <w:tcBorders>
              <w:tl2br w:val="nil"/>
              <w:tr2bl w:val="nil"/>
            </w:tcBorders>
            <w:vAlign w:val="center"/>
          </w:tcPr>
          <w:p>
            <w:pPr>
              <w:pStyle w:val="35"/>
              <w:spacing w:line="240" w:lineRule="auto"/>
              <w:ind w:firstLine="0" w:firstLineChars="0"/>
              <w:rPr>
                <w:b/>
                <w:color w:val="auto"/>
                <w:sz w:val="21"/>
                <w:szCs w:val="21"/>
              </w:rPr>
            </w:pPr>
          </w:p>
        </w:tc>
        <w:tc>
          <w:tcPr>
            <w:tcW w:w="1278" w:type="dxa"/>
            <w:vMerge w:val="continue"/>
            <w:tcBorders>
              <w:tl2br w:val="nil"/>
              <w:tr2bl w:val="nil"/>
            </w:tcBorders>
            <w:vAlign w:val="center"/>
          </w:tcPr>
          <w:p>
            <w:pPr>
              <w:pStyle w:val="35"/>
              <w:spacing w:line="240" w:lineRule="auto"/>
              <w:ind w:firstLine="0" w:firstLineChars="0"/>
              <w:rPr>
                <w:b/>
                <w:color w:val="auto"/>
                <w:sz w:val="21"/>
                <w:szCs w:val="21"/>
              </w:rPr>
            </w:pPr>
          </w:p>
        </w:tc>
        <w:tc>
          <w:tcPr>
            <w:tcW w:w="995" w:type="dxa"/>
            <w:vMerge w:val="continue"/>
            <w:tcBorders>
              <w:tl2br w:val="nil"/>
              <w:tr2bl w:val="nil"/>
            </w:tcBorders>
            <w:vAlign w:val="center"/>
          </w:tcPr>
          <w:p>
            <w:pPr>
              <w:pStyle w:val="35"/>
              <w:spacing w:line="240" w:lineRule="auto"/>
              <w:ind w:firstLine="0" w:firstLineChars="0"/>
              <w:rPr>
                <w:b/>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934" w:type="dxa"/>
            <w:vMerge w:val="restart"/>
            <w:tcBorders>
              <w:tl2br w:val="nil"/>
              <w:tr2bl w:val="nil"/>
            </w:tcBorders>
            <w:vAlign w:val="center"/>
          </w:tcPr>
          <w:p>
            <w:pPr>
              <w:pStyle w:val="35"/>
              <w:spacing w:line="240" w:lineRule="auto"/>
              <w:ind w:firstLine="0" w:firstLineChars="0"/>
              <w:rPr>
                <w:color w:val="auto"/>
                <w:sz w:val="21"/>
                <w:szCs w:val="21"/>
              </w:rPr>
            </w:pPr>
            <w:r>
              <w:rPr>
                <w:color w:val="auto"/>
                <w:sz w:val="21"/>
                <w:szCs w:val="21"/>
              </w:rPr>
              <w:t>环境</w:t>
            </w:r>
          </w:p>
          <w:p>
            <w:pPr>
              <w:pStyle w:val="35"/>
              <w:spacing w:line="240" w:lineRule="auto"/>
              <w:ind w:firstLine="0" w:firstLineChars="0"/>
              <w:rPr>
                <w:color w:val="auto"/>
                <w:sz w:val="21"/>
                <w:szCs w:val="21"/>
              </w:rPr>
            </w:pPr>
            <w:r>
              <w:rPr>
                <w:color w:val="auto"/>
                <w:sz w:val="21"/>
                <w:szCs w:val="21"/>
              </w:rPr>
              <w:t>空气</w:t>
            </w:r>
          </w:p>
        </w:tc>
        <w:tc>
          <w:tcPr>
            <w:tcW w:w="1521"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七王庙村</w:t>
            </w:r>
          </w:p>
        </w:tc>
        <w:tc>
          <w:tcPr>
            <w:tcW w:w="1341"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115.092602</w:t>
            </w:r>
          </w:p>
        </w:tc>
        <w:tc>
          <w:tcPr>
            <w:tcW w:w="1269"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35.657784</w:t>
            </w:r>
          </w:p>
        </w:tc>
        <w:tc>
          <w:tcPr>
            <w:tcW w:w="723"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NW</w:t>
            </w:r>
          </w:p>
        </w:tc>
        <w:tc>
          <w:tcPr>
            <w:tcW w:w="1041" w:type="dxa"/>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705</w:t>
            </w:r>
          </w:p>
        </w:tc>
        <w:tc>
          <w:tcPr>
            <w:tcW w:w="1278" w:type="dxa"/>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GB3095-2012</w:t>
            </w:r>
          </w:p>
          <w:p>
            <w:pPr>
              <w:spacing w:line="240" w:lineRule="auto"/>
              <w:ind w:firstLine="0" w:firstLineChars="0"/>
              <w:jc w:val="center"/>
              <w:rPr>
                <w:color w:val="auto"/>
                <w:sz w:val="21"/>
                <w:szCs w:val="21"/>
              </w:rPr>
            </w:pPr>
            <w:r>
              <w:rPr>
                <w:color w:val="auto"/>
                <w:sz w:val="21"/>
                <w:szCs w:val="21"/>
              </w:rPr>
              <w:t>二类区</w:t>
            </w:r>
          </w:p>
        </w:tc>
        <w:tc>
          <w:tcPr>
            <w:tcW w:w="995" w:type="dxa"/>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不改变其环境空气质量功能</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44" w:hRule="atLeast"/>
          <w:jc w:val="center"/>
        </w:trPr>
        <w:tc>
          <w:tcPr>
            <w:tcW w:w="934" w:type="dxa"/>
            <w:vMerge w:val="continue"/>
            <w:tcBorders>
              <w:tl2br w:val="nil"/>
              <w:tr2bl w:val="nil"/>
            </w:tcBorders>
            <w:vAlign w:val="center"/>
          </w:tcPr>
          <w:p>
            <w:pPr>
              <w:pStyle w:val="35"/>
              <w:spacing w:line="240" w:lineRule="auto"/>
              <w:ind w:firstLine="0" w:firstLineChars="0"/>
              <w:rPr>
                <w:color w:val="auto"/>
                <w:sz w:val="21"/>
                <w:szCs w:val="21"/>
              </w:rPr>
            </w:pPr>
          </w:p>
        </w:tc>
        <w:tc>
          <w:tcPr>
            <w:tcW w:w="1521"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于屯村</w:t>
            </w:r>
          </w:p>
        </w:tc>
        <w:tc>
          <w:tcPr>
            <w:tcW w:w="1341"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115.088010</w:t>
            </w:r>
          </w:p>
        </w:tc>
        <w:tc>
          <w:tcPr>
            <w:tcW w:w="1269"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35.651473</w:t>
            </w:r>
          </w:p>
        </w:tc>
        <w:tc>
          <w:tcPr>
            <w:tcW w:w="723"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w:t>
            </w:r>
          </w:p>
        </w:tc>
        <w:tc>
          <w:tcPr>
            <w:tcW w:w="1041" w:type="dxa"/>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740</w:t>
            </w:r>
          </w:p>
        </w:tc>
        <w:tc>
          <w:tcPr>
            <w:tcW w:w="1278" w:type="dxa"/>
            <w:vMerge w:val="continue"/>
            <w:tcBorders>
              <w:tl2br w:val="nil"/>
              <w:tr2bl w:val="nil"/>
            </w:tcBorders>
            <w:vAlign w:val="center"/>
          </w:tcPr>
          <w:p>
            <w:pPr>
              <w:spacing w:line="240" w:lineRule="auto"/>
              <w:ind w:firstLine="0" w:firstLineChars="0"/>
              <w:jc w:val="center"/>
              <w:rPr>
                <w:color w:val="auto"/>
                <w:sz w:val="21"/>
                <w:szCs w:val="21"/>
              </w:rPr>
            </w:pPr>
          </w:p>
        </w:tc>
        <w:tc>
          <w:tcPr>
            <w:tcW w:w="995" w:type="dxa"/>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94" w:hRule="atLeast"/>
          <w:jc w:val="center"/>
        </w:trPr>
        <w:tc>
          <w:tcPr>
            <w:tcW w:w="934" w:type="dxa"/>
            <w:vMerge w:val="continue"/>
            <w:tcBorders>
              <w:tl2br w:val="nil"/>
              <w:tr2bl w:val="nil"/>
            </w:tcBorders>
            <w:vAlign w:val="center"/>
          </w:tcPr>
          <w:p>
            <w:pPr>
              <w:pStyle w:val="35"/>
              <w:spacing w:line="240" w:lineRule="auto"/>
              <w:ind w:firstLine="0" w:firstLineChars="0"/>
              <w:rPr>
                <w:color w:val="auto"/>
                <w:sz w:val="21"/>
                <w:szCs w:val="21"/>
              </w:rPr>
            </w:pPr>
          </w:p>
        </w:tc>
        <w:tc>
          <w:tcPr>
            <w:tcW w:w="1521"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东高城村</w:t>
            </w:r>
          </w:p>
        </w:tc>
        <w:tc>
          <w:tcPr>
            <w:tcW w:w="1341"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115.097108</w:t>
            </w:r>
          </w:p>
        </w:tc>
        <w:tc>
          <w:tcPr>
            <w:tcW w:w="1269"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35.665595</w:t>
            </w:r>
          </w:p>
        </w:tc>
        <w:tc>
          <w:tcPr>
            <w:tcW w:w="723"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NW</w:t>
            </w:r>
          </w:p>
        </w:tc>
        <w:tc>
          <w:tcPr>
            <w:tcW w:w="1041" w:type="dxa"/>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1195</w:t>
            </w:r>
          </w:p>
        </w:tc>
        <w:tc>
          <w:tcPr>
            <w:tcW w:w="1278" w:type="dxa"/>
            <w:vMerge w:val="continue"/>
            <w:tcBorders>
              <w:tl2br w:val="nil"/>
              <w:tr2bl w:val="nil"/>
            </w:tcBorders>
            <w:vAlign w:val="center"/>
          </w:tcPr>
          <w:p>
            <w:pPr>
              <w:spacing w:line="240" w:lineRule="auto"/>
              <w:ind w:firstLine="0" w:firstLineChars="0"/>
              <w:jc w:val="center"/>
              <w:rPr>
                <w:color w:val="auto"/>
                <w:sz w:val="21"/>
                <w:szCs w:val="21"/>
              </w:rPr>
            </w:pPr>
          </w:p>
        </w:tc>
        <w:tc>
          <w:tcPr>
            <w:tcW w:w="995" w:type="dxa"/>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94" w:hRule="atLeast"/>
          <w:jc w:val="center"/>
        </w:trPr>
        <w:tc>
          <w:tcPr>
            <w:tcW w:w="934" w:type="dxa"/>
            <w:vMerge w:val="continue"/>
            <w:tcBorders>
              <w:tl2br w:val="nil"/>
              <w:tr2bl w:val="nil"/>
            </w:tcBorders>
            <w:vAlign w:val="center"/>
          </w:tcPr>
          <w:p>
            <w:pPr>
              <w:pStyle w:val="35"/>
              <w:spacing w:line="240" w:lineRule="auto"/>
              <w:ind w:firstLine="0" w:firstLineChars="0"/>
              <w:rPr>
                <w:color w:val="auto"/>
                <w:sz w:val="21"/>
                <w:szCs w:val="21"/>
              </w:rPr>
            </w:pPr>
          </w:p>
        </w:tc>
        <w:tc>
          <w:tcPr>
            <w:tcW w:w="1521"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前吕寨村</w:t>
            </w:r>
          </w:p>
        </w:tc>
        <w:tc>
          <w:tcPr>
            <w:tcW w:w="1341"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115.079470</w:t>
            </w:r>
          </w:p>
        </w:tc>
        <w:tc>
          <w:tcPr>
            <w:tcW w:w="1269"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35.659563</w:t>
            </w:r>
          </w:p>
        </w:tc>
        <w:tc>
          <w:tcPr>
            <w:tcW w:w="723"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NW</w:t>
            </w:r>
          </w:p>
        </w:tc>
        <w:tc>
          <w:tcPr>
            <w:tcW w:w="1041" w:type="dxa"/>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1905</w:t>
            </w:r>
          </w:p>
        </w:tc>
        <w:tc>
          <w:tcPr>
            <w:tcW w:w="1278" w:type="dxa"/>
            <w:vMerge w:val="continue"/>
            <w:tcBorders>
              <w:tl2br w:val="nil"/>
              <w:tr2bl w:val="nil"/>
            </w:tcBorders>
            <w:vAlign w:val="center"/>
          </w:tcPr>
          <w:p>
            <w:pPr>
              <w:spacing w:line="240" w:lineRule="auto"/>
              <w:ind w:firstLine="0" w:firstLineChars="0"/>
              <w:jc w:val="center"/>
              <w:rPr>
                <w:color w:val="auto"/>
                <w:sz w:val="21"/>
                <w:szCs w:val="21"/>
              </w:rPr>
            </w:pPr>
          </w:p>
        </w:tc>
        <w:tc>
          <w:tcPr>
            <w:tcW w:w="995" w:type="dxa"/>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57" w:hRule="atLeast"/>
          <w:jc w:val="center"/>
        </w:trPr>
        <w:tc>
          <w:tcPr>
            <w:tcW w:w="934" w:type="dxa"/>
            <w:vMerge w:val="continue"/>
            <w:tcBorders>
              <w:tl2br w:val="nil"/>
              <w:tr2bl w:val="nil"/>
            </w:tcBorders>
            <w:vAlign w:val="center"/>
          </w:tcPr>
          <w:p>
            <w:pPr>
              <w:pStyle w:val="35"/>
              <w:spacing w:line="240" w:lineRule="auto"/>
              <w:ind w:firstLine="0" w:firstLineChars="0"/>
              <w:rPr>
                <w:color w:val="auto"/>
                <w:sz w:val="21"/>
                <w:szCs w:val="21"/>
              </w:rPr>
            </w:pPr>
          </w:p>
        </w:tc>
        <w:tc>
          <w:tcPr>
            <w:tcW w:w="1521"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后吕寨村</w:t>
            </w:r>
          </w:p>
        </w:tc>
        <w:tc>
          <w:tcPr>
            <w:tcW w:w="1341"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115.078783</w:t>
            </w:r>
          </w:p>
        </w:tc>
        <w:tc>
          <w:tcPr>
            <w:tcW w:w="1269"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35.664409</w:t>
            </w:r>
          </w:p>
        </w:tc>
        <w:tc>
          <w:tcPr>
            <w:tcW w:w="723"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NW</w:t>
            </w:r>
          </w:p>
        </w:tc>
        <w:tc>
          <w:tcPr>
            <w:tcW w:w="1041" w:type="dxa"/>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2200</w:t>
            </w:r>
          </w:p>
        </w:tc>
        <w:tc>
          <w:tcPr>
            <w:tcW w:w="1278" w:type="dxa"/>
            <w:vMerge w:val="continue"/>
            <w:tcBorders>
              <w:tl2br w:val="nil"/>
              <w:tr2bl w:val="nil"/>
            </w:tcBorders>
            <w:vAlign w:val="center"/>
          </w:tcPr>
          <w:p>
            <w:pPr>
              <w:spacing w:line="240" w:lineRule="auto"/>
              <w:ind w:firstLine="0" w:firstLineChars="0"/>
              <w:jc w:val="center"/>
              <w:rPr>
                <w:color w:val="auto"/>
                <w:sz w:val="21"/>
                <w:szCs w:val="21"/>
              </w:rPr>
            </w:pPr>
          </w:p>
        </w:tc>
        <w:tc>
          <w:tcPr>
            <w:tcW w:w="995" w:type="dxa"/>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934" w:type="dxa"/>
            <w:vMerge w:val="continue"/>
            <w:tcBorders>
              <w:tl2br w:val="nil"/>
              <w:tr2bl w:val="nil"/>
            </w:tcBorders>
            <w:vAlign w:val="center"/>
          </w:tcPr>
          <w:p>
            <w:pPr>
              <w:pStyle w:val="35"/>
              <w:spacing w:line="240" w:lineRule="auto"/>
              <w:ind w:firstLine="0" w:firstLineChars="0"/>
              <w:rPr>
                <w:color w:val="auto"/>
                <w:sz w:val="21"/>
                <w:szCs w:val="21"/>
              </w:rPr>
            </w:pPr>
          </w:p>
        </w:tc>
        <w:tc>
          <w:tcPr>
            <w:tcW w:w="1521"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梨园村</w:t>
            </w:r>
          </w:p>
        </w:tc>
        <w:tc>
          <w:tcPr>
            <w:tcW w:w="1341"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115.085821</w:t>
            </w:r>
          </w:p>
        </w:tc>
        <w:tc>
          <w:tcPr>
            <w:tcW w:w="1269"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35.670406</w:t>
            </w:r>
          </w:p>
        </w:tc>
        <w:tc>
          <w:tcPr>
            <w:tcW w:w="723"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NW</w:t>
            </w:r>
          </w:p>
        </w:tc>
        <w:tc>
          <w:tcPr>
            <w:tcW w:w="1041" w:type="dxa"/>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2260</w:t>
            </w:r>
          </w:p>
        </w:tc>
        <w:tc>
          <w:tcPr>
            <w:tcW w:w="1278" w:type="dxa"/>
            <w:vMerge w:val="continue"/>
            <w:tcBorders>
              <w:tl2br w:val="nil"/>
              <w:tr2bl w:val="nil"/>
            </w:tcBorders>
            <w:vAlign w:val="center"/>
          </w:tcPr>
          <w:p>
            <w:pPr>
              <w:spacing w:line="240" w:lineRule="auto"/>
              <w:ind w:firstLine="0" w:firstLineChars="0"/>
              <w:jc w:val="center"/>
              <w:rPr>
                <w:color w:val="auto"/>
                <w:sz w:val="21"/>
                <w:szCs w:val="21"/>
              </w:rPr>
            </w:pPr>
          </w:p>
        </w:tc>
        <w:tc>
          <w:tcPr>
            <w:tcW w:w="995" w:type="dxa"/>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44" w:hRule="atLeast"/>
          <w:jc w:val="center"/>
        </w:trPr>
        <w:tc>
          <w:tcPr>
            <w:tcW w:w="934" w:type="dxa"/>
            <w:vMerge w:val="continue"/>
            <w:tcBorders>
              <w:tl2br w:val="nil"/>
              <w:tr2bl w:val="nil"/>
            </w:tcBorders>
            <w:vAlign w:val="center"/>
          </w:tcPr>
          <w:p>
            <w:pPr>
              <w:pStyle w:val="35"/>
              <w:spacing w:line="240" w:lineRule="auto"/>
              <w:ind w:firstLine="0" w:firstLineChars="0"/>
              <w:rPr>
                <w:color w:val="auto"/>
                <w:sz w:val="21"/>
                <w:szCs w:val="21"/>
              </w:rPr>
            </w:pPr>
          </w:p>
        </w:tc>
        <w:tc>
          <w:tcPr>
            <w:tcW w:w="1521"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后坡村</w:t>
            </w:r>
          </w:p>
        </w:tc>
        <w:tc>
          <w:tcPr>
            <w:tcW w:w="1341"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115.077796</w:t>
            </w:r>
          </w:p>
        </w:tc>
        <w:tc>
          <w:tcPr>
            <w:tcW w:w="1269"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35.648683</w:t>
            </w:r>
          </w:p>
        </w:tc>
        <w:tc>
          <w:tcPr>
            <w:tcW w:w="723"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w:t>
            </w:r>
          </w:p>
        </w:tc>
        <w:tc>
          <w:tcPr>
            <w:tcW w:w="1041" w:type="dxa"/>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1805</w:t>
            </w:r>
          </w:p>
        </w:tc>
        <w:tc>
          <w:tcPr>
            <w:tcW w:w="1278" w:type="dxa"/>
            <w:vMerge w:val="continue"/>
            <w:tcBorders>
              <w:tl2br w:val="nil"/>
              <w:tr2bl w:val="nil"/>
            </w:tcBorders>
            <w:vAlign w:val="center"/>
          </w:tcPr>
          <w:p>
            <w:pPr>
              <w:spacing w:line="240" w:lineRule="auto"/>
              <w:ind w:firstLine="0" w:firstLineChars="0"/>
              <w:jc w:val="center"/>
              <w:rPr>
                <w:color w:val="auto"/>
                <w:sz w:val="21"/>
                <w:szCs w:val="21"/>
              </w:rPr>
            </w:pPr>
          </w:p>
        </w:tc>
        <w:tc>
          <w:tcPr>
            <w:tcW w:w="995" w:type="dxa"/>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56" w:hRule="atLeast"/>
          <w:jc w:val="center"/>
        </w:trPr>
        <w:tc>
          <w:tcPr>
            <w:tcW w:w="934" w:type="dxa"/>
            <w:vMerge w:val="continue"/>
            <w:tcBorders>
              <w:tl2br w:val="nil"/>
              <w:tr2bl w:val="nil"/>
            </w:tcBorders>
            <w:vAlign w:val="center"/>
          </w:tcPr>
          <w:p>
            <w:pPr>
              <w:pStyle w:val="35"/>
              <w:spacing w:line="240" w:lineRule="auto"/>
              <w:ind w:firstLine="0" w:firstLineChars="0"/>
              <w:rPr>
                <w:color w:val="auto"/>
                <w:sz w:val="21"/>
                <w:szCs w:val="21"/>
              </w:rPr>
            </w:pPr>
          </w:p>
        </w:tc>
        <w:tc>
          <w:tcPr>
            <w:tcW w:w="1521"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中坡村</w:t>
            </w:r>
          </w:p>
        </w:tc>
        <w:tc>
          <w:tcPr>
            <w:tcW w:w="1341"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115.076122</w:t>
            </w:r>
          </w:p>
        </w:tc>
        <w:tc>
          <w:tcPr>
            <w:tcW w:w="1269"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35.644847</w:t>
            </w:r>
          </w:p>
        </w:tc>
        <w:tc>
          <w:tcPr>
            <w:tcW w:w="723"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SW</w:t>
            </w:r>
          </w:p>
        </w:tc>
        <w:tc>
          <w:tcPr>
            <w:tcW w:w="1041" w:type="dxa"/>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2150</w:t>
            </w:r>
          </w:p>
        </w:tc>
        <w:tc>
          <w:tcPr>
            <w:tcW w:w="1278" w:type="dxa"/>
            <w:vMerge w:val="continue"/>
            <w:tcBorders>
              <w:tl2br w:val="nil"/>
              <w:tr2bl w:val="nil"/>
            </w:tcBorders>
            <w:vAlign w:val="center"/>
          </w:tcPr>
          <w:p>
            <w:pPr>
              <w:spacing w:line="240" w:lineRule="auto"/>
              <w:ind w:firstLine="0" w:firstLineChars="0"/>
              <w:jc w:val="center"/>
              <w:rPr>
                <w:color w:val="auto"/>
                <w:sz w:val="21"/>
                <w:szCs w:val="21"/>
              </w:rPr>
            </w:pPr>
          </w:p>
        </w:tc>
        <w:tc>
          <w:tcPr>
            <w:tcW w:w="995" w:type="dxa"/>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44" w:hRule="atLeast"/>
          <w:jc w:val="center"/>
        </w:trPr>
        <w:tc>
          <w:tcPr>
            <w:tcW w:w="934" w:type="dxa"/>
            <w:vMerge w:val="continue"/>
            <w:tcBorders>
              <w:tl2br w:val="nil"/>
              <w:tr2bl w:val="nil"/>
            </w:tcBorders>
            <w:vAlign w:val="center"/>
          </w:tcPr>
          <w:p>
            <w:pPr>
              <w:pStyle w:val="35"/>
              <w:spacing w:line="240" w:lineRule="auto"/>
              <w:ind w:firstLine="0" w:firstLineChars="0"/>
              <w:rPr>
                <w:color w:val="auto"/>
                <w:sz w:val="21"/>
                <w:szCs w:val="21"/>
              </w:rPr>
            </w:pPr>
          </w:p>
        </w:tc>
        <w:tc>
          <w:tcPr>
            <w:tcW w:w="1521"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李楼村</w:t>
            </w:r>
          </w:p>
        </w:tc>
        <w:tc>
          <w:tcPr>
            <w:tcW w:w="1341"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115.077195</w:t>
            </w:r>
          </w:p>
        </w:tc>
        <w:tc>
          <w:tcPr>
            <w:tcW w:w="1269"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35.637662</w:t>
            </w:r>
          </w:p>
        </w:tc>
        <w:tc>
          <w:tcPr>
            <w:tcW w:w="723"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SW</w:t>
            </w:r>
          </w:p>
        </w:tc>
        <w:tc>
          <w:tcPr>
            <w:tcW w:w="1041" w:type="dxa"/>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2450</w:t>
            </w:r>
          </w:p>
        </w:tc>
        <w:tc>
          <w:tcPr>
            <w:tcW w:w="1278" w:type="dxa"/>
            <w:vMerge w:val="continue"/>
            <w:tcBorders>
              <w:tl2br w:val="nil"/>
              <w:tr2bl w:val="nil"/>
            </w:tcBorders>
            <w:vAlign w:val="center"/>
          </w:tcPr>
          <w:p>
            <w:pPr>
              <w:spacing w:line="240" w:lineRule="auto"/>
              <w:ind w:firstLine="0" w:firstLineChars="0"/>
              <w:jc w:val="center"/>
              <w:rPr>
                <w:color w:val="auto"/>
                <w:sz w:val="21"/>
                <w:szCs w:val="21"/>
              </w:rPr>
            </w:pPr>
          </w:p>
        </w:tc>
        <w:tc>
          <w:tcPr>
            <w:tcW w:w="995" w:type="dxa"/>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30" w:hRule="atLeast"/>
          <w:jc w:val="center"/>
        </w:trPr>
        <w:tc>
          <w:tcPr>
            <w:tcW w:w="934" w:type="dxa"/>
            <w:vMerge w:val="continue"/>
            <w:tcBorders>
              <w:tl2br w:val="nil"/>
              <w:tr2bl w:val="nil"/>
            </w:tcBorders>
            <w:vAlign w:val="center"/>
          </w:tcPr>
          <w:p>
            <w:pPr>
              <w:pStyle w:val="35"/>
              <w:spacing w:line="240" w:lineRule="auto"/>
              <w:ind w:firstLine="0" w:firstLineChars="0"/>
              <w:rPr>
                <w:color w:val="auto"/>
                <w:sz w:val="21"/>
                <w:szCs w:val="21"/>
              </w:rPr>
            </w:pPr>
          </w:p>
        </w:tc>
        <w:tc>
          <w:tcPr>
            <w:tcW w:w="1521"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桑园村</w:t>
            </w:r>
          </w:p>
        </w:tc>
        <w:tc>
          <w:tcPr>
            <w:tcW w:w="1341"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115.092130</w:t>
            </w:r>
          </w:p>
        </w:tc>
        <w:tc>
          <w:tcPr>
            <w:tcW w:w="1269"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35.639755</w:t>
            </w:r>
          </w:p>
        </w:tc>
        <w:tc>
          <w:tcPr>
            <w:tcW w:w="723"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S</w:t>
            </w:r>
          </w:p>
        </w:tc>
        <w:tc>
          <w:tcPr>
            <w:tcW w:w="1041" w:type="dxa"/>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1400</w:t>
            </w:r>
          </w:p>
        </w:tc>
        <w:tc>
          <w:tcPr>
            <w:tcW w:w="1278" w:type="dxa"/>
            <w:vMerge w:val="continue"/>
            <w:tcBorders>
              <w:tl2br w:val="nil"/>
              <w:tr2bl w:val="nil"/>
            </w:tcBorders>
            <w:vAlign w:val="center"/>
          </w:tcPr>
          <w:p>
            <w:pPr>
              <w:spacing w:line="240" w:lineRule="auto"/>
              <w:ind w:firstLine="0" w:firstLineChars="0"/>
              <w:jc w:val="center"/>
              <w:rPr>
                <w:color w:val="auto"/>
                <w:sz w:val="21"/>
                <w:szCs w:val="21"/>
              </w:rPr>
            </w:pPr>
          </w:p>
        </w:tc>
        <w:tc>
          <w:tcPr>
            <w:tcW w:w="995" w:type="dxa"/>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66" w:hRule="atLeast"/>
          <w:jc w:val="center"/>
        </w:trPr>
        <w:tc>
          <w:tcPr>
            <w:tcW w:w="934" w:type="dxa"/>
            <w:vMerge w:val="continue"/>
            <w:tcBorders>
              <w:tl2br w:val="nil"/>
              <w:tr2bl w:val="nil"/>
            </w:tcBorders>
            <w:vAlign w:val="center"/>
          </w:tcPr>
          <w:p>
            <w:pPr>
              <w:pStyle w:val="35"/>
              <w:spacing w:line="240" w:lineRule="auto"/>
              <w:ind w:firstLine="0" w:firstLineChars="0"/>
              <w:rPr>
                <w:color w:val="auto"/>
                <w:sz w:val="21"/>
                <w:szCs w:val="21"/>
              </w:rPr>
            </w:pPr>
          </w:p>
        </w:tc>
        <w:tc>
          <w:tcPr>
            <w:tcW w:w="1521"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老王庄村</w:t>
            </w:r>
          </w:p>
        </w:tc>
        <w:tc>
          <w:tcPr>
            <w:tcW w:w="1341"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115.099769</w:t>
            </w:r>
          </w:p>
        </w:tc>
        <w:tc>
          <w:tcPr>
            <w:tcW w:w="1269"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35.638569</w:t>
            </w:r>
          </w:p>
        </w:tc>
        <w:tc>
          <w:tcPr>
            <w:tcW w:w="723"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S</w:t>
            </w:r>
          </w:p>
        </w:tc>
        <w:tc>
          <w:tcPr>
            <w:tcW w:w="1041" w:type="dxa"/>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1060</w:t>
            </w:r>
          </w:p>
        </w:tc>
        <w:tc>
          <w:tcPr>
            <w:tcW w:w="1278" w:type="dxa"/>
            <w:vMerge w:val="continue"/>
            <w:tcBorders>
              <w:tl2br w:val="nil"/>
              <w:tr2bl w:val="nil"/>
            </w:tcBorders>
            <w:vAlign w:val="center"/>
          </w:tcPr>
          <w:p>
            <w:pPr>
              <w:spacing w:line="240" w:lineRule="auto"/>
              <w:ind w:firstLine="0" w:firstLineChars="0"/>
              <w:jc w:val="center"/>
              <w:rPr>
                <w:color w:val="auto"/>
                <w:sz w:val="21"/>
                <w:szCs w:val="21"/>
              </w:rPr>
            </w:pPr>
          </w:p>
        </w:tc>
        <w:tc>
          <w:tcPr>
            <w:tcW w:w="995" w:type="dxa"/>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05" w:hRule="atLeast"/>
          <w:jc w:val="center"/>
        </w:trPr>
        <w:tc>
          <w:tcPr>
            <w:tcW w:w="934" w:type="dxa"/>
            <w:vMerge w:val="continue"/>
            <w:tcBorders>
              <w:tl2br w:val="nil"/>
              <w:tr2bl w:val="nil"/>
            </w:tcBorders>
            <w:vAlign w:val="center"/>
          </w:tcPr>
          <w:p>
            <w:pPr>
              <w:pStyle w:val="35"/>
              <w:spacing w:line="240" w:lineRule="auto"/>
              <w:ind w:firstLine="0" w:firstLineChars="0"/>
              <w:rPr>
                <w:color w:val="auto"/>
                <w:sz w:val="21"/>
                <w:szCs w:val="21"/>
              </w:rPr>
            </w:pPr>
          </w:p>
        </w:tc>
        <w:tc>
          <w:tcPr>
            <w:tcW w:w="1521"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冯寨村</w:t>
            </w:r>
          </w:p>
        </w:tc>
        <w:tc>
          <w:tcPr>
            <w:tcW w:w="1341"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115.113029</w:t>
            </w:r>
          </w:p>
        </w:tc>
        <w:tc>
          <w:tcPr>
            <w:tcW w:w="1269"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35.644254</w:t>
            </w:r>
          </w:p>
        </w:tc>
        <w:tc>
          <w:tcPr>
            <w:tcW w:w="723"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SE</w:t>
            </w:r>
          </w:p>
        </w:tc>
        <w:tc>
          <w:tcPr>
            <w:tcW w:w="1041" w:type="dxa"/>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850</w:t>
            </w:r>
          </w:p>
        </w:tc>
        <w:tc>
          <w:tcPr>
            <w:tcW w:w="1278" w:type="dxa"/>
            <w:vMerge w:val="continue"/>
            <w:tcBorders>
              <w:tl2br w:val="nil"/>
              <w:tr2bl w:val="nil"/>
            </w:tcBorders>
            <w:vAlign w:val="center"/>
          </w:tcPr>
          <w:p>
            <w:pPr>
              <w:spacing w:line="240" w:lineRule="auto"/>
              <w:ind w:firstLine="0" w:firstLineChars="0"/>
              <w:jc w:val="center"/>
              <w:rPr>
                <w:color w:val="auto"/>
                <w:sz w:val="21"/>
                <w:szCs w:val="21"/>
              </w:rPr>
            </w:pPr>
          </w:p>
        </w:tc>
        <w:tc>
          <w:tcPr>
            <w:tcW w:w="995" w:type="dxa"/>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26" w:hRule="atLeast"/>
          <w:jc w:val="center"/>
        </w:trPr>
        <w:tc>
          <w:tcPr>
            <w:tcW w:w="934" w:type="dxa"/>
            <w:vMerge w:val="continue"/>
            <w:tcBorders>
              <w:tl2br w:val="nil"/>
              <w:tr2bl w:val="nil"/>
            </w:tcBorders>
            <w:vAlign w:val="center"/>
          </w:tcPr>
          <w:p>
            <w:pPr>
              <w:pStyle w:val="35"/>
              <w:spacing w:line="240" w:lineRule="auto"/>
              <w:ind w:firstLine="0" w:firstLineChars="0"/>
              <w:rPr>
                <w:color w:val="auto"/>
                <w:sz w:val="21"/>
                <w:szCs w:val="21"/>
              </w:rPr>
            </w:pPr>
          </w:p>
        </w:tc>
        <w:tc>
          <w:tcPr>
            <w:tcW w:w="1521"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东郭集村</w:t>
            </w:r>
          </w:p>
        </w:tc>
        <w:tc>
          <w:tcPr>
            <w:tcW w:w="1341"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115.116420</w:t>
            </w:r>
          </w:p>
        </w:tc>
        <w:tc>
          <w:tcPr>
            <w:tcW w:w="1269"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35.641220</w:t>
            </w:r>
          </w:p>
        </w:tc>
        <w:tc>
          <w:tcPr>
            <w:tcW w:w="723"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SE</w:t>
            </w:r>
          </w:p>
        </w:tc>
        <w:tc>
          <w:tcPr>
            <w:tcW w:w="1041" w:type="dxa"/>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1220</w:t>
            </w:r>
          </w:p>
        </w:tc>
        <w:tc>
          <w:tcPr>
            <w:tcW w:w="1278" w:type="dxa"/>
            <w:vMerge w:val="continue"/>
            <w:tcBorders>
              <w:tl2br w:val="nil"/>
              <w:tr2bl w:val="nil"/>
            </w:tcBorders>
            <w:vAlign w:val="center"/>
          </w:tcPr>
          <w:p>
            <w:pPr>
              <w:spacing w:line="240" w:lineRule="auto"/>
              <w:ind w:firstLine="0" w:firstLineChars="0"/>
              <w:jc w:val="center"/>
              <w:rPr>
                <w:color w:val="auto"/>
                <w:sz w:val="21"/>
                <w:szCs w:val="21"/>
              </w:rPr>
            </w:pPr>
          </w:p>
        </w:tc>
        <w:tc>
          <w:tcPr>
            <w:tcW w:w="995" w:type="dxa"/>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33" w:hRule="atLeast"/>
          <w:jc w:val="center"/>
        </w:trPr>
        <w:tc>
          <w:tcPr>
            <w:tcW w:w="934" w:type="dxa"/>
            <w:vMerge w:val="continue"/>
            <w:tcBorders>
              <w:tl2br w:val="nil"/>
              <w:tr2bl w:val="nil"/>
            </w:tcBorders>
            <w:vAlign w:val="center"/>
          </w:tcPr>
          <w:p>
            <w:pPr>
              <w:pStyle w:val="35"/>
              <w:spacing w:line="240" w:lineRule="auto"/>
              <w:ind w:firstLine="0" w:firstLineChars="0"/>
              <w:rPr>
                <w:color w:val="auto"/>
                <w:sz w:val="21"/>
                <w:szCs w:val="21"/>
              </w:rPr>
            </w:pPr>
          </w:p>
        </w:tc>
        <w:tc>
          <w:tcPr>
            <w:tcW w:w="1521"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柳寨村</w:t>
            </w:r>
          </w:p>
        </w:tc>
        <w:tc>
          <w:tcPr>
            <w:tcW w:w="1341"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115.125647</w:t>
            </w:r>
          </w:p>
        </w:tc>
        <w:tc>
          <w:tcPr>
            <w:tcW w:w="1269"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35.648265</w:t>
            </w:r>
          </w:p>
        </w:tc>
        <w:tc>
          <w:tcPr>
            <w:tcW w:w="723"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SE</w:t>
            </w:r>
          </w:p>
        </w:tc>
        <w:tc>
          <w:tcPr>
            <w:tcW w:w="1041" w:type="dxa"/>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1450</w:t>
            </w:r>
          </w:p>
        </w:tc>
        <w:tc>
          <w:tcPr>
            <w:tcW w:w="1278" w:type="dxa"/>
            <w:vMerge w:val="continue"/>
            <w:tcBorders>
              <w:tl2br w:val="nil"/>
              <w:tr2bl w:val="nil"/>
            </w:tcBorders>
            <w:vAlign w:val="center"/>
          </w:tcPr>
          <w:p>
            <w:pPr>
              <w:spacing w:line="240" w:lineRule="auto"/>
              <w:ind w:firstLine="0" w:firstLineChars="0"/>
              <w:jc w:val="center"/>
              <w:rPr>
                <w:color w:val="auto"/>
                <w:sz w:val="21"/>
                <w:szCs w:val="21"/>
              </w:rPr>
            </w:pPr>
          </w:p>
        </w:tc>
        <w:tc>
          <w:tcPr>
            <w:tcW w:w="995" w:type="dxa"/>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28" w:hRule="atLeast"/>
          <w:jc w:val="center"/>
        </w:trPr>
        <w:tc>
          <w:tcPr>
            <w:tcW w:w="934" w:type="dxa"/>
            <w:vMerge w:val="continue"/>
            <w:tcBorders>
              <w:tl2br w:val="nil"/>
              <w:tr2bl w:val="nil"/>
            </w:tcBorders>
            <w:vAlign w:val="center"/>
          </w:tcPr>
          <w:p>
            <w:pPr>
              <w:pStyle w:val="35"/>
              <w:spacing w:line="240" w:lineRule="auto"/>
              <w:ind w:firstLine="0" w:firstLineChars="0"/>
              <w:rPr>
                <w:color w:val="auto"/>
                <w:sz w:val="21"/>
                <w:szCs w:val="21"/>
              </w:rPr>
            </w:pPr>
          </w:p>
        </w:tc>
        <w:tc>
          <w:tcPr>
            <w:tcW w:w="1521"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安寨村</w:t>
            </w:r>
          </w:p>
        </w:tc>
        <w:tc>
          <w:tcPr>
            <w:tcW w:w="1341"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115.109425</w:t>
            </w:r>
          </w:p>
        </w:tc>
        <w:tc>
          <w:tcPr>
            <w:tcW w:w="1269"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35.661864</w:t>
            </w:r>
          </w:p>
        </w:tc>
        <w:tc>
          <w:tcPr>
            <w:tcW w:w="723"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N</w:t>
            </w:r>
          </w:p>
        </w:tc>
        <w:tc>
          <w:tcPr>
            <w:tcW w:w="1041" w:type="dxa"/>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970</w:t>
            </w:r>
          </w:p>
        </w:tc>
        <w:tc>
          <w:tcPr>
            <w:tcW w:w="1278" w:type="dxa"/>
            <w:vMerge w:val="continue"/>
            <w:tcBorders>
              <w:tl2br w:val="nil"/>
              <w:tr2bl w:val="nil"/>
            </w:tcBorders>
            <w:vAlign w:val="center"/>
          </w:tcPr>
          <w:p>
            <w:pPr>
              <w:spacing w:line="240" w:lineRule="auto"/>
              <w:ind w:firstLine="0" w:firstLineChars="0"/>
              <w:jc w:val="center"/>
              <w:rPr>
                <w:color w:val="auto"/>
                <w:sz w:val="21"/>
                <w:szCs w:val="21"/>
              </w:rPr>
            </w:pPr>
          </w:p>
        </w:tc>
        <w:tc>
          <w:tcPr>
            <w:tcW w:w="995" w:type="dxa"/>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77" w:hRule="atLeast"/>
          <w:jc w:val="center"/>
        </w:trPr>
        <w:tc>
          <w:tcPr>
            <w:tcW w:w="934" w:type="dxa"/>
            <w:vMerge w:val="continue"/>
            <w:tcBorders>
              <w:tl2br w:val="nil"/>
              <w:tr2bl w:val="nil"/>
            </w:tcBorders>
            <w:vAlign w:val="center"/>
          </w:tcPr>
          <w:p>
            <w:pPr>
              <w:pStyle w:val="35"/>
              <w:spacing w:line="240" w:lineRule="auto"/>
              <w:ind w:firstLine="0" w:firstLineChars="0"/>
              <w:rPr>
                <w:color w:val="auto"/>
                <w:sz w:val="21"/>
                <w:szCs w:val="21"/>
              </w:rPr>
            </w:pPr>
          </w:p>
        </w:tc>
        <w:tc>
          <w:tcPr>
            <w:tcW w:w="1521"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东草庙村</w:t>
            </w:r>
          </w:p>
        </w:tc>
        <w:tc>
          <w:tcPr>
            <w:tcW w:w="1341"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115.113759</w:t>
            </w:r>
          </w:p>
        </w:tc>
        <w:tc>
          <w:tcPr>
            <w:tcW w:w="1269"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35.668698</w:t>
            </w:r>
          </w:p>
        </w:tc>
        <w:tc>
          <w:tcPr>
            <w:tcW w:w="723"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NE</w:t>
            </w:r>
          </w:p>
        </w:tc>
        <w:tc>
          <w:tcPr>
            <w:tcW w:w="1041" w:type="dxa"/>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1795</w:t>
            </w:r>
          </w:p>
        </w:tc>
        <w:tc>
          <w:tcPr>
            <w:tcW w:w="1278" w:type="dxa"/>
            <w:vMerge w:val="continue"/>
            <w:tcBorders>
              <w:tl2br w:val="nil"/>
              <w:tr2bl w:val="nil"/>
            </w:tcBorders>
            <w:vAlign w:val="center"/>
          </w:tcPr>
          <w:p>
            <w:pPr>
              <w:spacing w:line="240" w:lineRule="auto"/>
              <w:ind w:firstLine="0" w:firstLineChars="0"/>
              <w:jc w:val="center"/>
              <w:rPr>
                <w:color w:val="auto"/>
                <w:sz w:val="21"/>
                <w:szCs w:val="21"/>
              </w:rPr>
            </w:pPr>
          </w:p>
        </w:tc>
        <w:tc>
          <w:tcPr>
            <w:tcW w:w="995" w:type="dxa"/>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81" w:hRule="atLeast"/>
          <w:jc w:val="center"/>
        </w:trPr>
        <w:tc>
          <w:tcPr>
            <w:tcW w:w="934" w:type="dxa"/>
            <w:vMerge w:val="continue"/>
            <w:tcBorders>
              <w:tl2br w:val="nil"/>
              <w:tr2bl w:val="nil"/>
            </w:tcBorders>
            <w:vAlign w:val="center"/>
          </w:tcPr>
          <w:p>
            <w:pPr>
              <w:pStyle w:val="35"/>
              <w:spacing w:line="240" w:lineRule="auto"/>
              <w:ind w:firstLine="0" w:firstLineChars="0"/>
              <w:rPr>
                <w:color w:val="auto"/>
                <w:sz w:val="21"/>
                <w:szCs w:val="21"/>
              </w:rPr>
            </w:pPr>
          </w:p>
        </w:tc>
        <w:tc>
          <w:tcPr>
            <w:tcW w:w="1521"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中草庙村</w:t>
            </w:r>
          </w:p>
        </w:tc>
        <w:tc>
          <w:tcPr>
            <w:tcW w:w="1341"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115.109124</w:t>
            </w:r>
          </w:p>
        </w:tc>
        <w:tc>
          <w:tcPr>
            <w:tcW w:w="1269"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35.669116</w:t>
            </w:r>
          </w:p>
        </w:tc>
        <w:tc>
          <w:tcPr>
            <w:tcW w:w="723"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NE</w:t>
            </w:r>
          </w:p>
        </w:tc>
        <w:tc>
          <w:tcPr>
            <w:tcW w:w="1041" w:type="dxa"/>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1650</w:t>
            </w:r>
          </w:p>
        </w:tc>
        <w:tc>
          <w:tcPr>
            <w:tcW w:w="1278" w:type="dxa"/>
            <w:vMerge w:val="continue"/>
            <w:tcBorders>
              <w:tl2br w:val="nil"/>
              <w:tr2bl w:val="nil"/>
            </w:tcBorders>
            <w:vAlign w:val="center"/>
          </w:tcPr>
          <w:p>
            <w:pPr>
              <w:spacing w:line="240" w:lineRule="auto"/>
              <w:ind w:firstLine="0" w:firstLineChars="0"/>
              <w:jc w:val="center"/>
              <w:rPr>
                <w:color w:val="auto"/>
                <w:sz w:val="21"/>
                <w:szCs w:val="21"/>
              </w:rPr>
            </w:pPr>
          </w:p>
        </w:tc>
        <w:tc>
          <w:tcPr>
            <w:tcW w:w="995" w:type="dxa"/>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42" w:hRule="atLeast"/>
          <w:jc w:val="center"/>
        </w:trPr>
        <w:tc>
          <w:tcPr>
            <w:tcW w:w="934" w:type="dxa"/>
            <w:tcBorders>
              <w:tl2br w:val="nil"/>
              <w:tr2bl w:val="nil"/>
            </w:tcBorders>
            <w:vAlign w:val="center"/>
          </w:tcPr>
          <w:p>
            <w:pPr>
              <w:pStyle w:val="35"/>
              <w:spacing w:line="240" w:lineRule="auto"/>
              <w:ind w:firstLine="0" w:firstLineChars="0"/>
              <w:rPr>
                <w:color w:val="auto"/>
                <w:sz w:val="21"/>
                <w:szCs w:val="21"/>
              </w:rPr>
            </w:pPr>
            <w:r>
              <w:rPr>
                <w:color w:val="auto"/>
                <w:sz w:val="21"/>
                <w:szCs w:val="21"/>
              </w:rPr>
              <w:t>声环境</w:t>
            </w:r>
          </w:p>
        </w:tc>
        <w:tc>
          <w:tcPr>
            <w:tcW w:w="1521"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厂界</w:t>
            </w:r>
          </w:p>
        </w:tc>
        <w:tc>
          <w:tcPr>
            <w:tcW w:w="1341"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1269"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723"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1041"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1278" w:type="dxa"/>
            <w:tcBorders>
              <w:tl2br w:val="nil"/>
              <w:tr2bl w:val="nil"/>
            </w:tcBorders>
            <w:vAlign w:val="center"/>
          </w:tcPr>
          <w:p>
            <w:pPr>
              <w:pStyle w:val="35"/>
              <w:spacing w:line="240" w:lineRule="auto"/>
              <w:ind w:firstLine="0" w:firstLineChars="0"/>
              <w:rPr>
                <w:color w:val="auto"/>
                <w:sz w:val="21"/>
                <w:szCs w:val="21"/>
              </w:rPr>
            </w:pPr>
            <w:r>
              <w:rPr>
                <w:color w:val="auto"/>
                <w:sz w:val="21"/>
                <w:szCs w:val="21"/>
              </w:rPr>
              <w:t>GB3096-2008</w:t>
            </w:r>
          </w:p>
          <w:p>
            <w:pPr>
              <w:pStyle w:val="35"/>
              <w:spacing w:line="240" w:lineRule="auto"/>
              <w:ind w:firstLine="0" w:firstLineChars="0"/>
              <w:rPr>
                <w:color w:val="auto"/>
                <w:sz w:val="21"/>
                <w:szCs w:val="21"/>
              </w:rPr>
            </w:pPr>
            <w:r>
              <w:rPr>
                <w:color w:val="auto"/>
                <w:sz w:val="21"/>
                <w:szCs w:val="21"/>
              </w:rPr>
              <w:t>2类区</w:t>
            </w:r>
          </w:p>
        </w:tc>
        <w:tc>
          <w:tcPr>
            <w:tcW w:w="995" w:type="dxa"/>
            <w:tcBorders>
              <w:tl2br w:val="nil"/>
              <w:tr2bl w:val="nil"/>
            </w:tcBorders>
            <w:vAlign w:val="center"/>
          </w:tcPr>
          <w:p>
            <w:pPr>
              <w:pStyle w:val="35"/>
              <w:spacing w:line="240" w:lineRule="auto"/>
              <w:ind w:firstLine="0" w:firstLineChars="0"/>
              <w:rPr>
                <w:color w:val="auto"/>
                <w:sz w:val="21"/>
                <w:szCs w:val="21"/>
              </w:rPr>
            </w:pPr>
            <w:r>
              <w:rPr>
                <w:color w:val="auto"/>
                <w:sz w:val="21"/>
                <w:szCs w:val="21"/>
              </w:rPr>
              <w:t>不改变其声环境质量功能</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934" w:type="dxa"/>
            <w:tcBorders>
              <w:tl2br w:val="nil"/>
              <w:tr2bl w:val="nil"/>
            </w:tcBorders>
            <w:vAlign w:val="center"/>
          </w:tcPr>
          <w:p>
            <w:pPr>
              <w:pStyle w:val="35"/>
              <w:spacing w:line="240" w:lineRule="auto"/>
              <w:ind w:firstLine="0" w:firstLineChars="0"/>
              <w:rPr>
                <w:color w:val="auto"/>
                <w:sz w:val="21"/>
                <w:szCs w:val="21"/>
              </w:rPr>
            </w:pPr>
            <w:r>
              <w:rPr>
                <w:color w:val="auto"/>
                <w:sz w:val="21"/>
                <w:szCs w:val="21"/>
              </w:rPr>
              <w:t>地表水</w:t>
            </w:r>
          </w:p>
        </w:tc>
        <w:tc>
          <w:tcPr>
            <w:tcW w:w="1521"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董楼沟</w:t>
            </w:r>
          </w:p>
        </w:tc>
        <w:tc>
          <w:tcPr>
            <w:tcW w:w="3333" w:type="dxa"/>
            <w:gridSpan w:val="3"/>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E</w:t>
            </w:r>
          </w:p>
        </w:tc>
        <w:tc>
          <w:tcPr>
            <w:tcW w:w="1041" w:type="dxa"/>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965</w:t>
            </w:r>
          </w:p>
        </w:tc>
        <w:tc>
          <w:tcPr>
            <w:tcW w:w="1278" w:type="dxa"/>
            <w:tcBorders>
              <w:tl2br w:val="nil"/>
              <w:tr2bl w:val="nil"/>
            </w:tcBorders>
            <w:vAlign w:val="center"/>
          </w:tcPr>
          <w:p>
            <w:pPr>
              <w:pStyle w:val="35"/>
              <w:spacing w:line="240" w:lineRule="auto"/>
              <w:ind w:firstLine="0" w:firstLineChars="0"/>
              <w:rPr>
                <w:color w:val="auto"/>
                <w:sz w:val="21"/>
                <w:szCs w:val="21"/>
              </w:rPr>
            </w:pPr>
            <w:r>
              <w:rPr>
                <w:color w:val="auto"/>
                <w:sz w:val="21"/>
                <w:szCs w:val="21"/>
              </w:rPr>
              <w:t>GB3838-2002</w:t>
            </w:r>
          </w:p>
          <w:p>
            <w:pPr>
              <w:pStyle w:val="35"/>
              <w:spacing w:line="240" w:lineRule="auto"/>
              <w:ind w:firstLine="0" w:firstLineChars="0"/>
              <w:rPr>
                <w:color w:val="auto"/>
                <w:sz w:val="21"/>
                <w:szCs w:val="21"/>
              </w:rPr>
            </w:pPr>
            <w:r>
              <w:rPr>
                <w:color w:val="auto"/>
                <w:sz w:val="21"/>
                <w:szCs w:val="21"/>
                <w:highlight w:val="yellow"/>
              </w:rPr>
              <w:fldChar w:fldCharType="begin"/>
            </w:r>
            <w:r>
              <w:rPr>
                <w:color w:val="auto"/>
                <w:sz w:val="21"/>
                <w:szCs w:val="21"/>
                <w:highlight w:val="yellow"/>
              </w:rPr>
              <w:instrText xml:space="preserve"> = 5 \* ROMAN \* MERGEFORMAT </w:instrText>
            </w:r>
            <w:r>
              <w:rPr>
                <w:color w:val="auto"/>
                <w:sz w:val="21"/>
                <w:szCs w:val="21"/>
                <w:highlight w:val="yellow"/>
              </w:rPr>
              <w:fldChar w:fldCharType="separate"/>
            </w:r>
            <w:r>
              <w:rPr>
                <w:color w:val="auto"/>
              </w:rPr>
              <w:t>V</w:t>
            </w:r>
            <w:r>
              <w:rPr>
                <w:color w:val="auto"/>
                <w:sz w:val="21"/>
                <w:szCs w:val="21"/>
                <w:highlight w:val="yellow"/>
              </w:rPr>
              <w:fldChar w:fldCharType="end"/>
            </w:r>
            <w:r>
              <w:rPr>
                <w:color w:val="auto"/>
                <w:sz w:val="21"/>
                <w:szCs w:val="21"/>
              </w:rPr>
              <w:t>类水体</w:t>
            </w:r>
          </w:p>
        </w:tc>
        <w:tc>
          <w:tcPr>
            <w:tcW w:w="995" w:type="dxa"/>
            <w:tcBorders>
              <w:tl2br w:val="nil"/>
              <w:tr2bl w:val="nil"/>
            </w:tcBorders>
            <w:vAlign w:val="center"/>
          </w:tcPr>
          <w:p>
            <w:pPr>
              <w:pStyle w:val="35"/>
              <w:spacing w:line="240" w:lineRule="auto"/>
              <w:ind w:firstLine="0" w:firstLineChars="0"/>
              <w:rPr>
                <w:color w:val="auto"/>
                <w:sz w:val="21"/>
                <w:szCs w:val="21"/>
              </w:rPr>
            </w:pPr>
            <w:r>
              <w:rPr>
                <w:color w:val="auto"/>
                <w:sz w:val="21"/>
                <w:szCs w:val="21"/>
              </w:rPr>
              <w:t>不对地表水环境造成污染影响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934" w:type="dxa"/>
            <w:tcBorders>
              <w:tl2br w:val="nil"/>
              <w:tr2bl w:val="nil"/>
            </w:tcBorders>
            <w:vAlign w:val="center"/>
          </w:tcPr>
          <w:p>
            <w:pPr>
              <w:pStyle w:val="35"/>
              <w:spacing w:line="240" w:lineRule="auto"/>
              <w:ind w:firstLine="0" w:firstLineChars="0"/>
              <w:rPr>
                <w:color w:val="auto"/>
                <w:sz w:val="21"/>
                <w:szCs w:val="21"/>
              </w:rPr>
            </w:pPr>
            <w:r>
              <w:rPr>
                <w:color w:val="auto"/>
                <w:sz w:val="21"/>
                <w:szCs w:val="21"/>
              </w:rPr>
              <w:t>地下水</w:t>
            </w:r>
          </w:p>
        </w:tc>
        <w:tc>
          <w:tcPr>
            <w:tcW w:w="5895" w:type="dxa"/>
            <w:gridSpan w:val="5"/>
            <w:tcBorders>
              <w:tl2br w:val="nil"/>
              <w:tr2bl w:val="nil"/>
            </w:tcBorders>
            <w:vAlign w:val="center"/>
          </w:tcPr>
          <w:p>
            <w:pPr>
              <w:pStyle w:val="35"/>
              <w:spacing w:line="240" w:lineRule="auto"/>
              <w:ind w:firstLine="0" w:firstLineChars="0"/>
              <w:rPr>
                <w:color w:val="auto"/>
                <w:sz w:val="21"/>
                <w:szCs w:val="21"/>
              </w:rPr>
            </w:pPr>
            <w:r>
              <w:rPr>
                <w:color w:val="auto"/>
                <w:sz w:val="21"/>
                <w:szCs w:val="21"/>
              </w:rPr>
              <w:t>项目所在区域地下水</w:t>
            </w:r>
          </w:p>
        </w:tc>
        <w:tc>
          <w:tcPr>
            <w:tcW w:w="1278" w:type="dxa"/>
            <w:tcBorders>
              <w:tl2br w:val="nil"/>
              <w:tr2bl w:val="nil"/>
            </w:tcBorders>
            <w:vAlign w:val="center"/>
          </w:tcPr>
          <w:p>
            <w:pPr>
              <w:pStyle w:val="35"/>
              <w:spacing w:line="240" w:lineRule="auto"/>
              <w:ind w:firstLine="0" w:firstLineChars="0"/>
              <w:rPr>
                <w:color w:val="auto"/>
                <w:sz w:val="21"/>
                <w:szCs w:val="21"/>
              </w:rPr>
            </w:pPr>
            <w:r>
              <w:rPr>
                <w:color w:val="auto"/>
                <w:sz w:val="21"/>
                <w:szCs w:val="21"/>
              </w:rPr>
              <w:t>GB/T14848-2017</w:t>
            </w:r>
          </w:p>
          <w:p>
            <w:pPr>
              <w:pStyle w:val="35"/>
              <w:spacing w:line="240" w:lineRule="auto"/>
              <w:ind w:firstLine="0" w:firstLineChars="0"/>
              <w:rPr>
                <w:color w:val="auto"/>
                <w:sz w:val="21"/>
                <w:szCs w:val="21"/>
              </w:rPr>
            </w:pPr>
            <w:r>
              <w:rPr>
                <w:color w:val="auto"/>
                <w:sz w:val="21"/>
                <w:szCs w:val="21"/>
              </w:rPr>
              <w:t>Ⅲ类水体</w:t>
            </w:r>
          </w:p>
        </w:tc>
        <w:tc>
          <w:tcPr>
            <w:tcW w:w="995" w:type="dxa"/>
            <w:tcBorders>
              <w:tl2br w:val="nil"/>
              <w:tr2bl w:val="nil"/>
            </w:tcBorders>
            <w:vAlign w:val="center"/>
          </w:tcPr>
          <w:p>
            <w:pPr>
              <w:pStyle w:val="35"/>
              <w:spacing w:line="240" w:lineRule="auto"/>
              <w:ind w:firstLine="0" w:firstLineChars="0"/>
              <w:rPr>
                <w:color w:val="auto"/>
                <w:sz w:val="21"/>
                <w:szCs w:val="21"/>
              </w:rPr>
            </w:pPr>
            <w:r>
              <w:rPr>
                <w:color w:val="auto"/>
                <w:sz w:val="21"/>
                <w:szCs w:val="21"/>
              </w:rPr>
              <w:t>不对地下水环境造成污染影响</w:t>
            </w:r>
          </w:p>
        </w:tc>
      </w:tr>
    </w:tbl>
    <w:p>
      <w:pPr>
        <w:pStyle w:val="5"/>
        <w:spacing w:before="0" w:after="0"/>
        <w:ind w:firstLine="0" w:firstLineChars="0"/>
        <w:rPr>
          <w:rFonts w:ascii="Times New Roman" w:hAnsi="Times New Roman"/>
          <w:color w:val="auto"/>
          <w:sz w:val="28"/>
          <w:szCs w:val="28"/>
        </w:rPr>
      </w:pPr>
      <w:bookmarkStart w:id="175" w:name="_Toc676"/>
      <w:bookmarkStart w:id="176" w:name="_Toc31794"/>
      <w:r>
        <w:rPr>
          <w:rFonts w:ascii="Times New Roman" w:hAnsi="Times New Roman"/>
          <w:color w:val="auto"/>
          <w:sz w:val="28"/>
          <w:szCs w:val="28"/>
        </w:rPr>
        <w:t>2.7政策相符性分析</w:t>
      </w:r>
      <w:bookmarkEnd w:id="175"/>
      <w:bookmarkEnd w:id="176"/>
    </w:p>
    <w:bookmarkEnd w:id="173"/>
    <w:bookmarkEnd w:id="174"/>
    <w:p>
      <w:pPr>
        <w:pStyle w:val="6"/>
        <w:rPr>
          <w:rFonts w:eastAsia="宋体"/>
          <w:b/>
          <w:color w:val="auto"/>
        </w:rPr>
      </w:pPr>
      <w:r>
        <w:rPr>
          <w:rFonts w:eastAsia="宋体"/>
          <w:b/>
          <w:color w:val="auto"/>
        </w:rPr>
        <w:t>2.7.1与</w:t>
      </w:r>
      <w:r>
        <w:rPr>
          <w:rFonts w:hint="eastAsia" w:eastAsia="宋体"/>
          <w:b/>
          <w:color w:val="auto"/>
        </w:rPr>
        <w:t>《产业结构调整指导目录（2019年本）》</w:t>
      </w:r>
      <w:r>
        <w:rPr>
          <w:rFonts w:eastAsia="宋体"/>
          <w:b/>
          <w:color w:val="auto"/>
        </w:rPr>
        <w:t>相符性</w:t>
      </w:r>
    </w:p>
    <w:p>
      <w:pPr>
        <w:ind w:firstLine="480"/>
        <w:rPr>
          <w:color w:val="auto"/>
        </w:rPr>
      </w:pPr>
      <w:r>
        <w:rPr>
          <w:color w:val="auto"/>
        </w:rPr>
        <w:t>本项目为规模化</w:t>
      </w:r>
      <w:r>
        <w:rPr>
          <w:rFonts w:hint="eastAsia"/>
          <w:color w:val="auto"/>
        </w:rPr>
        <w:t>生猪养殖</w:t>
      </w:r>
      <w:r>
        <w:rPr>
          <w:color w:val="auto"/>
        </w:rPr>
        <w:t>建设项目，根据《产业结构调整指导目录（2019年本）》，本项目属于</w:t>
      </w:r>
      <w:r>
        <w:rPr>
          <w:rFonts w:hint="eastAsia"/>
          <w:color w:val="auto"/>
        </w:rPr>
        <w:t>“</w:t>
      </w:r>
      <w:r>
        <w:rPr>
          <w:color w:val="auto"/>
        </w:rPr>
        <w:t>第一类</w:t>
      </w:r>
      <w:r>
        <w:rPr>
          <w:rFonts w:hint="eastAsia"/>
          <w:color w:val="auto"/>
        </w:rPr>
        <w:t>、</w:t>
      </w:r>
      <w:r>
        <w:rPr>
          <w:color w:val="auto"/>
        </w:rPr>
        <w:t>鼓励类 一</w:t>
      </w:r>
      <w:r>
        <w:rPr>
          <w:rFonts w:hint="eastAsia"/>
          <w:color w:val="auto"/>
        </w:rPr>
        <w:t>、</w:t>
      </w:r>
      <w:r>
        <w:rPr>
          <w:color w:val="auto"/>
        </w:rPr>
        <w:t>农林业 4、畜禽标准化规模养殖技术开发与应用</w:t>
      </w:r>
      <w:r>
        <w:rPr>
          <w:rFonts w:hint="eastAsia"/>
          <w:color w:val="auto"/>
        </w:rPr>
        <w:t>”</w:t>
      </w:r>
      <w:r>
        <w:rPr>
          <w:color w:val="auto"/>
        </w:rPr>
        <w:t>，因此本项目的建设符合国家相关产业政策的要求。</w:t>
      </w:r>
    </w:p>
    <w:p>
      <w:pPr>
        <w:pStyle w:val="6"/>
        <w:rPr>
          <w:rFonts w:eastAsia="宋体"/>
          <w:b/>
          <w:color w:val="auto"/>
        </w:rPr>
      </w:pPr>
      <w:r>
        <w:rPr>
          <w:rFonts w:eastAsia="宋体"/>
          <w:b/>
          <w:color w:val="auto"/>
        </w:rPr>
        <w:t>2.7.</w:t>
      </w:r>
      <w:r>
        <w:rPr>
          <w:rFonts w:hint="eastAsia" w:eastAsia="宋体"/>
          <w:b/>
          <w:color w:val="auto"/>
          <w:lang w:val="en-US"/>
        </w:rPr>
        <w:t>2</w:t>
      </w:r>
      <w:r>
        <w:rPr>
          <w:rFonts w:hint="eastAsia" w:eastAsia="宋体"/>
          <w:b/>
          <w:color w:val="auto"/>
        </w:rPr>
        <w:t>与《濮阳县人民政府办公室关于印发濮阳县畜禽养殖禁养区调整方案的通知》（濮县政办[2020]</w:t>
      </w:r>
      <w:r>
        <w:rPr>
          <w:rFonts w:hint="eastAsia" w:eastAsia="宋体"/>
          <w:b/>
          <w:color w:val="auto"/>
          <w:lang w:val="en-US"/>
        </w:rPr>
        <w:t>2</w:t>
      </w:r>
      <w:r>
        <w:rPr>
          <w:rFonts w:hint="eastAsia" w:eastAsia="宋体"/>
          <w:b/>
          <w:color w:val="auto"/>
        </w:rPr>
        <w:t>号）</w:t>
      </w:r>
      <w:r>
        <w:rPr>
          <w:rFonts w:eastAsia="宋体"/>
          <w:b/>
          <w:color w:val="auto"/>
        </w:rPr>
        <w:t>相符性分析</w:t>
      </w:r>
    </w:p>
    <w:p>
      <w:pPr>
        <w:ind w:firstLine="480"/>
        <w:rPr>
          <w:color w:val="auto"/>
        </w:rPr>
      </w:pPr>
      <w:r>
        <w:rPr>
          <w:color w:val="auto"/>
        </w:rPr>
        <w:t>依据</w:t>
      </w:r>
      <w:r>
        <w:rPr>
          <w:rFonts w:hint="eastAsia"/>
          <w:color w:val="auto"/>
        </w:rPr>
        <w:t>《中华人民共和国环境保护法》、《中华人民共和国畜牧法》、《中华人民共和国水污染防治法》、《畜禽规模养殖污染防治条例》等有关法律法规和技术规范</w:t>
      </w:r>
      <w:r>
        <w:rPr>
          <w:color w:val="auto"/>
        </w:rPr>
        <w:t>要求：</w:t>
      </w:r>
    </w:p>
    <w:p>
      <w:pPr>
        <w:ind w:firstLine="482"/>
        <w:rPr>
          <w:b/>
          <w:color w:val="auto"/>
        </w:rPr>
      </w:pPr>
      <w:r>
        <w:rPr>
          <w:rFonts w:hint="eastAsia"/>
          <w:b/>
          <w:color w:val="auto"/>
        </w:rPr>
        <w:t>濮阳县畜禽养殖禁养区范围</w:t>
      </w:r>
    </w:p>
    <w:p>
      <w:pPr>
        <w:ind w:firstLine="480"/>
        <w:rPr>
          <w:bCs/>
          <w:color w:val="auto"/>
        </w:rPr>
      </w:pPr>
      <w:r>
        <w:rPr>
          <w:rFonts w:hint="eastAsia"/>
          <w:bCs/>
          <w:color w:val="auto"/>
        </w:rPr>
        <w:t>（一）市饮用水水源一级保护区</w:t>
      </w:r>
    </w:p>
    <w:p>
      <w:pPr>
        <w:ind w:firstLine="480"/>
        <w:rPr>
          <w:bCs/>
          <w:color w:val="auto"/>
        </w:rPr>
      </w:pPr>
      <w:r>
        <w:rPr>
          <w:bCs/>
          <w:color w:val="auto"/>
        </w:rPr>
        <w:t>西水坡饮用水水源一级保护区</w:t>
      </w:r>
      <w:r>
        <w:rPr>
          <w:rFonts w:hint="eastAsia"/>
          <w:bCs/>
          <w:color w:val="auto"/>
        </w:rPr>
        <w:t>：</w:t>
      </w:r>
      <w:r>
        <w:rPr>
          <w:bCs/>
          <w:color w:val="auto"/>
        </w:rPr>
        <w:t>黄河干流渠村引水口下游100米至上游青庄1号坝河道濮阳市界内至黄河左岸连坝坡角线外50米的区域</w:t>
      </w:r>
      <w:r>
        <w:rPr>
          <w:rFonts w:hint="eastAsia"/>
          <w:bCs/>
          <w:color w:val="auto"/>
        </w:rPr>
        <w:t>，</w:t>
      </w:r>
      <w:r>
        <w:rPr>
          <w:bCs/>
          <w:color w:val="auto"/>
        </w:rPr>
        <w:t>渠村引水口至渠首闸输水渠两侧连坝路之内的区域</w:t>
      </w:r>
      <w:r>
        <w:rPr>
          <w:rFonts w:hint="eastAsia"/>
          <w:bCs/>
          <w:color w:val="auto"/>
        </w:rPr>
        <w:t>，</w:t>
      </w:r>
      <w:r>
        <w:rPr>
          <w:bCs/>
          <w:color w:val="auto"/>
        </w:rPr>
        <w:t>渠村沉沙池外200米至黄河大堤外侧及濮清南干渠东侧的区域</w:t>
      </w:r>
      <w:r>
        <w:rPr>
          <w:rFonts w:hint="eastAsia"/>
          <w:bCs/>
          <w:color w:val="auto"/>
        </w:rPr>
        <w:t>，</w:t>
      </w:r>
      <w:r>
        <w:rPr>
          <w:bCs/>
          <w:color w:val="auto"/>
        </w:rPr>
        <w:t>西水坡调节池围墙以内的区域。</w:t>
      </w:r>
    </w:p>
    <w:p>
      <w:pPr>
        <w:ind w:firstLine="480"/>
        <w:rPr>
          <w:bCs/>
          <w:color w:val="auto"/>
        </w:rPr>
      </w:pPr>
      <w:r>
        <w:rPr>
          <w:bCs/>
          <w:color w:val="auto"/>
        </w:rPr>
        <w:t>李子园地下水井群</w:t>
      </w:r>
      <w:r>
        <w:rPr>
          <w:rFonts w:hint="eastAsia"/>
          <w:bCs/>
          <w:color w:val="auto"/>
        </w:rPr>
        <w:t>（</w:t>
      </w:r>
      <w:r>
        <w:rPr>
          <w:bCs/>
          <w:color w:val="auto"/>
        </w:rPr>
        <w:t>共23眼井</w:t>
      </w:r>
      <w:r>
        <w:rPr>
          <w:rFonts w:hint="eastAsia"/>
          <w:bCs/>
          <w:color w:val="auto"/>
        </w:rPr>
        <w:t>）</w:t>
      </w:r>
      <w:r>
        <w:rPr>
          <w:bCs/>
          <w:color w:val="auto"/>
        </w:rPr>
        <w:t>饮用水水源一级保护区</w:t>
      </w:r>
      <w:r>
        <w:rPr>
          <w:rFonts w:hint="eastAsia"/>
          <w:bCs/>
          <w:color w:val="auto"/>
        </w:rPr>
        <w:t>：</w:t>
      </w:r>
      <w:r>
        <w:rPr>
          <w:bCs/>
          <w:color w:val="auto"/>
        </w:rPr>
        <w:t>取水井外50米的区域。</w:t>
      </w:r>
    </w:p>
    <w:p>
      <w:pPr>
        <w:ind w:firstLine="480"/>
        <w:rPr>
          <w:bCs/>
          <w:color w:val="auto"/>
        </w:rPr>
      </w:pPr>
      <w:r>
        <w:rPr>
          <w:rFonts w:hint="eastAsia"/>
          <w:bCs/>
          <w:color w:val="auto"/>
        </w:rPr>
        <w:t>（</w:t>
      </w:r>
      <w:r>
        <w:rPr>
          <w:bCs/>
          <w:color w:val="auto"/>
        </w:rPr>
        <w:t>二</w:t>
      </w:r>
      <w:r>
        <w:rPr>
          <w:rFonts w:hint="eastAsia"/>
          <w:bCs/>
          <w:color w:val="auto"/>
        </w:rPr>
        <w:t>）</w:t>
      </w:r>
      <w:r>
        <w:rPr>
          <w:bCs/>
          <w:color w:val="auto"/>
        </w:rPr>
        <w:t>乡镇集中饮用水水源一级保护区</w:t>
      </w:r>
    </w:p>
    <w:p>
      <w:pPr>
        <w:ind w:firstLine="480"/>
        <w:rPr>
          <w:bCs/>
          <w:color w:val="auto"/>
        </w:rPr>
      </w:pPr>
      <w:r>
        <w:rPr>
          <w:bCs/>
          <w:color w:val="auto"/>
        </w:rPr>
        <w:t>1.胡状镇地下水井群</w:t>
      </w:r>
      <w:r>
        <w:rPr>
          <w:rFonts w:hint="eastAsia"/>
          <w:bCs/>
          <w:color w:val="auto"/>
        </w:rPr>
        <w:t>（</w:t>
      </w:r>
      <w:r>
        <w:rPr>
          <w:bCs/>
          <w:color w:val="auto"/>
        </w:rPr>
        <w:t>共3眼井</w:t>
      </w:r>
      <w:r>
        <w:rPr>
          <w:rFonts w:hint="eastAsia"/>
          <w:bCs/>
          <w:color w:val="auto"/>
        </w:rPr>
        <w:t>）</w:t>
      </w:r>
    </w:p>
    <w:p>
      <w:pPr>
        <w:ind w:firstLine="480"/>
        <w:rPr>
          <w:bCs/>
          <w:color w:val="auto"/>
        </w:rPr>
      </w:pPr>
      <w:r>
        <w:rPr>
          <w:bCs/>
          <w:color w:val="auto"/>
        </w:rPr>
        <w:t>一级保护区范围</w:t>
      </w:r>
      <w:r>
        <w:rPr>
          <w:rFonts w:hint="eastAsia"/>
          <w:bCs/>
          <w:color w:val="auto"/>
        </w:rPr>
        <w:t>：</w:t>
      </w:r>
      <w:r>
        <w:rPr>
          <w:bCs/>
          <w:color w:val="auto"/>
        </w:rPr>
        <w:t>供水站厂区及外围30米、西至106国道的区域</w:t>
      </w:r>
      <w:r>
        <w:rPr>
          <w:rFonts w:hint="eastAsia"/>
          <w:bCs/>
          <w:color w:val="auto"/>
        </w:rPr>
        <w:t>（</w:t>
      </w:r>
      <w:r>
        <w:rPr>
          <w:bCs/>
          <w:color w:val="auto"/>
        </w:rPr>
        <w:t>1、2号取水井</w:t>
      </w:r>
      <w:r>
        <w:rPr>
          <w:rFonts w:hint="eastAsia"/>
          <w:bCs/>
          <w:color w:val="auto"/>
        </w:rPr>
        <w:t>），</w:t>
      </w:r>
      <w:r>
        <w:rPr>
          <w:bCs/>
          <w:color w:val="auto"/>
        </w:rPr>
        <w:t>3号取水井外围30米、东至胡状镇政府的区域</w:t>
      </w:r>
      <w:r>
        <w:rPr>
          <w:rFonts w:hint="eastAsia"/>
          <w:bCs/>
          <w:color w:val="auto"/>
        </w:rPr>
        <w:t>。</w:t>
      </w:r>
    </w:p>
    <w:p>
      <w:pPr>
        <w:ind w:firstLine="480"/>
        <w:rPr>
          <w:bCs/>
          <w:color w:val="auto"/>
        </w:rPr>
      </w:pPr>
      <w:r>
        <w:rPr>
          <w:bCs/>
          <w:color w:val="auto"/>
        </w:rPr>
        <w:t>2.梁庄镇地下水井群</w:t>
      </w:r>
      <w:r>
        <w:rPr>
          <w:rFonts w:hint="eastAsia"/>
          <w:bCs/>
          <w:color w:val="auto"/>
        </w:rPr>
        <w:t>（</w:t>
      </w:r>
      <w:r>
        <w:rPr>
          <w:bCs/>
          <w:color w:val="auto"/>
        </w:rPr>
        <w:t>共2眼井</w:t>
      </w:r>
      <w:r>
        <w:rPr>
          <w:rFonts w:hint="eastAsia"/>
          <w:bCs/>
          <w:color w:val="auto"/>
        </w:rPr>
        <w:t>）</w:t>
      </w:r>
    </w:p>
    <w:p>
      <w:pPr>
        <w:ind w:firstLine="480"/>
        <w:rPr>
          <w:bCs/>
          <w:color w:val="auto"/>
        </w:rPr>
      </w:pPr>
      <w:r>
        <w:rPr>
          <w:bCs/>
          <w:color w:val="auto"/>
        </w:rPr>
        <w:t>一级保护区范围</w:t>
      </w:r>
      <w:r>
        <w:rPr>
          <w:rFonts w:hint="eastAsia"/>
          <w:bCs/>
          <w:color w:val="auto"/>
        </w:rPr>
        <w:t>：</w:t>
      </w:r>
      <w:r>
        <w:rPr>
          <w:bCs/>
          <w:color w:val="auto"/>
        </w:rPr>
        <w:t>供水站厂区及外围西30米、北30米、东至南小堤水干渠、南至307省道的区城。</w:t>
      </w:r>
    </w:p>
    <w:p>
      <w:pPr>
        <w:ind w:firstLine="480"/>
        <w:rPr>
          <w:bCs/>
          <w:color w:val="auto"/>
        </w:rPr>
      </w:pPr>
      <w:r>
        <w:rPr>
          <w:bCs/>
          <w:color w:val="auto"/>
        </w:rPr>
        <w:t>3.文留镇地下水井群</w:t>
      </w:r>
      <w:r>
        <w:rPr>
          <w:rFonts w:hint="eastAsia"/>
          <w:bCs/>
          <w:color w:val="auto"/>
        </w:rPr>
        <w:t>（</w:t>
      </w:r>
      <w:r>
        <w:rPr>
          <w:bCs/>
          <w:color w:val="auto"/>
        </w:rPr>
        <w:t>共5眼井</w:t>
      </w:r>
      <w:r>
        <w:rPr>
          <w:rFonts w:hint="eastAsia"/>
          <w:bCs/>
          <w:color w:val="auto"/>
        </w:rPr>
        <w:t>）</w:t>
      </w:r>
    </w:p>
    <w:p>
      <w:pPr>
        <w:ind w:firstLine="480"/>
        <w:rPr>
          <w:bCs/>
          <w:color w:val="auto"/>
        </w:rPr>
      </w:pPr>
      <w:r>
        <w:rPr>
          <w:bCs/>
          <w:color w:val="auto"/>
        </w:rPr>
        <w:t>一级保护区范围</w:t>
      </w:r>
      <w:r>
        <w:rPr>
          <w:rFonts w:hint="eastAsia"/>
          <w:bCs/>
          <w:color w:val="auto"/>
        </w:rPr>
        <w:t>：</w:t>
      </w:r>
      <w:r>
        <w:rPr>
          <w:bCs/>
          <w:color w:val="auto"/>
        </w:rPr>
        <w:t>供水站厂区及外围东30米、西至</w:t>
      </w:r>
      <w:r>
        <w:rPr>
          <w:rFonts w:hint="eastAsia"/>
          <w:bCs/>
          <w:color w:val="auto"/>
        </w:rPr>
        <w:t>Z</w:t>
      </w:r>
      <w:r>
        <w:rPr>
          <w:bCs/>
          <w:color w:val="auto"/>
        </w:rPr>
        <w:t>020线、南至文留镇法庭</w:t>
      </w:r>
      <w:r>
        <w:rPr>
          <w:rFonts w:hint="eastAsia"/>
          <w:bCs/>
          <w:color w:val="auto"/>
        </w:rPr>
        <w:t>、</w:t>
      </w:r>
      <w:r>
        <w:rPr>
          <w:bCs/>
          <w:color w:val="auto"/>
        </w:rPr>
        <w:t>北30米的区域</w:t>
      </w:r>
      <w:r>
        <w:rPr>
          <w:rFonts w:hint="eastAsia"/>
          <w:bCs/>
          <w:color w:val="auto"/>
        </w:rPr>
        <w:t>（</w:t>
      </w:r>
      <w:r>
        <w:rPr>
          <w:bCs/>
          <w:color w:val="auto"/>
        </w:rPr>
        <w:t>3、4号取水井</w:t>
      </w:r>
      <w:r>
        <w:rPr>
          <w:rFonts w:hint="eastAsia"/>
          <w:bCs/>
          <w:color w:val="auto"/>
        </w:rPr>
        <w:t>）；</w:t>
      </w:r>
      <w:r>
        <w:rPr>
          <w:bCs/>
          <w:color w:val="auto"/>
        </w:rPr>
        <w:t>1、2、5号取水井外围30米的区域。</w:t>
      </w:r>
    </w:p>
    <w:p>
      <w:pPr>
        <w:ind w:firstLine="480"/>
        <w:rPr>
          <w:bCs/>
          <w:color w:val="auto"/>
        </w:rPr>
      </w:pPr>
      <w:r>
        <w:rPr>
          <w:bCs/>
          <w:color w:val="auto"/>
        </w:rPr>
        <w:t>4.柳屯镇地下水井群</w:t>
      </w:r>
      <w:r>
        <w:rPr>
          <w:rFonts w:hint="eastAsia"/>
          <w:bCs/>
          <w:color w:val="auto"/>
        </w:rPr>
        <w:t>（</w:t>
      </w:r>
      <w:r>
        <w:rPr>
          <w:bCs/>
          <w:color w:val="auto"/>
        </w:rPr>
        <w:t>共2眼井</w:t>
      </w:r>
      <w:r>
        <w:rPr>
          <w:rFonts w:hint="eastAsia"/>
          <w:bCs/>
          <w:color w:val="auto"/>
        </w:rPr>
        <w:t>）</w:t>
      </w:r>
    </w:p>
    <w:p>
      <w:pPr>
        <w:ind w:firstLine="480"/>
        <w:rPr>
          <w:bCs/>
          <w:color w:val="auto"/>
        </w:rPr>
      </w:pPr>
      <w:r>
        <w:rPr>
          <w:bCs/>
          <w:color w:val="auto"/>
        </w:rPr>
        <w:t>一级保护区范围</w:t>
      </w:r>
      <w:r>
        <w:rPr>
          <w:rFonts w:hint="eastAsia"/>
          <w:bCs/>
          <w:color w:val="auto"/>
        </w:rPr>
        <w:t>：</w:t>
      </w:r>
      <w:r>
        <w:rPr>
          <w:bCs/>
          <w:color w:val="auto"/>
        </w:rPr>
        <w:t>取水井外围30米的区域。</w:t>
      </w:r>
    </w:p>
    <w:p>
      <w:pPr>
        <w:ind w:firstLine="480"/>
        <w:rPr>
          <w:bCs/>
          <w:color w:val="auto"/>
        </w:rPr>
      </w:pPr>
      <w:r>
        <w:rPr>
          <w:bCs/>
          <w:color w:val="auto"/>
        </w:rPr>
        <w:t>5.</w:t>
      </w:r>
      <w:r>
        <w:rPr>
          <w:rFonts w:hint="eastAsia"/>
          <w:bCs/>
          <w:color w:val="auto"/>
        </w:rPr>
        <w:t>王称堌</w:t>
      </w:r>
      <w:r>
        <w:rPr>
          <w:bCs/>
          <w:color w:val="auto"/>
        </w:rPr>
        <w:t>镇地下水井群</w:t>
      </w:r>
      <w:r>
        <w:rPr>
          <w:rFonts w:hint="eastAsia"/>
          <w:bCs/>
          <w:color w:val="auto"/>
        </w:rPr>
        <w:t>（</w:t>
      </w:r>
      <w:r>
        <w:rPr>
          <w:bCs/>
          <w:color w:val="auto"/>
        </w:rPr>
        <w:t>共2眼井</w:t>
      </w:r>
      <w:r>
        <w:rPr>
          <w:rFonts w:hint="eastAsia"/>
          <w:bCs/>
          <w:color w:val="auto"/>
        </w:rPr>
        <w:t>）</w:t>
      </w:r>
    </w:p>
    <w:p>
      <w:pPr>
        <w:ind w:firstLine="480"/>
        <w:rPr>
          <w:bCs/>
          <w:color w:val="auto"/>
        </w:rPr>
      </w:pPr>
      <w:r>
        <w:rPr>
          <w:bCs/>
          <w:color w:val="auto"/>
        </w:rPr>
        <w:t>一级保护区范围</w:t>
      </w:r>
      <w:r>
        <w:rPr>
          <w:rFonts w:hint="eastAsia"/>
          <w:bCs/>
          <w:color w:val="auto"/>
        </w:rPr>
        <w:t>：</w:t>
      </w:r>
      <w:r>
        <w:rPr>
          <w:bCs/>
          <w:color w:val="auto"/>
        </w:rPr>
        <w:t>水厂厂区及外围30米的区域</w:t>
      </w:r>
      <w:r>
        <w:rPr>
          <w:rFonts w:hint="eastAsia"/>
          <w:bCs/>
          <w:color w:val="auto"/>
        </w:rPr>
        <w:t>（</w:t>
      </w:r>
      <w:r>
        <w:rPr>
          <w:bCs/>
          <w:color w:val="auto"/>
        </w:rPr>
        <w:t>1号取水井</w:t>
      </w:r>
      <w:r>
        <w:rPr>
          <w:rFonts w:hint="eastAsia"/>
          <w:bCs/>
          <w:color w:val="auto"/>
        </w:rPr>
        <w:t>），</w:t>
      </w:r>
      <w:r>
        <w:rPr>
          <w:bCs/>
          <w:color w:val="auto"/>
        </w:rPr>
        <w:t>2号取水井外围30米的区域。</w:t>
      </w:r>
    </w:p>
    <w:p>
      <w:pPr>
        <w:ind w:firstLine="480"/>
        <w:rPr>
          <w:bCs/>
          <w:color w:val="auto"/>
        </w:rPr>
      </w:pPr>
      <w:r>
        <w:rPr>
          <w:bCs/>
          <w:color w:val="auto"/>
        </w:rPr>
        <w:t>6.八公桥镇地下水井群</w:t>
      </w:r>
      <w:r>
        <w:rPr>
          <w:rFonts w:hint="eastAsia"/>
          <w:bCs/>
          <w:color w:val="auto"/>
        </w:rPr>
        <w:t>（</w:t>
      </w:r>
      <w:r>
        <w:rPr>
          <w:bCs/>
          <w:color w:val="auto"/>
        </w:rPr>
        <w:t>共3眼井</w:t>
      </w:r>
      <w:r>
        <w:rPr>
          <w:rFonts w:hint="eastAsia"/>
          <w:bCs/>
          <w:color w:val="auto"/>
        </w:rPr>
        <w:t>）</w:t>
      </w:r>
    </w:p>
    <w:p>
      <w:pPr>
        <w:ind w:firstLine="480"/>
        <w:rPr>
          <w:bCs/>
          <w:color w:val="auto"/>
        </w:rPr>
      </w:pPr>
      <w:r>
        <w:rPr>
          <w:bCs/>
          <w:color w:val="auto"/>
        </w:rPr>
        <w:t>一级保护区范围</w:t>
      </w:r>
      <w:r>
        <w:rPr>
          <w:rFonts w:hint="eastAsia"/>
          <w:bCs/>
          <w:color w:val="auto"/>
        </w:rPr>
        <w:t>：</w:t>
      </w:r>
      <w:r>
        <w:rPr>
          <w:bCs/>
          <w:color w:val="auto"/>
        </w:rPr>
        <w:t>水厂厂区及外围东10米、西30米、南至023县道、北10米的区域。</w:t>
      </w:r>
    </w:p>
    <w:p>
      <w:pPr>
        <w:ind w:firstLine="480"/>
        <w:rPr>
          <w:bCs/>
          <w:color w:val="auto"/>
        </w:rPr>
      </w:pPr>
      <w:r>
        <w:rPr>
          <w:bCs/>
          <w:color w:val="auto"/>
        </w:rPr>
        <w:t>7.徐镇镇地下水井群</w:t>
      </w:r>
      <w:r>
        <w:rPr>
          <w:rFonts w:hint="eastAsia"/>
          <w:bCs/>
          <w:color w:val="auto"/>
        </w:rPr>
        <w:t>（</w:t>
      </w:r>
      <w:r>
        <w:rPr>
          <w:bCs/>
          <w:color w:val="auto"/>
        </w:rPr>
        <w:t>共2眼井</w:t>
      </w:r>
      <w:r>
        <w:rPr>
          <w:rFonts w:hint="eastAsia"/>
          <w:bCs/>
          <w:color w:val="auto"/>
        </w:rPr>
        <w:t>）</w:t>
      </w:r>
    </w:p>
    <w:p>
      <w:pPr>
        <w:ind w:firstLine="480"/>
        <w:rPr>
          <w:bCs/>
          <w:color w:val="auto"/>
        </w:rPr>
      </w:pPr>
      <w:r>
        <w:rPr>
          <w:bCs/>
          <w:color w:val="auto"/>
        </w:rPr>
        <w:t>一级保护区范围</w:t>
      </w:r>
      <w:r>
        <w:rPr>
          <w:rFonts w:hint="eastAsia"/>
          <w:bCs/>
          <w:color w:val="auto"/>
        </w:rPr>
        <w:t>：</w:t>
      </w:r>
      <w:r>
        <w:rPr>
          <w:bCs/>
          <w:color w:val="auto"/>
        </w:rPr>
        <w:t>水厂厂区及外围东30米、西30米、南30米、北75米的区域 </w:t>
      </w:r>
    </w:p>
    <w:p>
      <w:pPr>
        <w:ind w:firstLine="480"/>
        <w:rPr>
          <w:bCs/>
          <w:color w:val="auto"/>
        </w:rPr>
      </w:pPr>
      <w:r>
        <w:rPr>
          <w:bCs/>
          <w:color w:val="auto"/>
        </w:rPr>
        <w:t>8.海通乡地下水井群</w:t>
      </w:r>
      <w:r>
        <w:rPr>
          <w:rFonts w:hint="eastAsia"/>
          <w:bCs/>
          <w:color w:val="auto"/>
        </w:rPr>
        <w:t>（</w:t>
      </w:r>
      <w:r>
        <w:rPr>
          <w:bCs/>
          <w:color w:val="auto"/>
        </w:rPr>
        <w:t>共2眼井</w:t>
      </w:r>
      <w:r>
        <w:rPr>
          <w:rFonts w:hint="eastAsia"/>
          <w:bCs/>
          <w:color w:val="auto"/>
        </w:rPr>
        <w:t>）</w:t>
      </w:r>
    </w:p>
    <w:p>
      <w:pPr>
        <w:ind w:firstLine="480"/>
        <w:rPr>
          <w:bCs/>
          <w:color w:val="auto"/>
        </w:rPr>
      </w:pPr>
      <w:r>
        <w:rPr>
          <w:bCs/>
          <w:color w:val="auto"/>
        </w:rPr>
        <w:t>一级保护区范围</w:t>
      </w:r>
      <w:r>
        <w:rPr>
          <w:rFonts w:hint="eastAsia"/>
          <w:bCs/>
          <w:color w:val="auto"/>
        </w:rPr>
        <w:t>：</w:t>
      </w:r>
      <w:r>
        <w:rPr>
          <w:bCs/>
          <w:color w:val="auto"/>
        </w:rPr>
        <w:t>水厂厂区及外围东30米、西至212省道、南30米、北50米的区域。</w:t>
      </w:r>
    </w:p>
    <w:p>
      <w:pPr>
        <w:ind w:firstLine="480"/>
        <w:rPr>
          <w:bCs/>
          <w:color w:val="auto"/>
        </w:rPr>
      </w:pPr>
      <w:r>
        <w:rPr>
          <w:bCs/>
          <w:color w:val="auto"/>
        </w:rPr>
        <w:t>9.庆祖镇地下水并群</w:t>
      </w:r>
      <w:r>
        <w:rPr>
          <w:rFonts w:hint="eastAsia"/>
          <w:bCs/>
          <w:color w:val="auto"/>
        </w:rPr>
        <w:t>（</w:t>
      </w:r>
      <w:r>
        <w:rPr>
          <w:bCs/>
          <w:color w:val="auto"/>
        </w:rPr>
        <w:t>共3眼井</w:t>
      </w:r>
      <w:r>
        <w:rPr>
          <w:rFonts w:hint="eastAsia"/>
          <w:bCs/>
          <w:color w:val="auto"/>
        </w:rPr>
        <w:t>）</w:t>
      </w:r>
    </w:p>
    <w:p>
      <w:pPr>
        <w:ind w:firstLine="480"/>
        <w:rPr>
          <w:bCs/>
          <w:color w:val="auto"/>
        </w:rPr>
      </w:pPr>
      <w:r>
        <w:rPr>
          <w:bCs/>
          <w:color w:val="auto"/>
        </w:rPr>
        <w:t>一级保护区范围</w:t>
      </w:r>
      <w:r>
        <w:rPr>
          <w:rFonts w:hint="eastAsia"/>
          <w:bCs/>
          <w:color w:val="auto"/>
        </w:rPr>
        <w:t>：</w:t>
      </w:r>
      <w:r>
        <w:rPr>
          <w:bCs/>
          <w:color w:val="auto"/>
        </w:rPr>
        <w:t>水厂厂区及外围30米、东至Z036线的区域</w:t>
      </w:r>
      <w:r>
        <w:rPr>
          <w:rFonts w:hint="eastAsia"/>
          <w:bCs/>
          <w:color w:val="auto"/>
        </w:rPr>
        <w:t>（</w:t>
      </w:r>
      <w:r>
        <w:rPr>
          <w:bCs/>
          <w:color w:val="auto"/>
        </w:rPr>
        <w:t>2、3号取水井</w:t>
      </w:r>
      <w:r>
        <w:rPr>
          <w:rFonts w:hint="eastAsia"/>
          <w:bCs/>
          <w:color w:val="auto"/>
        </w:rPr>
        <w:t>），</w:t>
      </w:r>
      <w:r>
        <w:rPr>
          <w:bCs/>
          <w:color w:val="auto"/>
        </w:rPr>
        <w:t>1号取水井外围30米的区域。</w:t>
      </w:r>
    </w:p>
    <w:p>
      <w:pPr>
        <w:ind w:firstLine="480"/>
        <w:rPr>
          <w:bCs/>
          <w:color w:val="auto"/>
        </w:rPr>
      </w:pPr>
      <w:r>
        <w:rPr>
          <w:bCs/>
          <w:color w:val="auto"/>
        </w:rPr>
        <w:t>10.鲁河镇地下水井群</w:t>
      </w:r>
      <w:r>
        <w:rPr>
          <w:rFonts w:hint="eastAsia"/>
          <w:bCs/>
          <w:color w:val="auto"/>
        </w:rPr>
        <w:t>（</w:t>
      </w:r>
      <w:r>
        <w:rPr>
          <w:bCs/>
          <w:color w:val="auto"/>
        </w:rPr>
        <w:t>共4眼井</w:t>
      </w:r>
      <w:r>
        <w:rPr>
          <w:rFonts w:hint="eastAsia"/>
          <w:bCs/>
          <w:color w:val="auto"/>
        </w:rPr>
        <w:t>）</w:t>
      </w:r>
    </w:p>
    <w:p>
      <w:pPr>
        <w:ind w:firstLine="480"/>
        <w:rPr>
          <w:bCs/>
          <w:color w:val="auto"/>
        </w:rPr>
      </w:pPr>
      <w:r>
        <w:rPr>
          <w:bCs/>
          <w:color w:val="auto"/>
        </w:rPr>
        <w:t>一级保护区范围</w:t>
      </w:r>
      <w:r>
        <w:rPr>
          <w:rFonts w:hint="eastAsia"/>
          <w:bCs/>
          <w:color w:val="auto"/>
        </w:rPr>
        <w:t>：</w:t>
      </w:r>
      <w:r>
        <w:rPr>
          <w:bCs/>
          <w:color w:val="auto"/>
        </w:rPr>
        <w:t>寨上村水厂厂区及外围30米的区域</w:t>
      </w:r>
      <w:r>
        <w:rPr>
          <w:rFonts w:hint="eastAsia"/>
          <w:bCs/>
          <w:color w:val="auto"/>
        </w:rPr>
        <w:t>（</w:t>
      </w:r>
      <w:r>
        <w:rPr>
          <w:bCs/>
          <w:color w:val="auto"/>
        </w:rPr>
        <w:t>1号取水井</w:t>
      </w:r>
      <w:r>
        <w:rPr>
          <w:rFonts w:hint="eastAsia"/>
          <w:bCs/>
          <w:color w:val="auto"/>
        </w:rPr>
        <w:t>），</w:t>
      </w:r>
      <w:r>
        <w:rPr>
          <w:bCs/>
          <w:color w:val="auto"/>
        </w:rPr>
        <w:t>前杜庄水厂厂区及外围30米的区域</w:t>
      </w:r>
      <w:r>
        <w:rPr>
          <w:rFonts w:hint="eastAsia"/>
          <w:bCs/>
          <w:color w:val="auto"/>
        </w:rPr>
        <w:t>（</w:t>
      </w:r>
      <w:r>
        <w:rPr>
          <w:bCs/>
          <w:color w:val="auto"/>
        </w:rPr>
        <w:t>2、3号取水井</w:t>
      </w:r>
      <w:r>
        <w:rPr>
          <w:rFonts w:hint="eastAsia"/>
          <w:bCs/>
          <w:color w:val="auto"/>
        </w:rPr>
        <w:t>），</w:t>
      </w:r>
      <w:r>
        <w:rPr>
          <w:bCs/>
          <w:color w:val="auto"/>
        </w:rPr>
        <w:t>4号取水井外围30米的区域。</w:t>
      </w:r>
    </w:p>
    <w:p>
      <w:pPr>
        <w:ind w:firstLine="480"/>
        <w:rPr>
          <w:bCs/>
          <w:color w:val="auto"/>
        </w:rPr>
      </w:pPr>
      <w:r>
        <w:rPr>
          <w:bCs/>
          <w:color w:val="auto"/>
        </w:rPr>
        <w:t>11.户部寨镇地下水井群</w:t>
      </w:r>
      <w:r>
        <w:rPr>
          <w:rFonts w:hint="eastAsia"/>
          <w:bCs/>
          <w:color w:val="auto"/>
        </w:rPr>
        <w:t>（</w:t>
      </w:r>
      <w:r>
        <w:rPr>
          <w:bCs/>
          <w:color w:val="auto"/>
        </w:rPr>
        <w:t>共3眼井</w:t>
      </w:r>
      <w:r>
        <w:rPr>
          <w:rFonts w:hint="eastAsia"/>
          <w:bCs/>
          <w:color w:val="auto"/>
        </w:rPr>
        <w:t>）</w:t>
      </w:r>
    </w:p>
    <w:p>
      <w:pPr>
        <w:ind w:firstLine="480"/>
        <w:rPr>
          <w:bCs/>
          <w:color w:val="auto"/>
        </w:rPr>
      </w:pPr>
      <w:r>
        <w:rPr>
          <w:bCs/>
          <w:color w:val="auto"/>
        </w:rPr>
        <w:t>一级保护区范围</w:t>
      </w:r>
      <w:r>
        <w:rPr>
          <w:rFonts w:hint="eastAsia"/>
          <w:bCs/>
          <w:color w:val="auto"/>
        </w:rPr>
        <w:t>：</w:t>
      </w:r>
      <w:r>
        <w:rPr>
          <w:bCs/>
          <w:color w:val="auto"/>
        </w:rPr>
        <w:t>水厂厂区及外围东40米、西70米、南15米、北50米的区域。</w:t>
      </w:r>
    </w:p>
    <w:p>
      <w:pPr>
        <w:ind w:firstLine="480"/>
        <w:rPr>
          <w:bCs/>
          <w:color w:val="auto"/>
        </w:rPr>
      </w:pPr>
      <w:r>
        <w:rPr>
          <w:rFonts w:hint="eastAsia"/>
          <w:bCs/>
          <w:color w:val="auto"/>
        </w:rPr>
        <w:t>（</w:t>
      </w:r>
      <w:r>
        <w:rPr>
          <w:bCs/>
          <w:color w:val="auto"/>
        </w:rPr>
        <w:t>三</w:t>
      </w:r>
      <w:r>
        <w:rPr>
          <w:rFonts w:hint="eastAsia"/>
          <w:bCs/>
          <w:color w:val="auto"/>
        </w:rPr>
        <w:t>）</w:t>
      </w:r>
      <w:r>
        <w:rPr>
          <w:bCs/>
          <w:color w:val="auto"/>
        </w:rPr>
        <w:t>县域和镇域建成区</w:t>
      </w:r>
    </w:p>
    <w:p>
      <w:pPr>
        <w:snapToGrid/>
        <w:ind w:firstLine="480"/>
        <w:rPr>
          <w:bCs/>
          <w:color w:val="auto"/>
        </w:rPr>
      </w:pPr>
      <w:r>
        <w:rPr>
          <w:rFonts w:hint="eastAsia"/>
          <w:bCs/>
          <w:color w:val="auto"/>
        </w:rPr>
        <w:t>（</w:t>
      </w:r>
      <w:r>
        <w:rPr>
          <w:bCs/>
          <w:color w:val="auto"/>
        </w:rPr>
        <w:t>四</w:t>
      </w:r>
      <w:r>
        <w:rPr>
          <w:rFonts w:hint="eastAsia"/>
          <w:bCs/>
          <w:color w:val="auto"/>
        </w:rPr>
        <w:t>）</w:t>
      </w:r>
      <w:r>
        <w:rPr>
          <w:bCs/>
          <w:color w:val="auto"/>
        </w:rPr>
        <w:t>县风景名胜区的核心景区</w:t>
      </w:r>
    </w:p>
    <w:p>
      <w:pPr>
        <w:snapToGrid/>
        <w:ind w:firstLine="480"/>
        <w:rPr>
          <w:bCs/>
          <w:color w:val="auto"/>
        </w:rPr>
      </w:pPr>
      <w:r>
        <w:rPr>
          <w:bCs/>
          <w:color w:val="auto"/>
        </w:rPr>
        <w:t>瑕丘遗址、唐兀公碑等现有建设控制地带外延200米的区域。</w:t>
      </w:r>
    </w:p>
    <w:p>
      <w:pPr>
        <w:snapToGrid/>
        <w:ind w:firstLine="480"/>
        <w:rPr>
          <w:bCs/>
          <w:color w:val="auto"/>
        </w:rPr>
      </w:pPr>
      <w:r>
        <w:rPr>
          <w:rFonts w:hint="eastAsia"/>
          <w:bCs/>
          <w:color w:val="auto"/>
        </w:rPr>
        <w:t>（</w:t>
      </w:r>
      <w:r>
        <w:rPr>
          <w:bCs/>
          <w:color w:val="auto"/>
        </w:rPr>
        <w:t>五</w:t>
      </w:r>
      <w:r>
        <w:rPr>
          <w:rFonts w:hint="eastAsia"/>
          <w:bCs/>
          <w:color w:val="auto"/>
        </w:rPr>
        <w:t>）</w:t>
      </w:r>
      <w:r>
        <w:rPr>
          <w:bCs/>
          <w:color w:val="auto"/>
        </w:rPr>
        <w:t>濮阳县自然保护区</w:t>
      </w:r>
    </w:p>
    <w:p>
      <w:pPr>
        <w:ind w:firstLine="480"/>
        <w:rPr>
          <w:bCs/>
          <w:color w:val="auto"/>
        </w:rPr>
      </w:pPr>
      <w:r>
        <w:rPr>
          <w:bCs/>
          <w:color w:val="auto"/>
        </w:rPr>
        <w:t>1.金堤河国家湿地公园</w:t>
      </w:r>
      <w:r>
        <w:rPr>
          <w:rFonts w:hint="eastAsia"/>
          <w:bCs/>
          <w:color w:val="auto"/>
        </w:rPr>
        <w:t>：</w:t>
      </w:r>
      <w:r>
        <w:rPr>
          <w:bCs/>
          <w:color w:val="auto"/>
        </w:rPr>
        <w:t>主要以金堤河河道为主体</w:t>
      </w:r>
      <w:r>
        <w:rPr>
          <w:rFonts w:hint="eastAsia"/>
          <w:bCs/>
          <w:color w:val="auto"/>
        </w:rPr>
        <w:t>，</w:t>
      </w:r>
      <w:r>
        <w:rPr>
          <w:bCs/>
          <w:color w:val="auto"/>
        </w:rPr>
        <w:t>东至清河头乡桃园村桃园桥</w:t>
      </w:r>
      <w:r>
        <w:rPr>
          <w:rFonts w:hint="eastAsia"/>
          <w:bCs/>
          <w:color w:val="auto"/>
        </w:rPr>
        <w:t>，</w:t>
      </w:r>
      <w:r>
        <w:rPr>
          <w:bCs/>
          <w:color w:val="auto"/>
        </w:rPr>
        <w:t>南侧以滩涂地为界</w:t>
      </w:r>
      <w:r>
        <w:rPr>
          <w:rFonts w:hint="eastAsia"/>
          <w:bCs/>
          <w:color w:val="auto"/>
        </w:rPr>
        <w:t>，</w:t>
      </w:r>
      <w:r>
        <w:rPr>
          <w:bCs/>
          <w:color w:val="auto"/>
        </w:rPr>
        <w:t>西起城关镇南堤村</w:t>
      </w:r>
      <w:r>
        <w:rPr>
          <w:rFonts w:hint="eastAsia"/>
          <w:bCs/>
          <w:color w:val="auto"/>
        </w:rPr>
        <w:t>，</w:t>
      </w:r>
      <w:r>
        <w:rPr>
          <w:bCs/>
          <w:color w:val="auto"/>
        </w:rPr>
        <w:t>北以金堤为界。</w:t>
      </w:r>
    </w:p>
    <w:p>
      <w:pPr>
        <w:ind w:firstLine="480"/>
        <w:rPr>
          <w:bCs/>
          <w:color w:val="auto"/>
        </w:rPr>
      </w:pPr>
      <w:r>
        <w:rPr>
          <w:bCs/>
          <w:color w:val="auto"/>
        </w:rPr>
        <w:t>2.县黄河湿地自然保护区</w:t>
      </w:r>
      <w:r>
        <w:rPr>
          <w:rFonts w:hint="eastAsia"/>
          <w:bCs/>
          <w:color w:val="auto"/>
        </w:rPr>
        <w:t>：</w:t>
      </w:r>
      <w:r>
        <w:rPr>
          <w:bCs/>
          <w:color w:val="auto"/>
        </w:rPr>
        <w:t>西起濮阳县与长垣县交界处</w:t>
      </w:r>
      <w:r>
        <w:rPr>
          <w:rFonts w:hint="eastAsia"/>
          <w:bCs/>
          <w:color w:val="auto"/>
        </w:rPr>
        <w:t>，</w:t>
      </w:r>
      <w:r>
        <w:rPr>
          <w:bCs/>
          <w:color w:val="auto"/>
        </w:rPr>
        <w:t>东到梨园乡马家海村南</w:t>
      </w:r>
      <w:r>
        <w:rPr>
          <w:rFonts w:hint="eastAsia"/>
          <w:bCs/>
          <w:color w:val="auto"/>
        </w:rPr>
        <w:t>，</w:t>
      </w:r>
      <w:r>
        <w:rPr>
          <w:bCs/>
          <w:color w:val="auto"/>
        </w:rPr>
        <w:t>南部与山东省东明县隔河相望</w:t>
      </w:r>
      <w:r>
        <w:rPr>
          <w:rFonts w:hint="eastAsia"/>
          <w:bCs/>
          <w:color w:val="auto"/>
        </w:rPr>
        <w:t>，</w:t>
      </w:r>
      <w:r>
        <w:rPr>
          <w:bCs/>
          <w:color w:val="auto"/>
        </w:rPr>
        <w:t>北部从东到西依次为濮阳县的梨园乡、习城乡、郎中乡、渠村乡。</w:t>
      </w:r>
    </w:p>
    <w:p>
      <w:pPr>
        <w:ind w:firstLine="480"/>
        <w:rPr>
          <w:bCs/>
          <w:color w:val="auto"/>
        </w:rPr>
      </w:pPr>
      <w:r>
        <w:rPr>
          <w:rFonts w:hint="eastAsia"/>
          <w:bCs/>
          <w:color w:val="auto"/>
        </w:rPr>
        <w:t>（</w:t>
      </w:r>
      <w:r>
        <w:rPr>
          <w:bCs/>
          <w:color w:val="auto"/>
        </w:rPr>
        <w:t>六</w:t>
      </w:r>
      <w:r>
        <w:rPr>
          <w:rFonts w:hint="eastAsia"/>
          <w:bCs/>
          <w:color w:val="auto"/>
        </w:rPr>
        <w:t>）</w:t>
      </w:r>
      <w:r>
        <w:rPr>
          <w:bCs/>
          <w:color w:val="auto"/>
        </w:rPr>
        <w:t>马颊河</w:t>
      </w:r>
      <w:r>
        <w:rPr>
          <w:rFonts w:hint="eastAsia"/>
          <w:bCs/>
          <w:color w:val="auto"/>
        </w:rPr>
        <w:t>（</w:t>
      </w:r>
      <w:r>
        <w:rPr>
          <w:bCs/>
          <w:color w:val="auto"/>
        </w:rPr>
        <w:t>非饮用水水源</w:t>
      </w:r>
      <w:r>
        <w:rPr>
          <w:rFonts w:hint="eastAsia"/>
          <w:bCs/>
          <w:color w:val="auto"/>
        </w:rPr>
        <w:t>）</w:t>
      </w:r>
    </w:p>
    <w:p>
      <w:pPr>
        <w:ind w:firstLine="480"/>
        <w:rPr>
          <w:bCs/>
          <w:color w:val="auto"/>
        </w:rPr>
      </w:pPr>
      <w:r>
        <w:rPr>
          <w:bCs/>
          <w:color w:val="auto"/>
        </w:rPr>
        <w:t>马颊河重点保护区域</w:t>
      </w:r>
    </w:p>
    <w:p>
      <w:pPr>
        <w:ind w:firstLine="480"/>
        <w:rPr>
          <w:bCs/>
          <w:color w:val="auto"/>
        </w:rPr>
      </w:pPr>
      <w:r>
        <w:rPr>
          <w:rFonts w:hint="eastAsia"/>
          <w:bCs/>
          <w:color w:val="auto"/>
        </w:rPr>
        <w:t>（</w:t>
      </w:r>
      <w:r>
        <w:rPr>
          <w:bCs/>
          <w:color w:val="auto"/>
        </w:rPr>
        <w:t>七</w:t>
      </w:r>
      <w:r>
        <w:rPr>
          <w:rFonts w:hint="eastAsia"/>
          <w:bCs/>
          <w:color w:val="auto"/>
        </w:rPr>
        <w:t>）</w:t>
      </w:r>
      <w:r>
        <w:rPr>
          <w:bCs/>
          <w:color w:val="auto"/>
        </w:rPr>
        <w:t>法律、法规规定的其他禁养区域</w:t>
      </w:r>
    </w:p>
    <w:p>
      <w:pPr>
        <w:ind w:firstLine="482"/>
        <w:jc w:val="center"/>
        <w:rPr>
          <w:b/>
          <w:bCs/>
          <w:color w:val="auto"/>
          <w:szCs w:val="22"/>
        </w:rPr>
      </w:pPr>
      <w:r>
        <w:rPr>
          <w:b/>
          <w:bCs/>
          <w:color w:val="auto"/>
          <w:szCs w:val="22"/>
        </w:rPr>
        <w:t>表2.7-1 本项目与濮阳县畜禽养殖禁养区关系</w:t>
      </w:r>
    </w:p>
    <w:tbl>
      <w:tblPr>
        <w:tblStyle w:val="27"/>
        <w:tblW w:w="8946" w:type="dxa"/>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426"/>
        <w:gridCol w:w="5211"/>
        <w:gridCol w:w="2409"/>
        <w:gridCol w:w="900"/>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37" w:type="dxa"/>
            <w:gridSpan w:val="2"/>
            <w:vAlign w:val="center"/>
          </w:tcPr>
          <w:p>
            <w:pPr>
              <w:spacing w:line="360" w:lineRule="exact"/>
              <w:ind w:firstLine="420"/>
              <w:jc w:val="center"/>
              <w:rPr>
                <w:color w:val="auto"/>
                <w:kern w:val="0"/>
                <w:sz w:val="21"/>
                <w:szCs w:val="21"/>
              </w:rPr>
            </w:pPr>
            <w:r>
              <w:rPr>
                <w:rFonts w:hint="eastAsia"/>
                <w:color w:val="auto"/>
                <w:kern w:val="0"/>
                <w:sz w:val="21"/>
                <w:szCs w:val="21"/>
              </w:rPr>
              <w:t>《濮阳县人民政府办公室关于印发濮阳县畜禽养殖禁养区调整方案的通知》（濮县政办[2020]30号）</w:t>
            </w:r>
          </w:p>
        </w:tc>
        <w:tc>
          <w:tcPr>
            <w:tcW w:w="2409" w:type="dxa"/>
            <w:vAlign w:val="center"/>
          </w:tcPr>
          <w:p>
            <w:pPr>
              <w:spacing w:line="360" w:lineRule="exact"/>
              <w:ind w:firstLine="0" w:firstLineChars="0"/>
              <w:rPr>
                <w:color w:val="auto"/>
                <w:kern w:val="0"/>
                <w:sz w:val="21"/>
                <w:szCs w:val="21"/>
              </w:rPr>
            </w:pPr>
            <w:r>
              <w:rPr>
                <w:color w:val="auto"/>
                <w:kern w:val="0"/>
                <w:sz w:val="21"/>
                <w:szCs w:val="21"/>
              </w:rPr>
              <w:t>本项目与禁养区关系</w:t>
            </w:r>
          </w:p>
        </w:tc>
        <w:tc>
          <w:tcPr>
            <w:tcW w:w="900" w:type="dxa"/>
            <w:vAlign w:val="center"/>
          </w:tcPr>
          <w:p>
            <w:pPr>
              <w:spacing w:line="360" w:lineRule="exact"/>
              <w:ind w:firstLine="0" w:firstLineChars="0"/>
              <w:rPr>
                <w:color w:val="auto"/>
                <w:kern w:val="0"/>
                <w:sz w:val="21"/>
                <w:szCs w:val="21"/>
              </w:rPr>
            </w:pPr>
            <w:r>
              <w:rPr>
                <w:color w:val="auto"/>
                <w:kern w:val="0"/>
                <w:sz w:val="21"/>
                <w:szCs w:val="21"/>
              </w:rPr>
              <w:t>符合性</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058" w:hRule="atLeast"/>
          <w:jc w:val="center"/>
        </w:trPr>
        <w:tc>
          <w:tcPr>
            <w:tcW w:w="426" w:type="dxa"/>
            <w:vAlign w:val="center"/>
          </w:tcPr>
          <w:p>
            <w:pPr>
              <w:spacing w:line="360" w:lineRule="exact"/>
              <w:ind w:firstLine="420"/>
              <w:rPr>
                <w:color w:val="auto"/>
                <w:kern w:val="0"/>
                <w:sz w:val="21"/>
                <w:szCs w:val="21"/>
              </w:rPr>
            </w:pPr>
            <w:r>
              <w:rPr>
                <w:color w:val="auto"/>
                <w:kern w:val="0"/>
                <w:sz w:val="21"/>
                <w:szCs w:val="21"/>
              </w:rPr>
              <w:t>禁</w:t>
            </w:r>
          </w:p>
          <w:p>
            <w:pPr>
              <w:spacing w:line="360" w:lineRule="exact"/>
              <w:ind w:firstLine="420"/>
              <w:rPr>
                <w:color w:val="auto"/>
                <w:kern w:val="0"/>
                <w:sz w:val="21"/>
                <w:szCs w:val="21"/>
              </w:rPr>
            </w:pPr>
            <w:r>
              <w:rPr>
                <w:color w:val="auto"/>
                <w:kern w:val="0"/>
                <w:sz w:val="21"/>
                <w:szCs w:val="21"/>
              </w:rPr>
              <w:t>养</w:t>
            </w:r>
          </w:p>
          <w:p>
            <w:pPr>
              <w:spacing w:line="360" w:lineRule="exact"/>
              <w:ind w:firstLine="420"/>
              <w:rPr>
                <w:color w:val="auto"/>
                <w:kern w:val="0"/>
                <w:sz w:val="21"/>
                <w:szCs w:val="21"/>
              </w:rPr>
            </w:pPr>
            <w:r>
              <w:rPr>
                <w:color w:val="auto"/>
                <w:kern w:val="0"/>
                <w:sz w:val="21"/>
                <w:szCs w:val="21"/>
              </w:rPr>
              <w:t>区</w:t>
            </w:r>
          </w:p>
        </w:tc>
        <w:tc>
          <w:tcPr>
            <w:tcW w:w="5211" w:type="dxa"/>
            <w:vAlign w:val="center"/>
          </w:tcPr>
          <w:p>
            <w:pPr>
              <w:spacing w:line="360" w:lineRule="exact"/>
              <w:ind w:firstLine="420"/>
              <w:jc w:val="left"/>
              <w:rPr>
                <w:color w:val="auto"/>
                <w:sz w:val="21"/>
                <w:szCs w:val="21"/>
              </w:rPr>
            </w:pPr>
            <w:r>
              <w:rPr>
                <w:rFonts w:hint="eastAsia"/>
                <w:color w:val="auto"/>
                <w:sz w:val="21"/>
                <w:szCs w:val="21"/>
              </w:rPr>
              <w:t>（一）市饮用水水源一级保护区</w:t>
            </w:r>
          </w:p>
          <w:p>
            <w:pPr>
              <w:spacing w:line="360" w:lineRule="exact"/>
              <w:ind w:firstLine="420"/>
              <w:jc w:val="left"/>
              <w:rPr>
                <w:color w:val="auto"/>
                <w:sz w:val="21"/>
                <w:szCs w:val="21"/>
              </w:rPr>
            </w:pPr>
            <w:r>
              <w:rPr>
                <w:rFonts w:hint="eastAsia"/>
                <w:color w:val="auto"/>
                <w:sz w:val="21"/>
                <w:szCs w:val="21"/>
              </w:rPr>
              <w:t>西水坡饮用水水源一级保护区：黄河干流渠村引水口下游100米至上游青庄1号坝河道濮阳市界内至黄河左岸连坝坡角线外50米的区域，渠村引水口至渠首闸输水渠两侧连坝路之内的区域，渠村沉沙池外200米至黄河大堤外侧及濮清南干渠东侧的区域，西水坡调节池围墙以内的区域。</w:t>
            </w:r>
          </w:p>
          <w:p>
            <w:pPr>
              <w:spacing w:line="360" w:lineRule="exact"/>
              <w:ind w:firstLine="420"/>
              <w:jc w:val="left"/>
              <w:rPr>
                <w:color w:val="auto"/>
                <w:sz w:val="21"/>
                <w:szCs w:val="21"/>
              </w:rPr>
            </w:pPr>
            <w:r>
              <w:rPr>
                <w:rFonts w:hint="eastAsia"/>
                <w:color w:val="auto"/>
                <w:sz w:val="21"/>
                <w:szCs w:val="21"/>
              </w:rPr>
              <w:t>李子园地下水井群（共23眼井）饮用水水源一级保护区：取水井外50米的区域。</w:t>
            </w:r>
          </w:p>
          <w:p>
            <w:pPr>
              <w:spacing w:line="360" w:lineRule="exact"/>
              <w:ind w:firstLine="420"/>
              <w:jc w:val="left"/>
              <w:rPr>
                <w:color w:val="auto"/>
                <w:sz w:val="21"/>
                <w:szCs w:val="21"/>
              </w:rPr>
            </w:pPr>
            <w:r>
              <w:rPr>
                <w:rFonts w:hint="eastAsia"/>
                <w:color w:val="auto"/>
                <w:sz w:val="21"/>
                <w:szCs w:val="21"/>
              </w:rPr>
              <w:t>（二）乡镇集中饮用水水源一级保护区</w:t>
            </w:r>
          </w:p>
          <w:p>
            <w:pPr>
              <w:spacing w:line="360" w:lineRule="exact"/>
              <w:ind w:firstLine="420"/>
              <w:jc w:val="left"/>
              <w:rPr>
                <w:color w:val="auto"/>
                <w:sz w:val="21"/>
                <w:szCs w:val="21"/>
              </w:rPr>
            </w:pPr>
            <w:r>
              <w:rPr>
                <w:rFonts w:hint="eastAsia"/>
                <w:color w:val="auto"/>
                <w:sz w:val="21"/>
                <w:szCs w:val="21"/>
              </w:rPr>
              <w:t>1.胡状镇地下水井群（共3眼井）</w:t>
            </w:r>
          </w:p>
          <w:p>
            <w:pPr>
              <w:spacing w:line="360" w:lineRule="exact"/>
              <w:ind w:firstLine="420"/>
              <w:jc w:val="left"/>
              <w:rPr>
                <w:color w:val="auto"/>
                <w:sz w:val="21"/>
                <w:szCs w:val="21"/>
              </w:rPr>
            </w:pPr>
            <w:r>
              <w:rPr>
                <w:rFonts w:hint="eastAsia"/>
                <w:color w:val="auto"/>
                <w:sz w:val="21"/>
                <w:szCs w:val="21"/>
              </w:rPr>
              <w:t>一级保护区范围：供水站厂区及外围30米、西至106国道的区域（1、2号取水井），3号取水井外围30米、东至胡状镇政府的区域。</w:t>
            </w:r>
          </w:p>
          <w:p>
            <w:pPr>
              <w:spacing w:line="360" w:lineRule="exact"/>
              <w:ind w:firstLine="420"/>
              <w:jc w:val="left"/>
              <w:rPr>
                <w:color w:val="auto"/>
                <w:sz w:val="21"/>
                <w:szCs w:val="21"/>
              </w:rPr>
            </w:pPr>
            <w:r>
              <w:rPr>
                <w:rFonts w:hint="eastAsia"/>
                <w:color w:val="auto"/>
                <w:sz w:val="21"/>
                <w:szCs w:val="21"/>
              </w:rPr>
              <w:t>2.梁庄镇地下水井群（共2眼井）</w:t>
            </w:r>
          </w:p>
          <w:p>
            <w:pPr>
              <w:spacing w:line="360" w:lineRule="exact"/>
              <w:ind w:firstLine="420"/>
              <w:jc w:val="left"/>
              <w:rPr>
                <w:color w:val="auto"/>
                <w:sz w:val="21"/>
                <w:szCs w:val="21"/>
              </w:rPr>
            </w:pPr>
            <w:r>
              <w:rPr>
                <w:rFonts w:hint="eastAsia"/>
                <w:color w:val="auto"/>
                <w:sz w:val="21"/>
                <w:szCs w:val="21"/>
              </w:rPr>
              <w:t>一级保护区范围：供水站厂区及外围西30米、北30米、东至南小堤水水干渠、南至307省道的区城。</w:t>
            </w:r>
          </w:p>
          <w:p>
            <w:pPr>
              <w:spacing w:line="360" w:lineRule="exact"/>
              <w:ind w:firstLine="420"/>
              <w:jc w:val="left"/>
              <w:rPr>
                <w:color w:val="auto"/>
                <w:sz w:val="21"/>
                <w:szCs w:val="21"/>
              </w:rPr>
            </w:pPr>
            <w:r>
              <w:rPr>
                <w:rFonts w:hint="eastAsia"/>
                <w:color w:val="auto"/>
                <w:sz w:val="21"/>
                <w:szCs w:val="21"/>
              </w:rPr>
              <w:t>3.文留镇地下水井群（共5眼井）</w:t>
            </w:r>
          </w:p>
          <w:p>
            <w:pPr>
              <w:spacing w:line="360" w:lineRule="exact"/>
              <w:ind w:firstLine="420"/>
              <w:jc w:val="left"/>
              <w:rPr>
                <w:color w:val="auto"/>
                <w:sz w:val="21"/>
                <w:szCs w:val="21"/>
              </w:rPr>
            </w:pPr>
            <w:r>
              <w:rPr>
                <w:rFonts w:hint="eastAsia"/>
                <w:color w:val="auto"/>
                <w:sz w:val="21"/>
                <w:szCs w:val="21"/>
              </w:rPr>
              <w:t>一级保护区范围：供水站厂区及外围东30米、西至Z020线、南至文留镇法庭、北30米的区域（3、4号取水井）；1、2、5号取水井外围30米的区域。</w:t>
            </w:r>
          </w:p>
          <w:p>
            <w:pPr>
              <w:spacing w:line="360" w:lineRule="exact"/>
              <w:ind w:firstLine="420"/>
              <w:jc w:val="left"/>
              <w:rPr>
                <w:color w:val="auto"/>
                <w:sz w:val="21"/>
                <w:szCs w:val="21"/>
              </w:rPr>
            </w:pPr>
            <w:r>
              <w:rPr>
                <w:rFonts w:hint="eastAsia"/>
                <w:color w:val="auto"/>
                <w:sz w:val="21"/>
                <w:szCs w:val="21"/>
              </w:rPr>
              <w:t>4.柳屯镇地下水井群（共2眼井）</w:t>
            </w:r>
          </w:p>
          <w:p>
            <w:pPr>
              <w:spacing w:line="360" w:lineRule="exact"/>
              <w:ind w:firstLine="420"/>
              <w:jc w:val="left"/>
              <w:rPr>
                <w:color w:val="auto"/>
                <w:sz w:val="21"/>
                <w:szCs w:val="21"/>
              </w:rPr>
            </w:pPr>
            <w:r>
              <w:rPr>
                <w:rFonts w:hint="eastAsia"/>
                <w:color w:val="auto"/>
                <w:sz w:val="21"/>
                <w:szCs w:val="21"/>
              </w:rPr>
              <w:t>一级保护区范围：取水井外围30米的区域。</w:t>
            </w:r>
          </w:p>
          <w:p>
            <w:pPr>
              <w:spacing w:line="360" w:lineRule="exact"/>
              <w:ind w:firstLine="420"/>
              <w:jc w:val="left"/>
              <w:rPr>
                <w:color w:val="auto"/>
                <w:sz w:val="21"/>
                <w:szCs w:val="21"/>
              </w:rPr>
            </w:pPr>
            <w:r>
              <w:rPr>
                <w:rFonts w:hint="eastAsia"/>
                <w:color w:val="auto"/>
                <w:sz w:val="21"/>
                <w:szCs w:val="21"/>
              </w:rPr>
              <w:t>5.王称堌镇地下水井群（共2眼井）</w:t>
            </w:r>
          </w:p>
          <w:p>
            <w:pPr>
              <w:spacing w:line="360" w:lineRule="exact"/>
              <w:ind w:firstLine="420"/>
              <w:jc w:val="left"/>
              <w:rPr>
                <w:color w:val="auto"/>
                <w:sz w:val="21"/>
                <w:szCs w:val="21"/>
              </w:rPr>
            </w:pPr>
            <w:r>
              <w:rPr>
                <w:rFonts w:hint="eastAsia"/>
                <w:color w:val="auto"/>
                <w:sz w:val="21"/>
                <w:szCs w:val="21"/>
              </w:rPr>
              <w:t>一级保护区范围：水厂厂区及外围30米的区域（1号取水井），2号取水井外围30米的区域。</w:t>
            </w:r>
          </w:p>
          <w:p>
            <w:pPr>
              <w:spacing w:line="360" w:lineRule="exact"/>
              <w:ind w:firstLine="420"/>
              <w:jc w:val="left"/>
              <w:rPr>
                <w:color w:val="auto"/>
                <w:sz w:val="21"/>
                <w:szCs w:val="21"/>
              </w:rPr>
            </w:pPr>
            <w:r>
              <w:rPr>
                <w:rFonts w:hint="eastAsia"/>
                <w:color w:val="auto"/>
                <w:sz w:val="21"/>
                <w:szCs w:val="21"/>
              </w:rPr>
              <w:t>6.八公桥镇地下水井群（共3眼井）</w:t>
            </w:r>
          </w:p>
          <w:p>
            <w:pPr>
              <w:spacing w:line="360" w:lineRule="exact"/>
              <w:ind w:firstLine="420"/>
              <w:jc w:val="left"/>
              <w:rPr>
                <w:color w:val="auto"/>
                <w:sz w:val="21"/>
                <w:szCs w:val="21"/>
              </w:rPr>
            </w:pPr>
            <w:r>
              <w:rPr>
                <w:rFonts w:hint="eastAsia"/>
                <w:color w:val="auto"/>
                <w:sz w:val="21"/>
                <w:szCs w:val="21"/>
              </w:rPr>
              <w:t>一级保护区范围：水厂厂区及外围东10米、西30米、南至023县道、北10米的区域。</w:t>
            </w:r>
          </w:p>
          <w:p>
            <w:pPr>
              <w:spacing w:line="360" w:lineRule="exact"/>
              <w:ind w:firstLine="420"/>
              <w:jc w:val="left"/>
              <w:rPr>
                <w:color w:val="auto"/>
                <w:sz w:val="21"/>
                <w:szCs w:val="21"/>
              </w:rPr>
            </w:pPr>
            <w:r>
              <w:rPr>
                <w:rFonts w:hint="eastAsia"/>
                <w:color w:val="auto"/>
                <w:sz w:val="21"/>
                <w:szCs w:val="21"/>
              </w:rPr>
              <w:t>7.徐镇镇地下水井群（共2眼井）</w:t>
            </w:r>
          </w:p>
          <w:p>
            <w:pPr>
              <w:spacing w:line="360" w:lineRule="exact"/>
              <w:ind w:firstLine="420"/>
              <w:jc w:val="left"/>
              <w:rPr>
                <w:color w:val="auto"/>
                <w:sz w:val="21"/>
                <w:szCs w:val="21"/>
              </w:rPr>
            </w:pPr>
            <w:r>
              <w:rPr>
                <w:rFonts w:hint="eastAsia"/>
                <w:color w:val="auto"/>
                <w:sz w:val="21"/>
                <w:szCs w:val="21"/>
              </w:rPr>
              <w:t>一级保护区范围：水厂厂区及外围东30米、西30米、南30米、北75米的区域</w:t>
            </w:r>
          </w:p>
          <w:p>
            <w:pPr>
              <w:spacing w:line="360" w:lineRule="exact"/>
              <w:ind w:firstLine="420"/>
              <w:jc w:val="left"/>
              <w:rPr>
                <w:color w:val="auto"/>
                <w:sz w:val="21"/>
                <w:szCs w:val="21"/>
              </w:rPr>
            </w:pPr>
            <w:r>
              <w:rPr>
                <w:rFonts w:hint="eastAsia"/>
                <w:color w:val="auto"/>
                <w:sz w:val="21"/>
                <w:szCs w:val="21"/>
              </w:rPr>
              <w:t>8.海通乡地下水井群（共2眼井）</w:t>
            </w:r>
          </w:p>
          <w:p>
            <w:pPr>
              <w:spacing w:line="360" w:lineRule="exact"/>
              <w:ind w:firstLine="420"/>
              <w:jc w:val="left"/>
              <w:rPr>
                <w:color w:val="auto"/>
                <w:sz w:val="21"/>
                <w:szCs w:val="21"/>
              </w:rPr>
            </w:pPr>
            <w:r>
              <w:rPr>
                <w:rFonts w:hint="eastAsia"/>
                <w:color w:val="auto"/>
                <w:sz w:val="21"/>
                <w:szCs w:val="21"/>
              </w:rPr>
              <w:t>一级保护区范围：水厂厂区及外围东30米、西至212省道、南30米、北50米的区域。</w:t>
            </w:r>
          </w:p>
          <w:p>
            <w:pPr>
              <w:spacing w:line="360" w:lineRule="exact"/>
              <w:ind w:firstLine="420"/>
              <w:jc w:val="left"/>
              <w:rPr>
                <w:color w:val="auto"/>
                <w:sz w:val="21"/>
                <w:szCs w:val="21"/>
              </w:rPr>
            </w:pPr>
            <w:r>
              <w:rPr>
                <w:rFonts w:hint="eastAsia"/>
                <w:color w:val="auto"/>
                <w:sz w:val="21"/>
                <w:szCs w:val="21"/>
              </w:rPr>
              <w:t>9.庆祖镇地下水并群（共3眼井）</w:t>
            </w:r>
          </w:p>
          <w:p>
            <w:pPr>
              <w:spacing w:line="360" w:lineRule="exact"/>
              <w:ind w:firstLine="420"/>
              <w:jc w:val="left"/>
              <w:rPr>
                <w:color w:val="auto"/>
                <w:sz w:val="21"/>
                <w:szCs w:val="21"/>
              </w:rPr>
            </w:pPr>
            <w:r>
              <w:rPr>
                <w:rFonts w:hint="eastAsia"/>
                <w:color w:val="auto"/>
                <w:sz w:val="21"/>
                <w:szCs w:val="21"/>
              </w:rPr>
              <w:t>一级保护区范围：水厂厂区及外围30米、东至Z036线的区域（2、3号取水井），1号取水井外围30米的区域。</w:t>
            </w:r>
          </w:p>
          <w:p>
            <w:pPr>
              <w:spacing w:line="360" w:lineRule="exact"/>
              <w:ind w:firstLine="420"/>
              <w:jc w:val="left"/>
              <w:rPr>
                <w:color w:val="auto"/>
                <w:sz w:val="21"/>
                <w:szCs w:val="21"/>
              </w:rPr>
            </w:pPr>
            <w:r>
              <w:rPr>
                <w:rFonts w:hint="eastAsia"/>
                <w:color w:val="auto"/>
                <w:sz w:val="21"/>
                <w:szCs w:val="21"/>
              </w:rPr>
              <w:t>10.鲁河镇地下水井群（共4眼井）</w:t>
            </w:r>
          </w:p>
          <w:p>
            <w:pPr>
              <w:spacing w:line="360" w:lineRule="exact"/>
              <w:ind w:firstLine="420"/>
              <w:jc w:val="left"/>
              <w:rPr>
                <w:color w:val="auto"/>
                <w:sz w:val="21"/>
                <w:szCs w:val="21"/>
              </w:rPr>
            </w:pPr>
            <w:r>
              <w:rPr>
                <w:rFonts w:hint="eastAsia"/>
                <w:color w:val="auto"/>
                <w:sz w:val="21"/>
                <w:szCs w:val="21"/>
              </w:rPr>
              <w:t>一级保护区范围：寨上村水厂厂区及外围30米的区域（1号取水井），前杜庄水厂厂区及外围30米的区域（2、3号取水井），4号取水井外围30米的区域。</w:t>
            </w:r>
          </w:p>
          <w:p>
            <w:pPr>
              <w:spacing w:line="360" w:lineRule="exact"/>
              <w:ind w:firstLine="420"/>
              <w:jc w:val="left"/>
              <w:rPr>
                <w:color w:val="auto"/>
                <w:sz w:val="21"/>
                <w:szCs w:val="21"/>
              </w:rPr>
            </w:pPr>
            <w:r>
              <w:rPr>
                <w:rFonts w:hint="eastAsia"/>
                <w:color w:val="auto"/>
                <w:sz w:val="21"/>
                <w:szCs w:val="21"/>
              </w:rPr>
              <w:t>11.户部寨镇地下水井群（共3眼井）</w:t>
            </w:r>
          </w:p>
          <w:p>
            <w:pPr>
              <w:spacing w:line="360" w:lineRule="exact"/>
              <w:ind w:firstLine="420"/>
              <w:jc w:val="left"/>
              <w:rPr>
                <w:color w:val="auto"/>
                <w:sz w:val="21"/>
                <w:szCs w:val="21"/>
              </w:rPr>
            </w:pPr>
            <w:r>
              <w:rPr>
                <w:rFonts w:hint="eastAsia"/>
                <w:color w:val="auto"/>
                <w:sz w:val="21"/>
                <w:szCs w:val="21"/>
              </w:rPr>
              <w:t>一级保护区范围：水厂厂区及外围东40米、西70米、南15米、北50米的区域。</w:t>
            </w:r>
          </w:p>
          <w:p>
            <w:pPr>
              <w:spacing w:line="360" w:lineRule="exact"/>
              <w:ind w:firstLine="420"/>
              <w:jc w:val="left"/>
              <w:rPr>
                <w:color w:val="auto"/>
                <w:sz w:val="21"/>
                <w:szCs w:val="21"/>
              </w:rPr>
            </w:pPr>
            <w:r>
              <w:rPr>
                <w:rFonts w:hint="eastAsia"/>
                <w:color w:val="auto"/>
                <w:sz w:val="21"/>
                <w:szCs w:val="21"/>
              </w:rPr>
              <w:t>（三）县域和镇域建成区</w:t>
            </w:r>
          </w:p>
          <w:p>
            <w:pPr>
              <w:spacing w:line="360" w:lineRule="exact"/>
              <w:ind w:firstLine="420"/>
              <w:jc w:val="left"/>
              <w:rPr>
                <w:color w:val="auto"/>
                <w:sz w:val="21"/>
                <w:szCs w:val="21"/>
              </w:rPr>
            </w:pPr>
            <w:r>
              <w:rPr>
                <w:rFonts w:hint="eastAsia"/>
                <w:color w:val="auto"/>
                <w:sz w:val="21"/>
                <w:szCs w:val="21"/>
              </w:rPr>
              <w:t>（四）县风景名胜区的核心景区</w:t>
            </w:r>
          </w:p>
          <w:p>
            <w:pPr>
              <w:spacing w:line="360" w:lineRule="exact"/>
              <w:ind w:firstLine="420"/>
              <w:jc w:val="left"/>
              <w:rPr>
                <w:color w:val="auto"/>
                <w:sz w:val="21"/>
                <w:szCs w:val="21"/>
              </w:rPr>
            </w:pPr>
            <w:r>
              <w:rPr>
                <w:rFonts w:hint="eastAsia"/>
                <w:color w:val="auto"/>
                <w:sz w:val="21"/>
                <w:szCs w:val="21"/>
              </w:rPr>
              <w:t>瑕丘遗址、唐兀公碑等现有建设控制地带外延200米的区域。</w:t>
            </w:r>
          </w:p>
          <w:p>
            <w:pPr>
              <w:spacing w:line="360" w:lineRule="exact"/>
              <w:ind w:firstLine="420"/>
              <w:jc w:val="left"/>
              <w:rPr>
                <w:color w:val="auto"/>
                <w:sz w:val="21"/>
                <w:szCs w:val="21"/>
              </w:rPr>
            </w:pPr>
            <w:r>
              <w:rPr>
                <w:rFonts w:hint="eastAsia"/>
                <w:color w:val="auto"/>
                <w:sz w:val="21"/>
                <w:szCs w:val="21"/>
              </w:rPr>
              <w:t>（五）濮阳县自然保护区</w:t>
            </w:r>
          </w:p>
          <w:p>
            <w:pPr>
              <w:spacing w:line="360" w:lineRule="exact"/>
              <w:ind w:firstLine="420"/>
              <w:jc w:val="left"/>
              <w:rPr>
                <w:color w:val="auto"/>
                <w:sz w:val="21"/>
                <w:szCs w:val="21"/>
              </w:rPr>
            </w:pPr>
            <w:r>
              <w:rPr>
                <w:rFonts w:hint="eastAsia"/>
                <w:color w:val="auto"/>
                <w:sz w:val="21"/>
                <w:szCs w:val="21"/>
              </w:rPr>
              <w:t>1.金堤河国家湿地公园：主要以金堤河河道为主体，东至清河头乡桃园村桃园桥，南侧以滩涂地为界，西起城关镇南堤村，北以金堤为界。</w:t>
            </w:r>
          </w:p>
          <w:p>
            <w:pPr>
              <w:spacing w:line="360" w:lineRule="exact"/>
              <w:ind w:firstLine="420"/>
              <w:jc w:val="left"/>
              <w:rPr>
                <w:color w:val="auto"/>
                <w:sz w:val="21"/>
                <w:szCs w:val="21"/>
              </w:rPr>
            </w:pPr>
            <w:r>
              <w:rPr>
                <w:rFonts w:hint="eastAsia"/>
                <w:color w:val="auto"/>
                <w:sz w:val="21"/>
                <w:szCs w:val="21"/>
              </w:rPr>
              <w:t>2.县黄河湿地自然保护区：西起濮阳县与长垣县交界处，东到梨园乡马家海村南，南部与山东省东明县隔河相望，北部从东到西依次为濮阳县的梨园乡、习城乡、郎中乡、渠村乡。</w:t>
            </w:r>
          </w:p>
          <w:p>
            <w:pPr>
              <w:spacing w:line="360" w:lineRule="exact"/>
              <w:ind w:firstLine="420"/>
              <w:jc w:val="left"/>
              <w:rPr>
                <w:color w:val="auto"/>
                <w:sz w:val="21"/>
                <w:szCs w:val="21"/>
              </w:rPr>
            </w:pPr>
            <w:r>
              <w:rPr>
                <w:rFonts w:hint="eastAsia"/>
                <w:color w:val="auto"/>
                <w:sz w:val="21"/>
                <w:szCs w:val="21"/>
              </w:rPr>
              <w:t>（六）马颊河（非饮用水水源）</w:t>
            </w:r>
          </w:p>
          <w:p>
            <w:pPr>
              <w:spacing w:line="360" w:lineRule="exact"/>
              <w:ind w:firstLine="420"/>
              <w:jc w:val="left"/>
              <w:rPr>
                <w:color w:val="auto"/>
                <w:sz w:val="21"/>
                <w:szCs w:val="21"/>
              </w:rPr>
            </w:pPr>
            <w:r>
              <w:rPr>
                <w:rFonts w:hint="eastAsia"/>
                <w:color w:val="auto"/>
                <w:sz w:val="21"/>
                <w:szCs w:val="21"/>
              </w:rPr>
              <w:t>马颊河重点保护区域</w:t>
            </w:r>
          </w:p>
          <w:p>
            <w:pPr>
              <w:spacing w:line="360" w:lineRule="exact"/>
              <w:ind w:firstLine="420"/>
              <w:jc w:val="left"/>
              <w:rPr>
                <w:color w:val="auto"/>
                <w:sz w:val="21"/>
                <w:szCs w:val="21"/>
              </w:rPr>
            </w:pPr>
            <w:r>
              <w:rPr>
                <w:rFonts w:hint="eastAsia"/>
                <w:color w:val="auto"/>
                <w:sz w:val="21"/>
                <w:szCs w:val="21"/>
              </w:rPr>
              <w:t>（七）法律、法规规定的其他禁养区域</w:t>
            </w:r>
          </w:p>
        </w:tc>
        <w:tc>
          <w:tcPr>
            <w:tcW w:w="2409" w:type="dxa"/>
            <w:vAlign w:val="center"/>
          </w:tcPr>
          <w:p>
            <w:pPr>
              <w:spacing w:line="360" w:lineRule="exact"/>
              <w:ind w:firstLine="0" w:firstLineChars="0"/>
              <w:rPr>
                <w:color w:val="auto"/>
                <w:kern w:val="0"/>
                <w:sz w:val="21"/>
                <w:szCs w:val="21"/>
              </w:rPr>
            </w:pPr>
            <w:r>
              <w:rPr>
                <w:color w:val="auto"/>
                <w:kern w:val="0"/>
                <w:sz w:val="21"/>
                <w:szCs w:val="21"/>
              </w:rPr>
              <w:t>该项目不在上述区域内</w:t>
            </w:r>
          </w:p>
        </w:tc>
        <w:tc>
          <w:tcPr>
            <w:tcW w:w="900" w:type="dxa"/>
            <w:vAlign w:val="center"/>
          </w:tcPr>
          <w:p>
            <w:pPr>
              <w:spacing w:line="360" w:lineRule="exact"/>
              <w:ind w:firstLine="0" w:firstLineChars="0"/>
              <w:rPr>
                <w:color w:val="auto"/>
                <w:kern w:val="0"/>
                <w:sz w:val="21"/>
                <w:szCs w:val="21"/>
              </w:rPr>
            </w:pPr>
            <w:r>
              <w:rPr>
                <w:color w:val="auto"/>
                <w:kern w:val="0"/>
                <w:sz w:val="21"/>
                <w:szCs w:val="21"/>
              </w:rPr>
              <w:t>不在禁养区</w:t>
            </w:r>
          </w:p>
        </w:tc>
      </w:tr>
    </w:tbl>
    <w:p>
      <w:pPr>
        <w:ind w:firstLine="480"/>
        <w:rPr>
          <w:bCs/>
          <w:color w:val="auto"/>
        </w:rPr>
      </w:pPr>
      <w:r>
        <w:rPr>
          <w:bCs/>
          <w:color w:val="auto"/>
        </w:rPr>
        <w:t>项目所在地位于</w:t>
      </w:r>
      <w:r>
        <w:rPr>
          <w:color w:val="auto"/>
        </w:rPr>
        <w:t>濮阳县</w:t>
      </w:r>
      <w:r>
        <w:rPr>
          <w:rFonts w:hint="eastAsia"/>
          <w:color w:val="auto"/>
        </w:rPr>
        <w:t>五星乡</w:t>
      </w:r>
      <w:r>
        <w:rPr>
          <w:bCs/>
          <w:color w:val="auto"/>
        </w:rPr>
        <w:t>，拟建厂址远离城市和城镇规划区；远离饮用水源地以及自然保护区，根据</w:t>
      </w:r>
      <w:r>
        <w:rPr>
          <w:rFonts w:hint="eastAsia"/>
          <w:bCs/>
          <w:color w:val="auto"/>
        </w:rPr>
        <w:t>濮阳县农业农村局</w:t>
      </w:r>
      <w:r>
        <w:rPr>
          <w:bCs/>
          <w:color w:val="auto"/>
        </w:rPr>
        <w:t>出具的证明可知，项目选址不在</w:t>
      </w:r>
      <w:r>
        <w:rPr>
          <w:rFonts w:hint="eastAsia"/>
          <w:bCs/>
          <w:color w:val="auto"/>
        </w:rPr>
        <w:t>濮阳</w:t>
      </w:r>
      <w:r>
        <w:rPr>
          <w:bCs/>
          <w:color w:val="auto"/>
        </w:rPr>
        <w:t>县</w:t>
      </w:r>
      <w:r>
        <w:rPr>
          <w:rFonts w:hint="eastAsia"/>
          <w:bCs/>
          <w:color w:val="auto"/>
        </w:rPr>
        <w:t>调整</w:t>
      </w:r>
      <w:r>
        <w:rPr>
          <w:bCs/>
          <w:color w:val="auto"/>
        </w:rPr>
        <w:t>的禁养区范围内</w:t>
      </w:r>
      <w:r>
        <w:rPr>
          <w:rFonts w:hint="eastAsia"/>
          <w:bCs/>
          <w:color w:val="auto"/>
        </w:rPr>
        <w:t>，</w:t>
      </w:r>
      <w:r>
        <w:rPr>
          <w:bCs/>
          <w:color w:val="auto"/>
        </w:rPr>
        <w:t>项目建设符合</w:t>
      </w:r>
      <w:r>
        <w:rPr>
          <w:rFonts w:hint="eastAsia"/>
          <w:bCs/>
          <w:color w:val="auto"/>
        </w:rPr>
        <w:t>《濮阳县人民政府办公室关于印发濮阳县畜禽养殖禁养区调整方案的通知》（濮县政办[2020]2号）的要求。</w:t>
      </w:r>
    </w:p>
    <w:p>
      <w:pPr>
        <w:pStyle w:val="6"/>
        <w:numPr>
          <w:ilvl w:val="2"/>
          <w:numId w:val="0"/>
        </w:numPr>
        <w:adjustRightInd/>
        <w:snapToGrid/>
        <w:rPr>
          <w:color w:val="auto"/>
        </w:rPr>
      </w:pPr>
      <w:r>
        <w:rPr>
          <w:rFonts w:hint="eastAsia"/>
          <w:color w:val="auto"/>
          <w:lang w:val="en-US"/>
        </w:rPr>
        <w:t>2.7.3</w:t>
      </w:r>
      <w:r>
        <w:rPr>
          <w:color w:val="auto"/>
        </w:rPr>
        <w:t>“三线一单”相符性分析</w:t>
      </w:r>
    </w:p>
    <w:tbl>
      <w:tblPr>
        <w:tblStyle w:val="28"/>
        <w:tblW w:w="8943"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811"/>
        <w:gridCol w:w="1553"/>
        <w:gridCol w:w="3850"/>
        <w:gridCol w:w="72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811" w:type="dxa"/>
            <w:tcBorders>
              <w:tl2br w:val="nil"/>
              <w:tr2bl w:val="nil"/>
            </w:tcBorders>
            <w:vAlign w:val="center"/>
          </w:tcPr>
          <w:p>
            <w:pPr>
              <w:spacing w:line="240" w:lineRule="auto"/>
              <w:ind w:firstLine="420"/>
              <w:rPr>
                <w:bCs/>
                <w:color w:val="auto"/>
                <w:sz w:val="21"/>
                <w:szCs w:val="21"/>
              </w:rPr>
            </w:pPr>
            <w:r>
              <w:rPr>
                <w:bCs/>
                <w:color w:val="auto"/>
                <w:sz w:val="21"/>
                <w:szCs w:val="21"/>
              </w:rPr>
              <w:t>“通知”文号</w:t>
            </w:r>
          </w:p>
        </w:tc>
        <w:tc>
          <w:tcPr>
            <w:tcW w:w="1553" w:type="dxa"/>
            <w:tcBorders>
              <w:tl2br w:val="nil"/>
              <w:tr2bl w:val="nil"/>
            </w:tcBorders>
            <w:vAlign w:val="center"/>
          </w:tcPr>
          <w:p>
            <w:pPr>
              <w:spacing w:line="240" w:lineRule="auto"/>
              <w:ind w:firstLine="420"/>
              <w:rPr>
                <w:bCs/>
                <w:color w:val="auto"/>
                <w:sz w:val="21"/>
                <w:szCs w:val="21"/>
              </w:rPr>
            </w:pPr>
            <w:r>
              <w:rPr>
                <w:bCs/>
                <w:color w:val="auto"/>
                <w:sz w:val="21"/>
                <w:szCs w:val="21"/>
              </w:rPr>
              <w:t>类别</w:t>
            </w:r>
          </w:p>
        </w:tc>
        <w:tc>
          <w:tcPr>
            <w:tcW w:w="3850" w:type="dxa"/>
            <w:tcBorders>
              <w:tl2br w:val="nil"/>
              <w:tr2bl w:val="nil"/>
            </w:tcBorders>
            <w:vAlign w:val="center"/>
          </w:tcPr>
          <w:p>
            <w:pPr>
              <w:spacing w:line="240" w:lineRule="auto"/>
              <w:ind w:left="209" w:leftChars="87" w:firstLine="0" w:firstLineChars="0"/>
              <w:rPr>
                <w:bCs/>
                <w:color w:val="auto"/>
                <w:sz w:val="21"/>
                <w:szCs w:val="21"/>
              </w:rPr>
            </w:pPr>
            <w:r>
              <w:rPr>
                <w:bCs/>
                <w:color w:val="auto"/>
                <w:sz w:val="21"/>
                <w:szCs w:val="21"/>
              </w:rPr>
              <w:t>项目与三线一单相符性分析</w:t>
            </w:r>
          </w:p>
        </w:tc>
        <w:tc>
          <w:tcPr>
            <w:tcW w:w="729" w:type="dxa"/>
            <w:tcBorders>
              <w:tl2br w:val="nil"/>
              <w:tr2bl w:val="nil"/>
            </w:tcBorders>
            <w:vAlign w:val="center"/>
          </w:tcPr>
          <w:p>
            <w:pPr>
              <w:spacing w:line="240" w:lineRule="auto"/>
              <w:ind w:firstLine="0" w:firstLineChars="0"/>
              <w:jc w:val="center"/>
              <w:rPr>
                <w:bCs/>
                <w:color w:val="auto"/>
                <w:sz w:val="21"/>
                <w:szCs w:val="21"/>
              </w:rPr>
            </w:pPr>
            <w:r>
              <w:rPr>
                <w:bCs/>
                <w:color w:val="auto"/>
                <w:sz w:val="21"/>
                <w:szCs w:val="21"/>
              </w:rPr>
              <w:t>符合性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11" w:type="dxa"/>
            <w:vMerge w:val="restart"/>
            <w:tcBorders>
              <w:tl2br w:val="nil"/>
              <w:tr2bl w:val="nil"/>
            </w:tcBorders>
            <w:vAlign w:val="center"/>
          </w:tcPr>
          <w:p>
            <w:pPr>
              <w:spacing w:line="240" w:lineRule="auto"/>
              <w:ind w:firstLine="420"/>
              <w:rPr>
                <w:bCs/>
                <w:color w:val="auto"/>
                <w:sz w:val="21"/>
                <w:szCs w:val="21"/>
              </w:rPr>
            </w:pPr>
            <w:r>
              <w:rPr>
                <w:bCs/>
                <w:color w:val="auto"/>
                <w:sz w:val="21"/>
                <w:szCs w:val="21"/>
              </w:rPr>
              <w:t>《“十三五”环境影响评价改革实施方案》（环环评【2016】95号）</w:t>
            </w:r>
          </w:p>
        </w:tc>
        <w:tc>
          <w:tcPr>
            <w:tcW w:w="1553" w:type="dxa"/>
            <w:tcBorders>
              <w:tl2br w:val="nil"/>
              <w:tr2bl w:val="nil"/>
            </w:tcBorders>
            <w:vAlign w:val="center"/>
          </w:tcPr>
          <w:p>
            <w:pPr>
              <w:spacing w:line="240" w:lineRule="auto"/>
              <w:ind w:firstLine="0" w:firstLineChars="0"/>
              <w:rPr>
                <w:bCs/>
                <w:color w:val="auto"/>
                <w:sz w:val="21"/>
                <w:szCs w:val="21"/>
              </w:rPr>
            </w:pPr>
            <w:r>
              <w:rPr>
                <w:bCs/>
                <w:color w:val="auto"/>
                <w:sz w:val="21"/>
                <w:szCs w:val="21"/>
              </w:rPr>
              <w:t>生态保护红线</w:t>
            </w:r>
          </w:p>
        </w:tc>
        <w:tc>
          <w:tcPr>
            <w:tcW w:w="3850" w:type="dxa"/>
            <w:tcBorders>
              <w:tl2br w:val="nil"/>
              <w:tr2bl w:val="nil"/>
            </w:tcBorders>
            <w:vAlign w:val="center"/>
          </w:tcPr>
          <w:p>
            <w:pPr>
              <w:spacing w:line="240" w:lineRule="auto"/>
              <w:ind w:firstLine="0" w:firstLineChars="0"/>
              <w:rPr>
                <w:bCs/>
                <w:color w:val="auto"/>
                <w:sz w:val="21"/>
                <w:szCs w:val="21"/>
              </w:rPr>
            </w:pPr>
            <w:r>
              <w:rPr>
                <w:bCs/>
                <w:color w:val="auto"/>
                <w:sz w:val="21"/>
                <w:szCs w:val="21"/>
              </w:rPr>
              <w:t>项目位于</w:t>
            </w:r>
            <w:r>
              <w:rPr>
                <w:rFonts w:hint="eastAsia"/>
                <w:bCs/>
                <w:color w:val="auto"/>
                <w:sz w:val="21"/>
                <w:szCs w:val="21"/>
              </w:rPr>
              <w:t>河南省濮阳市濮阳县五星乡于屯村东</w:t>
            </w:r>
            <w:r>
              <w:rPr>
                <w:bCs/>
                <w:color w:val="auto"/>
                <w:sz w:val="21"/>
                <w:szCs w:val="21"/>
              </w:rPr>
              <w:t>，根据《河南省生态保护红线划定方案》可知，项目地不属于生态红线区域</w:t>
            </w:r>
          </w:p>
        </w:tc>
        <w:tc>
          <w:tcPr>
            <w:tcW w:w="729" w:type="dxa"/>
            <w:tcBorders>
              <w:tl2br w:val="nil"/>
              <w:tr2bl w:val="nil"/>
            </w:tcBorders>
            <w:vAlign w:val="center"/>
          </w:tcPr>
          <w:p>
            <w:pPr>
              <w:spacing w:line="240" w:lineRule="auto"/>
              <w:ind w:firstLine="210" w:firstLineChars="100"/>
              <w:jc w:val="center"/>
              <w:rPr>
                <w:bCs/>
                <w:color w:val="auto"/>
                <w:sz w:val="21"/>
                <w:szCs w:val="21"/>
              </w:rPr>
            </w:pPr>
          </w:p>
          <w:p>
            <w:pPr>
              <w:spacing w:line="240" w:lineRule="auto"/>
              <w:ind w:firstLine="0" w:firstLineChars="0"/>
              <w:jc w:val="center"/>
              <w:rPr>
                <w:bCs/>
                <w:color w:val="auto"/>
                <w:sz w:val="21"/>
                <w:szCs w:val="21"/>
              </w:rPr>
            </w:pPr>
            <w:r>
              <w:rPr>
                <w:bCs/>
                <w:color w:val="auto"/>
                <w:sz w:val="21"/>
                <w:szCs w:val="21"/>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811" w:type="dxa"/>
            <w:vMerge w:val="continue"/>
            <w:tcBorders>
              <w:tl2br w:val="nil"/>
              <w:tr2bl w:val="nil"/>
            </w:tcBorders>
            <w:vAlign w:val="center"/>
          </w:tcPr>
          <w:p>
            <w:pPr>
              <w:spacing w:line="240" w:lineRule="auto"/>
              <w:ind w:firstLine="420"/>
              <w:rPr>
                <w:bCs/>
                <w:color w:val="auto"/>
                <w:sz w:val="21"/>
                <w:szCs w:val="21"/>
              </w:rPr>
            </w:pPr>
          </w:p>
        </w:tc>
        <w:tc>
          <w:tcPr>
            <w:tcW w:w="1553" w:type="dxa"/>
            <w:tcBorders>
              <w:tl2br w:val="nil"/>
              <w:tr2bl w:val="nil"/>
            </w:tcBorders>
            <w:vAlign w:val="center"/>
          </w:tcPr>
          <w:p>
            <w:pPr>
              <w:spacing w:line="240" w:lineRule="auto"/>
              <w:ind w:firstLine="0" w:firstLineChars="0"/>
              <w:rPr>
                <w:bCs/>
                <w:color w:val="auto"/>
                <w:sz w:val="21"/>
                <w:szCs w:val="21"/>
              </w:rPr>
            </w:pPr>
            <w:r>
              <w:rPr>
                <w:bCs/>
                <w:color w:val="auto"/>
                <w:sz w:val="21"/>
                <w:szCs w:val="21"/>
              </w:rPr>
              <w:t>环境质量底线</w:t>
            </w:r>
          </w:p>
        </w:tc>
        <w:tc>
          <w:tcPr>
            <w:tcW w:w="3850" w:type="dxa"/>
            <w:tcBorders>
              <w:tl2br w:val="nil"/>
              <w:tr2bl w:val="nil"/>
            </w:tcBorders>
            <w:vAlign w:val="center"/>
          </w:tcPr>
          <w:p>
            <w:pPr>
              <w:spacing w:line="240" w:lineRule="auto"/>
              <w:ind w:firstLine="0" w:firstLineChars="0"/>
              <w:rPr>
                <w:bCs/>
                <w:color w:val="auto"/>
                <w:sz w:val="21"/>
                <w:szCs w:val="21"/>
              </w:rPr>
            </w:pPr>
            <w:r>
              <w:rPr>
                <w:bCs/>
                <w:color w:val="auto"/>
                <w:sz w:val="21"/>
                <w:szCs w:val="21"/>
              </w:rPr>
              <w:t>根据项目所在地环境现状调查和污染物排放影响预测，本项目营运后对区域内环境影响较小环境质量可以保持现有水平</w:t>
            </w:r>
          </w:p>
        </w:tc>
        <w:tc>
          <w:tcPr>
            <w:tcW w:w="729" w:type="dxa"/>
            <w:tcBorders>
              <w:tl2br w:val="nil"/>
              <w:tr2bl w:val="nil"/>
            </w:tcBorders>
            <w:vAlign w:val="center"/>
          </w:tcPr>
          <w:p>
            <w:pPr>
              <w:spacing w:line="240" w:lineRule="auto"/>
              <w:ind w:firstLine="210" w:firstLineChars="100"/>
              <w:jc w:val="center"/>
              <w:rPr>
                <w:bCs/>
                <w:color w:val="auto"/>
                <w:sz w:val="21"/>
                <w:szCs w:val="21"/>
              </w:rPr>
            </w:pPr>
          </w:p>
          <w:p>
            <w:pPr>
              <w:spacing w:line="240" w:lineRule="auto"/>
              <w:ind w:firstLine="0" w:firstLineChars="0"/>
              <w:jc w:val="center"/>
              <w:rPr>
                <w:bCs/>
                <w:color w:val="auto"/>
                <w:sz w:val="21"/>
                <w:szCs w:val="21"/>
              </w:rPr>
            </w:pPr>
            <w:r>
              <w:rPr>
                <w:bCs/>
                <w:color w:val="auto"/>
                <w:sz w:val="21"/>
                <w:szCs w:val="21"/>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811" w:type="dxa"/>
            <w:vMerge w:val="continue"/>
            <w:tcBorders>
              <w:tl2br w:val="nil"/>
              <w:tr2bl w:val="nil"/>
            </w:tcBorders>
            <w:vAlign w:val="center"/>
          </w:tcPr>
          <w:p>
            <w:pPr>
              <w:spacing w:line="240" w:lineRule="auto"/>
              <w:ind w:firstLine="420"/>
              <w:rPr>
                <w:bCs/>
                <w:color w:val="auto"/>
                <w:sz w:val="21"/>
                <w:szCs w:val="21"/>
              </w:rPr>
            </w:pPr>
          </w:p>
        </w:tc>
        <w:tc>
          <w:tcPr>
            <w:tcW w:w="1553" w:type="dxa"/>
            <w:tcBorders>
              <w:tl2br w:val="nil"/>
              <w:tr2bl w:val="nil"/>
            </w:tcBorders>
            <w:vAlign w:val="center"/>
          </w:tcPr>
          <w:p>
            <w:pPr>
              <w:spacing w:line="240" w:lineRule="auto"/>
              <w:ind w:firstLine="0" w:firstLineChars="0"/>
              <w:rPr>
                <w:bCs/>
                <w:color w:val="auto"/>
                <w:sz w:val="21"/>
                <w:szCs w:val="21"/>
              </w:rPr>
            </w:pPr>
            <w:r>
              <w:rPr>
                <w:bCs/>
                <w:color w:val="auto"/>
                <w:sz w:val="21"/>
                <w:szCs w:val="21"/>
              </w:rPr>
              <w:t>资源利用上线</w:t>
            </w:r>
          </w:p>
        </w:tc>
        <w:tc>
          <w:tcPr>
            <w:tcW w:w="3850" w:type="dxa"/>
            <w:tcBorders>
              <w:tl2br w:val="nil"/>
              <w:tr2bl w:val="nil"/>
            </w:tcBorders>
            <w:vAlign w:val="center"/>
          </w:tcPr>
          <w:p>
            <w:pPr>
              <w:spacing w:line="240" w:lineRule="auto"/>
              <w:ind w:firstLine="0" w:firstLineChars="0"/>
              <w:rPr>
                <w:bCs/>
                <w:color w:val="auto"/>
                <w:sz w:val="21"/>
                <w:szCs w:val="21"/>
              </w:rPr>
            </w:pPr>
            <w:r>
              <w:rPr>
                <w:rFonts w:hint="eastAsia"/>
                <w:bCs/>
                <w:color w:val="auto"/>
                <w:sz w:val="21"/>
                <w:szCs w:val="21"/>
              </w:rPr>
              <w:t>本项目不涉及自然资源资产，产生的废物均合理处理，不会对环境质量造成影响</w:t>
            </w:r>
          </w:p>
        </w:tc>
        <w:tc>
          <w:tcPr>
            <w:tcW w:w="729" w:type="dxa"/>
            <w:tcBorders>
              <w:tl2br w:val="nil"/>
              <w:tr2bl w:val="nil"/>
            </w:tcBorders>
            <w:vAlign w:val="center"/>
          </w:tcPr>
          <w:p>
            <w:pPr>
              <w:spacing w:line="240" w:lineRule="auto"/>
              <w:ind w:firstLine="0" w:firstLineChars="0"/>
              <w:jc w:val="center"/>
              <w:rPr>
                <w:bCs/>
                <w:color w:val="auto"/>
                <w:sz w:val="21"/>
                <w:szCs w:val="21"/>
              </w:rPr>
            </w:pPr>
          </w:p>
          <w:p>
            <w:pPr>
              <w:spacing w:line="240" w:lineRule="auto"/>
              <w:ind w:firstLine="0" w:firstLineChars="0"/>
              <w:jc w:val="center"/>
              <w:rPr>
                <w:bCs/>
                <w:color w:val="auto"/>
                <w:sz w:val="21"/>
                <w:szCs w:val="21"/>
              </w:rPr>
            </w:pPr>
            <w:r>
              <w:rPr>
                <w:bCs/>
                <w:color w:val="auto"/>
                <w:sz w:val="21"/>
                <w:szCs w:val="21"/>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811" w:type="dxa"/>
            <w:vMerge w:val="continue"/>
            <w:tcBorders>
              <w:tl2br w:val="nil"/>
              <w:tr2bl w:val="nil"/>
            </w:tcBorders>
            <w:vAlign w:val="center"/>
          </w:tcPr>
          <w:p>
            <w:pPr>
              <w:spacing w:line="240" w:lineRule="auto"/>
              <w:ind w:firstLine="420"/>
              <w:rPr>
                <w:bCs/>
                <w:color w:val="auto"/>
                <w:sz w:val="21"/>
                <w:szCs w:val="21"/>
              </w:rPr>
            </w:pPr>
          </w:p>
        </w:tc>
        <w:tc>
          <w:tcPr>
            <w:tcW w:w="1553" w:type="dxa"/>
            <w:tcBorders>
              <w:tl2br w:val="nil"/>
              <w:tr2bl w:val="nil"/>
            </w:tcBorders>
            <w:vAlign w:val="center"/>
          </w:tcPr>
          <w:p>
            <w:pPr>
              <w:spacing w:line="240" w:lineRule="auto"/>
              <w:ind w:firstLine="0" w:firstLineChars="0"/>
              <w:rPr>
                <w:bCs/>
                <w:color w:val="auto"/>
                <w:sz w:val="21"/>
                <w:szCs w:val="21"/>
              </w:rPr>
            </w:pPr>
            <w:r>
              <w:rPr>
                <w:bCs/>
                <w:color w:val="auto"/>
                <w:sz w:val="21"/>
                <w:szCs w:val="21"/>
              </w:rPr>
              <w:t>环境准入负面清单</w:t>
            </w:r>
          </w:p>
        </w:tc>
        <w:tc>
          <w:tcPr>
            <w:tcW w:w="3850" w:type="dxa"/>
            <w:tcBorders>
              <w:tl2br w:val="nil"/>
              <w:tr2bl w:val="nil"/>
            </w:tcBorders>
            <w:vAlign w:val="center"/>
          </w:tcPr>
          <w:p>
            <w:pPr>
              <w:spacing w:line="240" w:lineRule="auto"/>
              <w:ind w:firstLine="0" w:firstLineChars="0"/>
              <w:rPr>
                <w:bCs/>
                <w:color w:val="auto"/>
                <w:sz w:val="21"/>
                <w:szCs w:val="21"/>
              </w:rPr>
            </w:pPr>
            <w:r>
              <w:rPr>
                <w:bCs/>
                <w:color w:val="auto"/>
                <w:sz w:val="21"/>
                <w:szCs w:val="21"/>
              </w:rPr>
              <w:t>项目属于养殖业，</w:t>
            </w:r>
            <w:r>
              <w:rPr>
                <w:rFonts w:hint="eastAsia"/>
                <w:bCs/>
                <w:color w:val="auto"/>
                <w:sz w:val="21"/>
                <w:szCs w:val="21"/>
              </w:rPr>
              <w:t>养殖区</w:t>
            </w:r>
            <w:r>
              <w:rPr>
                <w:bCs/>
                <w:color w:val="auto"/>
                <w:sz w:val="21"/>
                <w:szCs w:val="21"/>
              </w:rPr>
              <w:t>距离周围村庄500米以上，不在禁养区和限养区，符合国家及地方各项产业政策</w:t>
            </w:r>
          </w:p>
        </w:tc>
        <w:tc>
          <w:tcPr>
            <w:tcW w:w="729" w:type="dxa"/>
            <w:tcBorders>
              <w:tl2br w:val="nil"/>
              <w:tr2bl w:val="nil"/>
            </w:tcBorders>
            <w:vAlign w:val="center"/>
          </w:tcPr>
          <w:p>
            <w:pPr>
              <w:spacing w:line="240" w:lineRule="auto"/>
              <w:ind w:firstLine="0" w:firstLineChars="0"/>
              <w:jc w:val="center"/>
              <w:rPr>
                <w:bCs/>
                <w:color w:val="auto"/>
                <w:sz w:val="21"/>
                <w:szCs w:val="21"/>
              </w:rPr>
            </w:pPr>
          </w:p>
          <w:p>
            <w:pPr>
              <w:spacing w:line="240" w:lineRule="auto"/>
              <w:ind w:firstLine="0" w:firstLineChars="0"/>
              <w:jc w:val="center"/>
              <w:rPr>
                <w:bCs/>
                <w:color w:val="auto"/>
                <w:sz w:val="21"/>
                <w:szCs w:val="21"/>
              </w:rPr>
            </w:pPr>
            <w:r>
              <w:rPr>
                <w:bCs/>
                <w:color w:val="auto"/>
                <w:sz w:val="21"/>
                <w:szCs w:val="21"/>
              </w:rPr>
              <w:t>符合</w:t>
            </w:r>
          </w:p>
        </w:tc>
      </w:tr>
    </w:tbl>
    <w:p>
      <w:pPr>
        <w:pStyle w:val="6"/>
        <w:numPr>
          <w:ilvl w:val="2"/>
          <w:numId w:val="0"/>
        </w:numPr>
        <w:rPr>
          <w:color w:val="auto"/>
          <w:lang w:val="en-US"/>
        </w:rPr>
      </w:pPr>
      <w:r>
        <w:rPr>
          <w:rFonts w:hint="eastAsia"/>
          <w:color w:val="auto"/>
          <w:lang w:val="en-US"/>
        </w:rPr>
        <w:t>2.7.4</w:t>
      </w:r>
      <w:r>
        <w:rPr>
          <w:color w:val="auto"/>
          <w:lang w:val="en-US"/>
        </w:rPr>
        <w:t xml:space="preserve"> 与《关于深化建设项目环境影响评价审批制度改革及优化建设项目“三同时”管理工作的实施细则（试行）》（濮环【2015】34号）的相符性分析</w:t>
      </w:r>
    </w:p>
    <w:p>
      <w:pPr>
        <w:pStyle w:val="26"/>
        <w:adjustRightInd/>
        <w:snapToGrid/>
        <w:spacing w:after="0" w:line="360" w:lineRule="auto"/>
        <w:ind w:left="0" w:leftChars="0" w:firstLine="480"/>
        <w:rPr>
          <w:rFonts w:cs="宋体"/>
          <w:bCs/>
          <w:color w:val="auto"/>
        </w:rPr>
      </w:pPr>
      <w:r>
        <w:rPr>
          <w:rFonts w:hint="eastAsia" w:cs="宋体"/>
          <w:bCs/>
          <w:color w:val="auto"/>
        </w:rPr>
        <w:t xml:space="preserve">按照《河南省环境保护厅关于深化建设项目环境影响评价审批制度改革的实施细则》（豫环文〔2015〕33号）及《河南省环境环保厅关于进一步优化建设项目“三同时”管理工作的通知》（豫环〔2014〕207号）文件要求，濮阳市制定了《关于深化建设项目环境影响评价审批制度改革及优化建设项目“三同时”管理工作的实施细则（试行）》（以下简称《细则》）。本项目与《实施细则》对比情况详见表2.7-2。 </w:t>
      </w:r>
    </w:p>
    <w:p>
      <w:pPr>
        <w:adjustRightInd/>
        <w:snapToGrid/>
        <w:ind w:firstLine="0" w:firstLineChars="0"/>
        <w:jc w:val="center"/>
        <w:rPr>
          <w:b/>
          <w:bCs/>
          <w:color w:val="auto"/>
        </w:rPr>
      </w:pPr>
      <w:r>
        <w:rPr>
          <w:b/>
          <w:bCs/>
          <w:color w:val="auto"/>
        </w:rPr>
        <w:t>表</w:t>
      </w:r>
      <w:r>
        <w:rPr>
          <w:rFonts w:hint="eastAsia"/>
          <w:b/>
          <w:bCs/>
          <w:color w:val="auto"/>
        </w:rPr>
        <w:t>2.7-2</w:t>
      </w:r>
      <w:r>
        <w:rPr>
          <w:b/>
          <w:bCs/>
          <w:color w:val="auto"/>
        </w:rPr>
        <w:t xml:space="preserve">  本项目与实施细则对比情况一览表</w:t>
      </w:r>
    </w:p>
    <w:tbl>
      <w:tblPr>
        <w:tblStyle w:val="28"/>
        <w:tblW w:w="8946"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8"/>
        <w:gridCol w:w="911"/>
        <w:gridCol w:w="1138"/>
        <w:gridCol w:w="3760"/>
        <w:gridCol w:w="1166"/>
        <w:gridCol w:w="125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718" w:type="dxa"/>
            <w:tcBorders>
              <w:tl2br w:val="nil"/>
              <w:tr2bl w:val="nil"/>
            </w:tcBorders>
            <w:vAlign w:val="center"/>
          </w:tcPr>
          <w:p>
            <w:pPr>
              <w:pStyle w:val="26"/>
              <w:adjustRightInd/>
              <w:snapToGrid/>
              <w:spacing w:after="0" w:line="240" w:lineRule="exact"/>
              <w:ind w:left="0" w:leftChars="0" w:firstLine="0" w:firstLineChars="0"/>
              <w:jc w:val="center"/>
              <w:rPr>
                <w:rFonts w:ascii="宋体" w:hAnsi="宋体" w:cs="宋体"/>
                <w:bCs/>
                <w:color w:val="auto"/>
                <w:sz w:val="21"/>
                <w:szCs w:val="21"/>
              </w:rPr>
            </w:pPr>
            <w:r>
              <w:rPr>
                <w:rFonts w:hint="eastAsia" w:ascii="宋体" w:hAnsi="宋体" w:cs="宋体"/>
                <w:bCs/>
                <w:color w:val="auto"/>
                <w:sz w:val="21"/>
                <w:szCs w:val="21"/>
              </w:rPr>
              <w:t>类别</w:t>
            </w:r>
          </w:p>
        </w:tc>
        <w:tc>
          <w:tcPr>
            <w:tcW w:w="5809" w:type="dxa"/>
            <w:gridSpan w:val="3"/>
            <w:tcBorders>
              <w:tl2br w:val="nil"/>
              <w:tr2bl w:val="nil"/>
            </w:tcBorders>
            <w:vAlign w:val="center"/>
          </w:tcPr>
          <w:p>
            <w:pPr>
              <w:pStyle w:val="26"/>
              <w:adjustRightInd/>
              <w:snapToGrid/>
              <w:spacing w:after="0" w:line="240" w:lineRule="exact"/>
              <w:ind w:left="0" w:leftChars="0" w:firstLine="0" w:firstLineChars="0"/>
              <w:jc w:val="center"/>
              <w:rPr>
                <w:rFonts w:ascii="宋体" w:hAnsi="宋体" w:cs="宋体"/>
                <w:bCs/>
                <w:color w:val="auto"/>
                <w:sz w:val="21"/>
                <w:szCs w:val="21"/>
              </w:rPr>
            </w:pPr>
            <w:r>
              <w:rPr>
                <w:rFonts w:hint="eastAsia" w:ascii="宋体" w:hAnsi="宋体" w:cs="宋体"/>
                <w:bCs/>
                <w:color w:val="auto"/>
                <w:sz w:val="21"/>
                <w:szCs w:val="21"/>
              </w:rPr>
              <w:t>实施细则中相关规定</w:t>
            </w:r>
          </w:p>
        </w:tc>
        <w:tc>
          <w:tcPr>
            <w:tcW w:w="1166" w:type="dxa"/>
            <w:tcBorders>
              <w:tl2br w:val="nil"/>
              <w:tr2bl w:val="nil"/>
            </w:tcBorders>
            <w:vAlign w:val="center"/>
          </w:tcPr>
          <w:p>
            <w:pPr>
              <w:pStyle w:val="26"/>
              <w:adjustRightInd/>
              <w:snapToGrid/>
              <w:spacing w:after="0" w:line="240" w:lineRule="exact"/>
              <w:ind w:left="0" w:leftChars="0" w:firstLine="0" w:firstLineChars="0"/>
              <w:jc w:val="center"/>
              <w:rPr>
                <w:rFonts w:ascii="宋体" w:hAnsi="宋体" w:cs="宋体"/>
                <w:bCs/>
                <w:color w:val="auto"/>
                <w:sz w:val="21"/>
                <w:szCs w:val="21"/>
              </w:rPr>
            </w:pPr>
            <w:r>
              <w:rPr>
                <w:rFonts w:hint="eastAsia" w:ascii="宋体" w:hAnsi="宋体" w:cs="宋体"/>
                <w:bCs/>
                <w:color w:val="auto"/>
                <w:sz w:val="21"/>
                <w:szCs w:val="21"/>
              </w:rPr>
              <w:t>对照情况</w:t>
            </w:r>
          </w:p>
        </w:tc>
        <w:tc>
          <w:tcPr>
            <w:tcW w:w="1253" w:type="dxa"/>
            <w:tcBorders>
              <w:tl2br w:val="nil"/>
              <w:tr2bl w:val="nil"/>
            </w:tcBorders>
            <w:vAlign w:val="center"/>
          </w:tcPr>
          <w:p>
            <w:pPr>
              <w:pStyle w:val="26"/>
              <w:adjustRightInd/>
              <w:snapToGrid/>
              <w:spacing w:after="0" w:line="240" w:lineRule="exact"/>
              <w:ind w:left="0" w:leftChars="0" w:firstLine="0" w:firstLineChars="0"/>
              <w:jc w:val="center"/>
              <w:rPr>
                <w:rFonts w:ascii="宋体" w:hAnsi="宋体" w:cs="宋体"/>
                <w:bCs/>
                <w:color w:val="auto"/>
                <w:sz w:val="21"/>
                <w:szCs w:val="21"/>
              </w:rPr>
            </w:pPr>
            <w:r>
              <w:rPr>
                <w:rFonts w:hint="eastAsia" w:ascii="宋体" w:hAnsi="宋体" w:cs="宋体"/>
                <w:bCs/>
                <w:color w:val="auto"/>
                <w:sz w:val="21"/>
                <w:szCs w:val="21"/>
              </w:rPr>
              <w:t>结论/备注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718" w:type="dxa"/>
            <w:vMerge w:val="restart"/>
            <w:tcBorders>
              <w:tl2br w:val="nil"/>
              <w:tr2bl w:val="nil"/>
            </w:tcBorders>
            <w:vAlign w:val="center"/>
          </w:tcPr>
          <w:p>
            <w:pPr>
              <w:pStyle w:val="26"/>
              <w:adjustRightInd/>
              <w:snapToGrid/>
              <w:spacing w:after="0" w:line="240" w:lineRule="exact"/>
              <w:ind w:left="0" w:leftChars="0" w:firstLine="0" w:firstLineChars="0"/>
              <w:jc w:val="center"/>
              <w:rPr>
                <w:rFonts w:ascii="宋体" w:hAnsi="宋体" w:cs="宋体"/>
                <w:bCs/>
                <w:color w:val="auto"/>
                <w:sz w:val="21"/>
                <w:szCs w:val="21"/>
              </w:rPr>
            </w:pPr>
            <w:r>
              <w:rPr>
                <w:rFonts w:hint="eastAsia" w:ascii="宋体" w:hAnsi="宋体" w:cs="宋体"/>
                <w:bCs/>
                <w:color w:val="auto"/>
                <w:sz w:val="21"/>
                <w:szCs w:val="21"/>
              </w:rPr>
              <w:t>主体功能区分区</w:t>
            </w:r>
          </w:p>
        </w:tc>
        <w:tc>
          <w:tcPr>
            <w:tcW w:w="911" w:type="dxa"/>
            <w:vMerge w:val="restart"/>
            <w:tcBorders>
              <w:tl2br w:val="nil"/>
              <w:tr2bl w:val="nil"/>
            </w:tcBorders>
            <w:vAlign w:val="center"/>
          </w:tcPr>
          <w:p>
            <w:pPr>
              <w:pStyle w:val="26"/>
              <w:adjustRightInd/>
              <w:snapToGrid/>
              <w:spacing w:after="0" w:line="240" w:lineRule="exact"/>
              <w:ind w:left="0" w:leftChars="0" w:firstLine="0" w:firstLineChars="0"/>
              <w:jc w:val="center"/>
              <w:rPr>
                <w:rFonts w:ascii="宋体" w:hAnsi="宋体" w:cs="宋体"/>
                <w:bCs/>
                <w:color w:val="auto"/>
                <w:sz w:val="21"/>
                <w:szCs w:val="21"/>
              </w:rPr>
            </w:pPr>
            <w:r>
              <w:rPr>
                <w:rFonts w:hint="eastAsia" w:ascii="宋体" w:hAnsi="宋体" w:cs="宋体"/>
                <w:bCs/>
                <w:color w:val="auto"/>
                <w:sz w:val="21"/>
                <w:szCs w:val="21"/>
              </w:rPr>
              <w:t>限制开发区域</w:t>
            </w:r>
          </w:p>
        </w:tc>
        <w:tc>
          <w:tcPr>
            <w:tcW w:w="1138" w:type="dxa"/>
            <w:tcBorders>
              <w:tl2br w:val="nil"/>
              <w:tr2bl w:val="nil"/>
            </w:tcBorders>
            <w:vAlign w:val="center"/>
          </w:tcPr>
          <w:p>
            <w:pPr>
              <w:pStyle w:val="26"/>
              <w:adjustRightInd/>
              <w:snapToGrid/>
              <w:spacing w:after="0" w:line="240" w:lineRule="exact"/>
              <w:ind w:left="0" w:leftChars="0" w:firstLine="0" w:firstLineChars="0"/>
              <w:jc w:val="center"/>
              <w:rPr>
                <w:rFonts w:ascii="宋体" w:hAnsi="宋体" w:cs="宋体"/>
                <w:bCs/>
                <w:color w:val="auto"/>
                <w:sz w:val="21"/>
                <w:szCs w:val="21"/>
              </w:rPr>
            </w:pPr>
            <w:r>
              <w:rPr>
                <w:rFonts w:hint="eastAsia" w:ascii="宋体" w:hAnsi="宋体" w:cs="宋体"/>
                <w:bCs/>
                <w:color w:val="auto"/>
                <w:sz w:val="21"/>
                <w:szCs w:val="21"/>
              </w:rPr>
              <w:t>农产品主产区</w:t>
            </w:r>
          </w:p>
        </w:tc>
        <w:tc>
          <w:tcPr>
            <w:tcW w:w="3760" w:type="dxa"/>
            <w:tcBorders>
              <w:tl2br w:val="nil"/>
              <w:tr2bl w:val="nil"/>
            </w:tcBorders>
            <w:vAlign w:val="center"/>
          </w:tcPr>
          <w:p>
            <w:pPr>
              <w:pStyle w:val="26"/>
              <w:adjustRightInd/>
              <w:snapToGrid/>
              <w:spacing w:after="0" w:line="240" w:lineRule="exact"/>
              <w:ind w:left="0" w:leftChars="0" w:firstLine="0" w:firstLineChars="0"/>
              <w:jc w:val="center"/>
              <w:rPr>
                <w:rFonts w:ascii="宋体" w:hAnsi="宋体" w:cs="宋体"/>
                <w:bCs/>
                <w:color w:val="auto"/>
                <w:sz w:val="21"/>
                <w:szCs w:val="21"/>
              </w:rPr>
            </w:pPr>
            <w:r>
              <w:rPr>
                <w:rFonts w:hint="eastAsia" w:ascii="宋体" w:hAnsi="宋体" w:cs="宋体"/>
                <w:bCs/>
                <w:color w:val="auto"/>
                <w:sz w:val="21"/>
                <w:szCs w:val="21"/>
              </w:rPr>
              <w:t>清丰县、南乐县、范县、台前县（除工业准入优先区、城市人居功能区及禁止开发区域以外范围））</w:t>
            </w:r>
          </w:p>
        </w:tc>
        <w:tc>
          <w:tcPr>
            <w:tcW w:w="1166" w:type="dxa"/>
            <w:vMerge w:val="restart"/>
            <w:tcBorders>
              <w:tl2br w:val="nil"/>
              <w:tr2bl w:val="nil"/>
            </w:tcBorders>
            <w:vAlign w:val="center"/>
          </w:tcPr>
          <w:p>
            <w:pPr>
              <w:pStyle w:val="26"/>
              <w:adjustRightInd/>
              <w:snapToGrid/>
              <w:spacing w:after="0" w:line="240" w:lineRule="exact"/>
              <w:ind w:left="0" w:leftChars="0" w:firstLine="0" w:firstLineChars="0"/>
              <w:jc w:val="center"/>
              <w:rPr>
                <w:rFonts w:ascii="宋体" w:hAnsi="宋体" w:cs="宋体"/>
                <w:bCs/>
                <w:color w:val="auto"/>
                <w:sz w:val="21"/>
                <w:szCs w:val="21"/>
              </w:rPr>
            </w:pPr>
            <w:r>
              <w:rPr>
                <w:rFonts w:hint="eastAsia" w:ascii="宋体" w:hAnsi="宋体" w:cs="宋体"/>
                <w:bCs/>
                <w:color w:val="auto"/>
                <w:sz w:val="21"/>
                <w:szCs w:val="21"/>
              </w:rPr>
              <w:t>本项目河南省濮阳市濮阳县五星乡于屯村东</w:t>
            </w:r>
          </w:p>
        </w:tc>
        <w:tc>
          <w:tcPr>
            <w:tcW w:w="1253" w:type="dxa"/>
            <w:tcBorders>
              <w:tl2br w:val="nil"/>
              <w:tr2bl w:val="nil"/>
            </w:tcBorders>
            <w:vAlign w:val="center"/>
          </w:tcPr>
          <w:p>
            <w:pPr>
              <w:pStyle w:val="26"/>
              <w:adjustRightInd/>
              <w:snapToGrid/>
              <w:spacing w:after="0" w:line="240" w:lineRule="exact"/>
              <w:ind w:left="0" w:leftChars="0" w:firstLine="0" w:firstLineChars="0"/>
              <w:jc w:val="left"/>
              <w:rPr>
                <w:rFonts w:ascii="宋体" w:hAnsi="宋体" w:cs="宋体"/>
                <w:bCs/>
                <w:color w:val="auto"/>
                <w:sz w:val="21"/>
                <w:szCs w:val="21"/>
              </w:rPr>
            </w:pPr>
            <w:r>
              <w:rPr>
                <w:rFonts w:hint="eastAsia" w:ascii="宋体" w:hAnsi="宋体" w:cs="宋体"/>
                <w:bCs/>
                <w:color w:val="auto"/>
                <w:sz w:val="21"/>
                <w:szCs w:val="21"/>
              </w:rPr>
              <w:t>项目选址属于农产品主产区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4" w:hRule="atLeast"/>
          <w:jc w:val="center"/>
        </w:trPr>
        <w:tc>
          <w:tcPr>
            <w:tcW w:w="718" w:type="dxa"/>
            <w:vMerge w:val="continue"/>
            <w:tcBorders>
              <w:tl2br w:val="nil"/>
              <w:tr2bl w:val="nil"/>
            </w:tcBorders>
            <w:vAlign w:val="center"/>
          </w:tcPr>
          <w:p>
            <w:pPr>
              <w:pStyle w:val="26"/>
              <w:adjustRightInd/>
              <w:snapToGrid/>
              <w:spacing w:after="0" w:line="240" w:lineRule="exact"/>
              <w:ind w:left="0" w:leftChars="0" w:firstLine="0" w:firstLineChars="0"/>
              <w:jc w:val="center"/>
              <w:rPr>
                <w:rFonts w:ascii="宋体" w:hAnsi="宋体" w:cs="宋体"/>
                <w:bCs/>
                <w:color w:val="auto"/>
                <w:sz w:val="21"/>
                <w:szCs w:val="21"/>
              </w:rPr>
            </w:pPr>
          </w:p>
        </w:tc>
        <w:tc>
          <w:tcPr>
            <w:tcW w:w="911" w:type="dxa"/>
            <w:vMerge w:val="continue"/>
            <w:tcBorders>
              <w:tl2br w:val="nil"/>
              <w:tr2bl w:val="nil"/>
            </w:tcBorders>
            <w:vAlign w:val="center"/>
          </w:tcPr>
          <w:p>
            <w:pPr>
              <w:pStyle w:val="26"/>
              <w:adjustRightInd/>
              <w:snapToGrid/>
              <w:spacing w:after="0" w:line="240" w:lineRule="exact"/>
              <w:ind w:left="0" w:leftChars="0" w:firstLine="0" w:firstLineChars="0"/>
              <w:jc w:val="center"/>
              <w:rPr>
                <w:rFonts w:ascii="宋体" w:hAnsi="宋体" w:cs="宋体"/>
                <w:bCs/>
                <w:color w:val="auto"/>
                <w:sz w:val="21"/>
                <w:szCs w:val="21"/>
              </w:rPr>
            </w:pPr>
          </w:p>
        </w:tc>
        <w:tc>
          <w:tcPr>
            <w:tcW w:w="1138" w:type="dxa"/>
            <w:tcBorders>
              <w:tl2br w:val="nil"/>
              <w:tr2bl w:val="nil"/>
            </w:tcBorders>
            <w:vAlign w:val="center"/>
          </w:tcPr>
          <w:p>
            <w:pPr>
              <w:pStyle w:val="26"/>
              <w:adjustRightInd/>
              <w:snapToGrid/>
              <w:spacing w:after="0" w:line="240" w:lineRule="exact"/>
              <w:ind w:left="0" w:leftChars="0" w:firstLine="0" w:firstLineChars="0"/>
              <w:jc w:val="center"/>
              <w:rPr>
                <w:rFonts w:ascii="宋体" w:hAnsi="宋体" w:cs="宋体"/>
                <w:bCs/>
                <w:color w:val="auto"/>
                <w:sz w:val="21"/>
                <w:szCs w:val="21"/>
              </w:rPr>
            </w:pPr>
            <w:r>
              <w:rPr>
                <w:rFonts w:hint="eastAsia" w:ascii="宋体" w:hAnsi="宋体" w:cs="宋体"/>
                <w:bCs/>
                <w:color w:val="auto"/>
                <w:sz w:val="21"/>
                <w:szCs w:val="21"/>
              </w:rPr>
              <w:t>重点生态功能区</w:t>
            </w:r>
          </w:p>
        </w:tc>
        <w:tc>
          <w:tcPr>
            <w:tcW w:w="3760" w:type="dxa"/>
            <w:tcBorders>
              <w:tl2br w:val="nil"/>
              <w:tr2bl w:val="nil"/>
            </w:tcBorders>
            <w:vAlign w:val="center"/>
          </w:tcPr>
          <w:p>
            <w:pPr>
              <w:pStyle w:val="26"/>
              <w:adjustRightInd/>
              <w:snapToGrid/>
              <w:spacing w:after="0" w:line="240" w:lineRule="exact"/>
              <w:ind w:left="0" w:leftChars="0" w:firstLine="0" w:firstLineChars="0"/>
              <w:jc w:val="center"/>
              <w:rPr>
                <w:rFonts w:ascii="宋体" w:hAnsi="宋体" w:cs="宋体"/>
                <w:bCs/>
                <w:color w:val="auto"/>
                <w:sz w:val="21"/>
                <w:szCs w:val="21"/>
              </w:rPr>
            </w:pPr>
            <w:r>
              <w:rPr>
                <w:rFonts w:hint="eastAsia" w:ascii="宋体" w:hAnsi="宋体" w:cs="宋体"/>
                <w:bCs/>
                <w:color w:val="auto"/>
                <w:sz w:val="21"/>
                <w:szCs w:val="21"/>
              </w:rPr>
              <w:t>开发区：胡村乡、王助乡、华龙区：孟轲乡、岳村乡；濮阳县：城关镇、子岸乡、五星集、渠村乡；清丰县：城关镇；南乐县：城关镇；范县：城关镇、辛庄、濮城镇、王楼乡；台前县：城关镇。</w:t>
            </w:r>
          </w:p>
        </w:tc>
        <w:tc>
          <w:tcPr>
            <w:tcW w:w="1166" w:type="dxa"/>
            <w:vMerge w:val="continue"/>
            <w:tcBorders>
              <w:tl2br w:val="nil"/>
              <w:tr2bl w:val="nil"/>
            </w:tcBorders>
            <w:vAlign w:val="center"/>
          </w:tcPr>
          <w:p>
            <w:pPr>
              <w:pStyle w:val="26"/>
              <w:adjustRightInd/>
              <w:snapToGrid/>
              <w:spacing w:after="0" w:line="240" w:lineRule="exact"/>
              <w:ind w:left="0" w:leftChars="0" w:firstLine="0" w:firstLineChars="0"/>
              <w:jc w:val="center"/>
              <w:rPr>
                <w:rFonts w:ascii="宋体" w:hAnsi="宋体" w:cs="宋体"/>
                <w:bCs/>
                <w:color w:val="auto"/>
                <w:sz w:val="21"/>
                <w:szCs w:val="21"/>
              </w:rPr>
            </w:pPr>
          </w:p>
        </w:tc>
        <w:tc>
          <w:tcPr>
            <w:tcW w:w="1253" w:type="dxa"/>
            <w:vMerge w:val="restart"/>
            <w:tcBorders>
              <w:tl2br w:val="nil"/>
              <w:tr2bl w:val="nil"/>
            </w:tcBorders>
            <w:vAlign w:val="center"/>
          </w:tcPr>
          <w:p>
            <w:pPr>
              <w:pStyle w:val="26"/>
              <w:adjustRightInd/>
              <w:snapToGrid/>
              <w:spacing w:after="0" w:line="240" w:lineRule="exact"/>
              <w:ind w:left="0" w:leftChars="0" w:firstLine="0" w:firstLineChars="0"/>
              <w:rPr>
                <w:rFonts w:ascii="宋体" w:hAnsi="宋体" w:cs="宋体"/>
                <w:bCs/>
                <w:color w:val="auto"/>
                <w:sz w:val="21"/>
                <w:szCs w:val="21"/>
              </w:rPr>
            </w:pPr>
            <w:r>
              <w:rPr>
                <w:rFonts w:hint="eastAsia" w:ascii="宋体" w:hAnsi="宋体" w:cs="宋体"/>
                <w:bCs/>
                <w:color w:val="auto"/>
                <w:sz w:val="21"/>
                <w:szCs w:val="21"/>
              </w:rPr>
              <w:t>项目选址属于重点开发区域</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3" w:hRule="atLeast"/>
          <w:jc w:val="center"/>
        </w:trPr>
        <w:tc>
          <w:tcPr>
            <w:tcW w:w="718" w:type="dxa"/>
            <w:vMerge w:val="continue"/>
            <w:tcBorders>
              <w:tl2br w:val="nil"/>
              <w:tr2bl w:val="nil"/>
            </w:tcBorders>
            <w:vAlign w:val="center"/>
          </w:tcPr>
          <w:p>
            <w:pPr>
              <w:pStyle w:val="26"/>
              <w:adjustRightInd/>
              <w:snapToGrid/>
              <w:spacing w:after="0" w:line="240" w:lineRule="exact"/>
              <w:ind w:left="0" w:leftChars="0" w:firstLine="0" w:firstLineChars="0"/>
              <w:jc w:val="center"/>
              <w:rPr>
                <w:rFonts w:ascii="宋体" w:hAnsi="宋体" w:cs="宋体"/>
                <w:bCs/>
                <w:color w:val="auto"/>
                <w:sz w:val="21"/>
                <w:szCs w:val="21"/>
              </w:rPr>
            </w:pPr>
          </w:p>
        </w:tc>
        <w:tc>
          <w:tcPr>
            <w:tcW w:w="2049" w:type="dxa"/>
            <w:gridSpan w:val="2"/>
            <w:tcBorders>
              <w:tl2br w:val="nil"/>
              <w:tr2bl w:val="nil"/>
            </w:tcBorders>
            <w:vAlign w:val="center"/>
          </w:tcPr>
          <w:p>
            <w:pPr>
              <w:pStyle w:val="26"/>
              <w:adjustRightInd/>
              <w:snapToGrid/>
              <w:spacing w:after="0" w:line="240" w:lineRule="exact"/>
              <w:ind w:left="0" w:leftChars="0" w:firstLine="0" w:firstLineChars="0"/>
              <w:jc w:val="center"/>
              <w:rPr>
                <w:rFonts w:ascii="宋体" w:hAnsi="宋体" w:cs="宋体"/>
                <w:bCs/>
                <w:color w:val="auto"/>
                <w:sz w:val="21"/>
                <w:szCs w:val="21"/>
              </w:rPr>
            </w:pPr>
            <w:r>
              <w:rPr>
                <w:rFonts w:hint="eastAsia" w:ascii="宋体" w:hAnsi="宋体" w:cs="宋体"/>
                <w:bCs/>
                <w:color w:val="auto"/>
                <w:sz w:val="21"/>
                <w:szCs w:val="21"/>
              </w:rPr>
              <w:t>重点开发区域</w:t>
            </w:r>
          </w:p>
        </w:tc>
        <w:tc>
          <w:tcPr>
            <w:tcW w:w="3760" w:type="dxa"/>
            <w:tcBorders>
              <w:tl2br w:val="nil"/>
              <w:tr2bl w:val="nil"/>
            </w:tcBorders>
            <w:vAlign w:val="center"/>
          </w:tcPr>
          <w:p>
            <w:pPr>
              <w:pStyle w:val="26"/>
              <w:numPr>
                <w:ilvl w:val="0"/>
                <w:numId w:val="7"/>
              </w:numPr>
              <w:adjustRightInd/>
              <w:snapToGrid/>
              <w:spacing w:after="0" w:line="240" w:lineRule="exact"/>
              <w:ind w:left="0" w:leftChars="0" w:firstLine="0" w:firstLineChars="0"/>
              <w:jc w:val="center"/>
              <w:rPr>
                <w:rFonts w:ascii="宋体" w:hAnsi="宋体" w:cs="宋体"/>
                <w:bCs/>
                <w:color w:val="auto"/>
                <w:sz w:val="21"/>
                <w:szCs w:val="21"/>
              </w:rPr>
            </w:pPr>
            <w:r>
              <w:rPr>
                <w:rFonts w:hint="eastAsia" w:ascii="宋体" w:hAnsi="宋体" w:cs="宋体"/>
                <w:bCs/>
                <w:color w:val="auto"/>
                <w:sz w:val="21"/>
                <w:szCs w:val="21"/>
              </w:rPr>
              <w:t>省辖市：郑州市（全部）、开封市</w:t>
            </w:r>
          </w:p>
          <w:p>
            <w:pPr>
              <w:pStyle w:val="26"/>
              <w:adjustRightInd/>
              <w:snapToGrid/>
              <w:spacing w:after="0" w:line="240" w:lineRule="exact"/>
              <w:ind w:left="0" w:leftChars="0" w:firstLine="0" w:firstLineChars="0"/>
              <w:rPr>
                <w:rFonts w:ascii="宋体" w:hAnsi="宋体" w:cs="宋体"/>
                <w:bCs/>
                <w:color w:val="auto"/>
                <w:sz w:val="21"/>
                <w:szCs w:val="21"/>
              </w:rPr>
            </w:pPr>
            <w:r>
              <w:rPr>
                <w:rFonts w:hint="eastAsia" w:ascii="宋体" w:hAnsi="宋体" w:cs="宋体"/>
                <w:bCs/>
                <w:color w:val="auto"/>
                <w:sz w:val="21"/>
                <w:szCs w:val="21"/>
              </w:rPr>
              <w:t>（开封市区、尉氏县）、洛阳市（洛阳市区、偃师市、伊川县、孟津县）、平顶山市（平顶山市区、宝丰县）、安阳市（安阳市区、安阳县）、鹤壁市</w:t>
            </w:r>
          </w:p>
          <w:p>
            <w:pPr>
              <w:pStyle w:val="26"/>
              <w:adjustRightInd/>
              <w:snapToGrid/>
              <w:spacing w:after="0" w:line="240" w:lineRule="exact"/>
              <w:ind w:left="0" w:leftChars="0" w:firstLine="0" w:firstLineChars="0"/>
              <w:jc w:val="center"/>
              <w:rPr>
                <w:rFonts w:ascii="宋体" w:hAnsi="宋体" w:cs="宋体"/>
                <w:bCs/>
                <w:color w:val="auto"/>
                <w:sz w:val="21"/>
                <w:szCs w:val="21"/>
              </w:rPr>
            </w:pPr>
            <w:r>
              <w:rPr>
                <w:rFonts w:hint="eastAsia" w:ascii="宋体" w:hAnsi="宋体" w:cs="宋体"/>
                <w:bCs/>
                <w:color w:val="auto"/>
                <w:sz w:val="21"/>
                <w:szCs w:val="21"/>
              </w:rPr>
              <w:t>（鹤壁市区）、新乡市（新乡市区(含平原城乡一体示范区)、新乡县、卫辉市）、焦作市（焦作市区、沁阳市、孟州市）、濮阳市（濮阳市区、濮阳县）、许昌市（许昌市区、长葛市、许昌县）、漯河市（漯河市区）、三门峡市（三门峡市区、义马市、陕县）、周口市（周口市区、项城市）、商丘市（商丘市区）、驻马店市（驻马店市区、遂平县）、南阳市（南阳市区、镇平县）、信阳市（信阳市平桥区）、济源市。2、省直管县（市）：汝州市、长垣县、永城市、固始县、兰考县、巩义市3、农产品主产区和重点生态功能区的县城关镇、少数建制镇镇区以及产业集聚区</w:t>
            </w:r>
          </w:p>
        </w:tc>
        <w:tc>
          <w:tcPr>
            <w:tcW w:w="1166" w:type="dxa"/>
            <w:vMerge w:val="continue"/>
            <w:tcBorders>
              <w:tl2br w:val="nil"/>
              <w:tr2bl w:val="nil"/>
            </w:tcBorders>
            <w:vAlign w:val="center"/>
          </w:tcPr>
          <w:p>
            <w:pPr>
              <w:pStyle w:val="26"/>
              <w:adjustRightInd/>
              <w:snapToGrid/>
              <w:spacing w:after="0" w:line="240" w:lineRule="exact"/>
              <w:ind w:left="0" w:leftChars="0" w:firstLine="0" w:firstLineChars="0"/>
              <w:jc w:val="center"/>
              <w:rPr>
                <w:rFonts w:ascii="宋体" w:hAnsi="宋体" w:cs="宋体"/>
                <w:bCs/>
                <w:color w:val="auto"/>
                <w:sz w:val="21"/>
                <w:szCs w:val="21"/>
              </w:rPr>
            </w:pPr>
          </w:p>
        </w:tc>
        <w:tc>
          <w:tcPr>
            <w:tcW w:w="1253" w:type="dxa"/>
            <w:vMerge w:val="continue"/>
            <w:tcBorders>
              <w:tl2br w:val="nil"/>
              <w:tr2bl w:val="nil"/>
            </w:tcBorders>
            <w:vAlign w:val="center"/>
          </w:tcPr>
          <w:p>
            <w:pPr>
              <w:pStyle w:val="26"/>
              <w:adjustRightInd/>
              <w:snapToGrid/>
              <w:spacing w:after="0" w:line="240" w:lineRule="exact"/>
              <w:ind w:left="0" w:leftChars="0" w:firstLine="0" w:firstLineChars="0"/>
              <w:rPr>
                <w:rFonts w:ascii="宋体" w:hAnsi="宋体" w:cs="宋体"/>
                <w:bCs/>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24" w:hRule="atLeast"/>
          <w:jc w:val="center"/>
        </w:trPr>
        <w:tc>
          <w:tcPr>
            <w:tcW w:w="718" w:type="dxa"/>
            <w:tcBorders>
              <w:tl2br w:val="nil"/>
              <w:tr2bl w:val="nil"/>
            </w:tcBorders>
            <w:vAlign w:val="center"/>
          </w:tcPr>
          <w:p>
            <w:pPr>
              <w:pStyle w:val="26"/>
              <w:adjustRightInd/>
              <w:snapToGrid/>
              <w:spacing w:after="0" w:line="240" w:lineRule="exact"/>
              <w:ind w:left="0" w:leftChars="0" w:firstLine="0" w:firstLineChars="0"/>
              <w:jc w:val="center"/>
              <w:rPr>
                <w:rFonts w:ascii="宋体" w:hAnsi="宋体" w:cs="宋体"/>
                <w:bCs/>
                <w:color w:val="auto"/>
                <w:sz w:val="21"/>
                <w:szCs w:val="21"/>
              </w:rPr>
            </w:pPr>
            <w:r>
              <w:rPr>
                <w:rFonts w:hint="eastAsia" w:ascii="宋体" w:hAnsi="宋体" w:cs="宋体"/>
                <w:bCs/>
                <w:color w:val="auto"/>
                <w:sz w:val="21"/>
                <w:szCs w:val="21"/>
              </w:rPr>
              <w:t>所属污染防控单元</w:t>
            </w:r>
          </w:p>
        </w:tc>
        <w:tc>
          <w:tcPr>
            <w:tcW w:w="5809" w:type="dxa"/>
            <w:gridSpan w:val="3"/>
            <w:tcBorders>
              <w:tl2br w:val="nil"/>
              <w:tr2bl w:val="nil"/>
            </w:tcBorders>
            <w:vAlign w:val="center"/>
          </w:tcPr>
          <w:p>
            <w:pPr>
              <w:pStyle w:val="26"/>
              <w:adjustRightInd/>
              <w:snapToGrid/>
              <w:spacing w:after="0" w:line="240" w:lineRule="exact"/>
              <w:ind w:left="0" w:leftChars="0" w:firstLine="0" w:firstLineChars="0"/>
              <w:jc w:val="center"/>
              <w:rPr>
                <w:rFonts w:ascii="宋体" w:hAnsi="宋体" w:cs="宋体"/>
                <w:bCs/>
                <w:color w:val="auto"/>
                <w:sz w:val="21"/>
                <w:szCs w:val="21"/>
              </w:rPr>
            </w:pPr>
            <w:r>
              <w:rPr>
                <w:rFonts w:hint="eastAsia" w:ascii="宋体" w:hAnsi="宋体" w:cs="宋体"/>
                <w:bCs/>
                <w:color w:val="auto"/>
                <w:sz w:val="21"/>
                <w:szCs w:val="21"/>
              </w:rPr>
              <w:t>水污染防治重点单元（华龙区、开发区、工业园区、市城乡一体化示范区、濮阳县、清丰县、南乐县、范县、台前县））、大气污染防治重点单元（濮阳市城市建成区（包括西部开发区、市城乡一体化示范区、华龙区、东部工业园区建成区部分）），各县县城建成区及其主导风向上方向10公里以内区域））、重金属污染防控单元（全市范围内）</w:t>
            </w:r>
          </w:p>
        </w:tc>
        <w:tc>
          <w:tcPr>
            <w:tcW w:w="1166" w:type="dxa"/>
            <w:tcBorders>
              <w:tl2br w:val="nil"/>
              <w:tr2bl w:val="nil"/>
            </w:tcBorders>
            <w:vAlign w:val="center"/>
          </w:tcPr>
          <w:p>
            <w:pPr>
              <w:pStyle w:val="26"/>
              <w:adjustRightInd/>
              <w:snapToGrid/>
              <w:spacing w:after="0" w:line="240" w:lineRule="exact"/>
              <w:ind w:left="0" w:leftChars="0" w:firstLine="0" w:firstLineChars="0"/>
              <w:jc w:val="center"/>
              <w:rPr>
                <w:rFonts w:ascii="宋体" w:hAnsi="宋体" w:cs="宋体"/>
                <w:bCs/>
                <w:color w:val="auto"/>
                <w:sz w:val="21"/>
                <w:szCs w:val="21"/>
              </w:rPr>
            </w:pPr>
            <w:r>
              <w:rPr>
                <w:rFonts w:hint="eastAsia" w:ascii="宋体" w:hAnsi="宋体" w:cs="宋体"/>
                <w:bCs/>
                <w:color w:val="auto"/>
                <w:sz w:val="21"/>
                <w:szCs w:val="21"/>
              </w:rPr>
              <w:t>项目选址在重点开发区域</w:t>
            </w:r>
          </w:p>
        </w:tc>
        <w:tc>
          <w:tcPr>
            <w:tcW w:w="1253" w:type="dxa"/>
            <w:tcBorders>
              <w:tl2br w:val="nil"/>
              <w:tr2bl w:val="nil"/>
            </w:tcBorders>
            <w:vAlign w:val="center"/>
          </w:tcPr>
          <w:p>
            <w:pPr>
              <w:pStyle w:val="26"/>
              <w:adjustRightInd/>
              <w:snapToGrid/>
              <w:spacing w:after="0" w:line="240" w:lineRule="exact"/>
              <w:ind w:left="0" w:leftChars="0" w:firstLine="0" w:firstLineChars="0"/>
              <w:rPr>
                <w:rFonts w:ascii="宋体" w:hAnsi="宋体" w:cs="宋体"/>
                <w:bCs/>
                <w:color w:val="auto"/>
                <w:sz w:val="21"/>
                <w:szCs w:val="21"/>
              </w:rPr>
            </w:pPr>
            <w:r>
              <w:rPr>
                <w:rFonts w:hint="eastAsia" w:ascii="宋体" w:hAnsi="宋体" w:cs="宋体"/>
                <w:bCs/>
                <w:color w:val="auto"/>
                <w:sz w:val="21"/>
                <w:szCs w:val="21"/>
              </w:rPr>
              <w:t>属于水污染防治重点单元、重金属污染防治</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91" w:hRule="atLeast"/>
          <w:jc w:val="center"/>
        </w:trPr>
        <w:tc>
          <w:tcPr>
            <w:tcW w:w="718" w:type="dxa"/>
            <w:tcBorders>
              <w:tl2br w:val="nil"/>
              <w:tr2bl w:val="nil"/>
            </w:tcBorders>
            <w:vAlign w:val="center"/>
          </w:tcPr>
          <w:p>
            <w:pPr>
              <w:pStyle w:val="26"/>
              <w:adjustRightInd/>
              <w:snapToGrid/>
              <w:spacing w:after="0" w:line="240" w:lineRule="exact"/>
              <w:ind w:left="0" w:leftChars="0" w:firstLine="0" w:firstLineChars="0"/>
              <w:jc w:val="center"/>
              <w:rPr>
                <w:rFonts w:ascii="宋体" w:hAnsi="宋体" w:cs="宋体"/>
                <w:bCs/>
                <w:color w:val="auto"/>
                <w:sz w:val="21"/>
                <w:szCs w:val="21"/>
              </w:rPr>
            </w:pPr>
            <w:r>
              <w:rPr>
                <w:rFonts w:hint="eastAsia" w:ascii="宋体" w:hAnsi="宋体" w:cs="宋体"/>
                <w:bCs/>
                <w:color w:val="auto"/>
                <w:sz w:val="21"/>
                <w:szCs w:val="21"/>
              </w:rPr>
              <w:t>农产品主产区环境准入政策</w:t>
            </w:r>
          </w:p>
        </w:tc>
        <w:tc>
          <w:tcPr>
            <w:tcW w:w="5809" w:type="dxa"/>
            <w:gridSpan w:val="3"/>
            <w:tcBorders>
              <w:tl2br w:val="nil"/>
              <w:tr2bl w:val="nil"/>
            </w:tcBorders>
            <w:vAlign w:val="center"/>
          </w:tcPr>
          <w:p>
            <w:pPr>
              <w:pStyle w:val="26"/>
              <w:adjustRightInd/>
              <w:snapToGrid/>
              <w:spacing w:after="0" w:line="240" w:lineRule="exact"/>
              <w:ind w:left="0" w:leftChars="0" w:firstLine="0" w:firstLineChars="0"/>
              <w:jc w:val="center"/>
              <w:rPr>
                <w:rFonts w:ascii="宋体" w:hAnsi="宋体" w:cs="宋体"/>
                <w:bCs/>
                <w:color w:val="auto"/>
                <w:sz w:val="21"/>
                <w:szCs w:val="21"/>
              </w:rPr>
            </w:pPr>
            <w:r>
              <w:rPr>
                <w:rFonts w:hint="eastAsia" w:ascii="宋体" w:hAnsi="宋体" w:cs="宋体"/>
                <w:bCs/>
                <w:color w:val="auto"/>
                <w:sz w:val="21"/>
                <w:szCs w:val="21"/>
              </w:rPr>
              <w:t>1、不予审批《工业项目分类清单》中三类工业的新建项目和涉及重金属、持久性有机污染物排放等目影响粮食生产安全的二类工业新建项目（矿产资源点状开发项目和符合我省重大产业布局的项目除外））。</w:t>
            </w:r>
          </w:p>
          <w:p>
            <w:pPr>
              <w:pStyle w:val="26"/>
              <w:adjustRightInd/>
              <w:snapToGrid/>
              <w:spacing w:after="0" w:line="240" w:lineRule="exact"/>
              <w:ind w:left="0" w:leftChars="0" w:firstLine="0" w:firstLineChars="0"/>
              <w:jc w:val="center"/>
              <w:rPr>
                <w:rFonts w:ascii="宋体" w:hAnsi="宋体" w:cs="宋体"/>
                <w:bCs/>
                <w:color w:val="auto"/>
                <w:sz w:val="21"/>
                <w:szCs w:val="21"/>
              </w:rPr>
            </w:pPr>
            <w:r>
              <w:rPr>
                <w:rFonts w:hint="eastAsia" w:ascii="宋体" w:hAnsi="宋体" w:cs="宋体"/>
                <w:bCs/>
                <w:color w:val="auto"/>
                <w:sz w:val="21"/>
                <w:szCs w:val="21"/>
              </w:rPr>
              <w:t>2、在属于《水污染防治重点单元》的区域内，不予审批屠宰、酿造、含发酵工艺的粮食加工等废水排放量大项目。</w:t>
            </w:r>
          </w:p>
        </w:tc>
        <w:tc>
          <w:tcPr>
            <w:tcW w:w="1166" w:type="dxa"/>
            <w:tcBorders>
              <w:tl2br w:val="nil"/>
              <w:tr2bl w:val="nil"/>
            </w:tcBorders>
            <w:vAlign w:val="center"/>
          </w:tcPr>
          <w:p>
            <w:pPr>
              <w:pStyle w:val="26"/>
              <w:adjustRightInd/>
              <w:snapToGrid/>
              <w:spacing w:after="0" w:line="240" w:lineRule="exact"/>
              <w:ind w:left="0" w:leftChars="0" w:firstLine="0" w:firstLineChars="0"/>
              <w:jc w:val="center"/>
              <w:rPr>
                <w:rFonts w:ascii="宋体" w:hAnsi="宋体" w:cs="宋体"/>
                <w:bCs/>
                <w:color w:val="auto"/>
                <w:sz w:val="21"/>
                <w:szCs w:val="21"/>
              </w:rPr>
            </w:pPr>
            <w:r>
              <w:rPr>
                <w:rFonts w:hint="eastAsia" w:ascii="宋体" w:hAnsi="宋体" w:cs="宋体"/>
                <w:bCs/>
                <w:color w:val="auto"/>
                <w:sz w:val="21"/>
                <w:szCs w:val="21"/>
              </w:rPr>
              <w:t>不属于</w:t>
            </w:r>
          </w:p>
        </w:tc>
        <w:tc>
          <w:tcPr>
            <w:tcW w:w="1253" w:type="dxa"/>
            <w:tcBorders>
              <w:tl2br w:val="nil"/>
              <w:tr2bl w:val="nil"/>
            </w:tcBorders>
            <w:vAlign w:val="center"/>
          </w:tcPr>
          <w:p>
            <w:pPr>
              <w:pStyle w:val="26"/>
              <w:adjustRightInd/>
              <w:snapToGrid/>
              <w:spacing w:after="0" w:line="240" w:lineRule="exact"/>
              <w:ind w:left="0" w:leftChars="0" w:firstLine="0" w:firstLineChars="0"/>
              <w:jc w:val="left"/>
              <w:rPr>
                <w:rFonts w:ascii="宋体" w:hAnsi="宋体" w:cs="宋体"/>
                <w:bCs/>
                <w:color w:val="auto"/>
                <w:sz w:val="21"/>
                <w:szCs w:val="21"/>
              </w:rPr>
            </w:pPr>
            <w:r>
              <w:rPr>
                <w:rFonts w:hint="eastAsia" w:ascii="宋体" w:hAnsi="宋体" w:cs="宋体"/>
                <w:bCs/>
                <w:color w:val="auto"/>
                <w:sz w:val="21"/>
                <w:szCs w:val="21"/>
              </w:rPr>
              <w:t>项目不属于农产品主产区不予审批项目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25" w:hRule="atLeast"/>
          <w:jc w:val="center"/>
        </w:trPr>
        <w:tc>
          <w:tcPr>
            <w:tcW w:w="718" w:type="dxa"/>
            <w:tcBorders>
              <w:tl2br w:val="nil"/>
              <w:tr2bl w:val="nil"/>
            </w:tcBorders>
            <w:vAlign w:val="center"/>
          </w:tcPr>
          <w:p>
            <w:pPr>
              <w:pStyle w:val="26"/>
              <w:adjustRightInd/>
              <w:snapToGrid/>
              <w:spacing w:after="0" w:line="240" w:lineRule="exact"/>
              <w:ind w:left="0" w:leftChars="0" w:firstLine="0" w:firstLineChars="0"/>
              <w:jc w:val="center"/>
              <w:rPr>
                <w:rFonts w:ascii="宋体" w:hAnsi="宋体" w:cs="宋体"/>
                <w:bCs/>
                <w:color w:val="auto"/>
                <w:sz w:val="21"/>
                <w:szCs w:val="21"/>
              </w:rPr>
            </w:pPr>
            <w:r>
              <w:rPr>
                <w:rFonts w:hint="eastAsia" w:ascii="宋体" w:hAnsi="宋体" w:cs="宋体"/>
                <w:bCs/>
                <w:color w:val="auto"/>
                <w:sz w:val="21"/>
                <w:szCs w:val="21"/>
              </w:rPr>
              <w:t>重点生态功能区环境准入政策</w:t>
            </w:r>
          </w:p>
        </w:tc>
        <w:tc>
          <w:tcPr>
            <w:tcW w:w="5809" w:type="dxa"/>
            <w:gridSpan w:val="3"/>
            <w:tcBorders>
              <w:tl2br w:val="nil"/>
              <w:tr2bl w:val="nil"/>
            </w:tcBorders>
            <w:vAlign w:val="center"/>
          </w:tcPr>
          <w:p>
            <w:pPr>
              <w:pStyle w:val="26"/>
              <w:adjustRightInd/>
              <w:snapToGrid/>
              <w:spacing w:after="0" w:line="240" w:lineRule="exact"/>
              <w:ind w:left="0" w:leftChars="0" w:firstLine="0" w:firstLineChars="0"/>
              <w:jc w:val="center"/>
              <w:rPr>
                <w:rFonts w:ascii="宋体" w:hAnsi="宋体" w:cs="宋体"/>
                <w:bCs/>
                <w:color w:val="auto"/>
                <w:sz w:val="21"/>
                <w:szCs w:val="21"/>
              </w:rPr>
            </w:pPr>
            <w:r>
              <w:rPr>
                <w:rFonts w:hint="eastAsia" w:ascii="宋体" w:hAnsi="宋体" w:cs="宋体"/>
                <w:bCs/>
                <w:color w:val="auto"/>
                <w:sz w:val="21"/>
                <w:szCs w:val="21"/>
              </w:rPr>
              <w:t>不予审批《工业项目分类清单》中二类、三类工业项目（矿产资源点状开发项目和符合我省重大产业布局的项目除外））。</w:t>
            </w:r>
          </w:p>
        </w:tc>
        <w:tc>
          <w:tcPr>
            <w:tcW w:w="1166" w:type="dxa"/>
            <w:tcBorders>
              <w:tl2br w:val="nil"/>
              <w:tr2bl w:val="nil"/>
            </w:tcBorders>
            <w:vAlign w:val="center"/>
          </w:tcPr>
          <w:p>
            <w:pPr>
              <w:pStyle w:val="26"/>
              <w:adjustRightInd/>
              <w:snapToGrid/>
              <w:spacing w:after="0" w:line="240" w:lineRule="exact"/>
              <w:ind w:left="0" w:leftChars="0" w:firstLine="0" w:firstLineChars="0"/>
              <w:jc w:val="center"/>
              <w:rPr>
                <w:rFonts w:ascii="宋体" w:hAnsi="宋体" w:cs="宋体"/>
                <w:bCs/>
                <w:color w:val="auto"/>
                <w:sz w:val="21"/>
                <w:szCs w:val="21"/>
              </w:rPr>
            </w:pPr>
            <w:r>
              <w:rPr>
                <w:rFonts w:hint="eastAsia" w:ascii="宋体" w:hAnsi="宋体" w:cs="宋体"/>
                <w:bCs/>
                <w:color w:val="auto"/>
                <w:sz w:val="21"/>
                <w:szCs w:val="21"/>
              </w:rPr>
              <w:t>不属于</w:t>
            </w:r>
          </w:p>
        </w:tc>
        <w:tc>
          <w:tcPr>
            <w:tcW w:w="1253" w:type="dxa"/>
            <w:tcBorders>
              <w:tl2br w:val="nil"/>
              <w:tr2bl w:val="nil"/>
            </w:tcBorders>
            <w:vAlign w:val="center"/>
          </w:tcPr>
          <w:p>
            <w:pPr>
              <w:pStyle w:val="26"/>
              <w:adjustRightInd/>
              <w:snapToGrid/>
              <w:spacing w:after="0" w:line="240" w:lineRule="exact"/>
              <w:ind w:left="0" w:leftChars="0" w:firstLine="0" w:firstLineChars="0"/>
              <w:rPr>
                <w:rFonts w:ascii="宋体" w:hAnsi="宋体" w:cs="宋体"/>
                <w:bCs/>
                <w:color w:val="auto"/>
                <w:sz w:val="21"/>
                <w:szCs w:val="21"/>
              </w:rPr>
            </w:pPr>
            <w:r>
              <w:rPr>
                <w:rFonts w:hint="eastAsia" w:ascii="宋体" w:hAnsi="宋体" w:cs="宋体"/>
                <w:bCs/>
                <w:color w:val="auto"/>
                <w:sz w:val="21"/>
                <w:szCs w:val="21"/>
              </w:rPr>
              <w:t>项目不属于重点生态功能区不予审批项目</w:t>
            </w:r>
          </w:p>
        </w:tc>
      </w:tr>
    </w:tbl>
    <w:p>
      <w:pPr>
        <w:pStyle w:val="26"/>
        <w:adjustRightInd/>
        <w:snapToGrid/>
        <w:spacing w:after="0" w:line="360" w:lineRule="auto"/>
        <w:ind w:left="0" w:leftChars="0" w:firstLine="480"/>
        <w:rPr>
          <w:rFonts w:cs="宋体"/>
          <w:bCs/>
          <w:color w:val="auto"/>
        </w:rPr>
      </w:pPr>
      <w:r>
        <w:rPr>
          <w:rFonts w:cs="宋体"/>
          <w:bCs/>
          <w:color w:val="auto"/>
        </w:rPr>
        <w:t>由上表可知，项目选址位于农产品主产区和重点生态功能区，项目建设符合农产品主产区和重点生态功能区环境准入政策。</w:t>
      </w:r>
    </w:p>
    <w:p>
      <w:pPr>
        <w:pStyle w:val="6"/>
        <w:numPr>
          <w:ilvl w:val="2"/>
          <w:numId w:val="0"/>
        </w:numPr>
        <w:rPr>
          <w:color w:val="auto"/>
          <w:lang w:val="en-US"/>
        </w:rPr>
      </w:pPr>
      <w:bookmarkStart w:id="177" w:name="_Toc8387"/>
      <w:r>
        <w:rPr>
          <w:rFonts w:hint="eastAsia"/>
          <w:color w:val="auto"/>
          <w:lang w:val="en-US"/>
        </w:rPr>
        <w:t>2.7.6</w:t>
      </w:r>
      <w:r>
        <w:rPr>
          <w:color w:val="auto"/>
          <w:lang w:val="en-US"/>
        </w:rPr>
        <w:t>场址选择的基本要求</w:t>
      </w:r>
      <w:bookmarkEnd w:id="177"/>
    </w:p>
    <w:p>
      <w:pPr>
        <w:spacing w:line="240" w:lineRule="auto"/>
        <w:ind w:firstLine="0" w:firstLineChars="0"/>
        <w:jc w:val="center"/>
        <w:rPr>
          <w:b/>
          <w:bCs/>
          <w:color w:val="auto"/>
        </w:rPr>
      </w:pPr>
      <w:bookmarkStart w:id="178" w:name="_Toc13183_WPSOffice_Level1"/>
      <w:bookmarkStart w:id="179" w:name="_Toc18517"/>
      <w:r>
        <w:rPr>
          <w:b/>
          <w:bCs/>
          <w:color w:val="auto"/>
        </w:rPr>
        <w:t>表</w:t>
      </w:r>
      <w:r>
        <w:rPr>
          <w:rFonts w:hint="eastAsia"/>
          <w:b/>
          <w:bCs/>
          <w:color w:val="auto"/>
        </w:rPr>
        <w:t>2.7-4</w:t>
      </w:r>
      <w:r>
        <w:rPr>
          <w:b/>
          <w:bCs/>
          <w:color w:val="auto"/>
        </w:rPr>
        <w:t xml:space="preserve">   场址选择的基本要求及本项目的相符性分析一览表</w:t>
      </w:r>
      <w:bookmarkEnd w:id="178"/>
      <w:bookmarkEnd w:id="179"/>
    </w:p>
    <w:tbl>
      <w:tblPr>
        <w:tblStyle w:val="28"/>
        <w:tblW w:w="9020"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66"/>
        <w:gridCol w:w="4088"/>
        <w:gridCol w:w="2300"/>
        <w:gridCol w:w="76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1866"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 xml:space="preserve">类 别  </w:t>
            </w:r>
          </w:p>
        </w:tc>
        <w:tc>
          <w:tcPr>
            <w:tcW w:w="4088"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相关要求</w:t>
            </w:r>
          </w:p>
        </w:tc>
        <w:tc>
          <w:tcPr>
            <w:tcW w:w="2300"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本项目基本情况</w:t>
            </w:r>
          </w:p>
        </w:tc>
        <w:tc>
          <w:tcPr>
            <w:tcW w:w="766"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相符性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84" w:hRule="atLeast"/>
          <w:jc w:val="center"/>
        </w:trPr>
        <w:tc>
          <w:tcPr>
            <w:tcW w:w="1866" w:type="dxa"/>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1、《畜禽养殖业污染防治技术规范》（HJ/T81-2001）</w:t>
            </w:r>
          </w:p>
        </w:tc>
        <w:tc>
          <w:tcPr>
            <w:tcW w:w="4088" w:type="dxa"/>
            <w:tcBorders>
              <w:tl2br w:val="nil"/>
              <w:tr2bl w:val="nil"/>
            </w:tcBorders>
            <w:vAlign w:val="center"/>
          </w:tcPr>
          <w:p>
            <w:pPr>
              <w:spacing w:line="240" w:lineRule="auto"/>
              <w:ind w:firstLine="0" w:firstLineChars="0"/>
              <w:rPr>
                <w:color w:val="auto"/>
                <w:sz w:val="21"/>
                <w:szCs w:val="21"/>
              </w:rPr>
            </w:pPr>
            <w:r>
              <w:rPr>
                <w:color w:val="auto"/>
                <w:sz w:val="21"/>
                <w:szCs w:val="21"/>
              </w:rPr>
              <w:t>集中饮用水水源保护区。</w:t>
            </w:r>
          </w:p>
          <w:p>
            <w:pPr>
              <w:spacing w:line="240" w:lineRule="auto"/>
              <w:ind w:firstLine="0" w:firstLineChars="0"/>
              <w:jc w:val="left"/>
              <w:rPr>
                <w:color w:val="auto"/>
                <w:sz w:val="21"/>
                <w:szCs w:val="21"/>
              </w:rPr>
            </w:pPr>
            <w:r>
              <w:rPr>
                <w:color w:val="auto"/>
                <w:sz w:val="21"/>
                <w:szCs w:val="21"/>
              </w:rPr>
              <w:t>1．生活饮用水水源保护区、风景名胜区、自然保护区的核心区及缓冲区500米范围内。</w:t>
            </w:r>
          </w:p>
          <w:p>
            <w:pPr>
              <w:spacing w:line="240" w:lineRule="auto"/>
              <w:ind w:firstLine="0" w:firstLineChars="0"/>
              <w:jc w:val="left"/>
              <w:rPr>
                <w:color w:val="auto"/>
                <w:sz w:val="21"/>
                <w:szCs w:val="21"/>
              </w:rPr>
            </w:pPr>
            <w:r>
              <w:rPr>
                <w:rFonts w:hint="eastAsia"/>
                <w:color w:val="auto"/>
                <w:sz w:val="21"/>
                <w:szCs w:val="21"/>
              </w:rPr>
              <w:t>2.城市和城镇居民区，包括文教科研区、医疗区、商业区、工业区、游览区等人口集中地区500米范围内。</w:t>
            </w:r>
          </w:p>
          <w:p>
            <w:pPr>
              <w:spacing w:line="240" w:lineRule="auto"/>
              <w:ind w:firstLine="0" w:firstLineChars="0"/>
              <w:rPr>
                <w:color w:val="auto"/>
                <w:sz w:val="21"/>
                <w:szCs w:val="21"/>
              </w:rPr>
            </w:pPr>
            <w:r>
              <w:rPr>
                <w:color w:val="auto"/>
                <w:sz w:val="21"/>
                <w:szCs w:val="21"/>
              </w:rPr>
              <w:t>3．法律、法规规定的其它禁养</w:t>
            </w:r>
          </w:p>
        </w:tc>
        <w:tc>
          <w:tcPr>
            <w:tcW w:w="2300"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本项目属于新建项目，不在规划的禁养区。本项目最近的敏感点为项目</w:t>
            </w:r>
            <w:r>
              <w:rPr>
                <w:rFonts w:hint="eastAsia"/>
                <w:color w:val="auto"/>
                <w:sz w:val="21"/>
                <w:szCs w:val="21"/>
              </w:rPr>
              <w:t>西北</w:t>
            </w:r>
            <w:r>
              <w:rPr>
                <w:color w:val="auto"/>
                <w:sz w:val="21"/>
                <w:szCs w:val="21"/>
              </w:rPr>
              <w:t>侧</w:t>
            </w:r>
            <w:r>
              <w:rPr>
                <w:rFonts w:hint="eastAsia"/>
                <w:color w:val="auto"/>
                <w:sz w:val="21"/>
                <w:szCs w:val="21"/>
              </w:rPr>
              <w:t>705</w:t>
            </w:r>
            <w:r>
              <w:rPr>
                <w:color w:val="auto"/>
                <w:sz w:val="21"/>
                <w:szCs w:val="21"/>
              </w:rPr>
              <w:t>m处</w:t>
            </w:r>
            <w:r>
              <w:rPr>
                <w:rFonts w:hint="eastAsia"/>
                <w:color w:val="auto"/>
                <w:sz w:val="21"/>
                <w:szCs w:val="21"/>
              </w:rPr>
              <w:t>七王庙村</w:t>
            </w:r>
            <w:r>
              <w:rPr>
                <w:color w:val="auto"/>
                <w:sz w:val="21"/>
                <w:szCs w:val="21"/>
              </w:rPr>
              <w:t>，因此场址不在规定的禁建区范围。</w:t>
            </w:r>
          </w:p>
        </w:tc>
        <w:tc>
          <w:tcPr>
            <w:tcW w:w="766"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相符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1866" w:type="dxa"/>
            <w:vMerge w:val="continue"/>
            <w:tcBorders>
              <w:tl2br w:val="nil"/>
              <w:tr2bl w:val="nil"/>
            </w:tcBorders>
            <w:vAlign w:val="center"/>
          </w:tcPr>
          <w:p>
            <w:pPr>
              <w:spacing w:line="240" w:lineRule="auto"/>
              <w:ind w:firstLine="0" w:firstLineChars="0"/>
              <w:jc w:val="center"/>
              <w:rPr>
                <w:color w:val="auto"/>
                <w:sz w:val="21"/>
                <w:szCs w:val="21"/>
              </w:rPr>
            </w:pPr>
          </w:p>
        </w:tc>
        <w:tc>
          <w:tcPr>
            <w:tcW w:w="4088" w:type="dxa"/>
            <w:tcBorders>
              <w:tl2br w:val="nil"/>
              <w:tr2bl w:val="nil"/>
            </w:tcBorders>
            <w:vAlign w:val="center"/>
          </w:tcPr>
          <w:p>
            <w:pPr>
              <w:spacing w:line="240" w:lineRule="auto"/>
              <w:ind w:firstLine="0" w:firstLineChars="0"/>
              <w:jc w:val="left"/>
              <w:rPr>
                <w:color w:val="auto"/>
                <w:sz w:val="21"/>
                <w:szCs w:val="21"/>
              </w:rPr>
            </w:pPr>
            <w:r>
              <w:rPr>
                <w:color w:val="auto"/>
                <w:sz w:val="21"/>
                <w:szCs w:val="21"/>
              </w:rPr>
              <w:t>畜禽粪便的贮存设施位置必须远离各类功能地表水体（距离不得小</w:t>
            </w:r>
            <w:r>
              <w:rPr>
                <w:rFonts w:hint="eastAsia"/>
                <w:color w:val="auto"/>
                <w:sz w:val="21"/>
                <w:szCs w:val="21"/>
              </w:rPr>
              <w:t>于</w:t>
            </w:r>
            <w:r>
              <w:rPr>
                <w:color w:val="auto"/>
                <w:sz w:val="21"/>
                <w:szCs w:val="21"/>
              </w:rPr>
              <w:t>400m），并应设在养殖场生产及生活管理区的常年主导风向的下风向或侧风向处。</w:t>
            </w:r>
          </w:p>
        </w:tc>
        <w:tc>
          <w:tcPr>
            <w:tcW w:w="2300"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粪污处理设施距离地表水体约为965m</w:t>
            </w:r>
          </w:p>
        </w:tc>
        <w:tc>
          <w:tcPr>
            <w:tcW w:w="766"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相符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55" w:hRule="atLeast"/>
          <w:jc w:val="center"/>
        </w:trPr>
        <w:tc>
          <w:tcPr>
            <w:tcW w:w="1866"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2、中华人民共和国畜牧法（第四十五号令）</w:t>
            </w:r>
          </w:p>
        </w:tc>
        <w:tc>
          <w:tcPr>
            <w:tcW w:w="4088" w:type="dxa"/>
            <w:tcBorders>
              <w:tl2br w:val="nil"/>
              <w:tr2bl w:val="nil"/>
            </w:tcBorders>
            <w:vAlign w:val="center"/>
          </w:tcPr>
          <w:p>
            <w:pPr>
              <w:spacing w:line="240" w:lineRule="auto"/>
              <w:ind w:firstLine="0" w:firstLineChars="0"/>
              <w:jc w:val="left"/>
              <w:rPr>
                <w:color w:val="auto"/>
                <w:sz w:val="21"/>
                <w:szCs w:val="21"/>
              </w:rPr>
            </w:pPr>
            <w:r>
              <w:rPr>
                <w:color w:val="auto"/>
                <w:sz w:val="21"/>
                <w:szCs w:val="21"/>
              </w:rPr>
              <w:t>禁止在下列区域内建设畜禽养殖场、养殖小区：</w:t>
            </w:r>
          </w:p>
          <w:p>
            <w:pPr>
              <w:spacing w:line="240" w:lineRule="auto"/>
              <w:ind w:firstLine="0" w:firstLineChars="0"/>
              <w:jc w:val="left"/>
              <w:rPr>
                <w:color w:val="auto"/>
                <w:sz w:val="21"/>
                <w:szCs w:val="21"/>
              </w:rPr>
            </w:pPr>
            <w:r>
              <w:rPr>
                <w:color w:val="auto"/>
                <w:sz w:val="21"/>
                <w:szCs w:val="21"/>
              </w:rPr>
              <w:t>1、生活饮用水的水源保护区，风景名胜区，以及自然保护区的核心区和缓冲区；</w:t>
            </w:r>
          </w:p>
          <w:p>
            <w:pPr>
              <w:spacing w:line="240" w:lineRule="auto"/>
              <w:ind w:firstLine="0" w:firstLineChars="0"/>
              <w:jc w:val="left"/>
              <w:rPr>
                <w:color w:val="auto"/>
                <w:sz w:val="21"/>
                <w:szCs w:val="21"/>
              </w:rPr>
            </w:pPr>
            <w:r>
              <w:rPr>
                <w:color w:val="auto"/>
                <w:sz w:val="21"/>
                <w:szCs w:val="21"/>
              </w:rPr>
              <w:t>2、城镇居民区、文化教育科学研究区等人口集中区域；</w:t>
            </w:r>
          </w:p>
          <w:p>
            <w:pPr>
              <w:spacing w:line="240" w:lineRule="auto"/>
              <w:ind w:firstLine="0" w:firstLineChars="0"/>
              <w:rPr>
                <w:color w:val="auto"/>
                <w:sz w:val="21"/>
                <w:szCs w:val="21"/>
              </w:rPr>
            </w:pPr>
            <w:r>
              <w:rPr>
                <w:color w:val="auto"/>
                <w:sz w:val="21"/>
                <w:szCs w:val="21"/>
              </w:rPr>
              <w:t>3、法律、法规规定的其他禁养区域。</w:t>
            </w:r>
          </w:p>
        </w:tc>
        <w:tc>
          <w:tcPr>
            <w:tcW w:w="2300" w:type="dxa"/>
            <w:tcBorders>
              <w:tl2br w:val="nil"/>
              <w:tr2bl w:val="nil"/>
            </w:tcBorders>
            <w:vAlign w:val="center"/>
          </w:tcPr>
          <w:p>
            <w:pPr>
              <w:spacing w:line="240" w:lineRule="auto"/>
              <w:ind w:firstLine="0" w:firstLineChars="0"/>
              <w:jc w:val="left"/>
              <w:rPr>
                <w:color w:val="auto"/>
                <w:sz w:val="21"/>
                <w:szCs w:val="21"/>
              </w:rPr>
            </w:pPr>
            <w:r>
              <w:rPr>
                <w:color w:val="auto"/>
                <w:sz w:val="21"/>
                <w:szCs w:val="21"/>
              </w:rPr>
              <w:t>1、本项目不在生活饮用水的水源保护区，风景名胜区，以及自然保护区的核心区和缓冲区；2、本项目不在城镇居民区、文化教育科学研究区等人口集中区域。3、本项目不在法律、法规规定的其他禁养区域</w:t>
            </w:r>
          </w:p>
        </w:tc>
        <w:tc>
          <w:tcPr>
            <w:tcW w:w="766"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相符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69" w:hRule="atLeast"/>
          <w:jc w:val="center"/>
        </w:trPr>
        <w:tc>
          <w:tcPr>
            <w:tcW w:w="1866"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3</w:t>
            </w:r>
            <w:r>
              <w:rPr>
                <w:color w:val="auto"/>
                <w:sz w:val="21"/>
                <w:szCs w:val="21"/>
              </w:rPr>
              <w:t>、《河南省人民政府办公厅关于印发河南省县级集中式饮用水水源保护区划的通知》豫政办（2013）107号</w:t>
            </w:r>
          </w:p>
        </w:tc>
        <w:tc>
          <w:tcPr>
            <w:tcW w:w="4088" w:type="dxa"/>
            <w:tcBorders>
              <w:tl2br w:val="nil"/>
              <w:tr2bl w:val="nil"/>
            </w:tcBorders>
            <w:vAlign w:val="center"/>
          </w:tcPr>
          <w:p>
            <w:pPr>
              <w:spacing w:line="240" w:lineRule="auto"/>
              <w:ind w:firstLine="0" w:firstLineChars="0"/>
              <w:jc w:val="left"/>
              <w:rPr>
                <w:color w:val="auto"/>
                <w:sz w:val="21"/>
                <w:szCs w:val="21"/>
              </w:rPr>
            </w:pPr>
            <w:r>
              <w:rPr>
                <w:color w:val="auto"/>
                <w:sz w:val="21"/>
                <w:szCs w:val="21"/>
              </w:rPr>
              <w:t>1.清丰县：清丰县八里庄地下水井群(共24眼井)。</w:t>
            </w:r>
          </w:p>
          <w:p>
            <w:pPr>
              <w:spacing w:line="240" w:lineRule="auto"/>
              <w:ind w:firstLine="0" w:firstLineChars="0"/>
              <w:jc w:val="left"/>
              <w:rPr>
                <w:color w:val="auto"/>
                <w:sz w:val="21"/>
                <w:szCs w:val="21"/>
              </w:rPr>
            </w:pPr>
            <w:r>
              <w:rPr>
                <w:color w:val="auto"/>
                <w:sz w:val="21"/>
                <w:szCs w:val="21"/>
              </w:rPr>
              <w:t>2.南乐县：南乐县自来水公司地下水井群(共13眼井)。</w:t>
            </w:r>
          </w:p>
          <w:p>
            <w:pPr>
              <w:spacing w:line="240" w:lineRule="auto"/>
              <w:ind w:firstLine="0" w:firstLineChars="0"/>
              <w:jc w:val="center"/>
              <w:rPr>
                <w:color w:val="auto"/>
                <w:sz w:val="21"/>
                <w:szCs w:val="21"/>
              </w:rPr>
            </w:pPr>
            <w:r>
              <w:rPr>
                <w:color w:val="auto"/>
                <w:sz w:val="21"/>
                <w:szCs w:val="21"/>
              </w:rPr>
              <w:t>3.范县：(1)范县新城区地下水井群(共8眼井)(2)范县老城区地下水井群(共2眼井)</w:t>
            </w:r>
          </w:p>
          <w:p>
            <w:pPr>
              <w:spacing w:line="240" w:lineRule="auto"/>
              <w:ind w:firstLine="0" w:firstLineChars="0"/>
              <w:jc w:val="left"/>
              <w:rPr>
                <w:color w:val="auto"/>
                <w:sz w:val="21"/>
                <w:szCs w:val="21"/>
              </w:rPr>
            </w:pPr>
            <w:r>
              <w:rPr>
                <w:color w:val="auto"/>
                <w:sz w:val="21"/>
                <w:szCs w:val="21"/>
              </w:rPr>
              <w:t>4.台前县：台前县马楼地下水井群(马楼乡黄河左岸</w:t>
            </w:r>
            <w:r>
              <w:rPr>
                <w:rFonts w:hint="eastAsia"/>
                <w:color w:val="auto"/>
                <w:sz w:val="21"/>
                <w:szCs w:val="21"/>
              </w:rPr>
              <w:t>，</w:t>
            </w:r>
            <w:r>
              <w:rPr>
                <w:color w:val="auto"/>
                <w:sz w:val="21"/>
                <w:szCs w:val="21"/>
              </w:rPr>
              <w:t>共16眼井)。</w:t>
            </w:r>
          </w:p>
        </w:tc>
        <w:tc>
          <w:tcPr>
            <w:tcW w:w="2300"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本项目位于</w:t>
            </w:r>
            <w:r>
              <w:rPr>
                <w:rFonts w:hint="eastAsia"/>
                <w:color w:val="auto"/>
                <w:sz w:val="21"/>
                <w:szCs w:val="21"/>
              </w:rPr>
              <w:t>濮阳市濮阳县五星乡于屯村东</w:t>
            </w:r>
            <w:r>
              <w:rPr>
                <w:color w:val="auto"/>
                <w:sz w:val="21"/>
                <w:szCs w:val="21"/>
              </w:rPr>
              <w:t>，濮阳县未设置县级</w:t>
            </w:r>
            <w:r>
              <w:rPr>
                <w:rFonts w:hint="eastAsia"/>
                <w:color w:val="auto"/>
                <w:sz w:val="21"/>
                <w:szCs w:val="21"/>
              </w:rPr>
              <w:t>集中式</w:t>
            </w:r>
            <w:r>
              <w:rPr>
                <w:color w:val="auto"/>
                <w:sz w:val="21"/>
                <w:szCs w:val="21"/>
              </w:rPr>
              <w:t>饮用水源保护区。</w:t>
            </w:r>
          </w:p>
        </w:tc>
        <w:tc>
          <w:tcPr>
            <w:tcW w:w="766"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相符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5" w:hRule="atLeast"/>
          <w:jc w:val="center"/>
        </w:trPr>
        <w:tc>
          <w:tcPr>
            <w:tcW w:w="1866"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4</w:t>
            </w:r>
            <w:r>
              <w:rPr>
                <w:color w:val="auto"/>
                <w:sz w:val="21"/>
                <w:szCs w:val="21"/>
              </w:rPr>
              <w:t>、《河南省人民政府办公厅关于印发河南省乡镇集中式饮用水水源保护区划的通知》[豫政办〔2016〕23号]</w:t>
            </w:r>
          </w:p>
        </w:tc>
        <w:tc>
          <w:tcPr>
            <w:tcW w:w="4088"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项目所在乡镇无地下水井群</w:t>
            </w:r>
          </w:p>
        </w:tc>
        <w:tc>
          <w:tcPr>
            <w:tcW w:w="2300"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本项目</w:t>
            </w:r>
            <w:r>
              <w:rPr>
                <w:rFonts w:hint="eastAsia"/>
                <w:color w:val="auto"/>
                <w:sz w:val="21"/>
                <w:szCs w:val="21"/>
              </w:rPr>
              <w:t>不在饮用水源保护区范围内</w:t>
            </w:r>
            <w:r>
              <w:rPr>
                <w:color w:val="auto"/>
                <w:sz w:val="21"/>
                <w:szCs w:val="21"/>
              </w:rPr>
              <w:t>。</w:t>
            </w:r>
          </w:p>
          <w:p>
            <w:pPr>
              <w:spacing w:line="240" w:lineRule="auto"/>
              <w:ind w:firstLine="0" w:firstLineChars="0"/>
              <w:rPr>
                <w:color w:val="auto"/>
                <w:sz w:val="21"/>
                <w:szCs w:val="21"/>
              </w:rPr>
            </w:pPr>
          </w:p>
        </w:tc>
        <w:tc>
          <w:tcPr>
            <w:tcW w:w="766"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相符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3" w:hRule="atLeast"/>
          <w:jc w:val="center"/>
        </w:trPr>
        <w:tc>
          <w:tcPr>
            <w:tcW w:w="1866"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5、</w:t>
            </w:r>
            <w:r>
              <w:rPr>
                <w:color w:val="auto"/>
                <w:sz w:val="21"/>
                <w:szCs w:val="21"/>
              </w:rPr>
              <w:t>河南省人民政府办公厅《关于印发河南省城市集中式饮用水源保护区划的通知》（豫政办[2007]125号）</w:t>
            </w:r>
            <w:r>
              <w:rPr>
                <w:rFonts w:hint="eastAsia"/>
                <w:color w:val="auto"/>
                <w:sz w:val="21"/>
                <w:szCs w:val="21"/>
              </w:rPr>
              <w:t>调整后</w:t>
            </w:r>
          </w:p>
        </w:tc>
        <w:tc>
          <w:tcPr>
            <w:tcW w:w="4088" w:type="dxa"/>
            <w:tcBorders>
              <w:tl2br w:val="nil"/>
              <w:tr2bl w:val="nil"/>
            </w:tcBorders>
            <w:vAlign w:val="center"/>
          </w:tcPr>
          <w:p>
            <w:pPr>
              <w:spacing w:line="360" w:lineRule="exact"/>
              <w:ind w:firstLine="420"/>
              <w:jc w:val="left"/>
              <w:rPr>
                <w:color w:val="auto"/>
                <w:sz w:val="21"/>
                <w:szCs w:val="21"/>
              </w:rPr>
            </w:pPr>
            <w:r>
              <w:rPr>
                <w:color w:val="auto"/>
                <w:sz w:val="21"/>
                <w:szCs w:val="21"/>
              </w:rPr>
              <w:t>根据实际调查，距本项目最近的水源地为</w:t>
            </w:r>
            <w:r>
              <w:rPr>
                <w:rFonts w:hint="eastAsia"/>
                <w:color w:val="auto"/>
                <w:sz w:val="21"/>
                <w:szCs w:val="21"/>
              </w:rPr>
              <w:t>李子园地下水井群（共23眼井）饮用水水源一级保护区：取水井外50米的区域。</w:t>
            </w:r>
          </w:p>
        </w:tc>
        <w:tc>
          <w:tcPr>
            <w:tcW w:w="2300" w:type="dxa"/>
            <w:tcBorders>
              <w:tl2br w:val="nil"/>
              <w:tr2bl w:val="nil"/>
            </w:tcBorders>
            <w:vAlign w:val="center"/>
          </w:tcPr>
          <w:p>
            <w:pPr>
              <w:spacing w:line="240" w:lineRule="auto"/>
              <w:ind w:firstLine="0" w:firstLineChars="0"/>
              <w:rPr>
                <w:color w:val="auto"/>
                <w:sz w:val="21"/>
                <w:szCs w:val="21"/>
              </w:rPr>
            </w:pPr>
            <w:r>
              <w:rPr>
                <w:color w:val="auto"/>
                <w:sz w:val="21"/>
                <w:szCs w:val="21"/>
              </w:rPr>
              <w:t>本项目位于</w:t>
            </w:r>
            <w:r>
              <w:rPr>
                <w:rFonts w:hint="eastAsia"/>
                <w:bCs/>
                <w:color w:val="auto"/>
                <w:sz w:val="21"/>
                <w:szCs w:val="21"/>
              </w:rPr>
              <w:t>濮阳市濮阳县五星乡于屯村东</w:t>
            </w:r>
            <w:r>
              <w:rPr>
                <w:rFonts w:hint="eastAsia"/>
                <w:color w:val="auto"/>
                <w:sz w:val="21"/>
                <w:szCs w:val="21"/>
              </w:rPr>
              <w:t>，不在李子园地下水井群</w:t>
            </w:r>
            <w:r>
              <w:rPr>
                <w:color w:val="auto"/>
                <w:sz w:val="21"/>
                <w:szCs w:val="21"/>
              </w:rPr>
              <w:t>一级保护区、二级保护区</w:t>
            </w:r>
            <w:r>
              <w:rPr>
                <w:rFonts w:hint="eastAsia"/>
                <w:color w:val="auto"/>
                <w:sz w:val="21"/>
                <w:szCs w:val="21"/>
              </w:rPr>
              <w:t>、准保护区</w:t>
            </w:r>
            <w:r>
              <w:rPr>
                <w:color w:val="auto"/>
                <w:sz w:val="21"/>
                <w:szCs w:val="21"/>
              </w:rPr>
              <w:t>内。</w:t>
            </w:r>
          </w:p>
        </w:tc>
        <w:tc>
          <w:tcPr>
            <w:tcW w:w="766" w:type="dxa"/>
            <w:tcBorders>
              <w:tl2br w:val="nil"/>
              <w:tr2bl w:val="nil"/>
            </w:tcBorders>
            <w:vAlign w:val="center"/>
          </w:tcPr>
          <w:p>
            <w:pPr>
              <w:spacing w:line="240" w:lineRule="auto"/>
              <w:ind w:firstLine="0" w:firstLineChars="0"/>
              <w:jc w:val="center"/>
              <w:rPr>
                <w:color w:val="auto"/>
                <w:sz w:val="21"/>
                <w:szCs w:val="21"/>
              </w:rPr>
            </w:pPr>
          </w:p>
        </w:tc>
      </w:tr>
    </w:tbl>
    <w:p>
      <w:pPr>
        <w:pStyle w:val="6"/>
        <w:numPr>
          <w:ilvl w:val="2"/>
          <w:numId w:val="0"/>
        </w:numPr>
        <w:rPr>
          <w:color w:val="auto"/>
          <w:lang w:val="en-US"/>
        </w:rPr>
      </w:pPr>
      <w:r>
        <w:rPr>
          <w:rFonts w:hint="eastAsia"/>
          <w:color w:val="auto"/>
          <w:lang w:val="en-US"/>
        </w:rPr>
        <w:t>2.7.7 与《河南省环境保护厅关于矿山采选等三个行业生态影响类建设项目环境影响评价文件审查审批工作的通知》（</w:t>
      </w:r>
      <w:r>
        <w:rPr>
          <w:color w:val="auto"/>
          <w:lang w:val="en-US"/>
        </w:rPr>
        <w:t>豫环文</w:t>
      </w:r>
      <w:r>
        <w:rPr>
          <w:rFonts w:eastAsia="宋体"/>
          <w:color w:val="auto"/>
          <w:lang w:val="en-US"/>
        </w:rPr>
        <w:t>[2016]245号</w:t>
      </w:r>
      <w:r>
        <w:rPr>
          <w:color w:val="auto"/>
          <w:lang w:val="en-US"/>
        </w:rPr>
        <w:t>）</w:t>
      </w:r>
      <w:r>
        <w:rPr>
          <w:rFonts w:hint="eastAsia"/>
          <w:color w:val="auto"/>
          <w:lang w:val="en-US"/>
        </w:rPr>
        <w:t>相符性分析</w:t>
      </w:r>
    </w:p>
    <w:p>
      <w:pPr>
        <w:ind w:firstLine="480"/>
        <w:rPr>
          <w:color w:val="auto"/>
        </w:rPr>
      </w:pPr>
      <w:r>
        <w:rPr>
          <w:color w:val="auto"/>
        </w:rPr>
        <w:t>为进一步规范生态影响类建设项目环境影响评价文件分级审批的审查审批工作，统</w:t>
      </w:r>
      <w:r>
        <w:rPr>
          <w:rFonts w:hint="eastAsia"/>
          <w:color w:val="auto"/>
        </w:rPr>
        <w:t>一</w:t>
      </w:r>
      <w:r>
        <w:rPr>
          <w:color w:val="auto"/>
        </w:rPr>
        <w:t>管理尺度，引导企业规范健康发展，河南省环境保护厅组织编制了矿山采选、畜禽养殖、旅游开发等三个行业建设项目环境影响评价文件审查审批原则要求(试行)。本项目为畜禽养殖项目，与本项目相关的文件为附件2河南省畜禽养殖建设项目环境影响评价文件审查审批原则要求(试行)。</w:t>
      </w:r>
    </w:p>
    <w:p>
      <w:pPr>
        <w:ind w:firstLine="480"/>
        <w:rPr>
          <w:color w:val="auto"/>
        </w:rPr>
      </w:pPr>
      <w:r>
        <w:rPr>
          <w:color w:val="auto"/>
        </w:rPr>
        <w:t>为规范河南省畜禽养殖项目合理布局、健康发展，结合河南省畜禽养殖业发展实际，在严格执行有关法律法规和产业政策的同时，对畜禽养殖项目环境影响评价提出如下审批原则，本次逐项进行对比，详见表</w:t>
      </w:r>
      <w:r>
        <w:rPr>
          <w:rFonts w:hint="eastAsia"/>
          <w:color w:val="auto"/>
        </w:rPr>
        <w:t>2.7-5</w:t>
      </w:r>
      <w:r>
        <w:rPr>
          <w:color w:val="auto"/>
        </w:rPr>
        <w:t>。</w:t>
      </w:r>
    </w:p>
    <w:p>
      <w:pPr>
        <w:ind w:firstLine="0" w:firstLineChars="0"/>
        <w:jc w:val="center"/>
        <w:rPr>
          <w:b/>
          <w:bCs/>
          <w:color w:val="auto"/>
          <w:sz w:val="22"/>
          <w:szCs w:val="22"/>
        </w:rPr>
      </w:pPr>
      <w:r>
        <w:rPr>
          <w:b/>
          <w:bCs/>
          <w:color w:val="auto"/>
          <w:sz w:val="22"/>
          <w:szCs w:val="22"/>
        </w:rPr>
        <w:t>表2.7-5 河南省畜禽养殖建设项目环境影响评价文件审查审批原则</w:t>
      </w:r>
    </w:p>
    <w:tbl>
      <w:tblPr>
        <w:tblStyle w:val="28"/>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99"/>
        <w:gridCol w:w="795"/>
        <w:gridCol w:w="4376"/>
        <w:gridCol w:w="2178"/>
        <w:gridCol w:w="68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jc w:val="center"/>
        </w:trPr>
        <w:tc>
          <w:tcPr>
            <w:tcW w:w="400" w:type="pct"/>
            <w:tcBorders>
              <w:tl2br w:val="nil"/>
              <w:tr2bl w:val="nil"/>
            </w:tcBorders>
            <w:tcMar>
              <w:left w:w="0" w:type="dxa"/>
              <w:right w:w="0" w:type="dxa"/>
            </w:tcMar>
            <w:vAlign w:val="center"/>
          </w:tcPr>
          <w:p>
            <w:pPr>
              <w:adjustRightInd/>
              <w:snapToGrid/>
              <w:spacing w:line="240" w:lineRule="auto"/>
              <w:ind w:firstLine="0" w:firstLineChars="0"/>
              <w:jc w:val="center"/>
              <w:rPr>
                <w:color w:val="auto"/>
                <w:sz w:val="21"/>
                <w:szCs w:val="21"/>
              </w:rPr>
            </w:pPr>
            <w:r>
              <w:rPr>
                <w:color w:val="auto"/>
                <w:sz w:val="21"/>
                <w:szCs w:val="21"/>
              </w:rPr>
              <w:t>序号</w:t>
            </w:r>
          </w:p>
        </w:tc>
        <w:tc>
          <w:tcPr>
            <w:tcW w:w="2961" w:type="pct"/>
            <w:gridSpan w:val="2"/>
            <w:tcBorders>
              <w:tl2br w:val="nil"/>
              <w:tr2bl w:val="nil"/>
            </w:tcBorders>
            <w:tcMar>
              <w:left w:w="0" w:type="dxa"/>
              <w:right w:w="0" w:type="dxa"/>
            </w:tcMar>
            <w:vAlign w:val="center"/>
          </w:tcPr>
          <w:p>
            <w:pPr>
              <w:adjustRightInd/>
              <w:snapToGrid/>
              <w:spacing w:line="240" w:lineRule="auto"/>
              <w:ind w:firstLine="0" w:firstLineChars="0"/>
              <w:jc w:val="center"/>
              <w:rPr>
                <w:color w:val="auto"/>
                <w:sz w:val="21"/>
                <w:szCs w:val="21"/>
              </w:rPr>
            </w:pPr>
            <w:r>
              <w:rPr>
                <w:color w:val="auto"/>
                <w:sz w:val="21"/>
                <w:szCs w:val="21"/>
              </w:rPr>
              <w:t>审批原则</w:t>
            </w:r>
          </w:p>
        </w:tc>
        <w:tc>
          <w:tcPr>
            <w:tcW w:w="1247" w:type="pct"/>
            <w:tcBorders>
              <w:tl2br w:val="nil"/>
              <w:tr2bl w:val="nil"/>
            </w:tcBorders>
            <w:tcMar>
              <w:left w:w="0" w:type="dxa"/>
              <w:right w:w="0" w:type="dxa"/>
            </w:tcMar>
            <w:vAlign w:val="center"/>
          </w:tcPr>
          <w:p>
            <w:pPr>
              <w:adjustRightInd/>
              <w:snapToGrid/>
              <w:spacing w:line="240" w:lineRule="auto"/>
              <w:ind w:firstLine="0" w:firstLineChars="0"/>
              <w:jc w:val="center"/>
              <w:rPr>
                <w:color w:val="auto"/>
                <w:sz w:val="21"/>
                <w:szCs w:val="21"/>
              </w:rPr>
            </w:pPr>
            <w:r>
              <w:rPr>
                <w:color w:val="auto"/>
                <w:sz w:val="21"/>
                <w:szCs w:val="21"/>
              </w:rPr>
              <w:t>本项目情况</w:t>
            </w:r>
          </w:p>
        </w:tc>
        <w:tc>
          <w:tcPr>
            <w:tcW w:w="390" w:type="pct"/>
            <w:tcBorders>
              <w:tl2br w:val="nil"/>
              <w:tr2bl w:val="nil"/>
            </w:tcBorders>
            <w:tcMar>
              <w:top w:w="0" w:type="dxa"/>
              <w:left w:w="0" w:type="dxa"/>
              <w:bottom w:w="0" w:type="dxa"/>
              <w:right w:w="0" w:type="dxa"/>
            </w:tcMar>
            <w:vAlign w:val="center"/>
          </w:tcPr>
          <w:p>
            <w:pPr>
              <w:adjustRightInd/>
              <w:snapToGrid/>
              <w:spacing w:line="240" w:lineRule="auto"/>
              <w:ind w:firstLine="0" w:firstLineChars="0"/>
              <w:jc w:val="center"/>
              <w:rPr>
                <w:color w:val="auto"/>
                <w:sz w:val="21"/>
                <w:szCs w:val="21"/>
              </w:rPr>
            </w:pPr>
            <w:r>
              <w:rPr>
                <w:color w:val="auto"/>
                <w:sz w:val="21"/>
                <w:szCs w:val="21"/>
              </w:rPr>
              <w:t>相符性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jc w:val="center"/>
        </w:trPr>
        <w:tc>
          <w:tcPr>
            <w:tcW w:w="400" w:type="pct"/>
            <w:tcBorders>
              <w:tl2br w:val="nil"/>
              <w:tr2bl w:val="nil"/>
            </w:tcBorders>
            <w:tcMar>
              <w:left w:w="0" w:type="dxa"/>
              <w:right w:w="0" w:type="dxa"/>
            </w:tcMar>
            <w:vAlign w:val="center"/>
          </w:tcPr>
          <w:p>
            <w:pPr>
              <w:adjustRightInd/>
              <w:snapToGrid/>
              <w:spacing w:line="240" w:lineRule="auto"/>
              <w:ind w:firstLine="0" w:firstLineChars="0"/>
              <w:jc w:val="center"/>
              <w:rPr>
                <w:color w:val="auto"/>
                <w:sz w:val="21"/>
                <w:szCs w:val="21"/>
              </w:rPr>
            </w:pPr>
            <w:r>
              <w:rPr>
                <w:color w:val="auto"/>
                <w:sz w:val="21"/>
                <w:szCs w:val="21"/>
              </w:rPr>
              <w:t>1</w:t>
            </w:r>
          </w:p>
        </w:tc>
        <w:tc>
          <w:tcPr>
            <w:tcW w:w="455" w:type="pct"/>
            <w:tcBorders>
              <w:tl2br w:val="nil"/>
              <w:tr2bl w:val="nil"/>
            </w:tcBorders>
            <w:tcMar>
              <w:left w:w="0" w:type="dxa"/>
              <w:right w:w="0" w:type="dxa"/>
            </w:tcMar>
            <w:vAlign w:val="center"/>
          </w:tcPr>
          <w:p>
            <w:pPr>
              <w:adjustRightInd/>
              <w:snapToGrid/>
              <w:spacing w:line="240" w:lineRule="auto"/>
              <w:ind w:firstLine="0" w:firstLineChars="0"/>
              <w:jc w:val="center"/>
              <w:rPr>
                <w:color w:val="auto"/>
                <w:sz w:val="21"/>
                <w:szCs w:val="21"/>
              </w:rPr>
            </w:pPr>
            <w:r>
              <w:rPr>
                <w:color w:val="auto"/>
                <w:sz w:val="21"/>
                <w:szCs w:val="21"/>
              </w:rPr>
              <w:t>总体要求</w:t>
            </w:r>
          </w:p>
        </w:tc>
        <w:tc>
          <w:tcPr>
            <w:tcW w:w="2506" w:type="pct"/>
            <w:tcBorders>
              <w:tl2br w:val="nil"/>
              <w:tr2bl w:val="nil"/>
            </w:tcBorders>
            <w:tcMar>
              <w:left w:w="0" w:type="dxa"/>
              <w:right w:w="0" w:type="dxa"/>
            </w:tcMar>
            <w:vAlign w:val="center"/>
          </w:tcPr>
          <w:p>
            <w:pPr>
              <w:widowControl/>
              <w:spacing w:line="240" w:lineRule="auto"/>
              <w:ind w:firstLine="0" w:firstLineChars="0"/>
              <w:jc w:val="left"/>
              <w:rPr>
                <w:color w:val="auto"/>
                <w:sz w:val="21"/>
                <w:szCs w:val="21"/>
              </w:rPr>
            </w:pPr>
            <w:r>
              <w:rPr>
                <w:color w:val="auto"/>
                <w:kern w:val="0"/>
                <w:sz w:val="21"/>
                <w:szCs w:val="21"/>
              </w:rPr>
              <w:t>畜禽养殖项目应严格执行《畜禽规模养殖污染防治条例》(中华人民共和国国务院令第64</w:t>
            </w:r>
            <w:r>
              <w:rPr>
                <w:rFonts w:hint="eastAsia"/>
                <w:color w:val="auto"/>
                <w:kern w:val="0"/>
                <w:sz w:val="21"/>
                <w:szCs w:val="21"/>
              </w:rPr>
              <w:t>3</w:t>
            </w:r>
            <w:r>
              <w:rPr>
                <w:color w:val="auto"/>
                <w:kern w:val="0"/>
                <w:sz w:val="21"/>
                <w:szCs w:val="21"/>
              </w:rPr>
              <w:t>号)、《畜禽养殖业污染排放标准》(GB18596-2001)、《畜禽养殖业污染防治技术规范》(HJ/T81-2001)、《畜禽养殖业污染治理工程技术规范》(HJ497-2009)、《畜禽养殖业污染防治技术政策》(环法[2010]151号)等相关要求。</w:t>
            </w:r>
          </w:p>
        </w:tc>
        <w:tc>
          <w:tcPr>
            <w:tcW w:w="1247" w:type="pct"/>
            <w:tcBorders>
              <w:tl2br w:val="nil"/>
              <w:tr2bl w:val="nil"/>
            </w:tcBorders>
            <w:tcMar>
              <w:left w:w="0" w:type="dxa"/>
              <w:right w:w="0" w:type="dxa"/>
            </w:tcMar>
            <w:vAlign w:val="center"/>
          </w:tcPr>
          <w:p>
            <w:pPr>
              <w:adjustRightInd/>
              <w:snapToGrid/>
              <w:spacing w:line="240" w:lineRule="auto"/>
              <w:ind w:firstLine="0" w:firstLineChars="0"/>
              <w:jc w:val="center"/>
              <w:rPr>
                <w:color w:val="auto"/>
                <w:sz w:val="21"/>
                <w:szCs w:val="21"/>
              </w:rPr>
            </w:pPr>
            <w:r>
              <w:rPr>
                <w:rFonts w:hint="eastAsia"/>
                <w:color w:val="auto"/>
                <w:sz w:val="21"/>
                <w:szCs w:val="21"/>
              </w:rPr>
              <w:t>本项目应按照执行相关法律法规，各污染物实现达标，并降低对周围环境的影响。</w:t>
            </w:r>
          </w:p>
        </w:tc>
        <w:tc>
          <w:tcPr>
            <w:tcW w:w="390" w:type="pct"/>
            <w:tcBorders>
              <w:tl2br w:val="nil"/>
              <w:tr2bl w:val="nil"/>
            </w:tcBorders>
            <w:tcMar>
              <w:left w:w="0" w:type="dxa"/>
              <w:right w:w="0" w:type="dxa"/>
            </w:tcMar>
            <w:vAlign w:val="center"/>
          </w:tcPr>
          <w:p>
            <w:pPr>
              <w:adjustRightInd/>
              <w:snapToGrid/>
              <w:spacing w:line="240" w:lineRule="auto"/>
              <w:ind w:firstLine="0" w:firstLineChars="0"/>
              <w:jc w:val="center"/>
              <w:rPr>
                <w:color w:val="auto"/>
                <w:sz w:val="21"/>
                <w:szCs w:val="21"/>
              </w:rPr>
            </w:pPr>
            <w:r>
              <w:rPr>
                <w:rFonts w:hint="eastAsia"/>
                <w:color w:val="auto"/>
                <w:sz w:val="21"/>
                <w:szCs w:val="21"/>
              </w:rPr>
              <w:t>相符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0" w:type="pct"/>
            <w:tcBorders>
              <w:tl2br w:val="nil"/>
              <w:tr2bl w:val="nil"/>
            </w:tcBorders>
            <w:tcMar>
              <w:left w:w="0" w:type="dxa"/>
              <w:right w:w="0" w:type="dxa"/>
            </w:tcMar>
            <w:vAlign w:val="center"/>
          </w:tcPr>
          <w:p>
            <w:pPr>
              <w:adjustRightInd/>
              <w:snapToGrid/>
              <w:spacing w:line="240" w:lineRule="auto"/>
              <w:ind w:firstLine="0" w:firstLineChars="0"/>
              <w:jc w:val="center"/>
              <w:rPr>
                <w:b/>
                <w:bCs/>
                <w:color w:val="auto"/>
                <w:sz w:val="21"/>
                <w:szCs w:val="21"/>
                <w:u w:val="single"/>
              </w:rPr>
            </w:pPr>
            <w:r>
              <w:rPr>
                <w:color w:val="auto"/>
                <w:sz w:val="21"/>
                <w:szCs w:val="21"/>
              </w:rPr>
              <w:t>2</w:t>
            </w:r>
          </w:p>
        </w:tc>
        <w:tc>
          <w:tcPr>
            <w:tcW w:w="455" w:type="pct"/>
            <w:tcBorders>
              <w:tl2br w:val="nil"/>
              <w:tr2bl w:val="nil"/>
            </w:tcBorders>
            <w:tcMar>
              <w:left w:w="0" w:type="dxa"/>
              <w:right w:w="0" w:type="dxa"/>
            </w:tcMar>
            <w:vAlign w:val="center"/>
          </w:tcPr>
          <w:p>
            <w:pPr>
              <w:adjustRightInd/>
              <w:snapToGrid/>
              <w:spacing w:line="240" w:lineRule="auto"/>
              <w:ind w:firstLine="0" w:firstLineChars="0"/>
              <w:jc w:val="center"/>
              <w:rPr>
                <w:color w:val="auto"/>
                <w:sz w:val="21"/>
                <w:szCs w:val="21"/>
              </w:rPr>
            </w:pPr>
            <w:r>
              <w:rPr>
                <w:color w:val="auto"/>
                <w:sz w:val="21"/>
                <w:szCs w:val="21"/>
              </w:rPr>
              <w:t>建设布局要求</w:t>
            </w:r>
          </w:p>
        </w:tc>
        <w:tc>
          <w:tcPr>
            <w:tcW w:w="2506" w:type="pct"/>
            <w:tcBorders>
              <w:tl2br w:val="nil"/>
              <w:tr2bl w:val="nil"/>
            </w:tcBorders>
            <w:tcMar>
              <w:left w:w="0" w:type="dxa"/>
              <w:right w:w="0" w:type="dxa"/>
            </w:tcMar>
            <w:vAlign w:val="center"/>
          </w:tcPr>
          <w:p>
            <w:pPr>
              <w:widowControl/>
              <w:spacing w:line="240" w:lineRule="auto"/>
              <w:ind w:firstLine="0" w:firstLineChars="0"/>
              <w:jc w:val="left"/>
              <w:rPr>
                <w:color w:val="auto"/>
                <w:sz w:val="21"/>
                <w:szCs w:val="21"/>
              </w:rPr>
            </w:pPr>
            <w:r>
              <w:rPr>
                <w:color w:val="auto"/>
                <w:kern w:val="0"/>
                <w:sz w:val="21"/>
                <w:szCs w:val="21"/>
              </w:rPr>
              <w:t>禁止在饮用水源保护区、风景名胜区、自然保护区的核心区及缓冲区、城镇居民区、文化教育科学研究区等人口集中区域及法律、法规规定的其他禁止建设区建设畜禽养殖场(区)。在禁建区附近建设的、应位于禁建区常年主导风向下风向或侧风向，</w:t>
            </w:r>
            <w:r>
              <w:rPr>
                <w:rFonts w:hint="eastAsia"/>
                <w:color w:val="auto"/>
                <w:kern w:val="0"/>
                <w:sz w:val="21"/>
                <w:szCs w:val="21"/>
              </w:rPr>
              <w:t>厂界</w:t>
            </w:r>
            <w:r>
              <w:rPr>
                <w:color w:val="auto"/>
                <w:kern w:val="0"/>
                <w:sz w:val="21"/>
                <w:szCs w:val="21"/>
              </w:rPr>
              <w:t>与禁建区边界最小距离不小于500m</w:t>
            </w:r>
            <w:r>
              <w:rPr>
                <w:rFonts w:hint="eastAsia"/>
                <w:color w:val="auto"/>
                <w:kern w:val="0"/>
                <w:sz w:val="21"/>
                <w:szCs w:val="21"/>
              </w:rPr>
              <w:t>，</w:t>
            </w:r>
            <w:r>
              <w:rPr>
                <w:color w:val="auto"/>
                <w:kern w:val="0"/>
                <w:sz w:val="21"/>
                <w:szCs w:val="21"/>
              </w:rPr>
              <w:t>畜禽粪便贮存设施与各类功能地表水体最小距离不小于400m。</w:t>
            </w:r>
          </w:p>
        </w:tc>
        <w:tc>
          <w:tcPr>
            <w:tcW w:w="1247" w:type="pct"/>
            <w:tcBorders>
              <w:tl2br w:val="nil"/>
              <w:tr2bl w:val="nil"/>
            </w:tcBorders>
            <w:tcMar>
              <w:left w:w="0" w:type="dxa"/>
              <w:right w:w="0" w:type="dxa"/>
            </w:tcMar>
            <w:vAlign w:val="center"/>
          </w:tcPr>
          <w:p>
            <w:pPr>
              <w:adjustRightInd/>
              <w:snapToGrid/>
              <w:spacing w:line="240" w:lineRule="auto"/>
              <w:ind w:firstLine="0" w:firstLineChars="0"/>
              <w:jc w:val="center"/>
              <w:rPr>
                <w:color w:val="auto"/>
                <w:sz w:val="21"/>
                <w:szCs w:val="21"/>
              </w:rPr>
            </w:pPr>
            <w:r>
              <w:rPr>
                <w:rFonts w:hint="eastAsia"/>
                <w:color w:val="auto"/>
                <w:kern w:val="0"/>
                <w:sz w:val="21"/>
                <w:szCs w:val="21"/>
              </w:rPr>
              <w:t>本项目厂界</w:t>
            </w:r>
            <w:r>
              <w:rPr>
                <w:color w:val="auto"/>
                <w:kern w:val="0"/>
                <w:sz w:val="21"/>
                <w:szCs w:val="21"/>
              </w:rPr>
              <w:t>与</w:t>
            </w:r>
            <w:r>
              <w:rPr>
                <w:rFonts w:hint="eastAsia"/>
                <w:color w:val="auto"/>
                <w:kern w:val="0"/>
                <w:sz w:val="21"/>
                <w:szCs w:val="21"/>
              </w:rPr>
              <w:t>最近敏感点距离为705m</w:t>
            </w:r>
            <w:r>
              <w:rPr>
                <w:rFonts w:hint="eastAsia"/>
                <w:color w:val="auto"/>
                <w:sz w:val="21"/>
                <w:szCs w:val="21"/>
              </w:rPr>
              <w:t>，粪污处理设施距离地表水体约为965m。</w:t>
            </w:r>
          </w:p>
        </w:tc>
        <w:tc>
          <w:tcPr>
            <w:tcW w:w="390" w:type="pct"/>
            <w:tcBorders>
              <w:tl2br w:val="nil"/>
              <w:tr2bl w:val="nil"/>
            </w:tcBorders>
            <w:tcMar>
              <w:left w:w="0" w:type="dxa"/>
              <w:right w:w="0" w:type="dxa"/>
            </w:tcMar>
            <w:vAlign w:val="center"/>
          </w:tcPr>
          <w:p>
            <w:pPr>
              <w:adjustRightInd/>
              <w:snapToGrid/>
              <w:spacing w:line="240" w:lineRule="auto"/>
              <w:ind w:firstLine="0" w:firstLineChars="0"/>
              <w:jc w:val="center"/>
              <w:rPr>
                <w:b/>
                <w:bCs/>
                <w:color w:val="auto"/>
                <w:sz w:val="21"/>
                <w:szCs w:val="21"/>
                <w:u w:val="single"/>
              </w:rPr>
            </w:pPr>
            <w:r>
              <w:rPr>
                <w:rFonts w:hint="eastAsia"/>
                <w:color w:val="auto"/>
                <w:sz w:val="21"/>
                <w:szCs w:val="21"/>
              </w:rPr>
              <w:t>相符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0" w:type="pct"/>
            <w:tcBorders>
              <w:tl2br w:val="nil"/>
              <w:tr2bl w:val="nil"/>
            </w:tcBorders>
            <w:tcMar>
              <w:left w:w="0" w:type="dxa"/>
              <w:right w:w="0" w:type="dxa"/>
            </w:tcMar>
            <w:vAlign w:val="center"/>
          </w:tcPr>
          <w:p>
            <w:pPr>
              <w:adjustRightInd/>
              <w:snapToGrid/>
              <w:spacing w:line="240" w:lineRule="auto"/>
              <w:ind w:firstLine="0" w:firstLineChars="0"/>
              <w:jc w:val="center"/>
              <w:rPr>
                <w:color w:val="auto"/>
                <w:sz w:val="21"/>
                <w:szCs w:val="21"/>
              </w:rPr>
            </w:pPr>
            <w:r>
              <w:rPr>
                <w:color w:val="auto"/>
                <w:sz w:val="21"/>
                <w:szCs w:val="21"/>
              </w:rPr>
              <w:t>3</w:t>
            </w:r>
          </w:p>
        </w:tc>
        <w:tc>
          <w:tcPr>
            <w:tcW w:w="455" w:type="pct"/>
            <w:tcBorders>
              <w:tl2br w:val="nil"/>
              <w:tr2bl w:val="nil"/>
            </w:tcBorders>
            <w:tcMar>
              <w:left w:w="0" w:type="dxa"/>
              <w:right w:w="0" w:type="dxa"/>
            </w:tcMar>
            <w:vAlign w:val="center"/>
          </w:tcPr>
          <w:p>
            <w:pPr>
              <w:adjustRightInd/>
              <w:snapToGrid/>
              <w:spacing w:line="240" w:lineRule="auto"/>
              <w:ind w:firstLine="0" w:firstLineChars="0"/>
              <w:jc w:val="center"/>
              <w:rPr>
                <w:color w:val="auto"/>
                <w:sz w:val="21"/>
                <w:szCs w:val="21"/>
              </w:rPr>
            </w:pPr>
            <w:r>
              <w:rPr>
                <w:color w:val="auto"/>
                <w:sz w:val="21"/>
                <w:szCs w:val="21"/>
              </w:rPr>
              <w:t>环境质量要求</w:t>
            </w:r>
          </w:p>
        </w:tc>
        <w:tc>
          <w:tcPr>
            <w:tcW w:w="2506" w:type="pct"/>
            <w:tcBorders>
              <w:tl2br w:val="nil"/>
              <w:tr2bl w:val="nil"/>
            </w:tcBorders>
            <w:tcMar>
              <w:left w:w="0" w:type="dxa"/>
              <w:right w:w="0" w:type="dxa"/>
            </w:tcMar>
            <w:vAlign w:val="center"/>
          </w:tcPr>
          <w:p>
            <w:pPr>
              <w:adjustRightInd/>
              <w:snapToGrid/>
              <w:spacing w:line="240" w:lineRule="auto"/>
              <w:ind w:firstLine="0" w:firstLineChars="0"/>
              <w:jc w:val="center"/>
              <w:rPr>
                <w:color w:val="auto"/>
                <w:sz w:val="21"/>
                <w:szCs w:val="21"/>
              </w:rPr>
            </w:pPr>
            <w:r>
              <w:rPr>
                <w:rFonts w:hint="eastAsia"/>
                <w:color w:val="auto"/>
                <w:sz w:val="21"/>
                <w:szCs w:val="21"/>
              </w:rPr>
              <w:t>项目区域环境质量达标的，项目实施后环境质量原则上仍须达标；环境质量不达标的，须强化污染防治措施，确保项目实施后环境质量不恶化。有国家、省、市相关法规、政策及环境管理要求的，按照相关要求执行。</w:t>
            </w:r>
          </w:p>
        </w:tc>
        <w:tc>
          <w:tcPr>
            <w:tcW w:w="1247" w:type="pct"/>
            <w:tcBorders>
              <w:tl2br w:val="nil"/>
              <w:tr2bl w:val="nil"/>
            </w:tcBorders>
            <w:tcMar>
              <w:left w:w="0" w:type="dxa"/>
              <w:right w:w="0" w:type="dxa"/>
            </w:tcMar>
            <w:vAlign w:val="center"/>
          </w:tcPr>
          <w:p>
            <w:pPr>
              <w:adjustRightInd/>
              <w:snapToGrid/>
              <w:spacing w:line="240" w:lineRule="auto"/>
              <w:ind w:firstLine="0" w:firstLineChars="0"/>
              <w:jc w:val="center"/>
              <w:rPr>
                <w:color w:val="auto"/>
                <w:sz w:val="21"/>
                <w:szCs w:val="21"/>
              </w:rPr>
            </w:pPr>
            <w:r>
              <w:rPr>
                <w:rFonts w:hint="eastAsia"/>
                <w:color w:val="auto"/>
                <w:sz w:val="21"/>
                <w:szCs w:val="21"/>
              </w:rPr>
              <w:t>根据环境质量现状监测数据，环境空气、地表水、地下水、声环境、土壤环境均能达标，项目运营后各污染物通过相应措施治理后，贡献值很小，对区域环境质量影响很小。</w:t>
            </w:r>
          </w:p>
        </w:tc>
        <w:tc>
          <w:tcPr>
            <w:tcW w:w="390" w:type="pct"/>
            <w:tcBorders>
              <w:tl2br w:val="nil"/>
              <w:tr2bl w:val="nil"/>
            </w:tcBorders>
            <w:tcMar>
              <w:left w:w="0" w:type="dxa"/>
              <w:right w:w="0" w:type="dxa"/>
            </w:tcMar>
            <w:vAlign w:val="center"/>
          </w:tcPr>
          <w:p>
            <w:pPr>
              <w:adjustRightInd/>
              <w:snapToGrid/>
              <w:spacing w:line="240" w:lineRule="auto"/>
              <w:ind w:firstLine="0" w:firstLineChars="0"/>
              <w:jc w:val="center"/>
              <w:rPr>
                <w:color w:val="auto"/>
                <w:sz w:val="21"/>
                <w:szCs w:val="21"/>
              </w:rPr>
            </w:pPr>
            <w:r>
              <w:rPr>
                <w:rFonts w:hint="eastAsia"/>
                <w:color w:val="auto"/>
                <w:sz w:val="21"/>
                <w:szCs w:val="21"/>
              </w:rPr>
              <w:t>相符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0" w:type="pct"/>
            <w:tcBorders>
              <w:tl2br w:val="nil"/>
              <w:tr2bl w:val="nil"/>
            </w:tcBorders>
            <w:tcMar>
              <w:left w:w="0" w:type="dxa"/>
              <w:right w:w="0" w:type="dxa"/>
            </w:tcMar>
            <w:vAlign w:val="center"/>
          </w:tcPr>
          <w:p>
            <w:pPr>
              <w:adjustRightInd/>
              <w:snapToGrid/>
              <w:spacing w:line="240" w:lineRule="auto"/>
              <w:ind w:firstLine="0" w:firstLineChars="0"/>
              <w:jc w:val="center"/>
              <w:rPr>
                <w:color w:val="auto"/>
                <w:sz w:val="21"/>
                <w:szCs w:val="21"/>
              </w:rPr>
            </w:pPr>
            <w:r>
              <w:rPr>
                <w:color w:val="auto"/>
                <w:sz w:val="21"/>
                <w:szCs w:val="21"/>
              </w:rPr>
              <w:t>4</w:t>
            </w:r>
          </w:p>
        </w:tc>
        <w:tc>
          <w:tcPr>
            <w:tcW w:w="455" w:type="pct"/>
            <w:tcBorders>
              <w:tl2br w:val="nil"/>
              <w:tr2bl w:val="nil"/>
            </w:tcBorders>
            <w:tcMar>
              <w:left w:w="0" w:type="dxa"/>
              <w:right w:w="0" w:type="dxa"/>
            </w:tcMar>
            <w:vAlign w:val="center"/>
          </w:tcPr>
          <w:p>
            <w:pPr>
              <w:adjustRightInd/>
              <w:snapToGrid/>
              <w:spacing w:line="240" w:lineRule="auto"/>
              <w:ind w:firstLine="0" w:firstLineChars="0"/>
              <w:jc w:val="center"/>
              <w:rPr>
                <w:color w:val="auto"/>
                <w:sz w:val="21"/>
                <w:szCs w:val="21"/>
              </w:rPr>
            </w:pPr>
            <w:r>
              <w:rPr>
                <w:color w:val="auto"/>
                <w:sz w:val="21"/>
                <w:szCs w:val="21"/>
              </w:rPr>
              <w:t>清粪工艺要求</w:t>
            </w:r>
          </w:p>
        </w:tc>
        <w:tc>
          <w:tcPr>
            <w:tcW w:w="2506" w:type="pct"/>
            <w:tcBorders>
              <w:tl2br w:val="nil"/>
              <w:tr2bl w:val="nil"/>
            </w:tcBorders>
            <w:tcMar>
              <w:left w:w="0" w:type="dxa"/>
              <w:right w:w="0" w:type="dxa"/>
            </w:tcMar>
            <w:vAlign w:val="center"/>
          </w:tcPr>
          <w:p>
            <w:pPr>
              <w:adjustRightInd/>
              <w:snapToGrid/>
              <w:spacing w:line="240" w:lineRule="auto"/>
              <w:ind w:firstLine="0" w:firstLineChars="0"/>
              <w:jc w:val="center"/>
              <w:rPr>
                <w:color w:val="auto"/>
                <w:sz w:val="21"/>
                <w:szCs w:val="21"/>
              </w:rPr>
            </w:pPr>
            <w:r>
              <w:rPr>
                <w:rFonts w:hint="eastAsia"/>
                <w:color w:val="auto"/>
                <w:sz w:val="21"/>
                <w:szCs w:val="21"/>
              </w:rPr>
              <w:t>新建、改建、扩建的畜禽养殖场（区）应采取干法清粪工艺，采取有效措施将粪及时、单独清出，不可与尿、污水混合排出，并将产生的粪渣及时运至贮存或处理场所。</w:t>
            </w:r>
          </w:p>
        </w:tc>
        <w:tc>
          <w:tcPr>
            <w:tcW w:w="1247" w:type="pct"/>
            <w:tcBorders>
              <w:tl2br w:val="nil"/>
              <w:tr2bl w:val="nil"/>
            </w:tcBorders>
            <w:tcMar>
              <w:left w:w="0" w:type="dxa"/>
              <w:right w:w="0" w:type="dxa"/>
            </w:tcMar>
            <w:vAlign w:val="center"/>
          </w:tcPr>
          <w:p>
            <w:pPr>
              <w:adjustRightInd/>
              <w:snapToGrid/>
              <w:spacing w:line="240" w:lineRule="auto"/>
              <w:ind w:firstLine="0" w:firstLineChars="0"/>
              <w:jc w:val="center"/>
              <w:rPr>
                <w:color w:val="auto"/>
                <w:sz w:val="21"/>
                <w:szCs w:val="21"/>
              </w:rPr>
            </w:pPr>
            <w:r>
              <w:rPr>
                <w:rFonts w:hint="eastAsia"/>
                <w:color w:val="auto"/>
                <w:sz w:val="21"/>
                <w:szCs w:val="21"/>
              </w:rPr>
              <w:t>本项目运营后养殖过程猪舍产生的恶臭气体定期喷洒除臭剂，猪舍出风口设置风机，将臭气引至除臭棚处理，除臭棚墙内填充填料吸附，填料为无规则排列且疏松多孔结构，能与臭气进行充分接触并高效拦截；同时除臭棚顶部有喷淋水装置；污水处理站各构筑物均密闭，并定期喷洒除臭剂，固粪处理区产生的恶臭设置风机，将臭气引至除臭棚处理，除臭棚墙内填充填料吸附，填料为无规则排列且疏松多孔结构，能与臭气进行充分接触并高效拦截；同时除臭棚顶部有喷淋水装置。</w:t>
            </w:r>
          </w:p>
        </w:tc>
        <w:tc>
          <w:tcPr>
            <w:tcW w:w="390" w:type="pct"/>
            <w:tcBorders>
              <w:tl2br w:val="nil"/>
              <w:tr2bl w:val="nil"/>
            </w:tcBorders>
            <w:tcMar>
              <w:left w:w="0" w:type="dxa"/>
              <w:right w:w="0" w:type="dxa"/>
            </w:tcMar>
            <w:vAlign w:val="center"/>
          </w:tcPr>
          <w:p>
            <w:pPr>
              <w:adjustRightInd/>
              <w:snapToGrid/>
              <w:spacing w:line="240" w:lineRule="auto"/>
              <w:ind w:firstLine="0" w:firstLineChars="0"/>
              <w:jc w:val="center"/>
              <w:rPr>
                <w:color w:val="auto"/>
                <w:sz w:val="21"/>
                <w:szCs w:val="21"/>
              </w:rPr>
            </w:pPr>
            <w:r>
              <w:rPr>
                <w:rFonts w:hint="eastAsia"/>
                <w:color w:val="auto"/>
                <w:sz w:val="21"/>
                <w:szCs w:val="21"/>
              </w:rPr>
              <w:t>相符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0" w:type="pct"/>
            <w:tcBorders>
              <w:tl2br w:val="nil"/>
              <w:tr2bl w:val="nil"/>
            </w:tcBorders>
            <w:tcMar>
              <w:left w:w="0" w:type="dxa"/>
              <w:right w:w="0" w:type="dxa"/>
            </w:tcMar>
            <w:vAlign w:val="center"/>
          </w:tcPr>
          <w:p>
            <w:pPr>
              <w:adjustRightInd/>
              <w:snapToGrid/>
              <w:spacing w:line="240" w:lineRule="auto"/>
              <w:ind w:firstLine="0" w:firstLineChars="0"/>
              <w:jc w:val="center"/>
              <w:rPr>
                <w:color w:val="auto"/>
                <w:sz w:val="21"/>
                <w:szCs w:val="21"/>
              </w:rPr>
            </w:pPr>
            <w:r>
              <w:rPr>
                <w:color w:val="auto"/>
                <w:sz w:val="21"/>
                <w:szCs w:val="21"/>
              </w:rPr>
              <w:t>5</w:t>
            </w:r>
          </w:p>
        </w:tc>
        <w:tc>
          <w:tcPr>
            <w:tcW w:w="455" w:type="pct"/>
            <w:tcBorders>
              <w:tl2br w:val="nil"/>
              <w:tr2bl w:val="nil"/>
            </w:tcBorders>
            <w:tcMar>
              <w:left w:w="0" w:type="dxa"/>
              <w:right w:w="0" w:type="dxa"/>
            </w:tcMar>
            <w:vAlign w:val="center"/>
          </w:tcPr>
          <w:p>
            <w:pPr>
              <w:adjustRightInd/>
              <w:snapToGrid/>
              <w:spacing w:line="240" w:lineRule="auto"/>
              <w:ind w:firstLine="0" w:firstLineChars="0"/>
              <w:jc w:val="center"/>
              <w:rPr>
                <w:color w:val="auto"/>
                <w:sz w:val="21"/>
                <w:szCs w:val="21"/>
              </w:rPr>
            </w:pPr>
            <w:r>
              <w:rPr>
                <w:color w:val="auto"/>
                <w:sz w:val="21"/>
                <w:szCs w:val="21"/>
              </w:rPr>
              <w:t>大气污染防治要求</w:t>
            </w:r>
          </w:p>
        </w:tc>
        <w:tc>
          <w:tcPr>
            <w:tcW w:w="2506" w:type="pct"/>
            <w:tcBorders>
              <w:tl2br w:val="nil"/>
              <w:tr2bl w:val="nil"/>
            </w:tcBorders>
            <w:tcMar>
              <w:left w:w="0" w:type="dxa"/>
              <w:right w:w="0" w:type="dxa"/>
            </w:tcMar>
            <w:vAlign w:val="center"/>
          </w:tcPr>
          <w:p>
            <w:pPr>
              <w:adjustRightInd/>
              <w:snapToGrid/>
              <w:spacing w:line="240" w:lineRule="auto"/>
              <w:ind w:firstLine="0" w:firstLineChars="0"/>
              <w:rPr>
                <w:color w:val="auto"/>
                <w:sz w:val="21"/>
                <w:szCs w:val="21"/>
              </w:rPr>
            </w:pPr>
            <w:r>
              <w:rPr>
                <w:color w:val="auto"/>
                <w:sz w:val="21"/>
                <w:szCs w:val="21"/>
              </w:rPr>
              <w:t>规模化畜禽养殖场(区)应加强恶臭气体净化处理。粪污处理各单元宜密闭设计、密闭的粪污处理厂(站)宜建设恶臭集中处理设施，各工艺过程产生的臭气集中收集处理后排放，排气简高度不低于15m。粪污处理环节产生的溜气原则上应综合利用，不得外排。</w:t>
            </w:r>
          </w:p>
        </w:tc>
        <w:tc>
          <w:tcPr>
            <w:tcW w:w="1247" w:type="pct"/>
            <w:tcBorders>
              <w:tl2br w:val="nil"/>
              <w:tr2bl w:val="nil"/>
            </w:tcBorders>
            <w:tcMar>
              <w:left w:w="0" w:type="dxa"/>
              <w:right w:w="0" w:type="dxa"/>
            </w:tcMar>
            <w:vAlign w:val="center"/>
          </w:tcPr>
          <w:p>
            <w:pPr>
              <w:adjustRightInd/>
              <w:snapToGrid/>
              <w:spacing w:line="240" w:lineRule="auto"/>
              <w:ind w:firstLine="0" w:firstLineChars="0"/>
              <w:jc w:val="center"/>
              <w:rPr>
                <w:color w:val="auto"/>
                <w:sz w:val="21"/>
                <w:szCs w:val="21"/>
              </w:rPr>
            </w:pPr>
            <w:r>
              <w:rPr>
                <w:rFonts w:hint="eastAsia"/>
                <w:color w:val="auto"/>
                <w:sz w:val="21"/>
                <w:szCs w:val="21"/>
              </w:rPr>
              <w:t>本项目运营后养殖过程猪舍产生的恶臭气体定期喷洒除臭剂；污水处理站各构筑物均密闭，并定期喷洒除臭剂，固粪处理区产生的恶臭定期喷洒除臭剂。</w:t>
            </w:r>
          </w:p>
        </w:tc>
        <w:tc>
          <w:tcPr>
            <w:tcW w:w="390" w:type="pct"/>
            <w:tcBorders>
              <w:tl2br w:val="nil"/>
              <w:tr2bl w:val="nil"/>
            </w:tcBorders>
            <w:tcMar>
              <w:left w:w="0" w:type="dxa"/>
              <w:right w:w="0" w:type="dxa"/>
            </w:tcMar>
            <w:vAlign w:val="center"/>
          </w:tcPr>
          <w:p>
            <w:pPr>
              <w:adjustRightInd/>
              <w:snapToGrid/>
              <w:spacing w:line="240" w:lineRule="auto"/>
              <w:ind w:firstLine="0" w:firstLineChars="0"/>
              <w:jc w:val="center"/>
              <w:rPr>
                <w:color w:val="auto"/>
                <w:sz w:val="21"/>
                <w:szCs w:val="21"/>
              </w:rPr>
            </w:pPr>
            <w:r>
              <w:rPr>
                <w:rFonts w:hint="eastAsia"/>
                <w:color w:val="auto"/>
                <w:sz w:val="21"/>
                <w:szCs w:val="21"/>
              </w:rPr>
              <w:t>相符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0" w:type="pct"/>
            <w:tcBorders>
              <w:tl2br w:val="nil"/>
              <w:tr2bl w:val="nil"/>
            </w:tcBorders>
            <w:tcMar>
              <w:left w:w="0" w:type="dxa"/>
              <w:right w:w="0" w:type="dxa"/>
            </w:tcMar>
            <w:vAlign w:val="center"/>
          </w:tcPr>
          <w:p>
            <w:pPr>
              <w:adjustRightInd/>
              <w:snapToGrid/>
              <w:spacing w:line="240" w:lineRule="auto"/>
              <w:ind w:firstLine="0" w:firstLineChars="0"/>
              <w:jc w:val="center"/>
              <w:rPr>
                <w:color w:val="auto"/>
                <w:sz w:val="21"/>
                <w:szCs w:val="21"/>
              </w:rPr>
            </w:pPr>
            <w:r>
              <w:rPr>
                <w:color w:val="auto"/>
                <w:sz w:val="21"/>
                <w:szCs w:val="21"/>
              </w:rPr>
              <w:t>6</w:t>
            </w:r>
          </w:p>
        </w:tc>
        <w:tc>
          <w:tcPr>
            <w:tcW w:w="455" w:type="pct"/>
            <w:tcBorders>
              <w:tl2br w:val="nil"/>
              <w:tr2bl w:val="nil"/>
            </w:tcBorders>
            <w:tcMar>
              <w:left w:w="0" w:type="dxa"/>
              <w:right w:w="0" w:type="dxa"/>
            </w:tcMar>
            <w:vAlign w:val="center"/>
          </w:tcPr>
          <w:p>
            <w:pPr>
              <w:adjustRightInd/>
              <w:snapToGrid/>
              <w:spacing w:line="240" w:lineRule="auto"/>
              <w:ind w:firstLine="0" w:firstLineChars="0"/>
              <w:jc w:val="center"/>
              <w:rPr>
                <w:color w:val="auto"/>
                <w:sz w:val="21"/>
                <w:szCs w:val="21"/>
              </w:rPr>
            </w:pPr>
            <w:r>
              <w:rPr>
                <w:color w:val="auto"/>
                <w:sz w:val="21"/>
                <w:szCs w:val="21"/>
              </w:rPr>
              <w:t>水污染防治要求</w:t>
            </w:r>
          </w:p>
        </w:tc>
        <w:tc>
          <w:tcPr>
            <w:tcW w:w="2506" w:type="pct"/>
            <w:tcBorders>
              <w:tl2br w:val="nil"/>
              <w:tr2bl w:val="nil"/>
            </w:tcBorders>
            <w:tcMar>
              <w:left w:w="0" w:type="dxa"/>
              <w:right w:w="0" w:type="dxa"/>
            </w:tcMar>
            <w:vAlign w:val="center"/>
          </w:tcPr>
          <w:p>
            <w:pPr>
              <w:adjustRightInd/>
              <w:snapToGrid/>
              <w:spacing w:line="240" w:lineRule="auto"/>
              <w:ind w:firstLine="0" w:firstLineChars="0"/>
              <w:rPr>
                <w:color w:val="auto"/>
                <w:sz w:val="21"/>
                <w:szCs w:val="21"/>
              </w:rPr>
            </w:pPr>
            <w:r>
              <w:rPr>
                <w:color w:val="auto"/>
                <w:sz w:val="21"/>
                <w:szCs w:val="21"/>
              </w:rPr>
              <w:t>规模化畜禽养殖场(区)排水系统实施雨污分流、污水收集输送系统不得采取明沟布设。污水、沼液应综合利用，向环境排放经过处理的畜禽养殖废弃物，应当符合国家和地方规定的污染物排放标准和总量控制指标。粪污处理设施和粪便贮存设施应设置顶盖，并采取有效的防渗工艺，防止污染地下水。</w:t>
            </w:r>
          </w:p>
        </w:tc>
        <w:tc>
          <w:tcPr>
            <w:tcW w:w="1247" w:type="pct"/>
            <w:tcBorders>
              <w:tl2br w:val="nil"/>
              <w:tr2bl w:val="nil"/>
            </w:tcBorders>
            <w:tcMar>
              <w:left w:w="0" w:type="dxa"/>
              <w:right w:w="0" w:type="dxa"/>
            </w:tcMar>
            <w:vAlign w:val="center"/>
          </w:tcPr>
          <w:p>
            <w:pPr>
              <w:adjustRightInd/>
              <w:snapToGrid/>
              <w:spacing w:line="240" w:lineRule="auto"/>
              <w:ind w:firstLine="0" w:firstLineChars="0"/>
              <w:jc w:val="center"/>
              <w:rPr>
                <w:color w:val="auto"/>
                <w:sz w:val="21"/>
                <w:szCs w:val="21"/>
              </w:rPr>
            </w:pPr>
            <w:r>
              <w:rPr>
                <w:rFonts w:hint="eastAsia"/>
                <w:color w:val="auto"/>
                <w:sz w:val="21"/>
                <w:szCs w:val="21"/>
              </w:rPr>
              <w:t>本项目厂区采取雨污分流，废水经厂区污水处理站处理后，用于周边农田施肥。污水处理各构筑物、猪舍地面均采取防渗措施，防治污染地下水。</w:t>
            </w:r>
          </w:p>
        </w:tc>
        <w:tc>
          <w:tcPr>
            <w:tcW w:w="390" w:type="pct"/>
            <w:tcBorders>
              <w:tl2br w:val="nil"/>
              <w:tr2bl w:val="nil"/>
            </w:tcBorders>
            <w:tcMar>
              <w:left w:w="0" w:type="dxa"/>
              <w:right w:w="0" w:type="dxa"/>
            </w:tcMar>
            <w:vAlign w:val="center"/>
          </w:tcPr>
          <w:p>
            <w:pPr>
              <w:adjustRightInd/>
              <w:snapToGrid/>
              <w:spacing w:line="240" w:lineRule="auto"/>
              <w:ind w:firstLine="0" w:firstLineChars="0"/>
              <w:jc w:val="center"/>
              <w:rPr>
                <w:color w:val="auto"/>
                <w:sz w:val="21"/>
                <w:szCs w:val="21"/>
              </w:rPr>
            </w:pPr>
            <w:r>
              <w:rPr>
                <w:rFonts w:hint="eastAsia"/>
                <w:color w:val="auto"/>
                <w:sz w:val="21"/>
                <w:szCs w:val="21"/>
              </w:rPr>
              <w:t>相符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0" w:type="pct"/>
            <w:tcBorders>
              <w:tl2br w:val="nil"/>
              <w:tr2bl w:val="nil"/>
            </w:tcBorders>
            <w:tcMar>
              <w:left w:w="0" w:type="dxa"/>
              <w:right w:w="0" w:type="dxa"/>
            </w:tcMar>
            <w:vAlign w:val="center"/>
          </w:tcPr>
          <w:p>
            <w:pPr>
              <w:adjustRightInd/>
              <w:snapToGrid/>
              <w:spacing w:line="240" w:lineRule="auto"/>
              <w:ind w:firstLine="0" w:firstLineChars="0"/>
              <w:jc w:val="center"/>
              <w:rPr>
                <w:color w:val="auto"/>
                <w:sz w:val="21"/>
                <w:szCs w:val="21"/>
              </w:rPr>
            </w:pPr>
            <w:r>
              <w:rPr>
                <w:color w:val="auto"/>
                <w:sz w:val="21"/>
                <w:szCs w:val="21"/>
              </w:rPr>
              <w:t>7</w:t>
            </w:r>
          </w:p>
        </w:tc>
        <w:tc>
          <w:tcPr>
            <w:tcW w:w="455" w:type="pct"/>
            <w:tcBorders>
              <w:tl2br w:val="nil"/>
              <w:tr2bl w:val="nil"/>
            </w:tcBorders>
            <w:tcMar>
              <w:left w:w="0" w:type="dxa"/>
              <w:right w:w="0" w:type="dxa"/>
            </w:tcMar>
            <w:vAlign w:val="center"/>
          </w:tcPr>
          <w:p>
            <w:pPr>
              <w:adjustRightInd/>
              <w:snapToGrid/>
              <w:spacing w:line="240" w:lineRule="auto"/>
              <w:ind w:firstLine="0" w:firstLineChars="0"/>
              <w:jc w:val="center"/>
              <w:rPr>
                <w:color w:val="auto"/>
                <w:sz w:val="21"/>
                <w:szCs w:val="21"/>
              </w:rPr>
            </w:pPr>
            <w:r>
              <w:rPr>
                <w:color w:val="auto"/>
                <w:sz w:val="21"/>
                <w:szCs w:val="21"/>
              </w:rPr>
              <w:t>固废污染防治要求</w:t>
            </w:r>
          </w:p>
        </w:tc>
        <w:tc>
          <w:tcPr>
            <w:tcW w:w="2506" w:type="pct"/>
            <w:tcBorders>
              <w:tl2br w:val="nil"/>
              <w:tr2bl w:val="nil"/>
            </w:tcBorders>
            <w:tcMar>
              <w:left w:w="0" w:type="dxa"/>
              <w:right w:w="0" w:type="dxa"/>
            </w:tcMar>
            <w:vAlign w:val="center"/>
          </w:tcPr>
          <w:p>
            <w:pPr>
              <w:widowControl/>
              <w:spacing w:line="240" w:lineRule="auto"/>
              <w:ind w:firstLine="0" w:firstLineChars="0"/>
              <w:jc w:val="left"/>
              <w:rPr>
                <w:color w:val="auto"/>
                <w:sz w:val="21"/>
                <w:szCs w:val="21"/>
              </w:rPr>
            </w:pPr>
            <w:r>
              <w:rPr>
                <w:color w:val="auto"/>
                <w:sz w:val="21"/>
                <w:szCs w:val="21"/>
              </w:rPr>
              <w:t>病害畜禽养殖废弃物应及时处理，原则上应采取生物化制技术进行无害化处理，不得随意处置。医疗废物应交由有危险废物处置资质的单位进行处理。畜愈类便经无害化处理满足标准后</w:t>
            </w:r>
            <w:r>
              <w:rPr>
                <w:color w:val="auto"/>
                <w:kern w:val="0"/>
                <w:sz w:val="21"/>
                <w:szCs w:val="21"/>
              </w:rPr>
              <w:t>方能土地利用</w:t>
            </w:r>
            <w:r>
              <w:rPr>
                <w:rFonts w:hint="eastAsia"/>
                <w:color w:val="auto"/>
                <w:kern w:val="0"/>
                <w:sz w:val="21"/>
                <w:szCs w:val="21"/>
              </w:rPr>
              <w:t>，</w:t>
            </w:r>
            <w:r>
              <w:rPr>
                <w:color w:val="auto"/>
                <w:kern w:val="0"/>
                <w:sz w:val="21"/>
                <w:szCs w:val="21"/>
              </w:rPr>
              <w:t>并对土壤肥力和粪肥肥效进行评价，同时应有一倍以上的土地用于轮作。未经处理畜愈类使严禁直接施入农田。</w:t>
            </w:r>
          </w:p>
        </w:tc>
        <w:tc>
          <w:tcPr>
            <w:tcW w:w="1247" w:type="pct"/>
            <w:tcBorders>
              <w:tl2br w:val="nil"/>
              <w:tr2bl w:val="nil"/>
            </w:tcBorders>
            <w:tcMar>
              <w:left w:w="0" w:type="dxa"/>
              <w:right w:w="0" w:type="dxa"/>
            </w:tcMar>
            <w:vAlign w:val="center"/>
          </w:tcPr>
          <w:p>
            <w:pPr>
              <w:adjustRightInd/>
              <w:snapToGrid/>
              <w:spacing w:line="240" w:lineRule="auto"/>
              <w:ind w:firstLine="0" w:firstLineChars="0"/>
              <w:jc w:val="center"/>
              <w:rPr>
                <w:color w:val="auto"/>
                <w:sz w:val="21"/>
                <w:szCs w:val="21"/>
              </w:rPr>
            </w:pPr>
            <w:r>
              <w:rPr>
                <w:rFonts w:hint="eastAsia"/>
                <w:color w:val="auto"/>
                <w:sz w:val="21"/>
                <w:szCs w:val="21"/>
              </w:rPr>
              <w:t>本项目运营后，病死猪在厂区无害化处理；医疗废物委托有资质单位单位安全处置；猪粪发酵堆肥后作为有机肥</w:t>
            </w:r>
            <w:r>
              <w:rPr>
                <w:rStyle w:val="31"/>
                <w:rFonts w:hint="eastAsia"/>
                <w:color w:val="auto"/>
              </w:rPr>
              <w:t>基料</w:t>
            </w:r>
            <w:r>
              <w:rPr>
                <w:rFonts w:hint="eastAsia"/>
                <w:color w:val="auto"/>
                <w:sz w:val="21"/>
                <w:szCs w:val="21"/>
              </w:rPr>
              <w:t>外售。</w:t>
            </w:r>
          </w:p>
        </w:tc>
        <w:tc>
          <w:tcPr>
            <w:tcW w:w="390" w:type="pct"/>
            <w:tcBorders>
              <w:tl2br w:val="nil"/>
              <w:tr2bl w:val="nil"/>
            </w:tcBorders>
            <w:tcMar>
              <w:left w:w="0" w:type="dxa"/>
              <w:right w:w="0" w:type="dxa"/>
            </w:tcMar>
            <w:vAlign w:val="center"/>
          </w:tcPr>
          <w:p>
            <w:pPr>
              <w:adjustRightInd/>
              <w:snapToGrid/>
              <w:spacing w:line="240" w:lineRule="auto"/>
              <w:ind w:firstLine="0" w:firstLineChars="0"/>
              <w:jc w:val="center"/>
              <w:rPr>
                <w:color w:val="auto"/>
                <w:sz w:val="21"/>
                <w:szCs w:val="21"/>
              </w:rPr>
            </w:pPr>
            <w:r>
              <w:rPr>
                <w:rFonts w:hint="eastAsia"/>
                <w:color w:val="auto"/>
                <w:sz w:val="21"/>
                <w:szCs w:val="21"/>
              </w:rPr>
              <w:t>相符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0" w:type="pct"/>
            <w:tcBorders>
              <w:tl2br w:val="nil"/>
              <w:tr2bl w:val="nil"/>
            </w:tcBorders>
            <w:tcMar>
              <w:left w:w="0" w:type="dxa"/>
              <w:right w:w="0" w:type="dxa"/>
            </w:tcMar>
            <w:vAlign w:val="center"/>
          </w:tcPr>
          <w:p>
            <w:pPr>
              <w:adjustRightInd/>
              <w:snapToGrid/>
              <w:spacing w:line="240" w:lineRule="auto"/>
              <w:ind w:firstLine="0" w:firstLineChars="0"/>
              <w:jc w:val="center"/>
              <w:rPr>
                <w:color w:val="auto"/>
                <w:sz w:val="21"/>
                <w:szCs w:val="21"/>
              </w:rPr>
            </w:pPr>
            <w:r>
              <w:rPr>
                <w:color w:val="auto"/>
                <w:sz w:val="21"/>
                <w:szCs w:val="21"/>
              </w:rPr>
              <w:t>8</w:t>
            </w:r>
          </w:p>
        </w:tc>
        <w:tc>
          <w:tcPr>
            <w:tcW w:w="455" w:type="pct"/>
            <w:tcBorders>
              <w:tl2br w:val="nil"/>
              <w:tr2bl w:val="nil"/>
            </w:tcBorders>
            <w:tcMar>
              <w:left w:w="0" w:type="dxa"/>
              <w:right w:w="0" w:type="dxa"/>
            </w:tcMar>
            <w:vAlign w:val="center"/>
          </w:tcPr>
          <w:p>
            <w:pPr>
              <w:adjustRightInd/>
              <w:snapToGrid/>
              <w:spacing w:line="240" w:lineRule="auto"/>
              <w:ind w:firstLine="0" w:firstLineChars="0"/>
              <w:jc w:val="center"/>
              <w:rPr>
                <w:color w:val="auto"/>
                <w:sz w:val="21"/>
                <w:szCs w:val="21"/>
              </w:rPr>
            </w:pPr>
            <w:r>
              <w:rPr>
                <w:color w:val="auto"/>
                <w:sz w:val="21"/>
                <w:szCs w:val="21"/>
              </w:rPr>
              <w:t>公众参与</w:t>
            </w:r>
          </w:p>
        </w:tc>
        <w:tc>
          <w:tcPr>
            <w:tcW w:w="2506" w:type="pct"/>
            <w:tcBorders>
              <w:tl2br w:val="nil"/>
              <w:tr2bl w:val="nil"/>
            </w:tcBorders>
            <w:tcMar>
              <w:left w:w="0" w:type="dxa"/>
              <w:right w:w="0" w:type="dxa"/>
            </w:tcMar>
            <w:vAlign w:val="center"/>
          </w:tcPr>
          <w:p>
            <w:pPr>
              <w:adjustRightInd/>
              <w:snapToGrid/>
              <w:spacing w:line="240" w:lineRule="auto"/>
              <w:ind w:firstLine="0" w:firstLineChars="0"/>
              <w:rPr>
                <w:color w:val="auto"/>
                <w:sz w:val="21"/>
                <w:szCs w:val="21"/>
              </w:rPr>
            </w:pPr>
            <w:r>
              <w:rPr>
                <w:rFonts w:hint="eastAsia"/>
                <w:color w:val="auto"/>
                <w:sz w:val="21"/>
                <w:szCs w:val="21"/>
              </w:rPr>
              <w:t>严格按照国家和河南省相关规定开展信息公开和公众参与，必要时可进一步加大信息公开和公众参与力度。</w:t>
            </w:r>
          </w:p>
        </w:tc>
        <w:tc>
          <w:tcPr>
            <w:tcW w:w="1247" w:type="pct"/>
            <w:tcBorders>
              <w:tl2br w:val="nil"/>
              <w:tr2bl w:val="nil"/>
            </w:tcBorders>
            <w:tcMar>
              <w:left w:w="0" w:type="dxa"/>
              <w:right w:w="0" w:type="dxa"/>
            </w:tcMar>
            <w:vAlign w:val="center"/>
          </w:tcPr>
          <w:p>
            <w:pPr>
              <w:adjustRightInd/>
              <w:snapToGrid/>
              <w:spacing w:line="240" w:lineRule="auto"/>
              <w:ind w:firstLine="0" w:firstLineChars="0"/>
              <w:jc w:val="center"/>
              <w:rPr>
                <w:color w:val="auto"/>
                <w:sz w:val="21"/>
                <w:szCs w:val="21"/>
              </w:rPr>
            </w:pPr>
            <w:r>
              <w:rPr>
                <w:rFonts w:hint="eastAsia"/>
                <w:color w:val="auto"/>
                <w:sz w:val="21"/>
                <w:szCs w:val="21"/>
              </w:rPr>
              <w:t>本项目环评期间采取了一次公示、二次公示、并在中原油田日报上进行了报纸公示，未收到反对意见</w:t>
            </w:r>
          </w:p>
        </w:tc>
        <w:tc>
          <w:tcPr>
            <w:tcW w:w="390" w:type="pct"/>
            <w:tcBorders>
              <w:tl2br w:val="nil"/>
              <w:tr2bl w:val="nil"/>
            </w:tcBorders>
            <w:tcMar>
              <w:left w:w="0" w:type="dxa"/>
              <w:right w:w="0" w:type="dxa"/>
            </w:tcMar>
            <w:vAlign w:val="center"/>
          </w:tcPr>
          <w:p>
            <w:pPr>
              <w:adjustRightInd/>
              <w:snapToGrid/>
              <w:spacing w:line="240" w:lineRule="auto"/>
              <w:ind w:firstLine="0" w:firstLineChars="0"/>
              <w:jc w:val="center"/>
              <w:rPr>
                <w:color w:val="auto"/>
                <w:sz w:val="21"/>
                <w:szCs w:val="21"/>
              </w:rPr>
            </w:pPr>
            <w:r>
              <w:rPr>
                <w:rFonts w:hint="eastAsia"/>
                <w:color w:val="auto"/>
                <w:sz w:val="21"/>
                <w:szCs w:val="21"/>
              </w:rPr>
              <w:t>相符</w:t>
            </w:r>
          </w:p>
        </w:tc>
      </w:tr>
    </w:tbl>
    <w:p>
      <w:pPr>
        <w:ind w:firstLine="480"/>
        <w:rPr>
          <w:color w:val="auto"/>
        </w:rPr>
      </w:pPr>
      <w:r>
        <w:rPr>
          <w:rFonts w:hint="eastAsia"/>
          <w:color w:val="auto"/>
        </w:rPr>
        <w:t>根据河南省畜禽养殖建设项目环境影响评价文件审查审批原则，本项目厂界与最近敏感点距离为705m，粪污处理设施距离地表水体约为965m，建设布局可行；项目运营后各污染物通过相应措施治理后，贡献值很小，对区域环境质量影响很小，可以满足环境质量要求；项目采用干清粪生产工艺，运营后养殖过程猪舍产生的恶臭气体定期喷洒除臭剂，并在猪舍出风口设置风机，将臭气引至除臭棚处理，除臭棚墙内填充填料吸附，填料为无规则排列且疏松多孔结构，能与臭气进行充分接触并高效拦截；同时除臭棚顶部有喷淋水装置；污水处理站各构筑物均密闭，并定期喷洒除臭剂，固粪处理区产生的恶臭设置风机，将臭气引至除臭棚处理，除臭棚墙内填充填料吸附，填料为无规则排列且疏松多孔结构，能与臭气进行充分接触并高效拦截；同时除臭棚顶部有喷淋水装置，满足清粪工艺及大气污染防治要求；厂区采取雨污分流，废水经厂区污水处理站处理后，用于周边农田施肥。污水处理各构筑物、猪舍地面均采取防渗措施，防治污染地下水，病死猪在厂区无害化处理；医疗废物委托有资质单位单位安全处置；猪粪发酵堆肥后作为有机肥基料外售，满足水污染防治、固废污染防指要求。综上所述，项目符合河南省畜禽养殖建设项目环境影响评价文件审查审批原则要求。建设单位在运营后应做好各项污染防治措施，实现污染物的达标排放，降低对周围环境的影响。</w:t>
      </w:r>
    </w:p>
    <w:p>
      <w:pPr>
        <w:pStyle w:val="6"/>
        <w:numPr>
          <w:ilvl w:val="2"/>
          <w:numId w:val="0"/>
        </w:numPr>
        <w:rPr>
          <w:bCs/>
          <w:color w:val="auto"/>
          <w:lang w:val="en-US"/>
        </w:rPr>
      </w:pPr>
      <w:r>
        <w:rPr>
          <w:rFonts w:hint="eastAsia"/>
          <w:bCs/>
          <w:color w:val="auto"/>
          <w:lang w:val="en-US"/>
        </w:rPr>
        <w:t>2.7.8与国家及地方污染防治相关管理要求相符性分析</w:t>
      </w:r>
    </w:p>
    <w:p>
      <w:pPr>
        <w:ind w:firstLine="480"/>
        <w:rPr>
          <w:color w:val="auto"/>
        </w:rPr>
      </w:pPr>
      <w:r>
        <w:rPr>
          <w:rFonts w:hint="eastAsia"/>
          <w:color w:val="auto"/>
        </w:rPr>
        <w:t>2.7.8.1</w:t>
      </w:r>
      <w:r>
        <w:rPr>
          <w:color w:val="auto"/>
        </w:rPr>
        <w:t>与《大气污染防治行动计划》（简称空气“国十条”）相符性分析</w:t>
      </w:r>
    </w:p>
    <w:p>
      <w:pPr>
        <w:ind w:firstLine="480"/>
        <w:rPr>
          <w:bCs/>
          <w:color w:val="auto"/>
        </w:rPr>
      </w:pPr>
      <w:r>
        <w:rPr>
          <w:bCs/>
          <w:color w:val="auto"/>
        </w:rPr>
        <w:t>空气“国十条”：第一条 加大综合治理力度，减少多污染物排放；第二条 调整优化产业结构，推动产业转型升级；第三条 加快企业技术改造，提高科技创新能力；第四条 加快调整能源结构，增加清洁能源供应；第五条 严格节能环保准入，优化产业空间布局；第六条 发挥市场机制作用，完善环境经济政策；第七条 健全法律法规体系，严格依法监督管理；第八条  建立区域协作机制，统筹区域环境治理；第九条 建立监测预警应急体系，妥善应对重污染天气；第十条 明确政府企业和社会的责任，动员全民参与环境保护。</w:t>
      </w:r>
    </w:p>
    <w:p>
      <w:pPr>
        <w:ind w:firstLine="480"/>
        <w:rPr>
          <w:bCs/>
          <w:color w:val="auto"/>
        </w:rPr>
      </w:pPr>
      <w:r>
        <w:rPr>
          <w:bCs/>
          <w:color w:val="auto"/>
        </w:rPr>
        <w:t>本项目</w:t>
      </w:r>
      <w:r>
        <w:rPr>
          <w:rFonts w:hint="eastAsia"/>
          <w:bCs/>
          <w:color w:val="auto"/>
        </w:rPr>
        <w:t>猪粪发酵堆肥过程喷洒除臭剂，周边绿化等进行治理；</w:t>
      </w:r>
      <w:r>
        <w:rPr>
          <w:bCs/>
          <w:color w:val="auto"/>
        </w:rPr>
        <w:t>污水</w:t>
      </w:r>
      <w:r>
        <w:rPr>
          <w:rFonts w:hint="eastAsia"/>
          <w:bCs/>
          <w:color w:val="auto"/>
        </w:rPr>
        <w:t>处理构筑物</w:t>
      </w:r>
      <w:r>
        <w:rPr>
          <w:bCs/>
          <w:color w:val="auto"/>
        </w:rPr>
        <w:t>密闭并</w:t>
      </w:r>
      <w:r>
        <w:rPr>
          <w:rFonts w:hint="eastAsia"/>
          <w:bCs/>
          <w:color w:val="auto"/>
        </w:rPr>
        <w:t>喷洒</w:t>
      </w:r>
      <w:r>
        <w:rPr>
          <w:bCs/>
          <w:color w:val="auto"/>
        </w:rPr>
        <w:t>除臭剂进行治理</w:t>
      </w:r>
      <w:r>
        <w:rPr>
          <w:rFonts w:hint="eastAsia"/>
          <w:bCs/>
          <w:color w:val="auto"/>
        </w:rPr>
        <w:t>，无害化处理装置在排风口</w:t>
      </w:r>
      <w:r>
        <w:rPr>
          <w:rFonts w:hint="eastAsia"/>
          <w:color w:val="auto"/>
        </w:rPr>
        <w:t>设置风机，将臭气引至除臭棚处理，除臭棚墙内填充填料吸附，填料为无规则排列且疏松多孔结构，能与臭气进行充分接触并高效拦截；同时除臭棚顶部有喷淋水装置</w:t>
      </w:r>
      <w:r>
        <w:rPr>
          <w:rFonts w:hint="eastAsia"/>
          <w:bCs/>
          <w:color w:val="auto"/>
        </w:rPr>
        <w:t>，</w:t>
      </w:r>
      <w:r>
        <w:rPr>
          <w:bCs/>
          <w:color w:val="auto"/>
        </w:rPr>
        <w:t>从而减少了污染物的排放，符合空气“国十条”的第一条管理要求；另外本项目属于鼓励类，不属于高耗能、高污染行业类别，本项目实施有利用优化产业结构，符合空气“国十条”的第二条管理要求。</w:t>
      </w:r>
    </w:p>
    <w:p>
      <w:pPr>
        <w:ind w:firstLine="480"/>
        <w:rPr>
          <w:color w:val="auto"/>
        </w:rPr>
      </w:pPr>
      <w:bookmarkStart w:id="180" w:name="1.9.4.2与《水污染防治行动计划》（简称“水十条”）相符性分析"/>
      <w:bookmarkEnd w:id="180"/>
      <w:r>
        <w:rPr>
          <w:rFonts w:hint="eastAsia"/>
          <w:color w:val="auto"/>
        </w:rPr>
        <w:t>2.7.8.3 与《水污染防治行动计划》（简称“水十条”）相符性分析</w:t>
      </w:r>
    </w:p>
    <w:p>
      <w:pPr>
        <w:ind w:firstLine="480"/>
        <w:rPr>
          <w:bCs/>
          <w:color w:val="auto"/>
        </w:rPr>
      </w:pPr>
      <w:r>
        <w:rPr>
          <w:color w:val="auto"/>
        </w:rPr>
        <w:t>“水十条”：一是全面控制污染物排放（科学划定畜禽养殖禁养区，2017年底前，依法关闭或搬迁禁养区内的畜禽养殖场（小区）和养殖专业户，京津冀、长三角、珠三角等区域提前一年完成。现有规模化畜禽养殖场（小区）要根据污染防治需要，配套建设粪便污水贮存、处理、利用设施。散养密集区要实行畜禽粪便污水分户收集、集中处理利用。自2016年起，新建、改建、扩建规模化畜禽养殖场（小区）要实施雨污分流、粪便污水资源化利用；二是推动经济结构转型升级。加快淘汰落后产能，合理确定产业发展布局、结构和规模，以工业水、再生水和海水利用等推动循环发展；三是着力节约保护水资源。实施最严格水资源管理制</w:t>
      </w:r>
      <w:r>
        <w:rPr>
          <w:bCs/>
          <w:color w:val="auto"/>
        </w:rPr>
        <w:t>度，控制用水总量，提高用水效率，加强水量调度，保证重要河流生态流量；四是强化科技支撑。推广示范先进适用技术，加强基础研究和前瞻技术研发，规范环保产业市场，加快发展环保服务业；五是充分发挥市场机制作用。加快水价改革，完善收费政策，健全税收政策，促进多元投资，建立有利于水环境治理的激励机制；六是严格环境执法监管。严惩各类环境违法行为和违规建设项目，加强行政执法与刑事司法衔接，健全水环境监测网络；七是切实加强水环境管理。强化环境治理目标管理，深化污染物总量控制制度，严格控制各类环境风险，全面推行排污许可；八是全力保障水生态环境安全；九是明确和落实各方责任。强化地方政府水环境保护责任，落实排污单位主体责任，国家分流域、分区域、分海域逐年考核计划实施情况，督促各方履责到位；十是强化公众参与和社会监督。</w:t>
      </w:r>
    </w:p>
    <w:p>
      <w:pPr>
        <w:ind w:firstLine="480"/>
        <w:rPr>
          <w:bCs/>
          <w:color w:val="auto"/>
        </w:rPr>
      </w:pPr>
      <w:r>
        <w:rPr>
          <w:bCs/>
          <w:color w:val="auto"/>
        </w:rPr>
        <w:t>本项目雨污分流，项目产生的</w:t>
      </w:r>
      <w:r>
        <w:rPr>
          <w:rFonts w:hint="eastAsia"/>
          <w:bCs/>
          <w:color w:val="auto"/>
        </w:rPr>
        <w:t>猪舍冲洗废水、生活废水等经厂区污水处理设施厌氧发酵处理后沼液用于附近农田肥田。本项目</w:t>
      </w:r>
      <w:r>
        <w:rPr>
          <w:bCs/>
          <w:color w:val="auto"/>
        </w:rPr>
        <w:t>污染物不外排，符合“水十条”相关规定。</w:t>
      </w:r>
    </w:p>
    <w:p>
      <w:pPr>
        <w:ind w:firstLine="480"/>
        <w:rPr>
          <w:bCs/>
          <w:color w:val="auto"/>
        </w:rPr>
      </w:pPr>
      <w:r>
        <w:rPr>
          <w:rFonts w:hint="eastAsia"/>
          <w:bCs/>
          <w:color w:val="auto"/>
        </w:rPr>
        <w:t>2.7.9本项目与《河南省2020年大气、水、土壤污染防治攻坚战实施方案的通知》（豫环攻坚办〔2020〕7号相符性分析</w:t>
      </w:r>
    </w:p>
    <w:p>
      <w:pPr>
        <w:ind w:firstLine="480"/>
        <w:rPr>
          <w:bCs/>
          <w:color w:val="auto"/>
        </w:rPr>
      </w:pPr>
      <w:r>
        <w:rPr>
          <w:bCs/>
          <w:color w:val="auto"/>
        </w:rPr>
        <w:t>根据</w:t>
      </w:r>
      <w:r>
        <w:rPr>
          <w:rFonts w:hint="eastAsia"/>
          <w:bCs/>
          <w:color w:val="auto"/>
        </w:rPr>
        <w:t>《河南省2020年大气、水、土壤污染防治攻坚战实施方案的通知》（豫环攻坚办〔2020〕7 号，现对照其分析相符性。</w:t>
      </w:r>
    </w:p>
    <w:p>
      <w:pPr>
        <w:adjustRightInd/>
        <w:snapToGrid/>
        <w:spacing w:line="240" w:lineRule="auto"/>
        <w:ind w:firstLine="442"/>
        <w:jc w:val="center"/>
        <w:rPr>
          <w:b/>
          <w:color w:val="auto"/>
        </w:rPr>
      </w:pPr>
      <w:r>
        <w:rPr>
          <w:b/>
          <w:color w:val="auto"/>
          <w:sz w:val="22"/>
          <w:szCs w:val="22"/>
        </w:rPr>
        <w:t>表2.7-6   项目与豫环攻坚办〔2020〕7 号相符性分析</w:t>
      </w:r>
    </w:p>
    <w:tbl>
      <w:tblPr>
        <w:tblStyle w:val="28"/>
        <w:tblW w:w="8522"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64"/>
        <w:gridCol w:w="3909"/>
        <w:gridCol w:w="2410"/>
        <w:gridCol w:w="103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jc w:val="center"/>
        </w:trPr>
        <w:tc>
          <w:tcPr>
            <w:tcW w:w="1164" w:type="dxa"/>
            <w:tcBorders>
              <w:tl2br w:val="nil"/>
              <w:tr2bl w:val="nil"/>
            </w:tcBorders>
            <w:vAlign w:val="center"/>
          </w:tcPr>
          <w:p>
            <w:pPr>
              <w:adjustRightInd/>
              <w:snapToGrid/>
              <w:spacing w:line="240" w:lineRule="auto"/>
              <w:ind w:firstLine="0" w:firstLineChars="0"/>
              <w:jc w:val="center"/>
              <w:rPr>
                <w:bCs/>
                <w:color w:val="auto"/>
                <w:sz w:val="21"/>
                <w:szCs w:val="21"/>
              </w:rPr>
            </w:pPr>
            <w:r>
              <w:rPr>
                <w:bCs/>
                <w:color w:val="auto"/>
                <w:sz w:val="21"/>
                <w:szCs w:val="21"/>
              </w:rPr>
              <w:t>序号</w:t>
            </w:r>
          </w:p>
        </w:tc>
        <w:tc>
          <w:tcPr>
            <w:tcW w:w="3909" w:type="dxa"/>
            <w:tcBorders>
              <w:tl2br w:val="nil"/>
              <w:tr2bl w:val="nil"/>
            </w:tcBorders>
            <w:vAlign w:val="center"/>
          </w:tcPr>
          <w:p>
            <w:pPr>
              <w:adjustRightInd/>
              <w:spacing w:line="240" w:lineRule="auto"/>
              <w:ind w:firstLine="0" w:firstLineChars="0"/>
              <w:jc w:val="center"/>
              <w:rPr>
                <w:bCs/>
                <w:color w:val="auto"/>
                <w:sz w:val="21"/>
                <w:szCs w:val="21"/>
              </w:rPr>
            </w:pPr>
            <w:r>
              <w:rPr>
                <w:bCs/>
                <w:color w:val="auto"/>
                <w:sz w:val="21"/>
                <w:szCs w:val="21"/>
              </w:rPr>
              <w:t>要求</w:t>
            </w:r>
          </w:p>
        </w:tc>
        <w:tc>
          <w:tcPr>
            <w:tcW w:w="2410" w:type="dxa"/>
            <w:tcBorders>
              <w:tl2br w:val="nil"/>
              <w:tr2bl w:val="nil"/>
            </w:tcBorders>
            <w:vAlign w:val="center"/>
          </w:tcPr>
          <w:p>
            <w:pPr>
              <w:adjustRightInd/>
              <w:spacing w:line="240" w:lineRule="auto"/>
              <w:ind w:firstLine="0" w:firstLineChars="0"/>
              <w:jc w:val="center"/>
              <w:rPr>
                <w:bCs/>
                <w:color w:val="auto"/>
                <w:sz w:val="21"/>
                <w:szCs w:val="21"/>
              </w:rPr>
            </w:pPr>
            <w:r>
              <w:rPr>
                <w:rFonts w:hint="eastAsia"/>
                <w:bCs/>
                <w:color w:val="auto"/>
                <w:sz w:val="21"/>
                <w:szCs w:val="21"/>
              </w:rPr>
              <w:t>本项目</w:t>
            </w:r>
            <w:r>
              <w:rPr>
                <w:bCs/>
                <w:color w:val="auto"/>
                <w:sz w:val="21"/>
                <w:szCs w:val="21"/>
              </w:rPr>
              <w:t>要求</w:t>
            </w:r>
          </w:p>
        </w:tc>
        <w:tc>
          <w:tcPr>
            <w:tcW w:w="1039" w:type="dxa"/>
            <w:tcBorders>
              <w:tl2br w:val="nil"/>
              <w:tr2bl w:val="nil"/>
            </w:tcBorders>
            <w:vAlign w:val="center"/>
          </w:tcPr>
          <w:p>
            <w:pPr>
              <w:adjustRightInd/>
              <w:spacing w:line="240" w:lineRule="auto"/>
              <w:ind w:firstLine="0" w:firstLineChars="0"/>
              <w:jc w:val="center"/>
              <w:rPr>
                <w:bCs/>
                <w:color w:val="auto"/>
                <w:sz w:val="21"/>
                <w:szCs w:val="21"/>
              </w:rPr>
            </w:pPr>
            <w:r>
              <w:rPr>
                <w:bCs/>
                <w:color w:val="auto"/>
                <w:sz w:val="21"/>
                <w:szCs w:val="21"/>
              </w:rPr>
              <w:t>相符性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1164" w:type="dxa"/>
            <w:tcBorders>
              <w:tl2br w:val="nil"/>
              <w:tr2bl w:val="nil"/>
            </w:tcBorders>
            <w:vAlign w:val="center"/>
          </w:tcPr>
          <w:p>
            <w:pPr>
              <w:adjustRightInd/>
              <w:snapToGrid/>
              <w:spacing w:line="240" w:lineRule="auto"/>
              <w:ind w:firstLine="0" w:firstLineChars="0"/>
              <w:jc w:val="center"/>
              <w:rPr>
                <w:bCs/>
                <w:color w:val="auto"/>
                <w:sz w:val="21"/>
                <w:szCs w:val="21"/>
              </w:rPr>
            </w:pPr>
            <w:r>
              <w:rPr>
                <w:bCs/>
                <w:color w:val="auto"/>
                <w:sz w:val="21"/>
                <w:szCs w:val="21"/>
              </w:rPr>
              <w:t>1</w:t>
            </w:r>
          </w:p>
        </w:tc>
        <w:tc>
          <w:tcPr>
            <w:tcW w:w="3909" w:type="dxa"/>
            <w:tcBorders>
              <w:tl2br w:val="nil"/>
              <w:tr2bl w:val="nil"/>
            </w:tcBorders>
            <w:vAlign w:val="center"/>
          </w:tcPr>
          <w:p>
            <w:pPr>
              <w:widowControl/>
              <w:adjustRightInd/>
              <w:snapToGrid/>
              <w:spacing w:line="240" w:lineRule="auto"/>
              <w:ind w:firstLine="0" w:firstLineChars="0"/>
              <w:jc w:val="center"/>
              <w:rPr>
                <w:bCs/>
                <w:color w:val="auto"/>
                <w:sz w:val="21"/>
                <w:szCs w:val="21"/>
              </w:rPr>
            </w:pPr>
            <w:r>
              <w:rPr>
                <w:rFonts w:hint="eastAsia"/>
                <w:bCs/>
                <w:color w:val="auto"/>
                <w:sz w:val="21"/>
                <w:szCs w:val="21"/>
              </w:rPr>
              <w:t>加强畜禽养殖污染防治。持续推进畜禽养殖污染防治。强化畜禽养殖粪污综合处置，畜禽规模养殖场（小区）要配套建设与 养殖规模相适宜的粪便污水防渗防溢流贮存设施，以及粪便污水收集、利用和无害化处理设施；积极引导散养密集区实行畜禽粪 便污水分户收集、集中处理利用。</w:t>
            </w:r>
          </w:p>
        </w:tc>
        <w:tc>
          <w:tcPr>
            <w:tcW w:w="2410" w:type="dxa"/>
            <w:tcBorders>
              <w:tl2br w:val="nil"/>
              <w:tr2bl w:val="nil"/>
            </w:tcBorders>
            <w:vAlign w:val="center"/>
          </w:tcPr>
          <w:p>
            <w:pPr>
              <w:adjustRightInd/>
              <w:snapToGrid/>
              <w:spacing w:line="240" w:lineRule="auto"/>
              <w:ind w:firstLine="0" w:firstLineChars="0"/>
              <w:jc w:val="center"/>
              <w:rPr>
                <w:bCs/>
                <w:color w:val="auto"/>
                <w:sz w:val="21"/>
                <w:szCs w:val="21"/>
              </w:rPr>
            </w:pPr>
            <w:r>
              <w:rPr>
                <w:rFonts w:hint="eastAsia"/>
                <w:bCs/>
                <w:color w:val="auto"/>
                <w:sz w:val="21"/>
                <w:szCs w:val="21"/>
              </w:rPr>
              <w:t>本项目厂区采取雨污分流，且污水处理各构筑物、猪舍地面、污水管道、固粪处理区、黑膜沼气池（兼做沼液储存池）、危废间等均采取防渗措施，防治污染地下水、地表水</w:t>
            </w:r>
          </w:p>
        </w:tc>
        <w:tc>
          <w:tcPr>
            <w:tcW w:w="1039" w:type="dxa"/>
            <w:tcBorders>
              <w:tl2br w:val="nil"/>
              <w:tr2bl w:val="nil"/>
            </w:tcBorders>
            <w:vAlign w:val="center"/>
          </w:tcPr>
          <w:p>
            <w:pPr>
              <w:adjustRightInd/>
              <w:snapToGrid/>
              <w:spacing w:line="240" w:lineRule="auto"/>
              <w:ind w:firstLine="0" w:firstLineChars="0"/>
              <w:jc w:val="center"/>
              <w:rPr>
                <w:bCs/>
                <w:color w:val="auto"/>
                <w:sz w:val="21"/>
                <w:szCs w:val="21"/>
              </w:rPr>
            </w:pPr>
            <w:r>
              <w:rPr>
                <w:rFonts w:hint="eastAsia"/>
                <w:bCs/>
                <w:color w:val="auto"/>
                <w:sz w:val="21"/>
                <w:szCs w:val="21"/>
              </w:rPr>
              <w:t>相符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64" w:type="dxa"/>
            <w:tcBorders>
              <w:tl2br w:val="nil"/>
              <w:tr2bl w:val="nil"/>
            </w:tcBorders>
            <w:vAlign w:val="center"/>
          </w:tcPr>
          <w:p>
            <w:pPr>
              <w:adjustRightInd/>
              <w:snapToGrid/>
              <w:spacing w:line="240" w:lineRule="auto"/>
              <w:ind w:firstLine="0" w:firstLineChars="0"/>
              <w:jc w:val="center"/>
              <w:rPr>
                <w:bCs/>
                <w:color w:val="auto"/>
                <w:sz w:val="21"/>
                <w:szCs w:val="21"/>
              </w:rPr>
            </w:pPr>
            <w:r>
              <w:rPr>
                <w:bCs/>
                <w:color w:val="auto"/>
                <w:sz w:val="21"/>
                <w:szCs w:val="21"/>
              </w:rPr>
              <w:t>2</w:t>
            </w:r>
          </w:p>
        </w:tc>
        <w:tc>
          <w:tcPr>
            <w:tcW w:w="3909" w:type="dxa"/>
            <w:tcBorders>
              <w:tl2br w:val="nil"/>
              <w:tr2bl w:val="nil"/>
            </w:tcBorders>
            <w:vAlign w:val="center"/>
          </w:tcPr>
          <w:p>
            <w:pPr>
              <w:widowControl/>
              <w:adjustRightInd/>
              <w:snapToGrid/>
              <w:spacing w:line="240" w:lineRule="auto"/>
              <w:ind w:firstLine="0" w:firstLineChars="0"/>
              <w:jc w:val="center"/>
              <w:rPr>
                <w:bCs/>
                <w:color w:val="auto"/>
                <w:sz w:val="21"/>
                <w:szCs w:val="21"/>
              </w:rPr>
            </w:pPr>
            <w:r>
              <w:rPr>
                <w:rFonts w:hint="eastAsia"/>
                <w:bCs/>
                <w:color w:val="auto"/>
                <w:sz w:val="21"/>
                <w:szCs w:val="21"/>
              </w:rPr>
              <w:t>按照生态环境部要求，启动黄河流域入河排污口排查整治。黄河流域各地要以城市黑臭水体治 理、河道生态综合整治、工业企业提标改造、入河排污口整治、畜禽养殖污染防治和农业农村污染整治为重点，按照“一河一策”要求，有针对性的完善相关河流整治方案，实施源头治理、综合治理、系统治理。</w:t>
            </w:r>
          </w:p>
        </w:tc>
        <w:tc>
          <w:tcPr>
            <w:tcW w:w="2410" w:type="dxa"/>
            <w:tcBorders>
              <w:tl2br w:val="nil"/>
              <w:tr2bl w:val="nil"/>
            </w:tcBorders>
            <w:vAlign w:val="center"/>
          </w:tcPr>
          <w:p>
            <w:pPr>
              <w:adjustRightInd/>
              <w:snapToGrid/>
              <w:spacing w:line="240" w:lineRule="auto"/>
              <w:ind w:firstLine="0" w:firstLineChars="0"/>
              <w:jc w:val="center"/>
              <w:rPr>
                <w:rFonts w:ascii="宋体" w:hAnsi="宋体" w:cs="宋体"/>
                <w:bCs/>
                <w:color w:val="auto"/>
                <w:sz w:val="21"/>
                <w:szCs w:val="21"/>
              </w:rPr>
            </w:pPr>
            <w:r>
              <w:rPr>
                <w:rFonts w:hint="eastAsia"/>
                <w:bCs/>
                <w:color w:val="auto"/>
                <w:sz w:val="21"/>
                <w:szCs w:val="21"/>
              </w:rPr>
              <w:t>本项目产生的污水经污水处理设施处理后，产生的沼液用于周边农田肥田，并于附近农户已签订协议，不设置排污口。</w:t>
            </w:r>
          </w:p>
        </w:tc>
        <w:tc>
          <w:tcPr>
            <w:tcW w:w="1039" w:type="dxa"/>
            <w:tcBorders>
              <w:tl2br w:val="nil"/>
              <w:tr2bl w:val="nil"/>
            </w:tcBorders>
            <w:vAlign w:val="center"/>
          </w:tcPr>
          <w:p>
            <w:pPr>
              <w:adjustRightInd/>
              <w:snapToGrid/>
              <w:spacing w:line="240" w:lineRule="auto"/>
              <w:ind w:firstLine="0" w:firstLineChars="0"/>
              <w:jc w:val="center"/>
              <w:rPr>
                <w:bCs/>
                <w:color w:val="auto"/>
                <w:sz w:val="21"/>
                <w:szCs w:val="21"/>
              </w:rPr>
            </w:pPr>
            <w:r>
              <w:rPr>
                <w:rFonts w:hint="eastAsia"/>
                <w:bCs/>
                <w:color w:val="auto"/>
                <w:sz w:val="21"/>
                <w:szCs w:val="21"/>
              </w:rPr>
              <w:t>相符</w:t>
            </w:r>
          </w:p>
        </w:tc>
      </w:tr>
    </w:tbl>
    <w:p>
      <w:pPr>
        <w:pStyle w:val="6"/>
        <w:numPr>
          <w:ilvl w:val="2"/>
          <w:numId w:val="0"/>
        </w:numPr>
        <w:adjustRightInd/>
        <w:snapToGrid/>
        <w:rPr>
          <w:rFonts w:eastAsia="宋体"/>
          <w:b/>
          <w:color w:val="auto"/>
        </w:rPr>
      </w:pPr>
      <w:bookmarkStart w:id="181" w:name="_Toc19396"/>
      <w:bookmarkStart w:id="182" w:name="_Toc30653"/>
      <w:r>
        <w:rPr>
          <w:rFonts w:hint="eastAsia" w:eastAsia="宋体"/>
          <w:b/>
          <w:color w:val="auto"/>
        </w:rPr>
        <w:t>2.7.</w:t>
      </w:r>
      <w:r>
        <w:rPr>
          <w:rFonts w:hint="eastAsia" w:eastAsia="宋体"/>
          <w:b/>
          <w:color w:val="auto"/>
          <w:lang w:val="en-US"/>
        </w:rPr>
        <w:t>10</w:t>
      </w:r>
      <w:r>
        <w:rPr>
          <w:rFonts w:eastAsia="宋体"/>
          <w:b/>
          <w:color w:val="auto"/>
        </w:rPr>
        <w:t>河南省畜牧业“十三五”规划</w:t>
      </w:r>
    </w:p>
    <w:p>
      <w:pPr>
        <w:pStyle w:val="6"/>
        <w:numPr>
          <w:ilvl w:val="2"/>
          <w:numId w:val="0"/>
        </w:numPr>
        <w:adjustRightInd/>
        <w:snapToGrid/>
        <w:rPr>
          <w:rFonts w:eastAsia="宋体"/>
          <w:b/>
          <w:color w:val="auto"/>
        </w:rPr>
      </w:pPr>
      <w:r>
        <w:rPr>
          <w:rFonts w:hint="eastAsia" w:eastAsia="宋体"/>
          <w:b/>
          <w:color w:val="auto"/>
        </w:rPr>
        <w:t>2.7.</w:t>
      </w:r>
      <w:r>
        <w:rPr>
          <w:rFonts w:hint="eastAsia" w:eastAsia="宋体"/>
          <w:b/>
          <w:color w:val="auto"/>
          <w:lang w:val="en-US"/>
        </w:rPr>
        <w:t>10</w:t>
      </w:r>
      <w:r>
        <w:rPr>
          <w:rFonts w:hint="eastAsia" w:eastAsia="宋体"/>
          <w:b/>
          <w:color w:val="auto"/>
        </w:rPr>
        <w:t>.1</w:t>
      </w:r>
      <w:r>
        <w:rPr>
          <w:rFonts w:eastAsia="宋体"/>
          <w:b/>
          <w:color w:val="auto"/>
        </w:rPr>
        <w:t>《河南省畜牧业“十三五”规划》相关内容</w:t>
      </w:r>
    </w:p>
    <w:p>
      <w:pPr>
        <w:pStyle w:val="26"/>
        <w:snapToGrid/>
        <w:spacing w:after="0" w:line="360" w:lineRule="auto"/>
        <w:ind w:left="0" w:leftChars="0" w:firstLine="480"/>
        <w:rPr>
          <w:color w:val="auto"/>
        </w:rPr>
      </w:pPr>
      <w:r>
        <w:rPr>
          <w:color w:val="auto"/>
        </w:rPr>
        <w:t>“十三五”时期，河南省将坚持“创新、协调、绿色、开放、共享”的发展理念，统筹保供给、保安全、保生态，坚定不移地走“产出高效、产品安全、资源节约、环境友好”的现代畜牧业发展道路，从促进结构调整、促进集群发展、促进生态发展等七个方面着手，促进畜牧业转型升级，推进畜牧业在“大农业”中率先实现现代化。</w:t>
      </w:r>
    </w:p>
    <w:p>
      <w:pPr>
        <w:pStyle w:val="26"/>
        <w:snapToGrid/>
        <w:spacing w:after="0" w:line="360" w:lineRule="auto"/>
        <w:ind w:left="0" w:leftChars="0" w:firstLine="480"/>
        <w:rPr>
          <w:color w:val="auto"/>
        </w:rPr>
      </w:pPr>
      <w:r>
        <w:rPr>
          <w:color w:val="auto"/>
        </w:rPr>
        <w:t>（1）促进结构调整，提升协调发展能力。在生产结构上，重点按照“强猪、壮禽、扩牛、增羊”的调整思路，重点抓好37个肉牛基地建设和黄河滩区绿色奶业带建设。在产品结构上，加大河南省夏南牛、南阳牛、豫南黑猪、固始鸡、小尾寒羊等27个优良地方品种的保护和开发力度，培育“豫产”特色畜产品品牌。</w:t>
      </w:r>
    </w:p>
    <w:p>
      <w:pPr>
        <w:pStyle w:val="26"/>
        <w:snapToGrid/>
        <w:spacing w:after="0" w:line="360" w:lineRule="auto"/>
        <w:ind w:left="0" w:leftChars="0" w:firstLine="480"/>
        <w:rPr>
          <w:color w:val="auto"/>
        </w:rPr>
      </w:pPr>
      <w:r>
        <w:rPr>
          <w:color w:val="auto"/>
        </w:rPr>
        <w:t>（2）促进集群发展，提升畜牧业质量效益。持续推进标准化规模养殖，重点抓好1万个养殖场标准化建设和改造。做强、做大龙头企业和产业集群，加强农牧结合，大力发展畜产品精深加工，强力推动冷链物流、金融保险、电子商务等现代服务业发展，重点培育50家涉牧企业上市或挂牌，引领现代畜牧业转型升级。</w:t>
      </w:r>
    </w:p>
    <w:p>
      <w:pPr>
        <w:pStyle w:val="26"/>
        <w:snapToGrid/>
        <w:spacing w:after="0" w:line="360" w:lineRule="auto"/>
        <w:ind w:left="0" w:leftChars="0" w:firstLine="480"/>
        <w:rPr>
          <w:color w:val="auto"/>
        </w:rPr>
      </w:pPr>
      <w:r>
        <w:rPr>
          <w:color w:val="auto"/>
        </w:rPr>
        <w:t>（3）促进生态发展，提升可持续发展能力。实施以养定种、种养结合，重点抓好国家粮改饲试点项目。鼓励支持畜牧龙头企业通过流转土地、订单生产等方式，促进粮经饲三元结构调整，实现畜禽粪便就地、就近消纳利用循环发展。积极开展20个绿色示范县整县创建活动，努力完成国家确定的禁养区、限养区调整搬迁任务。</w:t>
      </w:r>
    </w:p>
    <w:p>
      <w:pPr>
        <w:pStyle w:val="26"/>
        <w:snapToGrid/>
        <w:spacing w:after="0" w:line="360" w:lineRule="auto"/>
        <w:ind w:left="0" w:leftChars="0" w:firstLine="480"/>
        <w:rPr>
          <w:color w:val="auto"/>
        </w:rPr>
      </w:pPr>
      <w:r>
        <w:rPr>
          <w:color w:val="auto"/>
        </w:rPr>
        <w:t>（4）促进安全发展，提升质量安全水平。实施分病种、分区域、分阶段的动物疫病防治策略，到2020年全省重大动物疫病达到控制标准或净化标准。狠抓畜禽强制免疫，强化检疫监管，加强疫情的监测预警，强化疫情的应急处置。着力构建从饲料、兽药等投入品到畜禽屠宰全过程质量安全监管体系，加大畜产品质量的监督抽检力度，加强行政执法和刑事司法有效衔接，力争全省畜产品抽检合格率稳定在98%以上。</w:t>
      </w:r>
    </w:p>
    <w:p>
      <w:pPr>
        <w:pStyle w:val="26"/>
        <w:snapToGrid/>
        <w:spacing w:after="0" w:line="360" w:lineRule="auto"/>
        <w:ind w:left="0" w:leftChars="0" w:firstLine="480"/>
        <w:rPr>
          <w:color w:val="auto"/>
        </w:rPr>
      </w:pPr>
      <w:r>
        <w:rPr>
          <w:color w:val="auto"/>
        </w:rPr>
        <w:t>（5）促进科技兴牧，提升畜牧业竞争力。打造良种畜禽制种高地，重点搞好地方优良品种的培育，加快河南省中法、中德、中丹原种猪合作、合资项目的建设和运营。加强信息技术的普及应用，开展远程培训、远程诊断、远程指挥，重点应用物联网技术装备畜牧业。</w:t>
      </w:r>
    </w:p>
    <w:p>
      <w:pPr>
        <w:pStyle w:val="26"/>
        <w:snapToGrid/>
        <w:spacing w:after="0" w:line="360" w:lineRule="auto"/>
        <w:ind w:left="0" w:leftChars="0" w:firstLine="480"/>
        <w:rPr>
          <w:color w:val="auto"/>
        </w:rPr>
      </w:pPr>
      <w:r>
        <w:rPr>
          <w:color w:val="auto"/>
        </w:rPr>
        <w:t>（6）促进对外开放，提升对外合作水平。重点对现有的中外合作、合资项目搞好服务，加快建设，尽早达产见效；深入推进与澳新、欧美畜牧业发达国家的深度合作，吸引更多的知名企业与河南省加强合作；加强与中亚、南美各国的广泛交流与合作，鼓励河南省龙头企业到中亚投资办厂，支持涉牧企业与南美国家加强贸易往来。继续办好中原畜牧业博览会，提高展会档次，扩大展会成果。</w:t>
      </w:r>
    </w:p>
    <w:p>
      <w:pPr>
        <w:pStyle w:val="26"/>
        <w:snapToGrid/>
        <w:spacing w:after="0" w:line="360" w:lineRule="auto"/>
        <w:ind w:left="0" w:leftChars="0" w:firstLine="480"/>
        <w:rPr>
          <w:color w:val="auto"/>
        </w:rPr>
      </w:pPr>
      <w:r>
        <w:rPr>
          <w:color w:val="auto"/>
        </w:rPr>
        <w:t>（7）促进法治建设，提升依法治牧能力。坚持分类指导、普治并举，推进依法治理和法治宣教精准化、时效化。严格按照</w:t>
      </w:r>
      <w:r>
        <w:rPr>
          <w:rFonts w:hint="eastAsia"/>
          <w:color w:val="auto"/>
        </w:rPr>
        <w:t>“</w:t>
      </w:r>
      <w:r>
        <w:rPr>
          <w:color w:val="auto"/>
        </w:rPr>
        <w:t>权力清单、责任清单、负面清单</w:t>
      </w:r>
      <w:r>
        <w:rPr>
          <w:rFonts w:hint="eastAsia"/>
          <w:color w:val="auto"/>
        </w:rPr>
        <w:t>”</w:t>
      </w:r>
      <w:r>
        <w:rPr>
          <w:color w:val="auto"/>
        </w:rPr>
        <w:t>依法行政，重点开展病死畜禽无害化处理、畜禽屠宰管理、畜牧业条例等地方性法规的制修订。持续推进畜牧兽医综合执法、服务型行政执法和“两法”衔接机制，不断建立完善内部有效制约与外部监督协调一致的监督纠错问责机制。</w:t>
      </w:r>
    </w:p>
    <w:p>
      <w:pPr>
        <w:pStyle w:val="6"/>
        <w:numPr>
          <w:ilvl w:val="2"/>
          <w:numId w:val="0"/>
        </w:numPr>
        <w:adjustRightInd/>
        <w:snapToGrid/>
        <w:rPr>
          <w:rFonts w:eastAsia="宋体"/>
          <w:b/>
          <w:color w:val="auto"/>
        </w:rPr>
      </w:pPr>
      <w:r>
        <w:rPr>
          <w:rFonts w:hint="eastAsia" w:eastAsia="宋体"/>
          <w:b/>
          <w:color w:val="auto"/>
        </w:rPr>
        <w:t>2.7.</w:t>
      </w:r>
      <w:r>
        <w:rPr>
          <w:rFonts w:hint="eastAsia" w:eastAsia="宋体"/>
          <w:b/>
          <w:color w:val="auto"/>
          <w:lang w:val="en-US"/>
        </w:rPr>
        <w:t>10</w:t>
      </w:r>
      <w:r>
        <w:rPr>
          <w:rFonts w:hint="eastAsia" w:eastAsia="宋体"/>
          <w:b/>
          <w:color w:val="auto"/>
        </w:rPr>
        <w:t>.2</w:t>
      </w:r>
      <w:r>
        <w:rPr>
          <w:rFonts w:eastAsia="宋体"/>
          <w:b/>
          <w:color w:val="auto"/>
        </w:rPr>
        <w:t>项目建设与《河南省畜牧业“十三五”发展规划》相符性分析</w:t>
      </w:r>
    </w:p>
    <w:p>
      <w:pPr>
        <w:pStyle w:val="26"/>
        <w:spacing w:after="0" w:line="360" w:lineRule="auto"/>
        <w:ind w:left="0" w:leftChars="0" w:firstLine="480"/>
        <w:rPr>
          <w:color w:val="auto"/>
        </w:rPr>
      </w:pPr>
      <w:r>
        <w:rPr>
          <w:color w:val="auto"/>
        </w:rPr>
        <w:t>本项目位于</w:t>
      </w:r>
      <w:r>
        <w:rPr>
          <w:rFonts w:hint="eastAsia"/>
          <w:color w:val="auto"/>
        </w:rPr>
        <w:t>濮阳市濮阳县五星乡于屯村东</w:t>
      </w:r>
      <w:r>
        <w:rPr>
          <w:color w:val="auto"/>
        </w:rPr>
        <w:t>，属于标准化养殖场建设项目，采用种养结合方式，可实现畜禽粪便就地、就近消纳。与上述《河南省畜牧业</w:t>
      </w:r>
      <w:r>
        <w:rPr>
          <w:rFonts w:hint="eastAsia"/>
          <w:color w:val="auto"/>
        </w:rPr>
        <w:t>“</w:t>
      </w:r>
      <w:r>
        <w:rPr>
          <w:color w:val="auto"/>
        </w:rPr>
        <w:t>十三五</w:t>
      </w:r>
      <w:r>
        <w:rPr>
          <w:rFonts w:hint="eastAsia"/>
          <w:color w:val="auto"/>
        </w:rPr>
        <w:t>”</w:t>
      </w:r>
      <w:r>
        <w:rPr>
          <w:color w:val="auto"/>
        </w:rPr>
        <w:t>发展规划》中的第（2）条中“重点抓好1万个养殖场标准化建设和改造”和第（3）条中“实</w:t>
      </w:r>
      <w:r>
        <w:rPr>
          <w:rStyle w:val="61"/>
          <w:rFonts w:hint="default" w:ascii="Times New Roman" w:hAnsi="Times New Roman"/>
          <w:color w:val="auto"/>
        </w:rPr>
        <w:t>施以养定种、种养结合，重点抓好国家粮改饲试点项目。鼓励支持畜牧龙头企业通过流转土地、订单生产等方式，促进粮食结构调整，实现畜禽粪便就地、就近消纳利用循环发展</w:t>
      </w:r>
      <w:r>
        <w:rPr>
          <w:rStyle w:val="62"/>
          <w:rFonts w:ascii="Times New Roman" w:hAnsi="Times New Roman" w:cs="Times New Roman"/>
          <w:color w:val="auto"/>
        </w:rPr>
        <w:t>”</w:t>
      </w:r>
      <w:r>
        <w:rPr>
          <w:rStyle w:val="61"/>
          <w:rFonts w:hint="default" w:ascii="Times New Roman" w:hAnsi="Times New Roman"/>
          <w:color w:val="auto"/>
        </w:rPr>
        <w:t>相符。</w:t>
      </w:r>
    </w:p>
    <w:p>
      <w:pPr>
        <w:pStyle w:val="6"/>
        <w:numPr>
          <w:ilvl w:val="2"/>
          <w:numId w:val="0"/>
        </w:numPr>
        <w:adjustRightInd/>
        <w:snapToGrid/>
        <w:rPr>
          <w:rFonts w:eastAsia="宋体"/>
          <w:b/>
          <w:color w:val="auto"/>
        </w:rPr>
      </w:pPr>
      <w:r>
        <w:rPr>
          <w:rFonts w:hint="eastAsia" w:eastAsia="宋体"/>
          <w:b/>
          <w:color w:val="auto"/>
        </w:rPr>
        <w:t>2.7.</w:t>
      </w:r>
      <w:r>
        <w:rPr>
          <w:rFonts w:hint="eastAsia" w:eastAsia="宋体"/>
          <w:b/>
          <w:color w:val="auto"/>
          <w:lang w:val="en-US"/>
        </w:rPr>
        <w:t>11</w:t>
      </w:r>
      <w:r>
        <w:rPr>
          <w:rFonts w:eastAsia="宋体"/>
          <w:b/>
          <w:color w:val="auto"/>
        </w:rPr>
        <w:t xml:space="preserve"> 项目建设与</w:t>
      </w:r>
      <w:r>
        <w:rPr>
          <w:rFonts w:hint="eastAsia" w:eastAsia="宋体"/>
          <w:b/>
          <w:color w:val="auto"/>
        </w:rPr>
        <w:t>《关于做好畜禽规模养殖项目环境影响评价管理工作的通知》（</w:t>
      </w:r>
      <w:r>
        <w:rPr>
          <w:rFonts w:eastAsia="宋体"/>
          <w:b/>
          <w:color w:val="auto"/>
        </w:rPr>
        <w:t>环办环评（2018）31号</w:t>
      </w:r>
      <w:r>
        <w:rPr>
          <w:rFonts w:hint="eastAsia" w:eastAsia="宋体"/>
          <w:b/>
          <w:color w:val="auto"/>
        </w:rPr>
        <w:t>）</w:t>
      </w:r>
      <w:r>
        <w:rPr>
          <w:rFonts w:eastAsia="宋体"/>
          <w:b/>
          <w:color w:val="auto"/>
        </w:rPr>
        <w:t>相符性分析</w:t>
      </w:r>
    </w:p>
    <w:p>
      <w:pPr>
        <w:pStyle w:val="26"/>
        <w:snapToGrid/>
        <w:spacing w:after="0" w:line="360" w:lineRule="auto"/>
        <w:ind w:left="0" w:leftChars="0" w:firstLine="480"/>
        <w:rPr>
          <w:color w:val="auto"/>
        </w:rPr>
      </w:pPr>
      <w:r>
        <w:rPr>
          <w:color w:val="auto"/>
        </w:rPr>
        <w:t>为打好污染防治攻坚战，改善农业农村生产生活环境，充分发挥环境影响评价制度的预防作用，生态环境部办公厅于2018年10月12日印发了《关于做好畜禽规模养殖项目环境影响评价管理工作的通知》（环办环评（2018）31号），本项目与该文件要求相符性分析见下表。</w:t>
      </w:r>
    </w:p>
    <w:p>
      <w:pPr>
        <w:ind w:firstLine="482"/>
        <w:jc w:val="center"/>
        <w:rPr>
          <w:b/>
          <w:bCs/>
          <w:color w:val="auto"/>
          <w:szCs w:val="22"/>
        </w:rPr>
      </w:pPr>
    </w:p>
    <w:p>
      <w:pPr>
        <w:ind w:firstLine="482"/>
        <w:jc w:val="center"/>
        <w:rPr>
          <w:b/>
          <w:bCs/>
          <w:color w:val="auto"/>
          <w:szCs w:val="22"/>
        </w:rPr>
      </w:pPr>
      <w:r>
        <w:rPr>
          <w:b/>
          <w:bCs/>
          <w:color w:val="auto"/>
          <w:szCs w:val="22"/>
        </w:rPr>
        <w:t>表2.7-5</w:t>
      </w:r>
      <w:r>
        <w:rPr>
          <w:rFonts w:hint="eastAsia"/>
          <w:b/>
          <w:bCs/>
          <w:color w:val="auto"/>
          <w:szCs w:val="22"/>
        </w:rPr>
        <w:t xml:space="preserve"> 本项目与环办环评（2018）31号相符性分析</w:t>
      </w:r>
    </w:p>
    <w:tbl>
      <w:tblPr>
        <w:tblStyle w:val="27"/>
        <w:tblW w:w="0" w:type="auto"/>
        <w:tblInd w:w="0" w:type="dxa"/>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421"/>
        <w:gridCol w:w="3035"/>
        <w:gridCol w:w="3544"/>
        <w:gridCol w:w="948"/>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0" w:type="auto"/>
            <w:gridSpan w:val="2"/>
            <w:shd w:val="clear" w:color="auto" w:fill="auto"/>
            <w:vAlign w:val="center"/>
          </w:tcPr>
          <w:p>
            <w:pPr>
              <w:pStyle w:val="26"/>
              <w:snapToGrid/>
              <w:spacing w:after="0"/>
              <w:ind w:left="0" w:leftChars="0"/>
              <w:jc w:val="center"/>
              <w:rPr>
                <w:color w:val="auto"/>
                <w:sz w:val="21"/>
              </w:rPr>
            </w:pPr>
            <w:r>
              <w:rPr>
                <w:rFonts w:hint="eastAsia"/>
                <w:color w:val="auto"/>
                <w:sz w:val="21"/>
              </w:rPr>
              <w:t>环办环评（2018）31号</w:t>
            </w:r>
          </w:p>
        </w:tc>
        <w:tc>
          <w:tcPr>
            <w:tcW w:w="0" w:type="auto"/>
            <w:shd w:val="clear" w:color="auto" w:fill="auto"/>
            <w:vAlign w:val="center"/>
          </w:tcPr>
          <w:p>
            <w:pPr>
              <w:spacing w:line="240" w:lineRule="auto"/>
              <w:ind w:firstLine="420"/>
              <w:jc w:val="center"/>
              <w:rPr>
                <w:rFonts w:ascii="宋体" w:hAnsi="宋体" w:cs="宋体"/>
                <w:color w:val="auto"/>
                <w:sz w:val="21"/>
              </w:rPr>
            </w:pPr>
            <w:r>
              <w:rPr>
                <w:rStyle w:val="61"/>
                <w:rFonts w:hint="default"/>
                <w:color w:val="auto"/>
                <w:sz w:val="21"/>
              </w:rPr>
              <w:t>本项目环评要求</w:t>
            </w:r>
          </w:p>
        </w:tc>
        <w:tc>
          <w:tcPr>
            <w:tcW w:w="0" w:type="auto"/>
            <w:shd w:val="clear" w:color="auto" w:fill="auto"/>
            <w:vAlign w:val="center"/>
          </w:tcPr>
          <w:p>
            <w:pPr>
              <w:pStyle w:val="26"/>
              <w:snapToGrid/>
              <w:spacing w:after="0"/>
              <w:ind w:left="0" w:leftChars="0"/>
              <w:jc w:val="center"/>
              <w:rPr>
                <w:color w:val="auto"/>
                <w:sz w:val="21"/>
              </w:rPr>
            </w:pPr>
            <w:r>
              <w:rPr>
                <w:rFonts w:hint="eastAsia"/>
                <w:color w:val="auto"/>
                <w:sz w:val="21"/>
              </w:rPr>
              <w:t>符合性</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0" w:type="auto"/>
            <w:shd w:val="clear" w:color="auto" w:fill="auto"/>
            <w:vAlign w:val="center"/>
          </w:tcPr>
          <w:p>
            <w:pPr>
              <w:pStyle w:val="26"/>
              <w:snapToGrid/>
              <w:spacing w:after="0"/>
              <w:ind w:left="0" w:leftChars="0"/>
              <w:jc w:val="center"/>
              <w:rPr>
                <w:color w:val="auto"/>
                <w:sz w:val="21"/>
              </w:rPr>
            </w:pPr>
            <w:r>
              <w:rPr>
                <w:rFonts w:hint="eastAsia"/>
                <w:color w:val="auto"/>
                <w:sz w:val="21"/>
              </w:rPr>
              <w:t>一、优化项目选址，合理布置养殖厂区</w:t>
            </w:r>
          </w:p>
        </w:tc>
        <w:tc>
          <w:tcPr>
            <w:tcW w:w="0" w:type="auto"/>
            <w:shd w:val="clear" w:color="auto" w:fill="auto"/>
          </w:tcPr>
          <w:p>
            <w:pPr>
              <w:pStyle w:val="26"/>
              <w:snapToGrid/>
              <w:spacing w:after="0"/>
              <w:ind w:left="0" w:leftChars="0"/>
              <w:rPr>
                <w:color w:val="auto"/>
                <w:sz w:val="21"/>
              </w:rPr>
            </w:pPr>
            <w:r>
              <w:rPr>
                <w:rFonts w:hint="eastAsia"/>
                <w:color w:val="auto"/>
                <w:sz w:val="21"/>
              </w:rPr>
              <w:t>1、项目环评应充分论证选址的环境合理性，选址应避开当地划定的禁止养殖区域，并与区域主体功能区规划、环境功能区划、土地利用规划、城乡规划、畜牧业发展规划、畜禽养殖污染防治规划等规划相协调。当地未划定禁止养殖区域的，应避开饮用水水源保护区、风景名胜区、自然保护区的核心区和缓冲区、村镇人口集中区域，以及法律、法规规定的禁止养殖区域。</w:t>
            </w:r>
          </w:p>
          <w:p>
            <w:pPr>
              <w:pStyle w:val="26"/>
              <w:snapToGrid/>
              <w:spacing w:after="0"/>
              <w:ind w:left="0" w:leftChars="0"/>
              <w:rPr>
                <w:color w:val="auto"/>
                <w:sz w:val="21"/>
              </w:rPr>
            </w:pPr>
            <w:r>
              <w:rPr>
                <w:rFonts w:hint="eastAsia"/>
                <w:color w:val="auto"/>
                <w:sz w:val="21"/>
              </w:rPr>
              <w:t>2、项目环评应结合环境保护要求优化养殖厂区内部布置。畜禽养殖区及畜禽粪污贮存、处理和畜禽尸体无害化处理等产生恶臭影响的设施，应位于养殖厂区主导风向的下风向位置，并尽量远离周边环境保护目标。</w:t>
            </w:r>
          </w:p>
          <w:p>
            <w:pPr>
              <w:pStyle w:val="26"/>
              <w:snapToGrid/>
              <w:spacing w:after="0"/>
              <w:ind w:left="0" w:leftChars="0"/>
              <w:rPr>
                <w:color w:val="auto"/>
                <w:sz w:val="21"/>
              </w:rPr>
            </w:pPr>
            <w:r>
              <w:rPr>
                <w:rFonts w:hint="eastAsia"/>
                <w:color w:val="auto"/>
                <w:sz w:val="21"/>
              </w:rPr>
              <w:t>3、参照《畜禽养殖业污染防治技术规范》，并根据恶臭污染物无组织排放源强，以及当地的环境及气象等因素，按照《环境影响评价技术导则 大气环境》要求计算大气环境防护距离，作为养殖场选址以及周边规划控制的依据，减轻对周围环境保护目标的不利影响。</w:t>
            </w:r>
          </w:p>
        </w:tc>
        <w:tc>
          <w:tcPr>
            <w:tcW w:w="0" w:type="auto"/>
            <w:shd w:val="clear" w:color="auto" w:fill="auto"/>
          </w:tcPr>
          <w:p>
            <w:pPr>
              <w:pStyle w:val="26"/>
              <w:snapToGrid/>
              <w:spacing w:after="0"/>
              <w:ind w:left="0" w:leftChars="0"/>
              <w:rPr>
                <w:color w:val="auto"/>
                <w:sz w:val="21"/>
              </w:rPr>
            </w:pPr>
            <w:r>
              <w:rPr>
                <w:rFonts w:hint="eastAsia"/>
                <w:color w:val="auto"/>
                <w:sz w:val="21"/>
              </w:rPr>
              <w:t xml:space="preserve">1、本项目不在濮阳县禁养区范围内，并与区城主体功能区规划、环境功能区划、土地利用规划、城乡规划、畜牧业发展规划、畜禽养殖污染防治规划等规划相协调，项目亦不在濮阳县饮用水源保护区、风景名胜区、自然保护区、以及人口集中区域内； </w:t>
            </w:r>
          </w:p>
          <w:p>
            <w:pPr>
              <w:pStyle w:val="26"/>
              <w:snapToGrid/>
              <w:spacing w:after="0"/>
              <w:ind w:left="0" w:leftChars="0"/>
              <w:rPr>
                <w:color w:val="auto"/>
                <w:sz w:val="21"/>
              </w:rPr>
            </w:pPr>
            <w:r>
              <w:rPr>
                <w:rFonts w:hint="eastAsia"/>
                <w:color w:val="auto"/>
                <w:sz w:val="21"/>
              </w:rPr>
              <w:t>2、项目优化了平面布置，将生活区设置于濮阳县主导风向的上风向，有机肥车间设置于主导风向的下风向，并且距离周围敏感点较远；</w:t>
            </w:r>
          </w:p>
          <w:p>
            <w:pPr>
              <w:pStyle w:val="26"/>
              <w:snapToGrid/>
              <w:spacing w:after="0"/>
              <w:ind w:left="0" w:leftChars="0"/>
              <w:rPr>
                <w:color w:val="auto"/>
                <w:sz w:val="21"/>
              </w:rPr>
            </w:pPr>
            <w:r>
              <w:rPr>
                <w:rFonts w:hint="eastAsia"/>
                <w:color w:val="auto"/>
                <w:sz w:val="21"/>
              </w:rPr>
              <w:t>3、经计算，本项目需要设置100m卫生防护距离，根据《畜禽养殖业污染防治技术规范》（HJ/T81-2001），厂界与禁建区域边界的最小距离不得小于500m，因此，本项目需设置500m的卫生防护距离，据现场调查，项目卫生防护距离内没有环境敏感点及食品生产型企业。</w:t>
            </w:r>
          </w:p>
        </w:tc>
        <w:tc>
          <w:tcPr>
            <w:tcW w:w="0" w:type="auto"/>
            <w:shd w:val="clear" w:color="auto" w:fill="auto"/>
            <w:vAlign w:val="center"/>
          </w:tcPr>
          <w:p>
            <w:pPr>
              <w:pStyle w:val="26"/>
              <w:snapToGrid/>
              <w:spacing w:after="0"/>
              <w:ind w:left="0" w:leftChars="0" w:firstLine="0" w:firstLineChars="0"/>
              <w:rPr>
                <w:color w:val="auto"/>
                <w:sz w:val="21"/>
              </w:rPr>
            </w:pPr>
            <w:r>
              <w:rPr>
                <w:rFonts w:hint="eastAsia"/>
                <w:color w:val="auto"/>
                <w:sz w:val="21"/>
              </w:rPr>
              <w:t>满足要求</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0" w:type="auto"/>
            <w:shd w:val="clear" w:color="auto" w:fill="auto"/>
            <w:vAlign w:val="center"/>
          </w:tcPr>
          <w:p>
            <w:pPr>
              <w:pStyle w:val="26"/>
              <w:snapToGrid/>
              <w:spacing w:after="0"/>
              <w:ind w:left="0" w:leftChars="0"/>
              <w:jc w:val="center"/>
              <w:rPr>
                <w:color w:val="auto"/>
                <w:sz w:val="21"/>
              </w:rPr>
            </w:pPr>
            <w:r>
              <w:rPr>
                <w:rFonts w:hint="eastAsia"/>
                <w:color w:val="auto"/>
                <w:sz w:val="21"/>
              </w:rPr>
              <w:t>二、加强粪污减量控制，促进畜禽养殖粪污资源化利用</w:t>
            </w:r>
          </w:p>
        </w:tc>
        <w:tc>
          <w:tcPr>
            <w:tcW w:w="0" w:type="auto"/>
            <w:shd w:val="clear" w:color="auto" w:fill="auto"/>
          </w:tcPr>
          <w:p>
            <w:pPr>
              <w:pStyle w:val="26"/>
              <w:snapToGrid/>
              <w:spacing w:after="0"/>
              <w:ind w:left="0" w:leftChars="0"/>
              <w:rPr>
                <w:color w:val="auto"/>
                <w:sz w:val="21"/>
              </w:rPr>
            </w:pPr>
            <w:r>
              <w:rPr>
                <w:rFonts w:hint="eastAsia"/>
                <w:color w:val="auto"/>
                <w:sz w:val="21"/>
              </w:rPr>
              <w:t>1、项目环评应以农业绿色发展为导向，优化工艺，通过采取优化饲料配方、提高饲养技术等措施，从源头减少粪污的产生量。鼓励采取干清粪方式，采取水泡粪工艺的应最大限度降低用水量。厂区应采取雨污分离措施，防止雨水进入粪污收集系统。</w:t>
            </w:r>
          </w:p>
          <w:p>
            <w:pPr>
              <w:pStyle w:val="26"/>
              <w:snapToGrid/>
              <w:spacing w:after="0"/>
              <w:ind w:left="0" w:leftChars="0"/>
              <w:rPr>
                <w:color w:val="auto"/>
                <w:sz w:val="21"/>
              </w:rPr>
            </w:pPr>
            <w:r>
              <w:rPr>
                <w:rFonts w:hint="eastAsia"/>
                <w:color w:val="auto"/>
                <w:sz w:val="21"/>
              </w:rPr>
              <w:t>2、项目环评应结合地域、畜种、规模等特点以及地方相关部门制定的畜禽粪污综合利用目标等要求，加强畜禽养殖粪污资源化利用，因地制宜选择经济高效适用的处理利用模式，采取粪污全量收集还田利用、污水肥料化利用、粪便垫料回用、异位发酵床、粪污专业化能源利用等模式处理利用畜禽粪污，促进畜禽规模养殖项目“种养结合”绿色发展。</w:t>
            </w:r>
          </w:p>
          <w:p>
            <w:pPr>
              <w:pStyle w:val="26"/>
              <w:snapToGrid/>
              <w:spacing w:after="0"/>
              <w:ind w:left="0" w:leftChars="0"/>
              <w:rPr>
                <w:color w:val="auto"/>
                <w:sz w:val="21"/>
              </w:rPr>
            </w:pPr>
            <w:r>
              <w:rPr>
                <w:rFonts w:hint="eastAsia"/>
                <w:color w:val="auto"/>
                <w:sz w:val="21"/>
              </w:rPr>
              <w:t>3、鼓励根据土地承载能力确定畜禽养殖场的适宜养殖规模，土地承载能力可采用农业农村主管部门发布的测算技术方法确定。耕地面积大、土地消纳能力相对较高的区域，畜禽养殖场产生的粪污应力争实现全部就地就近资源化利用或委托第三方处理；当土地消纳能力不足时，应进一步提高资源化利用能力或适当减少养殖规模。鼓励依托符合环保要求的专业化粪污处理利用企业，提高畜禽养殖粪污集中收集利用能力。环评应明确畜禽养殖粪污资源化利用的主体，严格落实利用渠道或途径，确保资源化利用有效实施。</w:t>
            </w:r>
          </w:p>
        </w:tc>
        <w:tc>
          <w:tcPr>
            <w:tcW w:w="0" w:type="auto"/>
            <w:shd w:val="clear" w:color="auto" w:fill="auto"/>
            <w:vAlign w:val="center"/>
          </w:tcPr>
          <w:p>
            <w:pPr>
              <w:pStyle w:val="26"/>
              <w:snapToGrid/>
              <w:spacing w:after="0"/>
              <w:ind w:left="0" w:leftChars="0"/>
              <w:jc w:val="left"/>
              <w:rPr>
                <w:color w:val="auto"/>
                <w:sz w:val="21"/>
              </w:rPr>
            </w:pPr>
            <w:r>
              <w:rPr>
                <w:rFonts w:hint="eastAsia"/>
                <w:color w:val="auto"/>
                <w:sz w:val="21"/>
              </w:rPr>
              <w:t>1、项目采用全配合饲料；</w:t>
            </w:r>
          </w:p>
          <w:p>
            <w:pPr>
              <w:pStyle w:val="26"/>
              <w:snapToGrid/>
              <w:spacing w:after="0"/>
              <w:ind w:left="0" w:leftChars="0"/>
              <w:jc w:val="left"/>
              <w:rPr>
                <w:color w:val="auto"/>
                <w:sz w:val="21"/>
              </w:rPr>
            </w:pPr>
            <w:r>
              <w:rPr>
                <w:rFonts w:hint="eastAsia"/>
                <w:color w:val="auto"/>
                <w:sz w:val="21"/>
              </w:rPr>
              <w:t>2、项目采用鼓励的干清粪方式工艺；厂区采取雨污分离措施；</w:t>
            </w:r>
          </w:p>
          <w:p>
            <w:pPr>
              <w:pStyle w:val="26"/>
              <w:snapToGrid/>
              <w:spacing w:after="0"/>
              <w:ind w:left="0" w:leftChars="0"/>
              <w:jc w:val="left"/>
              <w:rPr>
                <w:color w:val="auto"/>
                <w:sz w:val="21"/>
              </w:rPr>
            </w:pPr>
            <w:r>
              <w:rPr>
                <w:rFonts w:hint="eastAsia"/>
                <w:color w:val="auto"/>
                <w:sz w:val="21"/>
              </w:rPr>
              <w:t>3、项目粪污全部资源化利用。</w:t>
            </w:r>
          </w:p>
        </w:tc>
        <w:tc>
          <w:tcPr>
            <w:tcW w:w="0" w:type="auto"/>
            <w:shd w:val="clear" w:color="auto" w:fill="auto"/>
            <w:vAlign w:val="center"/>
          </w:tcPr>
          <w:p>
            <w:pPr>
              <w:pStyle w:val="26"/>
              <w:snapToGrid/>
              <w:spacing w:after="0"/>
              <w:ind w:left="0" w:leftChars="0" w:firstLine="0" w:firstLineChars="0"/>
              <w:rPr>
                <w:color w:val="auto"/>
                <w:sz w:val="21"/>
              </w:rPr>
            </w:pPr>
            <w:r>
              <w:rPr>
                <w:rFonts w:hint="eastAsia"/>
                <w:color w:val="auto"/>
                <w:sz w:val="21"/>
              </w:rPr>
              <w:t>满足要求</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0" w:type="auto"/>
            <w:shd w:val="clear" w:color="auto" w:fill="auto"/>
            <w:vAlign w:val="center"/>
          </w:tcPr>
          <w:p>
            <w:pPr>
              <w:pStyle w:val="26"/>
              <w:snapToGrid/>
              <w:spacing w:after="0"/>
              <w:ind w:left="0" w:leftChars="0"/>
              <w:jc w:val="center"/>
              <w:rPr>
                <w:color w:val="auto"/>
                <w:sz w:val="21"/>
              </w:rPr>
            </w:pPr>
            <w:r>
              <w:rPr>
                <w:rFonts w:hint="eastAsia"/>
                <w:color w:val="auto"/>
                <w:sz w:val="21"/>
              </w:rPr>
              <w:t>三、强化粪污治理措施，做好污染防治</w:t>
            </w:r>
          </w:p>
        </w:tc>
        <w:tc>
          <w:tcPr>
            <w:tcW w:w="0" w:type="auto"/>
            <w:shd w:val="clear" w:color="auto" w:fill="auto"/>
          </w:tcPr>
          <w:p>
            <w:pPr>
              <w:pStyle w:val="26"/>
              <w:snapToGrid/>
              <w:spacing w:after="0"/>
              <w:ind w:left="0" w:leftChars="0"/>
              <w:rPr>
                <w:color w:val="auto"/>
                <w:sz w:val="21"/>
              </w:rPr>
            </w:pPr>
            <w:r>
              <w:rPr>
                <w:rFonts w:hint="eastAsia"/>
                <w:color w:val="auto"/>
                <w:sz w:val="21"/>
              </w:rPr>
              <w:t>1、项目环评应强化对粪污的治理措施，加强畜禽养殖粪污资源化利用过程中的污染控制，推进粪污资源的良性利用，应对无法资源化利用的粪污采取治理措施确保达标排放。畜禽规模养殖项目应配套建设与养殖规模相匹配的雨污分离设施，以及粪污贮存、处理和利用设施等，委托满足相关环保要求的第三方代为利用或者处理的，可不自行建设粪污处理或利用设施。</w:t>
            </w:r>
          </w:p>
          <w:p>
            <w:pPr>
              <w:pStyle w:val="26"/>
              <w:snapToGrid/>
              <w:spacing w:after="0"/>
              <w:ind w:left="0" w:leftChars="0"/>
              <w:rPr>
                <w:color w:val="auto"/>
                <w:sz w:val="21"/>
              </w:rPr>
            </w:pPr>
            <w:r>
              <w:rPr>
                <w:rFonts w:hint="eastAsia"/>
                <w:color w:val="auto"/>
                <w:sz w:val="21"/>
              </w:rPr>
              <w:t>2、项目环评应明确畜禽粪污贮存、处理和利用措施。贮存池应采取有效的防雨、防渗和防溢流措施，防止畜禽粪污污染地下水。贮存池总有效容积应根据贮存期确定。进行资源化利用的畜禽粪污须处理并达到畜禽粪便还田、无害化处理等技术规范要求。畜禽规模养殖项目配套建设沼气工程的，应充分考虑沼气制备及贮存过程中的环境风险，制定环境风险防范措施及应急预案。</w:t>
            </w:r>
          </w:p>
          <w:p>
            <w:pPr>
              <w:pStyle w:val="26"/>
              <w:snapToGrid/>
              <w:spacing w:after="0"/>
              <w:ind w:left="0" w:leftChars="0"/>
              <w:rPr>
                <w:color w:val="auto"/>
                <w:sz w:val="21"/>
              </w:rPr>
            </w:pPr>
            <w:r>
              <w:rPr>
                <w:rFonts w:hint="eastAsia"/>
                <w:color w:val="auto"/>
                <w:sz w:val="21"/>
              </w:rPr>
              <w:t>3、畜禽养殖粪污作为肥料还田利用的，应明确畜禽养殖场与还田利用的林地、农田之间的输送系统及环境管理措施，严格控制肥水输送沿途的弃、撒和跑冒滴漏，防止进入外部水体。对无法采取资源化利用的畜禽养殖废水应明确处理措施及工艺，确保达标排放或消毒回用，排放去向应符合国家和地方的有关规定，不得排入敏感水域和有特殊功能的水域。</w:t>
            </w:r>
          </w:p>
          <w:p>
            <w:pPr>
              <w:pStyle w:val="26"/>
              <w:snapToGrid/>
              <w:spacing w:after="0"/>
              <w:ind w:left="0" w:leftChars="0"/>
              <w:rPr>
                <w:color w:val="auto"/>
                <w:sz w:val="21"/>
              </w:rPr>
            </w:pPr>
            <w:r>
              <w:rPr>
                <w:rFonts w:hint="eastAsia"/>
                <w:color w:val="auto"/>
                <w:sz w:val="21"/>
              </w:rPr>
              <w:t>4、依据相关法律法规和技术规范，制定明确的病死畜禽处理、处置方案，及时处理病死畜禽。针对畜禽规模养殖项目的恶臭影响，可采取控制饲养密度、改善舍内通风、及时清粪、采用除臭剂、集中收集处理等措施，确保项目恶臭污染物达标排放。</w:t>
            </w:r>
          </w:p>
        </w:tc>
        <w:tc>
          <w:tcPr>
            <w:tcW w:w="0" w:type="auto"/>
            <w:shd w:val="clear" w:color="auto" w:fill="auto"/>
            <w:vAlign w:val="center"/>
          </w:tcPr>
          <w:p>
            <w:pPr>
              <w:pStyle w:val="26"/>
              <w:snapToGrid/>
              <w:spacing w:after="0"/>
              <w:ind w:left="0" w:leftChars="0"/>
              <w:jc w:val="left"/>
              <w:rPr>
                <w:color w:val="auto"/>
                <w:sz w:val="21"/>
              </w:rPr>
            </w:pPr>
            <w:r>
              <w:rPr>
                <w:rFonts w:hint="eastAsia"/>
                <w:color w:val="auto"/>
                <w:sz w:val="21"/>
              </w:rPr>
              <w:t>1、项目区设置雨水分流设施，粪污堆存于固粪处理区，经发酵后制成有机肥基料外售。</w:t>
            </w:r>
          </w:p>
          <w:p>
            <w:pPr>
              <w:pStyle w:val="26"/>
              <w:snapToGrid/>
              <w:spacing w:after="0"/>
              <w:ind w:left="0" w:leftChars="0"/>
              <w:jc w:val="left"/>
              <w:rPr>
                <w:color w:val="auto"/>
                <w:sz w:val="21"/>
              </w:rPr>
            </w:pPr>
            <w:r>
              <w:rPr>
                <w:rFonts w:hint="eastAsia"/>
                <w:color w:val="auto"/>
                <w:sz w:val="21"/>
              </w:rPr>
              <w:t>2、设置封闭式固粪处理区，地面硬化防渗处理。</w:t>
            </w:r>
          </w:p>
          <w:p>
            <w:pPr>
              <w:pStyle w:val="26"/>
              <w:snapToGrid/>
              <w:spacing w:after="0"/>
              <w:ind w:left="0" w:leftChars="0"/>
              <w:jc w:val="left"/>
              <w:rPr>
                <w:color w:val="auto"/>
                <w:sz w:val="21"/>
              </w:rPr>
            </w:pPr>
            <w:r>
              <w:rPr>
                <w:rFonts w:hint="eastAsia"/>
                <w:color w:val="auto"/>
                <w:sz w:val="21"/>
              </w:rPr>
              <w:t>3、项目在严格落实本环评提出的各项风险防范措施和事故应急预案后，该项目发生风险事故的可能性进一步降低，其潜在的环境风险是可以接受的。</w:t>
            </w:r>
          </w:p>
          <w:p>
            <w:pPr>
              <w:pStyle w:val="26"/>
              <w:snapToGrid/>
              <w:spacing w:after="0"/>
              <w:ind w:left="0" w:leftChars="0"/>
              <w:jc w:val="left"/>
              <w:rPr>
                <w:color w:val="auto"/>
                <w:sz w:val="21"/>
              </w:rPr>
            </w:pPr>
            <w:r>
              <w:rPr>
                <w:rFonts w:hint="eastAsia"/>
                <w:color w:val="auto"/>
                <w:sz w:val="21"/>
              </w:rPr>
              <w:t>4、猪舍采取控制饲料密度、合理设计猪的日粮、及时清理猪粪、喷洒除臭剂、污水处理区采取喷洒除臭剂，池体加设盖板，周边设置绿化带喷洒除臭剂。</w:t>
            </w:r>
          </w:p>
          <w:p>
            <w:pPr>
              <w:pStyle w:val="26"/>
              <w:snapToGrid/>
              <w:spacing w:after="0"/>
              <w:ind w:left="0" w:leftChars="0"/>
              <w:jc w:val="left"/>
              <w:rPr>
                <w:color w:val="auto"/>
                <w:sz w:val="21"/>
              </w:rPr>
            </w:pPr>
            <w:r>
              <w:rPr>
                <w:rFonts w:hint="eastAsia"/>
                <w:color w:val="auto"/>
                <w:sz w:val="21"/>
              </w:rPr>
              <w:t>5、猪粪经发酵后制成有机肥基料外售。</w:t>
            </w:r>
          </w:p>
        </w:tc>
        <w:tc>
          <w:tcPr>
            <w:tcW w:w="0" w:type="auto"/>
            <w:shd w:val="clear" w:color="auto" w:fill="auto"/>
            <w:vAlign w:val="center"/>
          </w:tcPr>
          <w:p>
            <w:pPr>
              <w:pStyle w:val="26"/>
              <w:snapToGrid/>
              <w:spacing w:after="0"/>
              <w:ind w:left="0" w:leftChars="0" w:firstLine="0" w:firstLineChars="0"/>
              <w:rPr>
                <w:color w:val="auto"/>
                <w:sz w:val="21"/>
              </w:rPr>
            </w:pPr>
            <w:r>
              <w:rPr>
                <w:rFonts w:hint="eastAsia"/>
                <w:color w:val="auto"/>
                <w:sz w:val="21"/>
              </w:rPr>
              <w:t>满足要求</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0" w:type="auto"/>
            <w:shd w:val="clear" w:color="auto" w:fill="auto"/>
            <w:vAlign w:val="center"/>
          </w:tcPr>
          <w:p>
            <w:pPr>
              <w:pStyle w:val="26"/>
              <w:snapToGrid/>
              <w:spacing w:after="0"/>
              <w:ind w:left="0" w:leftChars="0"/>
              <w:jc w:val="center"/>
              <w:rPr>
                <w:color w:val="auto"/>
                <w:sz w:val="21"/>
              </w:rPr>
            </w:pPr>
            <w:r>
              <w:rPr>
                <w:rFonts w:hint="eastAsia"/>
                <w:color w:val="auto"/>
                <w:sz w:val="21"/>
              </w:rPr>
              <w:t>四、落实环评信息公开要求，发挥公众参与的监督作用</w:t>
            </w:r>
          </w:p>
          <w:p>
            <w:pPr>
              <w:pStyle w:val="26"/>
              <w:snapToGrid/>
              <w:spacing w:after="0"/>
              <w:ind w:left="0" w:leftChars="0"/>
              <w:jc w:val="center"/>
              <w:rPr>
                <w:color w:val="auto"/>
                <w:sz w:val="21"/>
              </w:rPr>
            </w:pPr>
          </w:p>
        </w:tc>
        <w:tc>
          <w:tcPr>
            <w:tcW w:w="0" w:type="auto"/>
            <w:shd w:val="clear" w:color="auto" w:fill="auto"/>
          </w:tcPr>
          <w:p>
            <w:pPr>
              <w:pStyle w:val="26"/>
              <w:snapToGrid/>
              <w:spacing w:after="0"/>
              <w:ind w:left="0" w:leftChars="0"/>
              <w:rPr>
                <w:color w:val="auto"/>
                <w:sz w:val="21"/>
              </w:rPr>
            </w:pPr>
            <w:r>
              <w:rPr>
                <w:rFonts w:hint="eastAsia"/>
                <w:color w:val="auto"/>
                <w:sz w:val="21"/>
              </w:rPr>
              <w:t>1、建设单位在项目环评报告书报送审批前，应采取适当形式，遵循依法、有序、公开、便利的原则，公开征求意见并对真实性和结果负责。</w:t>
            </w:r>
          </w:p>
          <w:p>
            <w:pPr>
              <w:pStyle w:val="26"/>
              <w:snapToGrid/>
              <w:spacing w:after="0"/>
              <w:ind w:left="0" w:leftChars="0"/>
              <w:rPr>
                <w:color w:val="auto"/>
                <w:sz w:val="21"/>
              </w:rPr>
            </w:pPr>
            <w:r>
              <w:rPr>
                <w:rFonts w:hint="eastAsia"/>
                <w:color w:val="auto"/>
                <w:sz w:val="21"/>
              </w:rPr>
              <w:t>2、地方生态环境部门应按照相关要求，主动公开项目环评报告书受理情况、拟作出的审批意见和审批情况，保障公众环境保护知情权、参与权和监督权。强化对建设单位的监督约束，落实建设项目环评信息的全过程、全覆盖公开，确保公众能够方便获取建设项目环评信息。</w:t>
            </w:r>
          </w:p>
        </w:tc>
        <w:tc>
          <w:tcPr>
            <w:tcW w:w="0" w:type="auto"/>
            <w:shd w:val="clear" w:color="auto" w:fill="auto"/>
            <w:vAlign w:val="center"/>
          </w:tcPr>
          <w:p>
            <w:pPr>
              <w:pStyle w:val="26"/>
              <w:snapToGrid/>
              <w:spacing w:after="0"/>
              <w:ind w:left="0" w:leftChars="0"/>
              <w:jc w:val="center"/>
              <w:rPr>
                <w:color w:val="auto"/>
                <w:sz w:val="21"/>
              </w:rPr>
            </w:pPr>
            <w:r>
              <w:rPr>
                <w:rFonts w:hint="eastAsia"/>
                <w:color w:val="auto"/>
                <w:sz w:val="21"/>
              </w:rPr>
              <w:t>建设单位已采取三种方式进行公示，在网站上进行第一次、第二次公示、报纸公示；附近村庄张贴公告</w:t>
            </w:r>
          </w:p>
        </w:tc>
        <w:tc>
          <w:tcPr>
            <w:tcW w:w="0" w:type="auto"/>
            <w:shd w:val="clear" w:color="auto" w:fill="auto"/>
            <w:vAlign w:val="center"/>
          </w:tcPr>
          <w:p>
            <w:pPr>
              <w:pStyle w:val="26"/>
              <w:snapToGrid/>
              <w:spacing w:after="0"/>
              <w:ind w:left="0" w:leftChars="0"/>
              <w:jc w:val="center"/>
              <w:rPr>
                <w:color w:val="auto"/>
                <w:sz w:val="21"/>
              </w:rPr>
            </w:pPr>
            <w:r>
              <w:rPr>
                <w:rFonts w:hint="eastAsia"/>
                <w:color w:val="auto"/>
                <w:sz w:val="21"/>
              </w:rPr>
              <w:t>满足要求</w:t>
            </w:r>
          </w:p>
        </w:tc>
      </w:tr>
    </w:tbl>
    <w:p>
      <w:pPr>
        <w:pStyle w:val="6"/>
        <w:numPr>
          <w:ilvl w:val="2"/>
          <w:numId w:val="0"/>
        </w:numPr>
        <w:adjustRightInd/>
        <w:snapToGrid/>
        <w:rPr>
          <w:rFonts w:eastAsia="宋体"/>
          <w:b/>
          <w:color w:val="auto"/>
        </w:rPr>
      </w:pPr>
      <w:r>
        <w:rPr>
          <w:rFonts w:hint="eastAsia" w:eastAsia="宋体"/>
          <w:b/>
          <w:color w:val="auto"/>
        </w:rPr>
        <w:t>2.7.1</w:t>
      </w:r>
      <w:r>
        <w:rPr>
          <w:rFonts w:hint="eastAsia" w:eastAsia="宋体"/>
          <w:b/>
          <w:color w:val="auto"/>
          <w:lang w:val="en-US"/>
        </w:rPr>
        <w:t>2</w:t>
      </w:r>
      <w:r>
        <w:rPr>
          <w:rFonts w:eastAsia="宋体"/>
          <w:b/>
          <w:color w:val="auto"/>
        </w:rPr>
        <w:t>项目建设与河南省人民政府办公厅《关于加快稳定生猪生产保障市场供应的通知》豫政办（2019）52号相符性分析</w:t>
      </w:r>
    </w:p>
    <w:p>
      <w:pPr>
        <w:widowControl/>
        <w:ind w:firstLine="480"/>
        <w:rPr>
          <w:color w:val="auto"/>
        </w:rPr>
      </w:pPr>
      <w:r>
        <w:rPr>
          <w:rFonts w:ascii="宋体" w:hAnsi="宋体"/>
          <w:color w:val="auto"/>
        </w:rPr>
        <w:t>各省辖市人民政府、济源示范区管委会、各省直管县（市）人民政府，省人民政府有关部门：</w:t>
      </w:r>
    </w:p>
    <w:p>
      <w:pPr>
        <w:widowControl/>
        <w:ind w:firstLine="480"/>
        <w:rPr>
          <w:color w:val="auto"/>
        </w:rPr>
      </w:pPr>
      <w:r>
        <w:rPr>
          <w:rFonts w:ascii="宋体" w:hAnsi="宋体"/>
          <w:color w:val="auto"/>
        </w:rPr>
        <w:t>为贯彻落实党中央、国务院关于稳定生猪生产、保障市场供应的决策部署，切实做好我省各项工作，经省政府同意，现将有关事宜通知如下：</w:t>
      </w:r>
    </w:p>
    <w:p>
      <w:pPr>
        <w:widowControl/>
        <w:ind w:firstLine="480"/>
        <w:rPr>
          <w:rFonts w:ascii="宋体" w:hAnsi="宋体"/>
          <w:color w:val="auto"/>
        </w:rPr>
      </w:pPr>
      <w:r>
        <w:rPr>
          <w:rFonts w:ascii="宋体" w:hAnsi="宋体"/>
          <w:color w:val="auto"/>
        </w:rPr>
        <w:t>其中：</w:t>
      </w:r>
    </w:p>
    <w:p>
      <w:pPr>
        <w:widowControl/>
        <w:ind w:firstLine="482"/>
        <w:rPr>
          <w:color w:val="auto"/>
        </w:rPr>
      </w:pPr>
      <w:r>
        <w:rPr>
          <w:rFonts w:ascii="宋体" w:hAnsi="宋体"/>
          <w:b/>
          <w:color w:val="auto"/>
        </w:rPr>
        <w:t>三、加快发展标准化、规模化养殖</w:t>
      </w:r>
    </w:p>
    <w:p>
      <w:pPr>
        <w:widowControl/>
        <w:ind w:firstLine="480"/>
        <w:rPr>
          <w:color w:val="auto"/>
        </w:rPr>
      </w:pPr>
      <w:r>
        <w:rPr>
          <w:rFonts w:ascii="宋体" w:hAnsi="宋体"/>
          <w:color w:val="auto"/>
        </w:rPr>
        <w:t>统筹兼顾生猪产能恢复和生猪产业转型升级，因势利导，大力发展标准化规模养殖。科学指导现有规模养</w:t>
      </w:r>
      <w:r>
        <w:rPr>
          <w:color w:val="auto"/>
        </w:rPr>
        <w:t>猪场（户）加快标准化改造升级，严格落实各项防疫措施，有序补栏，扩大生产。引导鼓励农业产业化龙头企业开展兼并重组，加快规模扩张。鼓励支持农业产业化龙头企业、农民专业合作社等新型经营主体将规模以下养猪场（户）纳入现代化养殖体系，推进规模以下养猪场（户）规范发展。加快推进新建生猪养殖基地项目建设，培育一批现代化生猪养殖企业</w:t>
      </w:r>
      <w:r>
        <w:rPr>
          <w:rFonts w:ascii="宋体" w:hAnsi="宋体"/>
          <w:color w:val="auto"/>
        </w:rPr>
        <w:t>。加大生猪调出大县奖励力度，鼓励生猪调出大县利用奖励资金与担保机构合作，共同设立生猪生产融资风险补偿金，支持生猪养殖企业圈舍改造、良种引进等。将与优势特色农业结合紧密、实现农牧循环的生猪养殖企业纳入现代农业产业园创建和绿色循环优质高效特色农业促进等项目扶持范围。利用中央预算</w:t>
      </w:r>
      <w:r>
        <w:rPr>
          <w:color w:val="auto"/>
        </w:rPr>
        <w:t>内投资对2020年年底前新建、改扩建种猪场、规模养猪场（户）和禁养区内规模养猪场（户）异地重建给予一次性补助。将饲料加工、自动喂料、畜禽粪污处理利用、病死猪无害化处理和资源化利用等装备纳入农机购置补贴范围，实行敞开补贴。对生猪养殖、种猪繁育用电执行农业生产用电价格政策。按照“放管服”改革要求，对新建和改扩建养猪场项目在办理环境影响评价、建设用地等审批手续方面简化程序、加快审批。</w:t>
      </w:r>
    </w:p>
    <w:p>
      <w:pPr>
        <w:widowControl/>
        <w:ind w:firstLine="482"/>
        <w:rPr>
          <w:b/>
          <w:color w:val="auto"/>
        </w:rPr>
      </w:pPr>
      <w:r>
        <w:rPr>
          <w:rFonts w:ascii="宋体" w:hAnsi="宋体"/>
          <w:b/>
          <w:color w:val="auto"/>
        </w:rPr>
        <w:t>四、切实加强良种繁育体系建设</w:t>
      </w:r>
    </w:p>
    <w:p>
      <w:pPr>
        <w:widowControl/>
        <w:ind w:firstLine="480"/>
        <w:rPr>
          <w:color w:val="auto"/>
        </w:rPr>
      </w:pPr>
      <w:r>
        <w:rPr>
          <w:rFonts w:ascii="宋体" w:hAnsi="宋体"/>
          <w:color w:val="auto"/>
        </w:rPr>
        <w:t>实施生猪良种补贴政策</w:t>
      </w:r>
      <w:r>
        <w:rPr>
          <w:color w:val="auto"/>
        </w:rPr>
        <w:t>，2019年支持生猪养殖大县对使用良种猪精液开展人工授精的养殖场(户)，按每头能繁母猪不超过40元/年的标准给予补贴。支持种猪场尤其是国家核心育种场加快种猪繁育，提高供种能力，对2019年10月1日-2022年12月31日从国外引进的种猪每头补贴3000元，累计补贴1万头。支持区域性种公猪站发展，加快良种推广，提高生产效率。2019年省财政安排地方猪遗传物质保种资金，加大淮南猪、豫南黑猪等地方良种保护力度，推动特色产品开发利用</w:t>
      </w:r>
      <w:r>
        <w:rPr>
          <w:rFonts w:ascii="宋体" w:hAnsi="宋体"/>
          <w:color w:val="auto"/>
        </w:rPr>
        <w:t>。</w:t>
      </w:r>
    </w:p>
    <w:p>
      <w:pPr>
        <w:widowControl/>
        <w:ind w:firstLine="482"/>
        <w:rPr>
          <w:b/>
          <w:color w:val="auto"/>
        </w:rPr>
      </w:pPr>
      <w:r>
        <w:rPr>
          <w:rFonts w:ascii="宋体" w:hAnsi="宋体"/>
          <w:b/>
          <w:color w:val="auto"/>
        </w:rPr>
        <w:t>五、规范畜禽养殖禁养区划定和管理</w:t>
      </w:r>
    </w:p>
    <w:p>
      <w:pPr>
        <w:widowControl/>
        <w:ind w:firstLine="480"/>
        <w:rPr>
          <w:color w:val="auto"/>
        </w:rPr>
      </w:pPr>
      <w:r>
        <w:rPr>
          <w:rFonts w:ascii="宋体" w:hAnsi="宋体"/>
          <w:color w:val="auto"/>
        </w:rPr>
        <w:t>严格依法依规科学划定禁养区，除饮用水水源保护区、风景名胜区、自然保护区的核心区和缓冲区，城镇居民区、文化教育科学研究区等人口集中区域以及法律法规规定的其他禁止养殖的区域外，不得超范围划定禁养区。各地要深入开展自查，取消违反法律法规规定的生猪禁养、限养规定；对超出法律法规规定范围划定的禁养区，要立即调整。各地不得以改善生态环境为由，限制养猪业发展或压减生猪产能。对因污染需要整改的养猪</w:t>
      </w:r>
      <w:r>
        <w:rPr>
          <w:color w:val="auto"/>
        </w:rPr>
        <w:t>场（户），要给予合理过渡期和技术指导，避免处置措施简单粗暴、一关了之。各地要于2019年10月20日前将自查结果及调整后的禁养区划定情况报省生态环境厅、农业农村厅。</w:t>
      </w:r>
    </w:p>
    <w:p>
      <w:pPr>
        <w:widowControl/>
        <w:ind w:firstLine="482"/>
        <w:rPr>
          <w:color w:val="auto"/>
        </w:rPr>
      </w:pPr>
      <w:r>
        <w:rPr>
          <w:rFonts w:ascii="宋体" w:hAnsi="宋体"/>
          <w:b/>
          <w:color w:val="auto"/>
        </w:rPr>
        <w:t>六、切实保障生猪养殖用地</w:t>
      </w:r>
    </w:p>
    <w:p>
      <w:pPr>
        <w:widowControl/>
        <w:ind w:firstLine="480"/>
        <w:rPr>
          <w:rFonts w:ascii="宋体" w:hAnsi="宋体"/>
          <w:color w:val="auto"/>
        </w:rPr>
      </w:pPr>
      <w:r>
        <w:rPr>
          <w:rFonts w:ascii="宋体" w:hAnsi="宋体"/>
          <w:color w:val="auto"/>
        </w:rPr>
        <w:t>各地要依据农业发展规划和国土空间规划，积极引导新建或扩建的生猪养殖项目合理选址，鼓励利用荒山、荒沟、荒丘、荒滩和农村集体建设用地发展生猪生产。对依法依规划定的禁养区内关停搬迁的养猪场（户），合理安排用地，支持异地重建。要妥善解决生猪养殖、病死猪无害化处理、洗消、粪污处理利用、屠宰加工等生猪产业发展用地需求。生猪产业发展用地属于农用地的，按农用地管理，不需办理农用地转用审批手续。在不占用永久基本农田的前提下，合理安排生猪养殖空间，允许生猪养殖用地使用一般耕地，作为养殖用途，不需补划耕地。对生猪养殖圈舍、</w:t>
      </w:r>
      <w:r>
        <w:rPr>
          <w:rFonts w:hint="eastAsia" w:ascii="宋体" w:hAnsi="宋体"/>
          <w:color w:val="auto"/>
        </w:rPr>
        <w:t>厂区</w:t>
      </w:r>
      <w:r>
        <w:rPr>
          <w:rFonts w:ascii="宋体" w:hAnsi="宋体"/>
          <w:color w:val="auto"/>
        </w:rPr>
        <w:t>内通</w:t>
      </w:r>
      <w:r>
        <w:rPr>
          <w:color w:val="auto"/>
        </w:rPr>
        <w:t>道及绿化隔离带等生产设施用地，根据养殖规模确定。取消生猪养殖附属设施用地15亩上限，保障</w:t>
      </w:r>
      <w:r>
        <w:rPr>
          <w:rFonts w:ascii="宋体" w:hAnsi="宋体"/>
          <w:color w:val="auto"/>
        </w:rPr>
        <w:t>生猪养殖废弃物处理等设施用地。农村整理出的土地指标优先保障生猪屠宰加工等配套建设项目用地。</w:t>
      </w:r>
    </w:p>
    <w:p>
      <w:pPr>
        <w:widowControl/>
        <w:ind w:firstLine="482"/>
        <w:rPr>
          <w:b/>
          <w:color w:val="auto"/>
        </w:rPr>
      </w:pPr>
      <w:r>
        <w:rPr>
          <w:rFonts w:ascii="宋体" w:hAnsi="宋体"/>
          <w:b/>
          <w:color w:val="auto"/>
        </w:rPr>
        <w:t>七、加强生猪生产监测预警</w:t>
      </w:r>
    </w:p>
    <w:p>
      <w:pPr>
        <w:widowControl/>
        <w:ind w:firstLine="480"/>
        <w:rPr>
          <w:color w:val="auto"/>
        </w:rPr>
      </w:pPr>
      <w:r>
        <w:rPr>
          <w:rFonts w:ascii="宋体" w:hAnsi="宋体"/>
          <w:color w:val="auto"/>
        </w:rPr>
        <w:t>建立省级生猪生产调度机制，省农业农村厅每月对各地生猪和能繁母猪存栏情况进行监测调度，对</w:t>
      </w:r>
      <w:r>
        <w:rPr>
          <w:color w:val="auto"/>
        </w:rPr>
        <w:t>全省年出栏500头以上的养猪场（户）进行月度跟踪调查，生产调度情况定期报告省政府、农业农村部。各地要加强监测体系建设，完善监测网络，加大生猪生产调查频次，及时准确掌握生猪生产形势变化情况；要加强市场监测和分析研判，及时发布市场动态、疫情防控等信息，加强舆论引导，稳定公众和市场预期，提振养殖企业（户）信心。</w:t>
      </w:r>
    </w:p>
    <w:p>
      <w:pPr>
        <w:widowControl/>
        <w:spacing w:line="520" w:lineRule="exact"/>
        <w:ind w:firstLine="482"/>
        <w:rPr>
          <w:b/>
          <w:color w:val="auto"/>
        </w:rPr>
      </w:pPr>
      <w:r>
        <w:rPr>
          <w:rFonts w:ascii="宋体" w:hAnsi="宋体"/>
          <w:b/>
          <w:color w:val="auto"/>
        </w:rPr>
        <w:t>八、加快畜禽粪污资源化利用项目建设</w:t>
      </w:r>
    </w:p>
    <w:p>
      <w:pPr>
        <w:widowControl/>
        <w:spacing w:line="520" w:lineRule="exact"/>
        <w:ind w:firstLine="480"/>
        <w:rPr>
          <w:color w:val="auto"/>
          <w:kern w:val="0"/>
          <w:sz w:val="22"/>
        </w:rPr>
      </w:pPr>
      <w:r>
        <w:rPr>
          <w:rFonts w:ascii="宋体" w:hAnsi="宋体"/>
          <w:color w:val="auto"/>
        </w:rPr>
        <w:t>对</w:t>
      </w:r>
      <w:r>
        <w:rPr>
          <w:color w:val="auto"/>
        </w:rPr>
        <w:t>在建和即将实施的65个畜牧大县粪污资源化利用整县推进项目，各项目县政府要认真履行项目实施的主体责任，及时拨付补助资金，加快项目建设，严格按照规定的时间节点完成任务，推进粪污就地就近还田消纳利用，降低养猪场（户）环保成本。2019年省财政安排1.7亿元启动实施的10个非畜牧大县畜禽粪污资源化利用整县推进项目、3个畜禽粪污资源化利用创新试点项目，要确保在2019年11月底前开工，2020年6月底前完成建设任务。</w:t>
      </w:r>
    </w:p>
    <w:p>
      <w:pPr>
        <w:pStyle w:val="26"/>
        <w:spacing w:after="0" w:line="520" w:lineRule="exact"/>
        <w:ind w:left="0" w:leftChars="0" w:firstLine="482"/>
        <w:rPr>
          <w:color w:val="auto"/>
        </w:rPr>
      </w:pPr>
      <w:r>
        <w:rPr>
          <w:b/>
          <w:color w:val="auto"/>
        </w:rPr>
        <w:t>相符性分析：</w:t>
      </w:r>
      <w:r>
        <w:rPr>
          <w:color w:val="auto"/>
        </w:rPr>
        <w:t>本项目位于</w:t>
      </w:r>
      <w:r>
        <w:rPr>
          <w:rFonts w:hint="eastAsia"/>
          <w:color w:val="auto"/>
        </w:rPr>
        <w:t>濮阳市濮阳县五星乡于屯村东</w:t>
      </w:r>
      <w:r>
        <w:rPr>
          <w:color w:val="auto"/>
        </w:rPr>
        <w:t>，属于</w:t>
      </w:r>
      <w:r>
        <w:rPr>
          <w:rFonts w:ascii="宋体" w:hAnsi="宋体"/>
          <w:color w:val="auto"/>
        </w:rPr>
        <w:t>标准化养殖场建设</w:t>
      </w:r>
      <w:r>
        <w:rPr>
          <w:color w:val="auto"/>
        </w:rPr>
        <w:t>项目，本项目不在</w:t>
      </w:r>
      <w:r>
        <w:rPr>
          <w:rFonts w:hint="eastAsia"/>
          <w:color w:val="auto"/>
        </w:rPr>
        <w:t>濮</w:t>
      </w:r>
      <w:r>
        <w:rPr>
          <w:color w:val="auto"/>
        </w:rPr>
        <w:t>阳县</w:t>
      </w:r>
      <w:r>
        <w:rPr>
          <w:rFonts w:hint="eastAsia"/>
          <w:color w:val="auto"/>
        </w:rPr>
        <w:t>畜禽养殖</w:t>
      </w:r>
      <w:r>
        <w:rPr>
          <w:color w:val="auto"/>
        </w:rPr>
        <w:t>禁养区范围内</w:t>
      </w:r>
      <w:r>
        <w:rPr>
          <w:rFonts w:hint="eastAsia"/>
          <w:color w:val="auto"/>
        </w:rPr>
        <w:t>，并</w:t>
      </w:r>
      <w:r>
        <w:rPr>
          <w:rFonts w:hint="eastAsia"/>
          <w:bCs/>
          <w:color w:val="auto"/>
          <w:spacing w:val="2"/>
        </w:rPr>
        <w:t>根据濮阳县</w:t>
      </w:r>
      <w:r>
        <w:rPr>
          <w:rFonts w:hint="eastAsia"/>
          <w:color w:val="auto"/>
        </w:rPr>
        <w:t>五星乡</w:t>
      </w:r>
      <w:r>
        <w:rPr>
          <w:rFonts w:hint="eastAsia"/>
          <w:bCs/>
          <w:color w:val="auto"/>
          <w:spacing w:val="2"/>
        </w:rPr>
        <w:t>人民政府出具的证明，该项目用地为一般耕地</w:t>
      </w:r>
      <w:r>
        <w:rPr>
          <w:bCs/>
          <w:color w:val="auto"/>
          <w:spacing w:val="2"/>
        </w:rPr>
        <w:t>，</w:t>
      </w:r>
      <w:r>
        <w:rPr>
          <w:rFonts w:hint="eastAsia"/>
          <w:bCs/>
          <w:color w:val="auto"/>
          <w:spacing w:val="2"/>
        </w:rPr>
        <w:t>不涉及基本农田，</w:t>
      </w:r>
      <w:r>
        <w:rPr>
          <w:bCs/>
          <w:color w:val="auto"/>
          <w:spacing w:val="2"/>
        </w:rPr>
        <w:t>选址符合规划要求，未占用基本农田</w:t>
      </w:r>
      <w:r>
        <w:rPr>
          <w:rFonts w:hint="eastAsia"/>
          <w:bCs/>
          <w:color w:val="auto"/>
          <w:spacing w:val="2"/>
        </w:rPr>
        <w:t>。</w:t>
      </w:r>
      <w:r>
        <w:rPr>
          <w:color w:val="auto"/>
        </w:rPr>
        <w:t>按农村设施用地进行管理。项目养殖废水经污水处理站处理达到农灌标准后用于工程配套农田农灌，可实现畜禽粪便就地、就近消纳。因此，项目建设与河南省人民政府办公厅《关于加快稳定生猪生产保障市场供应的通知》豫政办（</w:t>
      </w:r>
      <w:r>
        <w:rPr>
          <w:bCs/>
          <w:color w:val="auto"/>
        </w:rPr>
        <w:t>2019</w:t>
      </w:r>
      <w:r>
        <w:rPr>
          <w:color w:val="auto"/>
        </w:rPr>
        <w:t>）</w:t>
      </w:r>
      <w:r>
        <w:rPr>
          <w:bCs/>
          <w:color w:val="auto"/>
        </w:rPr>
        <w:t>52</w:t>
      </w:r>
      <w:r>
        <w:rPr>
          <w:color w:val="auto"/>
        </w:rPr>
        <w:t>号相符。</w:t>
      </w:r>
    </w:p>
    <w:p>
      <w:pPr>
        <w:pStyle w:val="32"/>
        <w:spacing w:line="520" w:lineRule="exact"/>
        <w:rPr>
          <w:color w:val="auto"/>
        </w:rPr>
      </w:pPr>
      <w:r>
        <w:rPr>
          <w:color w:val="auto"/>
        </w:rPr>
        <w:t>2.</w:t>
      </w:r>
      <w:r>
        <w:rPr>
          <w:rFonts w:hint="eastAsia"/>
          <w:color w:val="auto"/>
        </w:rPr>
        <w:t>8</w:t>
      </w:r>
      <w:r>
        <w:rPr>
          <w:color w:val="auto"/>
        </w:rPr>
        <w:t xml:space="preserve"> </w:t>
      </w:r>
      <w:bookmarkEnd w:id="170"/>
      <w:bookmarkEnd w:id="171"/>
      <w:r>
        <w:rPr>
          <w:rFonts w:hint="eastAsia"/>
          <w:color w:val="auto"/>
        </w:rPr>
        <w:t>评价专题章节设置</w:t>
      </w:r>
      <w:bookmarkEnd w:id="172"/>
      <w:bookmarkEnd w:id="181"/>
      <w:bookmarkEnd w:id="182"/>
    </w:p>
    <w:p>
      <w:pPr>
        <w:ind w:firstLine="480"/>
        <w:rPr>
          <w:rFonts w:hAnsi="宋体"/>
          <w:color w:val="auto"/>
        </w:rPr>
      </w:pPr>
      <w:r>
        <w:rPr>
          <w:rFonts w:hint="eastAsia" w:hAnsi="宋体"/>
          <w:color w:val="auto"/>
        </w:rPr>
        <w:t>（</w:t>
      </w:r>
      <w:r>
        <w:rPr>
          <w:rFonts w:hAnsi="宋体"/>
          <w:color w:val="auto"/>
        </w:rPr>
        <w:t>1</w:t>
      </w:r>
      <w:r>
        <w:rPr>
          <w:rFonts w:hint="eastAsia" w:hAnsi="宋体"/>
          <w:color w:val="auto"/>
        </w:rPr>
        <w:t>）概述</w:t>
      </w:r>
    </w:p>
    <w:p>
      <w:pPr>
        <w:ind w:firstLine="480"/>
        <w:rPr>
          <w:rFonts w:hAnsi="宋体"/>
          <w:color w:val="auto"/>
        </w:rPr>
      </w:pPr>
      <w:r>
        <w:rPr>
          <w:rFonts w:hint="eastAsia" w:hAnsi="宋体"/>
          <w:color w:val="auto"/>
        </w:rPr>
        <w:t>（</w:t>
      </w:r>
      <w:r>
        <w:rPr>
          <w:rFonts w:hAnsi="宋体"/>
          <w:color w:val="auto"/>
        </w:rPr>
        <w:t>2</w:t>
      </w:r>
      <w:r>
        <w:rPr>
          <w:rFonts w:hint="eastAsia" w:hAnsi="宋体"/>
          <w:color w:val="auto"/>
        </w:rPr>
        <w:t>）总论</w:t>
      </w:r>
    </w:p>
    <w:p>
      <w:pPr>
        <w:ind w:firstLine="480"/>
        <w:rPr>
          <w:rFonts w:hAnsi="宋体"/>
          <w:color w:val="auto"/>
        </w:rPr>
      </w:pPr>
      <w:r>
        <w:rPr>
          <w:rFonts w:hint="eastAsia" w:hAnsi="宋体"/>
          <w:color w:val="auto"/>
        </w:rPr>
        <w:t>（</w:t>
      </w:r>
      <w:r>
        <w:rPr>
          <w:rFonts w:hAnsi="宋体"/>
          <w:color w:val="auto"/>
        </w:rPr>
        <w:t>3</w:t>
      </w:r>
      <w:r>
        <w:rPr>
          <w:rFonts w:hint="eastAsia" w:hAnsi="宋体"/>
          <w:color w:val="auto"/>
        </w:rPr>
        <w:t>）工程分析</w:t>
      </w:r>
    </w:p>
    <w:p>
      <w:pPr>
        <w:ind w:firstLine="480"/>
        <w:rPr>
          <w:rFonts w:hAnsi="宋体"/>
          <w:color w:val="auto"/>
        </w:rPr>
      </w:pPr>
      <w:r>
        <w:rPr>
          <w:rFonts w:hint="eastAsia" w:hAnsi="宋体"/>
          <w:color w:val="auto"/>
        </w:rPr>
        <w:t>（</w:t>
      </w:r>
      <w:r>
        <w:rPr>
          <w:rFonts w:hAnsi="宋体"/>
          <w:color w:val="auto"/>
        </w:rPr>
        <w:t>4</w:t>
      </w:r>
      <w:r>
        <w:rPr>
          <w:rFonts w:hint="eastAsia" w:hAnsi="宋体"/>
          <w:color w:val="auto"/>
        </w:rPr>
        <w:t>）</w:t>
      </w:r>
      <w:r>
        <w:rPr>
          <w:rFonts w:hAnsi="宋体"/>
          <w:color w:val="auto"/>
        </w:rPr>
        <w:t>区域环境概况及环境质量现状评价</w:t>
      </w:r>
    </w:p>
    <w:p>
      <w:pPr>
        <w:ind w:firstLine="480"/>
        <w:rPr>
          <w:rFonts w:hAnsi="宋体"/>
          <w:color w:val="auto"/>
        </w:rPr>
      </w:pPr>
      <w:r>
        <w:rPr>
          <w:rFonts w:hint="eastAsia" w:hAnsi="宋体"/>
          <w:color w:val="auto"/>
        </w:rPr>
        <w:t>（5）环境质量影响预测与评价</w:t>
      </w:r>
    </w:p>
    <w:p>
      <w:pPr>
        <w:ind w:firstLine="480"/>
        <w:rPr>
          <w:rFonts w:hAnsi="宋体"/>
          <w:color w:val="auto"/>
        </w:rPr>
      </w:pPr>
      <w:r>
        <w:rPr>
          <w:rFonts w:hint="eastAsia" w:hAnsi="宋体"/>
          <w:color w:val="auto"/>
        </w:rPr>
        <w:t>（6）防污减污措施评价</w:t>
      </w:r>
    </w:p>
    <w:p>
      <w:pPr>
        <w:ind w:firstLine="480"/>
        <w:rPr>
          <w:rFonts w:hAnsi="宋体"/>
          <w:color w:val="auto"/>
        </w:rPr>
      </w:pPr>
      <w:r>
        <w:rPr>
          <w:rFonts w:hint="eastAsia" w:hAnsi="宋体"/>
          <w:color w:val="auto"/>
        </w:rPr>
        <w:t>（7）场址及总图布置可行性分析</w:t>
      </w:r>
    </w:p>
    <w:p>
      <w:pPr>
        <w:ind w:firstLine="480"/>
        <w:rPr>
          <w:rFonts w:hAnsi="宋体"/>
          <w:color w:val="auto"/>
        </w:rPr>
      </w:pPr>
      <w:r>
        <w:rPr>
          <w:rFonts w:hint="eastAsia" w:hAnsi="宋体"/>
          <w:color w:val="auto"/>
        </w:rPr>
        <w:t>（</w:t>
      </w:r>
      <w:r>
        <w:rPr>
          <w:rFonts w:hAnsi="宋体"/>
          <w:color w:val="auto"/>
        </w:rPr>
        <w:t>8</w:t>
      </w:r>
      <w:r>
        <w:rPr>
          <w:rFonts w:hint="eastAsia" w:hAnsi="宋体"/>
          <w:color w:val="auto"/>
        </w:rPr>
        <w:t>）环境经济损益分析</w:t>
      </w:r>
    </w:p>
    <w:p>
      <w:pPr>
        <w:ind w:firstLine="480"/>
        <w:rPr>
          <w:rFonts w:hAnsi="宋体"/>
          <w:color w:val="auto"/>
        </w:rPr>
      </w:pPr>
      <w:r>
        <w:rPr>
          <w:rFonts w:hint="eastAsia" w:hAnsi="宋体"/>
          <w:color w:val="auto"/>
        </w:rPr>
        <w:t>（</w:t>
      </w:r>
      <w:r>
        <w:rPr>
          <w:rFonts w:hAnsi="宋体"/>
          <w:color w:val="auto"/>
        </w:rPr>
        <w:t>9</w:t>
      </w:r>
      <w:r>
        <w:rPr>
          <w:rFonts w:hint="eastAsia" w:hAnsi="宋体"/>
          <w:color w:val="auto"/>
        </w:rPr>
        <w:t>）环境管理与环境监测</w:t>
      </w:r>
    </w:p>
    <w:p>
      <w:pPr>
        <w:ind w:firstLine="480"/>
        <w:rPr>
          <w:rFonts w:hAnsi="宋体"/>
          <w:color w:val="auto"/>
        </w:rPr>
      </w:pPr>
      <w:r>
        <w:rPr>
          <w:rFonts w:hint="eastAsia" w:hAnsi="宋体"/>
          <w:color w:val="auto"/>
        </w:rPr>
        <w:t>（</w:t>
      </w:r>
      <w:r>
        <w:rPr>
          <w:rFonts w:hAnsi="宋体"/>
          <w:color w:val="auto"/>
        </w:rPr>
        <w:t>10</w:t>
      </w:r>
      <w:r>
        <w:rPr>
          <w:rFonts w:hint="eastAsia" w:hAnsi="宋体"/>
          <w:color w:val="auto"/>
        </w:rPr>
        <w:t>）结论与建议</w:t>
      </w:r>
    </w:p>
    <w:p>
      <w:pPr>
        <w:pStyle w:val="32"/>
        <w:spacing w:line="360" w:lineRule="auto"/>
        <w:rPr>
          <w:color w:val="auto"/>
        </w:rPr>
      </w:pPr>
      <w:bookmarkStart w:id="183" w:name="_Toc402441865"/>
      <w:bookmarkStart w:id="184" w:name="_Toc441490829"/>
      <w:bookmarkStart w:id="185" w:name="_Toc275449600"/>
      <w:bookmarkStart w:id="186" w:name="_Toc27674"/>
      <w:bookmarkStart w:id="187" w:name="_Toc328371601"/>
      <w:bookmarkStart w:id="188" w:name="_Toc275796695"/>
      <w:bookmarkStart w:id="189" w:name="_Toc2090"/>
      <w:bookmarkStart w:id="190" w:name="_Toc345417253"/>
      <w:bookmarkStart w:id="191" w:name="_Toc278310160"/>
      <w:bookmarkStart w:id="192" w:name="_Toc275448969"/>
      <w:bookmarkStart w:id="193" w:name="_Toc413827931"/>
      <w:bookmarkStart w:id="194" w:name="_Toc275796858"/>
      <w:r>
        <w:rPr>
          <w:color w:val="auto"/>
        </w:rPr>
        <w:t>2.</w:t>
      </w:r>
      <w:r>
        <w:rPr>
          <w:rFonts w:hint="eastAsia"/>
          <w:color w:val="auto"/>
        </w:rPr>
        <w:t>9</w:t>
      </w:r>
      <w:r>
        <w:rPr>
          <w:color w:val="auto"/>
        </w:rPr>
        <w:t xml:space="preserve"> 评价工作程序</w:t>
      </w:r>
      <w:bookmarkEnd w:id="183"/>
      <w:bookmarkEnd w:id="184"/>
      <w:bookmarkEnd w:id="185"/>
      <w:bookmarkEnd w:id="186"/>
      <w:bookmarkEnd w:id="187"/>
      <w:bookmarkEnd w:id="188"/>
      <w:bookmarkEnd w:id="189"/>
      <w:bookmarkEnd w:id="190"/>
      <w:bookmarkEnd w:id="191"/>
      <w:bookmarkEnd w:id="192"/>
      <w:bookmarkEnd w:id="193"/>
      <w:bookmarkEnd w:id="194"/>
    </w:p>
    <w:p>
      <w:pPr>
        <w:ind w:firstLine="480"/>
        <w:rPr>
          <w:rFonts w:hAnsi="宋体"/>
          <w:color w:val="auto"/>
        </w:rPr>
      </w:pPr>
      <w:r>
        <w:rPr>
          <w:rFonts w:hint="eastAsia" w:hAnsi="宋体"/>
          <w:color w:val="auto"/>
        </w:rPr>
        <w:t>环境影响</w:t>
      </w:r>
      <w:r>
        <w:rPr>
          <w:rFonts w:hAnsi="宋体"/>
          <w:color w:val="auto"/>
        </w:rPr>
        <w:t>评价工作程序见图2</w:t>
      </w:r>
      <w:r>
        <w:rPr>
          <w:rFonts w:hint="eastAsia" w:hAnsi="宋体"/>
          <w:color w:val="auto"/>
        </w:rPr>
        <w:t>-1。</w:t>
      </w:r>
    </w:p>
    <w:p>
      <w:pPr>
        <w:spacing w:line="240" w:lineRule="auto"/>
        <w:ind w:firstLine="0" w:firstLineChars="0"/>
        <w:rPr>
          <w:color w:val="auto"/>
        </w:rPr>
      </w:pPr>
      <w:r>
        <w:rPr>
          <w:color w:val="auto"/>
        </w:rPr>
        <w:drawing>
          <wp:inline distT="0" distB="0" distL="114300" distR="114300">
            <wp:extent cx="5558155" cy="6374765"/>
            <wp:effectExtent l="0" t="0" r="4445" b="698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1" cstate="print"/>
                    <a:stretch>
                      <a:fillRect/>
                    </a:stretch>
                  </pic:blipFill>
                  <pic:spPr>
                    <a:xfrm>
                      <a:off x="0" y="0"/>
                      <a:ext cx="5558155" cy="6374765"/>
                    </a:xfrm>
                    <a:prstGeom prst="rect">
                      <a:avLst/>
                    </a:prstGeom>
                    <a:noFill/>
                    <a:ln>
                      <a:noFill/>
                    </a:ln>
                  </pic:spPr>
                </pic:pic>
              </a:graphicData>
            </a:graphic>
          </wp:inline>
        </w:drawing>
      </w:r>
    </w:p>
    <w:p>
      <w:pPr>
        <w:spacing w:line="240" w:lineRule="auto"/>
        <w:ind w:firstLine="480"/>
        <w:jc w:val="center"/>
        <w:rPr>
          <w:rFonts w:hAnsi="黑体" w:eastAsia="黑体"/>
          <w:color w:val="auto"/>
        </w:rPr>
      </w:pPr>
    </w:p>
    <w:p>
      <w:pPr>
        <w:spacing w:line="240" w:lineRule="auto"/>
        <w:ind w:firstLine="480"/>
        <w:jc w:val="center"/>
        <w:rPr>
          <w:rFonts w:hAnsi="黑体" w:eastAsia="黑体"/>
          <w:color w:val="auto"/>
        </w:rPr>
        <w:sectPr>
          <w:headerReference r:id="rId7" w:type="default"/>
          <w:pgSz w:w="11906" w:h="16838"/>
          <w:pgMar w:top="1587" w:right="1587" w:bottom="1587" w:left="1587" w:header="851" w:footer="992" w:gutter="0"/>
          <w:cols w:space="720" w:num="1"/>
          <w:docGrid w:linePitch="312" w:charSpace="0"/>
        </w:sectPr>
      </w:pPr>
      <w:r>
        <w:rPr>
          <w:rFonts w:hAnsi="黑体" w:eastAsia="黑体"/>
          <w:color w:val="auto"/>
        </w:rPr>
        <w:t>图</w:t>
      </w:r>
      <w:r>
        <w:rPr>
          <w:rFonts w:eastAsia="黑体"/>
          <w:color w:val="auto"/>
        </w:rPr>
        <w:t>2</w:t>
      </w:r>
      <w:r>
        <w:rPr>
          <w:rFonts w:hint="eastAsia" w:eastAsia="黑体"/>
          <w:color w:val="auto"/>
        </w:rPr>
        <w:t>-</w:t>
      </w:r>
      <w:r>
        <w:rPr>
          <w:rFonts w:eastAsia="黑体"/>
          <w:color w:val="auto"/>
        </w:rPr>
        <w:t xml:space="preserve">1   </w:t>
      </w:r>
      <w:r>
        <w:rPr>
          <w:rFonts w:hAnsi="黑体" w:eastAsia="黑体"/>
          <w:color w:val="auto"/>
        </w:rPr>
        <w:t>环境影响评价工作程序</w:t>
      </w:r>
    </w:p>
    <w:p>
      <w:pPr>
        <w:pStyle w:val="26"/>
        <w:ind w:left="480" w:firstLine="480"/>
        <w:rPr>
          <w:color w:val="auto"/>
        </w:rPr>
      </w:pPr>
    </w:p>
    <w:p>
      <w:pPr>
        <w:keepNext/>
        <w:keepLines/>
        <w:spacing w:before="100" w:beforeAutospacing="1" w:after="100" w:afterAutospacing="1"/>
        <w:ind w:firstLine="0" w:firstLineChars="0"/>
        <w:jc w:val="center"/>
        <w:outlineLvl w:val="0"/>
        <w:rPr>
          <w:rFonts w:eastAsia="黑体"/>
          <w:color w:val="auto"/>
          <w:sz w:val="44"/>
          <w:szCs w:val="44"/>
        </w:rPr>
      </w:pPr>
      <w:bookmarkStart w:id="195" w:name="_Toc485579831"/>
      <w:bookmarkStart w:id="196" w:name="_Toc468115351"/>
      <w:bookmarkStart w:id="197" w:name="_Toc24374"/>
      <w:bookmarkStart w:id="198" w:name="_Toc22488"/>
      <w:bookmarkStart w:id="199" w:name="_Toc443924632"/>
      <w:r>
        <w:rPr>
          <w:rFonts w:eastAsia="黑体"/>
          <w:color w:val="auto"/>
          <w:sz w:val="44"/>
          <w:szCs w:val="44"/>
        </w:rPr>
        <w:t>第三章  工程分析</w:t>
      </w:r>
      <w:bookmarkEnd w:id="195"/>
      <w:bookmarkEnd w:id="196"/>
      <w:bookmarkEnd w:id="197"/>
      <w:bookmarkEnd w:id="198"/>
      <w:bookmarkEnd w:id="199"/>
    </w:p>
    <w:p>
      <w:pPr>
        <w:pStyle w:val="32"/>
        <w:rPr>
          <w:color w:val="auto"/>
        </w:rPr>
      </w:pPr>
      <w:bookmarkStart w:id="200" w:name="_Toc17852"/>
      <w:bookmarkStart w:id="201" w:name="_Toc311979906"/>
      <w:bookmarkStart w:id="202" w:name="_Toc388881894"/>
      <w:bookmarkStart w:id="203" w:name="_Toc468115352"/>
      <w:bookmarkStart w:id="204" w:name="_Toc13726"/>
      <w:bookmarkStart w:id="205" w:name="_Toc443924633"/>
      <w:bookmarkStart w:id="206" w:name="_Toc311979792"/>
      <w:bookmarkStart w:id="207" w:name="_Toc406847391"/>
      <w:bookmarkStart w:id="208" w:name="_Toc413166111"/>
      <w:bookmarkStart w:id="209" w:name="_Toc485579832"/>
      <w:bookmarkStart w:id="210" w:name="_Toc311979838"/>
      <w:bookmarkStart w:id="211" w:name="_Toc407001384"/>
      <w:bookmarkStart w:id="212" w:name="_Toc269400656"/>
      <w:r>
        <w:rPr>
          <w:color w:val="auto"/>
        </w:rPr>
        <w:t>3.1 拟建项目工程概况</w:t>
      </w:r>
      <w:bookmarkEnd w:id="200"/>
      <w:bookmarkEnd w:id="201"/>
      <w:bookmarkEnd w:id="202"/>
      <w:bookmarkEnd w:id="203"/>
      <w:bookmarkEnd w:id="204"/>
      <w:bookmarkEnd w:id="205"/>
      <w:bookmarkEnd w:id="206"/>
      <w:bookmarkEnd w:id="207"/>
      <w:bookmarkEnd w:id="208"/>
      <w:bookmarkEnd w:id="209"/>
      <w:bookmarkEnd w:id="210"/>
      <w:bookmarkEnd w:id="211"/>
    </w:p>
    <w:p>
      <w:pPr>
        <w:pStyle w:val="36"/>
        <w:ind w:firstLine="480"/>
        <w:rPr>
          <w:color w:val="auto"/>
        </w:rPr>
      </w:pPr>
      <w:bookmarkStart w:id="213" w:name="_Toc311979793"/>
      <w:bookmarkStart w:id="214" w:name="_Toc311979907"/>
      <w:bookmarkStart w:id="215" w:name="_Toc311979839"/>
      <w:bookmarkStart w:id="216" w:name="_Toc407001385"/>
      <w:bookmarkStart w:id="217" w:name="_Toc406847392"/>
      <w:bookmarkStart w:id="218" w:name="_Toc388881895"/>
      <w:bookmarkStart w:id="219" w:name="_Toc413166112"/>
      <w:bookmarkStart w:id="220" w:name="_Toc468115353"/>
      <w:r>
        <w:rPr>
          <w:color w:val="auto"/>
        </w:rPr>
        <w:t>3.1.1</w:t>
      </w:r>
      <w:bookmarkEnd w:id="213"/>
      <w:bookmarkEnd w:id="214"/>
      <w:bookmarkEnd w:id="215"/>
      <w:bookmarkEnd w:id="216"/>
      <w:bookmarkEnd w:id="217"/>
      <w:bookmarkEnd w:id="218"/>
      <w:bookmarkEnd w:id="219"/>
      <w:r>
        <w:rPr>
          <w:color w:val="auto"/>
        </w:rPr>
        <w:t>工程基本</w:t>
      </w:r>
      <w:bookmarkEnd w:id="220"/>
      <w:r>
        <w:rPr>
          <w:color w:val="auto"/>
        </w:rPr>
        <w:t>情况</w:t>
      </w:r>
    </w:p>
    <w:bookmarkEnd w:id="212"/>
    <w:p>
      <w:pPr>
        <w:ind w:firstLine="480"/>
        <w:jc w:val="left"/>
        <w:rPr>
          <w:color w:val="auto"/>
        </w:rPr>
      </w:pPr>
      <w:bookmarkStart w:id="221" w:name="_Toc311979908"/>
      <w:bookmarkStart w:id="222" w:name="_Toc311979840"/>
      <w:bookmarkStart w:id="223" w:name="_Toc311979794"/>
      <w:r>
        <w:rPr>
          <w:color w:val="auto"/>
        </w:rPr>
        <w:t>本项目基本情况见表3.1-1。</w:t>
      </w:r>
    </w:p>
    <w:p>
      <w:pPr>
        <w:spacing w:after="72" w:afterLines="30"/>
        <w:ind w:firstLine="482"/>
        <w:jc w:val="left"/>
        <w:rPr>
          <w:b/>
          <w:color w:val="auto"/>
        </w:rPr>
      </w:pPr>
      <w:r>
        <w:rPr>
          <w:b/>
          <w:color w:val="auto"/>
        </w:rPr>
        <w:t xml:space="preserve">  </w:t>
      </w:r>
      <w:r>
        <w:rPr>
          <w:b/>
          <w:color w:val="auto"/>
          <w:szCs w:val="21"/>
        </w:rPr>
        <w:t>表3.1-1                本项目基本情况一览表</w:t>
      </w:r>
    </w:p>
    <w:tbl>
      <w:tblPr>
        <w:tblStyle w:val="27"/>
        <w:tblW w:w="4999"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24"/>
        <w:gridCol w:w="1904"/>
        <w:gridCol w:w="630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0" w:type="pct"/>
            <w:tcMar>
              <w:top w:w="0" w:type="dxa"/>
              <w:left w:w="0" w:type="dxa"/>
              <w:bottom w:w="0" w:type="dxa"/>
              <w:right w:w="0" w:type="dxa"/>
            </w:tcMar>
            <w:vAlign w:val="center"/>
          </w:tcPr>
          <w:p>
            <w:pPr>
              <w:spacing w:line="240" w:lineRule="auto"/>
              <w:ind w:firstLine="0" w:firstLineChars="0"/>
              <w:jc w:val="center"/>
              <w:rPr>
                <w:color w:val="auto"/>
                <w:sz w:val="21"/>
                <w:szCs w:val="21"/>
              </w:rPr>
            </w:pPr>
            <w:r>
              <w:rPr>
                <w:color w:val="auto"/>
                <w:sz w:val="21"/>
                <w:szCs w:val="21"/>
              </w:rPr>
              <w:t>序号</w:t>
            </w:r>
          </w:p>
        </w:tc>
        <w:tc>
          <w:tcPr>
            <w:tcW w:w="1090" w:type="pct"/>
            <w:tcMar>
              <w:top w:w="0" w:type="dxa"/>
              <w:left w:w="0" w:type="dxa"/>
              <w:bottom w:w="0" w:type="dxa"/>
              <w:right w:w="0" w:type="dxa"/>
            </w:tcMar>
            <w:vAlign w:val="center"/>
          </w:tcPr>
          <w:p>
            <w:pPr>
              <w:spacing w:line="240" w:lineRule="auto"/>
              <w:ind w:firstLine="0" w:firstLineChars="0"/>
              <w:jc w:val="center"/>
              <w:rPr>
                <w:color w:val="auto"/>
                <w:sz w:val="21"/>
                <w:szCs w:val="21"/>
              </w:rPr>
            </w:pPr>
            <w:r>
              <w:rPr>
                <w:color w:val="auto"/>
                <w:sz w:val="21"/>
                <w:szCs w:val="21"/>
              </w:rPr>
              <w:t>项    目</w:t>
            </w:r>
          </w:p>
        </w:tc>
        <w:tc>
          <w:tcPr>
            <w:tcW w:w="3608" w:type="pct"/>
            <w:tcMar>
              <w:top w:w="0" w:type="dxa"/>
              <w:left w:w="0" w:type="dxa"/>
              <w:bottom w:w="0" w:type="dxa"/>
              <w:right w:w="0" w:type="dxa"/>
            </w:tcMar>
            <w:vAlign w:val="center"/>
          </w:tcPr>
          <w:p>
            <w:pPr>
              <w:spacing w:line="240" w:lineRule="auto"/>
              <w:ind w:firstLine="0" w:firstLineChars="0"/>
              <w:jc w:val="center"/>
              <w:rPr>
                <w:color w:val="auto"/>
                <w:sz w:val="21"/>
                <w:szCs w:val="21"/>
              </w:rPr>
            </w:pPr>
            <w:r>
              <w:rPr>
                <w:color w:val="auto"/>
                <w:sz w:val="21"/>
                <w:szCs w:val="21"/>
              </w:rPr>
              <w:t>内          容</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0" w:type="pct"/>
            <w:tcMar>
              <w:top w:w="0" w:type="dxa"/>
              <w:left w:w="0" w:type="dxa"/>
              <w:bottom w:w="0" w:type="dxa"/>
              <w:right w:w="0" w:type="dxa"/>
            </w:tcMar>
            <w:vAlign w:val="center"/>
          </w:tcPr>
          <w:p>
            <w:pPr>
              <w:spacing w:line="240" w:lineRule="auto"/>
              <w:ind w:firstLine="0" w:firstLineChars="0"/>
              <w:jc w:val="center"/>
              <w:rPr>
                <w:color w:val="auto"/>
                <w:sz w:val="21"/>
                <w:szCs w:val="21"/>
              </w:rPr>
            </w:pPr>
            <w:r>
              <w:rPr>
                <w:color w:val="auto"/>
                <w:sz w:val="21"/>
                <w:szCs w:val="21"/>
              </w:rPr>
              <w:t>1</w:t>
            </w:r>
          </w:p>
        </w:tc>
        <w:tc>
          <w:tcPr>
            <w:tcW w:w="1090" w:type="pct"/>
            <w:tcMar>
              <w:top w:w="0" w:type="dxa"/>
              <w:left w:w="0" w:type="dxa"/>
              <w:bottom w:w="0" w:type="dxa"/>
              <w:right w:w="0" w:type="dxa"/>
            </w:tcMar>
            <w:vAlign w:val="center"/>
          </w:tcPr>
          <w:p>
            <w:pPr>
              <w:spacing w:line="240" w:lineRule="auto"/>
              <w:ind w:firstLine="0" w:firstLineChars="0"/>
              <w:jc w:val="center"/>
              <w:rPr>
                <w:color w:val="auto"/>
                <w:sz w:val="21"/>
                <w:szCs w:val="21"/>
              </w:rPr>
            </w:pPr>
            <w:r>
              <w:rPr>
                <w:color w:val="auto"/>
                <w:sz w:val="21"/>
                <w:szCs w:val="21"/>
              </w:rPr>
              <w:t>工程名称</w:t>
            </w:r>
          </w:p>
        </w:tc>
        <w:tc>
          <w:tcPr>
            <w:tcW w:w="3608" w:type="pct"/>
            <w:tcMar>
              <w:top w:w="0" w:type="dxa"/>
              <w:left w:w="0" w:type="dxa"/>
              <w:bottom w:w="0" w:type="dxa"/>
              <w:right w:w="0" w:type="dxa"/>
            </w:tcMar>
            <w:vAlign w:val="center"/>
          </w:tcPr>
          <w:p>
            <w:pPr>
              <w:spacing w:line="240" w:lineRule="auto"/>
              <w:ind w:left="120" w:leftChars="50" w:right="120" w:rightChars="50" w:firstLine="0" w:firstLineChars="0"/>
              <w:jc w:val="center"/>
              <w:rPr>
                <w:color w:val="auto"/>
                <w:sz w:val="21"/>
                <w:szCs w:val="21"/>
              </w:rPr>
            </w:pPr>
            <w:r>
              <w:rPr>
                <w:rFonts w:hint="eastAsia"/>
                <w:color w:val="auto"/>
                <w:sz w:val="21"/>
                <w:szCs w:val="21"/>
              </w:rPr>
              <w:t>濮阳县牧原农牧有限公司濮阳县三厂生猪养殖项目</w:t>
            </w:r>
          </w:p>
          <w:p>
            <w:pPr>
              <w:spacing w:line="240" w:lineRule="auto"/>
              <w:ind w:left="120" w:leftChars="50" w:right="120" w:rightChars="50" w:firstLine="0" w:firstLineChars="0"/>
              <w:jc w:val="center"/>
              <w:rPr>
                <w:color w:val="auto"/>
                <w:sz w:val="21"/>
                <w:szCs w:val="21"/>
              </w:rPr>
            </w:pPr>
            <w:r>
              <w:rPr>
                <w:rFonts w:hint="eastAsia"/>
                <w:color w:val="auto"/>
                <w:sz w:val="21"/>
                <w:szCs w:val="21"/>
              </w:rPr>
              <w:t>（年出栏5万头生猪）</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300" w:type="pct"/>
            <w:tcMar>
              <w:top w:w="0" w:type="dxa"/>
              <w:left w:w="0" w:type="dxa"/>
              <w:bottom w:w="0" w:type="dxa"/>
              <w:right w:w="0" w:type="dxa"/>
            </w:tcMar>
            <w:vAlign w:val="center"/>
          </w:tcPr>
          <w:p>
            <w:pPr>
              <w:spacing w:line="240" w:lineRule="auto"/>
              <w:ind w:firstLine="0" w:firstLineChars="0"/>
              <w:jc w:val="center"/>
              <w:rPr>
                <w:color w:val="auto"/>
                <w:sz w:val="21"/>
                <w:szCs w:val="21"/>
              </w:rPr>
            </w:pPr>
            <w:r>
              <w:rPr>
                <w:color w:val="auto"/>
                <w:sz w:val="21"/>
                <w:szCs w:val="21"/>
              </w:rPr>
              <w:t>2</w:t>
            </w:r>
          </w:p>
        </w:tc>
        <w:tc>
          <w:tcPr>
            <w:tcW w:w="1090" w:type="pct"/>
            <w:tcMar>
              <w:top w:w="0" w:type="dxa"/>
              <w:left w:w="0" w:type="dxa"/>
              <w:bottom w:w="0" w:type="dxa"/>
              <w:right w:w="0" w:type="dxa"/>
            </w:tcMar>
            <w:vAlign w:val="center"/>
          </w:tcPr>
          <w:p>
            <w:pPr>
              <w:spacing w:line="240" w:lineRule="auto"/>
              <w:ind w:firstLine="0" w:firstLineChars="0"/>
              <w:jc w:val="center"/>
              <w:rPr>
                <w:color w:val="auto"/>
                <w:sz w:val="21"/>
                <w:szCs w:val="21"/>
              </w:rPr>
            </w:pPr>
            <w:r>
              <w:rPr>
                <w:color w:val="auto"/>
                <w:sz w:val="21"/>
                <w:szCs w:val="21"/>
              </w:rPr>
              <w:t>工程建设单位</w:t>
            </w:r>
          </w:p>
        </w:tc>
        <w:tc>
          <w:tcPr>
            <w:tcW w:w="3608" w:type="pct"/>
            <w:tcMar>
              <w:top w:w="0" w:type="dxa"/>
              <w:left w:w="0" w:type="dxa"/>
              <w:bottom w:w="0" w:type="dxa"/>
              <w:right w:w="0" w:type="dxa"/>
            </w:tcMar>
            <w:vAlign w:val="center"/>
          </w:tcPr>
          <w:p>
            <w:pPr>
              <w:spacing w:line="240" w:lineRule="auto"/>
              <w:ind w:left="120" w:leftChars="50" w:right="120" w:rightChars="50" w:firstLine="0" w:firstLineChars="0"/>
              <w:jc w:val="center"/>
              <w:rPr>
                <w:color w:val="auto"/>
                <w:sz w:val="21"/>
                <w:szCs w:val="21"/>
              </w:rPr>
            </w:pPr>
            <w:r>
              <w:rPr>
                <w:rFonts w:hint="eastAsia"/>
                <w:color w:val="auto"/>
                <w:sz w:val="21"/>
                <w:szCs w:val="21"/>
              </w:rPr>
              <w:t>濮阳县牧原农牧有限公司</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0" w:type="pct"/>
            <w:tcMar>
              <w:top w:w="0" w:type="dxa"/>
              <w:left w:w="0" w:type="dxa"/>
              <w:bottom w:w="0" w:type="dxa"/>
              <w:right w:w="0" w:type="dxa"/>
            </w:tcMar>
            <w:vAlign w:val="center"/>
          </w:tcPr>
          <w:p>
            <w:pPr>
              <w:spacing w:line="240" w:lineRule="auto"/>
              <w:ind w:firstLine="0" w:firstLineChars="0"/>
              <w:jc w:val="center"/>
              <w:rPr>
                <w:color w:val="auto"/>
                <w:sz w:val="21"/>
                <w:szCs w:val="21"/>
              </w:rPr>
            </w:pPr>
            <w:r>
              <w:rPr>
                <w:color w:val="auto"/>
                <w:sz w:val="21"/>
                <w:szCs w:val="21"/>
              </w:rPr>
              <w:t>3</w:t>
            </w:r>
          </w:p>
        </w:tc>
        <w:tc>
          <w:tcPr>
            <w:tcW w:w="1090" w:type="pct"/>
            <w:tcMar>
              <w:top w:w="0" w:type="dxa"/>
              <w:left w:w="0" w:type="dxa"/>
              <w:bottom w:w="0" w:type="dxa"/>
              <w:right w:w="0" w:type="dxa"/>
            </w:tcMar>
            <w:vAlign w:val="center"/>
          </w:tcPr>
          <w:p>
            <w:pPr>
              <w:spacing w:line="240" w:lineRule="auto"/>
              <w:ind w:firstLine="0" w:firstLineChars="0"/>
              <w:jc w:val="center"/>
              <w:rPr>
                <w:color w:val="auto"/>
                <w:sz w:val="21"/>
                <w:szCs w:val="21"/>
              </w:rPr>
            </w:pPr>
            <w:r>
              <w:rPr>
                <w:color w:val="auto"/>
                <w:sz w:val="21"/>
                <w:szCs w:val="21"/>
              </w:rPr>
              <w:t>建设性质</w:t>
            </w:r>
          </w:p>
        </w:tc>
        <w:tc>
          <w:tcPr>
            <w:tcW w:w="3608" w:type="pct"/>
            <w:tcMar>
              <w:top w:w="0" w:type="dxa"/>
              <w:left w:w="0" w:type="dxa"/>
              <w:bottom w:w="0" w:type="dxa"/>
              <w:right w:w="0" w:type="dxa"/>
            </w:tcMar>
            <w:vAlign w:val="center"/>
          </w:tcPr>
          <w:p>
            <w:pPr>
              <w:spacing w:line="240" w:lineRule="auto"/>
              <w:ind w:left="120" w:leftChars="50" w:right="120" w:rightChars="50" w:firstLine="0" w:firstLineChars="0"/>
              <w:jc w:val="center"/>
              <w:rPr>
                <w:color w:val="auto"/>
                <w:sz w:val="21"/>
                <w:szCs w:val="21"/>
              </w:rPr>
            </w:pPr>
            <w:r>
              <w:rPr>
                <w:color w:val="auto"/>
                <w:sz w:val="21"/>
                <w:szCs w:val="21"/>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0" w:type="pct"/>
            <w:tcMar>
              <w:top w:w="0" w:type="dxa"/>
              <w:left w:w="0" w:type="dxa"/>
              <w:bottom w:w="0" w:type="dxa"/>
              <w:right w:w="0" w:type="dxa"/>
            </w:tcMar>
            <w:vAlign w:val="center"/>
          </w:tcPr>
          <w:p>
            <w:pPr>
              <w:spacing w:line="240" w:lineRule="auto"/>
              <w:ind w:firstLine="0" w:firstLineChars="0"/>
              <w:jc w:val="center"/>
              <w:rPr>
                <w:color w:val="auto"/>
                <w:sz w:val="21"/>
                <w:szCs w:val="21"/>
              </w:rPr>
            </w:pPr>
            <w:r>
              <w:rPr>
                <w:color w:val="auto"/>
                <w:sz w:val="21"/>
                <w:szCs w:val="21"/>
              </w:rPr>
              <w:t>4</w:t>
            </w:r>
          </w:p>
        </w:tc>
        <w:tc>
          <w:tcPr>
            <w:tcW w:w="1090" w:type="pct"/>
            <w:tcMar>
              <w:top w:w="0" w:type="dxa"/>
              <w:left w:w="0" w:type="dxa"/>
              <w:bottom w:w="0" w:type="dxa"/>
              <w:right w:w="0" w:type="dxa"/>
            </w:tcMar>
            <w:vAlign w:val="center"/>
          </w:tcPr>
          <w:p>
            <w:pPr>
              <w:spacing w:line="240" w:lineRule="auto"/>
              <w:ind w:firstLine="0" w:firstLineChars="0"/>
              <w:jc w:val="center"/>
              <w:rPr>
                <w:color w:val="auto"/>
                <w:sz w:val="21"/>
                <w:szCs w:val="21"/>
              </w:rPr>
            </w:pPr>
            <w:r>
              <w:rPr>
                <w:color w:val="auto"/>
                <w:sz w:val="21"/>
                <w:szCs w:val="21"/>
              </w:rPr>
              <w:t>行业类别</w:t>
            </w:r>
          </w:p>
        </w:tc>
        <w:tc>
          <w:tcPr>
            <w:tcW w:w="3608" w:type="pct"/>
            <w:tcMar>
              <w:top w:w="0" w:type="dxa"/>
              <w:left w:w="0" w:type="dxa"/>
              <w:bottom w:w="0" w:type="dxa"/>
              <w:right w:w="0" w:type="dxa"/>
            </w:tcMar>
            <w:vAlign w:val="center"/>
          </w:tcPr>
          <w:p>
            <w:pPr>
              <w:spacing w:line="240" w:lineRule="auto"/>
              <w:ind w:left="120" w:leftChars="50" w:right="120" w:rightChars="50" w:firstLine="0" w:firstLineChars="0"/>
              <w:jc w:val="center"/>
              <w:rPr>
                <w:color w:val="auto"/>
                <w:sz w:val="21"/>
                <w:szCs w:val="21"/>
              </w:rPr>
            </w:pPr>
            <w:r>
              <w:rPr>
                <w:color w:val="auto"/>
                <w:sz w:val="21"/>
                <w:szCs w:val="21"/>
              </w:rPr>
              <w:t>畜牧业（A3）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0" w:type="pct"/>
            <w:tcMar>
              <w:top w:w="0" w:type="dxa"/>
              <w:left w:w="0" w:type="dxa"/>
              <w:bottom w:w="0" w:type="dxa"/>
              <w:right w:w="0" w:type="dxa"/>
            </w:tcMar>
            <w:vAlign w:val="center"/>
          </w:tcPr>
          <w:p>
            <w:pPr>
              <w:spacing w:line="240" w:lineRule="auto"/>
              <w:ind w:firstLine="0" w:firstLineChars="0"/>
              <w:jc w:val="center"/>
              <w:rPr>
                <w:color w:val="auto"/>
                <w:sz w:val="21"/>
                <w:szCs w:val="21"/>
              </w:rPr>
            </w:pPr>
            <w:r>
              <w:rPr>
                <w:color w:val="auto"/>
                <w:sz w:val="21"/>
                <w:szCs w:val="21"/>
              </w:rPr>
              <w:t>5</w:t>
            </w:r>
          </w:p>
        </w:tc>
        <w:tc>
          <w:tcPr>
            <w:tcW w:w="1090" w:type="pct"/>
            <w:tcMar>
              <w:top w:w="0" w:type="dxa"/>
              <w:left w:w="0" w:type="dxa"/>
              <w:bottom w:w="0" w:type="dxa"/>
              <w:right w:w="0" w:type="dxa"/>
            </w:tcMar>
            <w:vAlign w:val="center"/>
          </w:tcPr>
          <w:p>
            <w:pPr>
              <w:spacing w:line="240" w:lineRule="auto"/>
              <w:ind w:firstLine="0" w:firstLineChars="0"/>
              <w:jc w:val="center"/>
              <w:rPr>
                <w:color w:val="auto"/>
                <w:sz w:val="21"/>
                <w:szCs w:val="21"/>
              </w:rPr>
            </w:pPr>
            <w:r>
              <w:rPr>
                <w:color w:val="auto"/>
                <w:sz w:val="21"/>
                <w:szCs w:val="21"/>
              </w:rPr>
              <w:t>建设地点</w:t>
            </w:r>
          </w:p>
        </w:tc>
        <w:tc>
          <w:tcPr>
            <w:tcW w:w="3608" w:type="pct"/>
            <w:tcMar>
              <w:top w:w="0" w:type="dxa"/>
              <w:left w:w="0" w:type="dxa"/>
              <w:bottom w:w="0" w:type="dxa"/>
              <w:right w:w="0" w:type="dxa"/>
            </w:tcMar>
            <w:vAlign w:val="center"/>
          </w:tcPr>
          <w:p>
            <w:pPr>
              <w:spacing w:line="240" w:lineRule="auto"/>
              <w:ind w:left="120" w:leftChars="50" w:right="120" w:rightChars="50" w:firstLine="0" w:firstLineChars="0"/>
              <w:jc w:val="center"/>
              <w:rPr>
                <w:color w:val="auto"/>
                <w:sz w:val="21"/>
                <w:szCs w:val="21"/>
              </w:rPr>
            </w:pPr>
            <w:r>
              <w:rPr>
                <w:rFonts w:hint="eastAsia"/>
                <w:color w:val="auto"/>
                <w:sz w:val="21"/>
                <w:szCs w:val="21"/>
              </w:rPr>
              <w:t>濮阳市濮阳县五星乡于屯村东</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0" w:type="pct"/>
            <w:tcMar>
              <w:top w:w="0" w:type="dxa"/>
              <w:left w:w="0" w:type="dxa"/>
              <w:bottom w:w="0" w:type="dxa"/>
              <w:right w:w="0" w:type="dxa"/>
            </w:tcMar>
            <w:vAlign w:val="center"/>
          </w:tcPr>
          <w:p>
            <w:pPr>
              <w:spacing w:line="240" w:lineRule="auto"/>
              <w:ind w:firstLine="0" w:firstLineChars="0"/>
              <w:jc w:val="center"/>
              <w:rPr>
                <w:color w:val="auto"/>
                <w:sz w:val="21"/>
                <w:szCs w:val="21"/>
              </w:rPr>
            </w:pPr>
            <w:r>
              <w:rPr>
                <w:color w:val="auto"/>
                <w:sz w:val="21"/>
                <w:szCs w:val="21"/>
              </w:rPr>
              <w:t>6</w:t>
            </w:r>
          </w:p>
        </w:tc>
        <w:tc>
          <w:tcPr>
            <w:tcW w:w="1090" w:type="pct"/>
            <w:tcMar>
              <w:top w:w="0" w:type="dxa"/>
              <w:left w:w="0" w:type="dxa"/>
              <w:bottom w:w="0" w:type="dxa"/>
              <w:right w:w="0" w:type="dxa"/>
            </w:tcMar>
            <w:vAlign w:val="center"/>
          </w:tcPr>
          <w:p>
            <w:pPr>
              <w:spacing w:line="240" w:lineRule="auto"/>
              <w:ind w:firstLine="0" w:firstLineChars="0"/>
              <w:jc w:val="center"/>
              <w:rPr>
                <w:color w:val="auto"/>
                <w:sz w:val="21"/>
                <w:szCs w:val="21"/>
              </w:rPr>
            </w:pPr>
            <w:r>
              <w:rPr>
                <w:color w:val="auto"/>
                <w:sz w:val="21"/>
                <w:szCs w:val="21"/>
              </w:rPr>
              <w:t>占地面积</w:t>
            </w:r>
          </w:p>
        </w:tc>
        <w:tc>
          <w:tcPr>
            <w:tcW w:w="3608" w:type="pct"/>
            <w:tcMar>
              <w:top w:w="0" w:type="dxa"/>
              <w:left w:w="0" w:type="dxa"/>
              <w:bottom w:w="0" w:type="dxa"/>
              <w:right w:w="0" w:type="dxa"/>
            </w:tcMar>
            <w:vAlign w:val="center"/>
          </w:tcPr>
          <w:p>
            <w:pPr>
              <w:spacing w:line="240" w:lineRule="auto"/>
              <w:ind w:left="120" w:leftChars="50" w:right="120" w:rightChars="50" w:firstLine="0" w:firstLineChars="0"/>
              <w:jc w:val="center"/>
              <w:rPr>
                <w:color w:val="auto"/>
                <w:sz w:val="21"/>
                <w:szCs w:val="21"/>
                <w:highlight w:val="yellow"/>
              </w:rPr>
            </w:pPr>
            <w:bookmarkStart w:id="224" w:name="OLE_LINK7"/>
            <w:r>
              <w:rPr>
                <w:rFonts w:hint="eastAsia"/>
                <w:color w:val="auto"/>
                <w:sz w:val="21"/>
                <w:szCs w:val="21"/>
              </w:rPr>
              <w:t>70.068</w:t>
            </w:r>
            <w:r>
              <w:rPr>
                <w:color w:val="auto"/>
                <w:sz w:val="21"/>
                <w:szCs w:val="21"/>
              </w:rPr>
              <w:t>亩</w:t>
            </w:r>
            <w:bookmarkEnd w:id="224"/>
            <w:r>
              <w:rPr>
                <w:color w:val="auto"/>
                <w:sz w:val="21"/>
                <w:szCs w:val="21"/>
              </w:rPr>
              <w:t>，一般</w:t>
            </w:r>
            <w:r>
              <w:rPr>
                <w:rFonts w:hint="eastAsia"/>
                <w:color w:val="auto"/>
                <w:sz w:val="21"/>
                <w:szCs w:val="21"/>
              </w:rPr>
              <w:t>耕地</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0" w:type="pct"/>
            <w:tcMar>
              <w:top w:w="0" w:type="dxa"/>
              <w:left w:w="0" w:type="dxa"/>
              <w:bottom w:w="0" w:type="dxa"/>
              <w:right w:w="0" w:type="dxa"/>
            </w:tcMar>
            <w:vAlign w:val="center"/>
          </w:tcPr>
          <w:p>
            <w:pPr>
              <w:spacing w:line="240" w:lineRule="auto"/>
              <w:ind w:firstLine="0" w:firstLineChars="0"/>
              <w:jc w:val="center"/>
              <w:rPr>
                <w:color w:val="auto"/>
                <w:sz w:val="21"/>
                <w:szCs w:val="21"/>
              </w:rPr>
            </w:pPr>
            <w:r>
              <w:rPr>
                <w:color w:val="auto"/>
                <w:sz w:val="21"/>
                <w:szCs w:val="21"/>
              </w:rPr>
              <w:t>7</w:t>
            </w:r>
          </w:p>
        </w:tc>
        <w:tc>
          <w:tcPr>
            <w:tcW w:w="1090" w:type="pct"/>
            <w:tcMar>
              <w:top w:w="0" w:type="dxa"/>
              <w:left w:w="0" w:type="dxa"/>
              <w:bottom w:w="0" w:type="dxa"/>
              <w:right w:w="0" w:type="dxa"/>
            </w:tcMar>
            <w:vAlign w:val="center"/>
          </w:tcPr>
          <w:p>
            <w:pPr>
              <w:spacing w:line="240" w:lineRule="auto"/>
              <w:ind w:firstLine="0" w:firstLineChars="0"/>
              <w:jc w:val="center"/>
              <w:rPr>
                <w:color w:val="auto"/>
                <w:sz w:val="21"/>
                <w:szCs w:val="21"/>
              </w:rPr>
            </w:pPr>
            <w:r>
              <w:rPr>
                <w:color w:val="auto"/>
                <w:sz w:val="21"/>
                <w:szCs w:val="21"/>
              </w:rPr>
              <w:t>建筑面积</w:t>
            </w:r>
          </w:p>
        </w:tc>
        <w:tc>
          <w:tcPr>
            <w:tcW w:w="3608" w:type="pct"/>
            <w:tcMar>
              <w:top w:w="0" w:type="dxa"/>
              <w:left w:w="0" w:type="dxa"/>
              <w:bottom w:w="0" w:type="dxa"/>
              <w:right w:w="0" w:type="dxa"/>
            </w:tcMar>
            <w:vAlign w:val="center"/>
          </w:tcPr>
          <w:p>
            <w:pPr>
              <w:spacing w:line="240" w:lineRule="auto"/>
              <w:ind w:left="120" w:leftChars="50" w:right="120" w:rightChars="50" w:firstLine="0" w:firstLineChars="0"/>
              <w:jc w:val="center"/>
              <w:rPr>
                <w:color w:val="auto"/>
                <w:sz w:val="21"/>
                <w:szCs w:val="21"/>
              </w:rPr>
            </w:pPr>
            <w:r>
              <w:rPr>
                <w:rFonts w:hint="eastAsia"/>
                <w:color w:val="auto"/>
                <w:sz w:val="21"/>
                <w:szCs w:val="21"/>
              </w:rPr>
              <w:t>22068.1</w:t>
            </w:r>
            <w:r>
              <w:rPr>
                <w:color w:val="auto"/>
                <w:sz w:val="21"/>
                <w:szCs w:val="21"/>
              </w:rPr>
              <w:t>m</w:t>
            </w:r>
            <w:r>
              <w:rPr>
                <w:color w:val="auto"/>
                <w:sz w:val="21"/>
                <w:szCs w:val="21"/>
                <w:vertAlign w:val="superscript"/>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0" w:type="pct"/>
            <w:tcMar>
              <w:top w:w="0" w:type="dxa"/>
              <w:left w:w="0" w:type="dxa"/>
              <w:bottom w:w="0" w:type="dxa"/>
              <w:right w:w="0" w:type="dxa"/>
            </w:tcMar>
            <w:vAlign w:val="center"/>
          </w:tcPr>
          <w:p>
            <w:pPr>
              <w:spacing w:line="240" w:lineRule="auto"/>
              <w:ind w:firstLine="0" w:firstLineChars="0"/>
              <w:jc w:val="center"/>
              <w:rPr>
                <w:color w:val="auto"/>
                <w:sz w:val="21"/>
                <w:szCs w:val="21"/>
              </w:rPr>
            </w:pPr>
            <w:r>
              <w:rPr>
                <w:color w:val="auto"/>
                <w:sz w:val="21"/>
                <w:szCs w:val="21"/>
              </w:rPr>
              <w:t>8</w:t>
            </w:r>
          </w:p>
        </w:tc>
        <w:tc>
          <w:tcPr>
            <w:tcW w:w="1090" w:type="pct"/>
            <w:tcMar>
              <w:top w:w="0" w:type="dxa"/>
              <w:left w:w="0" w:type="dxa"/>
              <w:bottom w:w="0" w:type="dxa"/>
              <w:right w:w="0" w:type="dxa"/>
            </w:tcMar>
            <w:vAlign w:val="center"/>
          </w:tcPr>
          <w:p>
            <w:pPr>
              <w:spacing w:line="240" w:lineRule="auto"/>
              <w:ind w:firstLine="0" w:firstLineChars="0"/>
              <w:jc w:val="center"/>
              <w:rPr>
                <w:color w:val="auto"/>
                <w:sz w:val="21"/>
                <w:szCs w:val="21"/>
              </w:rPr>
            </w:pPr>
            <w:r>
              <w:rPr>
                <w:color w:val="auto"/>
                <w:sz w:val="21"/>
                <w:szCs w:val="21"/>
              </w:rPr>
              <w:t>投资</w:t>
            </w:r>
          </w:p>
        </w:tc>
        <w:tc>
          <w:tcPr>
            <w:tcW w:w="3608" w:type="pct"/>
            <w:tcMar>
              <w:top w:w="0" w:type="dxa"/>
              <w:left w:w="0" w:type="dxa"/>
              <w:bottom w:w="0" w:type="dxa"/>
              <w:right w:w="0" w:type="dxa"/>
            </w:tcMar>
            <w:vAlign w:val="center"/>
          </w:tcPr>
          <w:p>
            <w:pPr>
              <w:spacing w:line="240" w:lineRule="auto"/>
              <w:ind w:left="120" w:leftChars="50" w:right="120" w:rightChars="50" w:firstLine="0" w:firstLineChars="0"/>
              <w:jc w:val="center"/>
              <w:rPr>
                <w:color w:val="auto"/>
                <w:sz w:val="21"/>
                <w:szCs w:val="21"/>
              </w:rPr>
            </w:pPr>
            <w:r>
              <w:rPr>
                <w:color w:val="auto"/>
                <w:sz w:val="21"/>
                <w:szCs w:val="21"/>
              </w:rPr>
              <w:t>3442.89万元，企业自筹</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0" w:type="pct"/>
            <w:tcMar>
              <w:top w:w="0" w:type="dxa"/>
              <w:left w:w="0" w:type="dxa"/>
              <w:bottom w:w="0" w:type="dxa"/>
              <w:right w:w="0" w:type="dxa"/>
            </w:tcMar>
            <w:vAlign w:val="center"/>
          </w:tcPr>
          <w:p>
            <w:pPr>
              <w:spacing w:line="240" w:lineRule="auto"/>
              <w:ind w:firstLine="0" w:firstLineChars="0"/>
              <w:jc w:val="center"/>
              <w:rPr>
                <w:color w:val="auto"/>
                <w:sz w:val="21"/>
                <w:szCs w:val="21"/>
              </w:rPr>
            </w:pPr>
            <w:r>
              <w:rPr>
                <w:color w:val="auto"/>
                <w:sz w:val="21"/>
                <w:szCs w:val="21"/>
              </w:rPr>
              <w:t>9</w:t>
            </w:r>
          </w:p>
        </w:tc>
        <w:tc>
          <w:tcPr>
            <w:tcW w:w="1090" w:type="pct"/>
            <w:tcMar>
              <w:top w:w="0" w:type="dxa"/>
              <w:left w:w="0" w:type="dxa"/>
              <w:bottom w:w="0" w:type="dxa"/>
              <w:right w:w="0" w:type="dxa"/>
            </w:tcMar>
            <w:vAlign w:val="center"/>
          </w:tcPr>
          <w:p>
            <w:pPr>
              <w:spacing w:line="240" w:lineRule="auto"/>
              <w:ind w:firstLine="0" w:firstLineChars="0"/>
              <w:jc w:val="center"/>
              <w:rPr>
                <w:color w:val="auto"/>
                <w:sz w:val="21"/>
                <w:szCs w:val="21"/>
              </w:rPr>
            </w:pPr>
            <w:r>
              <w:rPr>
                <w:color w:val="auto"/>
                <w:sz w:val="21"/>
                <w:szCs w:val="21"/>
              </w:rPr>
              <w:t>生产规模</w:t>
            </w:r>
          </w:p>
        </w:tc>
        <w:tc>
          <w:tcPr>
            <w:tcW w:w="3608" w:type="pct"/>
            <w:tcMar>
              <w:top w:w="0" w:type="dxa"/>
              <w:left w:w="0" w:type="dxa"/>
              <w:bottom w:w="0" w:type="dxa"/>
              <w:right w:w="0" w:type="dxa"/>
            </w:tcMar>
            <w:vAlign w:val="center"/>
          </w:tcPr>
          <w:p>
            <w:pPr>
              <w:spacing w:line="240" w:lineRule="auto"/>
              <w:ind w:left="120" w:leftChars="50" w:right="120" w:rightChars="50" w:firstLine="0" w:firstLineChars="0"/>
              <w:jc w:val="center"/>
              <w:rPr>
                <w:color w:val="auto"/>
                <w:sz w:val="21"/>
                <w:szCs w:val="21"/>
              </w:rPr>
            </w:pPr>
            <w:bookmarkStart w:id="225" w:name="OLE_LINK5"/>
            <w:r>
              <w:rPr>
                <w:color w:val="auto"/>
                <w:sz w:val="21"/>
                <w:szCs w:val="21"/>
              </w:rPr>
              <w:t>养殖场设计规模为年</w:t>
            </w:r>
            <w:r>
              <w:rPr>
                <w:rFonts w:hint="eastAsia"/>
                <w:color w:val="auto"/>
                <w:sz w:val="21"/>
                <w:szCs w:val="21"/>
              </w:rPr>
              <w:t>出</w:t>
            </w:r>
            <w:r>
              <w:rPr>
                <w:color w:val="auto"/>
                <w:sz w:val="21"/>
                <w:szCs w:val="21"/>
              </w:rPr>
              <w:t>栏</w:t>
            </w:r>
            <w:r>
              <w:rPr>
                <w:rFonts w:hint="eastAsia"/>
                <w:color w:val="auto"/>
                <w:sz w:val="21"/>
                <w:szCs w:val="21"/>
              </w:rPr>
              <w:t>5万</w:t>
            </w:r>
            <w:r>
              <w:rPr>
                <w:color w:val="auto"/>
                <w:sz w:val="21"/>
                <w:szCs w:val="21"/>
              </w:rPr>
              <w:t>头</w:t>
            </w:r>
            <w:r>
              <w:rPr>
                <w:rFonts w:hint="eastAsia"/>
                <w:color w:val="auto"/>
                <w:sz w:val="21"/>
                <w:szCs w:val="21"/>
              </w:rPr>
              <w:t>育肥猪</w:t>
            </w:r>
            <w:bookmarkEnd w:id="225"/>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0" w:type="pct"/>
            <w:tcMar>
              <w:top w:w="0" w:type="dxa"/>
              <w:left w:w="0" w:type="dxa"/>
              <w:bottom w:w="0" w:type="dxa"/>
              <w:right w:w="0" w:type="dxa"/>
            </w:tcMar>
            <w:vAlign w:val="center"/>
          </w:tcPr>
          <w:p>
            <w:pPr>
              <w:spacing w:line="240" w:lineRule="auto"/>
              <w:ind w:firstLine="0" w:firstLineChars="0"/>
              <w:jc w:val="center"/>
              <w:rPr>
                <w:color w:val="auto"/>
                <w:sz w:val="21"/>
                <w:szCs w:val="21"/>
              </w:rPr>
            </w:pPr>
            <w:r>
              <w:rPr>
                <w:color w:val="auto"/>
                <w:sz w:val="21"/>
                <w:szCs w:val="21"/>
              </w:rPr>
              <w:t>10</w:t>
            </w:r>
          </w:p>
        </w:tc>
        <w:tc>
          <w:tcPr>
            <w:tcW w:w="1090" w:type="pct"/>
            <w:tcMar>
              <w:top w:w="0" w:type="dxa"/>
              <w:left w:w="0" w:type="dxa"/>
              <w:bottom w:w="0" w:type="dxa"/>
              <w:right w:w="0" w:type="dxa"/>
            </w:tcMar>
            <w:vAlign w:val="center"/>
          </w:tcPr>
          <w:p>
            <w:pPr>
              <w:spacing w:line="240" w:lineRule="auto"/>
              <w:ind w:firstLine="0" w:firstLineChars="0"/>
              <w:jc w:val="center"/>
              <w:rPr>
                <w:color w:val="auto"/>
                <w:sz w:val="21"/>
                <w:szCs w:val="21"/>
              </w:rPr>
            </w:pPr>
            <w:r>
              <w:rPr>
                <w:color w:val="auto"/>
                <w:sz w:val="21"/>
                <w:szCs w:val="21"/>
              </w:rPr>
              <w:t>劳动定员及工作制度</w:t>
            </w:r>
          </w:p>
        </w:tc>
        <w:tc>
          <w:tcPr>
            <w:tcW w:w="3608" w:type="pct"/>
            <w:tcMar>
              <w:top w:w="0" w:type="dxa"/>
              <w:left w:w="0" w:type="dxa"/>
              <w:bottom w:w="0" w:type="dxa"/>
              <w:right w:w="0" w:type="dxa"/>
            </w:tcMar>
            <w:vAlign w:val="center"/>
          </w:tcPr>
          <w:p>
            <w:pPr>
              <w:spacing w:line="240" w:lineRule="auto"/>
              <w:ind w:left="120" w:leftChars="50" w:right="120" w:rightChars="50" w:firstLine="0" w:firstLineChars="0"/>
              <w:jc w:val="center"/>
              <w:rPr>
                <w:color w:val="auto"/>
                <w:sz w:val="21"/>
                <w:szCs w:val="21"/>
              </w:rPr>
            </w:pPr>
            <w:r>
              <w:rPr>
                <w:color w:val="auto"/>
                <w:sz w:val="21"/>
                <w:szCs w:val="21"/>
              </w:rPr>
              <w:t>年工作日365天，24小时工作制，全</w:t>
            </w:r>
            <w:r>
              <w:rPr>
                <w:rFonts w:hint="eastAsia"/>
                <w:color w:val="auto"/>
                <w:sz w:val="21"/>
                <w:szCs w:val="21"/>
              </w:rPr>
              <w:t>厂</w:t>
            </w:r>
            <w:r>
              <w:rPr>
                <w:color w:val="auto"/>
                <w:sz w:val="21"/>
                <w:szCs w:val="21"/>
              </w:rPr>
              <w:t>劳动定员</w:t>
            </w:r>
            <w:r>
              <w:rPr>
                <w:rFonts w:hint="eastAsia"/>
                <w:color w:val="auto"/>
                <w:sz w:val="21"/>
                <w:szCs w:val="21"/>
              </w:rPr>
              <w:t>35</w:t>
            </w:r>
            <w:r>
              <w:rPr>
                <w:color w:val="auto"/>
                <w:sz w:val="21"/>
                <w:szCs w:val="21"/>
              </w:rPr>
              <w:t>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0" w:type="pct"/>
            <w:tcMar>
              <w:top w:w="0" w:type="dxa"/>
              <w:left w:w="0" w:type="dxa"/>
              <w:bottom w:w="0" w:type="dxa"/>
              <w:right w:w="0" w:type="dxa"/>
            </w:tcMar>
            <w:vAlign w:val="center"/>
          </w:tcPr>
          <w:p>
            <w:pPr>
              <w:spacing w:line="240" w:lineRule="auto"/>
              <w:ind w:firstLine="0" w:firstLineChars="0"/>
              <w:jc w:val="center"/>
              <w:rPr>
                <w:color w:val="auto"/>
                <w:sz w:val="21"/>
                <w:szCs w:val="21"/>
              </w:rPr>
            </w:pPr>
            <w:r>
              <w:rPr>
                <w:color w:val="auto"/>
                <w:sz w:val="21"/>
                <w:szCs w:val="21"/>
              </w:rPr>
              <w:t>11</w:t>
            </w:r>
          </w:p>
        </w:tc>
        <w:tc>
          <w:tcPr>
            <w:tcW w:w="1090" w:type="pct"/>
            <w:tcMar>
              <w:top w:w="0" w:type="dxa"/>
              <w:left w:w="0" w:type="dxa"/>
              <w:bottom w:w="0" w:type="dxa"/>
              <w:right w:w="0" w:type="dxa"/>
            </w:tcMar>
            <w:vAlign w:val="center"/>
          </w:tcPr>
          <w:p>
            <w:pPr>
              <w:spacing w:line="240" w:lineRule="auto"/>
              <w:ind w:firstLine="0" w:firstLineChars="0"/>
              <w:jc w:val="center"/>
              <w:rPr>
                <w:color w:val="auto"/>
                <w:sz w:val="21"/>
                <w:szCs w:val="21"/>
              </w:rPr>
            </w:pPr>
            <w:r>
              <w:rPr>
                <w:color w:val="auto"/>
                <w:sz w:val="21"/>
                <w:szCs w:val="21"/>
              </w:rPr>
              <w:t>工程主要组成</w:t>
            </w:r>
          </w:p>
        </w:tc>
        <w:tc>
          <w:tcPr>
            <w:tcW w:w="3608" w:type="pct"/>
            <w:tcMar>
              <w:top w:w="0" w:type="dxa"/>
              <w:left w:w="0" w:type="dxa"/>
              <w:bottom w:w="0" w:type="dxa"/>
              <w:right w:w="0" w:type="dxa"/>
            </w:tcMar>
            <w:vAlign w:val="center"/>
          </w:tcPr>
          <w:p>
            <w:pPr>
              <w:spacing w:line="240" w:lineRule="auto"/>
              <w:ind w:left="120" w:leftChars="50" w:right="120" w:rightChars="50" w:firstLine="0" w:firstLineChars="0"/>
              <w:jc w:val="center"/>
              <w:rPr>
                <w:color w:val="auto"/>
                <w:sz w:val="21"/>
                <w:szCs w:val="21"/>
              </w:rPr>
            </w:pPr>
            <w:bookmarkStart w:id="226" w:name="OLE_LINK6"/>
            <w:r>
              <w:rPr>
                <w:color w:val="auto"/>
                <w:sz w:val="21"/>
                <w:szCs w:val="21"/>
              </w:rPr>
              <w:t>建设</w:t>
            </w:r>
            <w:bookmarkEnd w:id="226"/>
            <w:r>
              <w:rPr>
                <w:rFonts w:hint="eastAsia"/>
                <w:color w:val="auto"/>
                <w:sz w:val="21"/>
                <w:szCs w:val="21"/>
              </w:rPr>
              <w:t>保育育肥一体舍32栋</w:t>
            </w:r>
            <w:r>
              <w:rPr>
                <w:color w:val="auto"/>
                <w:sz w:val="21"/>
                <w:szCs w:val="21"/>
              </w:rPr>
              <w:t>；配套沼气的收集、净化与利用设施；沼液综合利用设施；</w:t>
            </w:r>
            <w:r>
              <w:rPr>
                <w:rFonts w:hint="eastAsia"/>
                <w:color w:val="auto"/>
                <w:sz w:val="21"/>
                <w:szCs w:val="21"/>
              </w:rPr>
              <w:t>固粪处理区</w:t>
            </w:r>
            <w:r>
              <w:rPr>
                <w:color w:val="auto"/>
                <w:sz w:val="21"/>
                <w:szCs w:val="21"/>
              </w:rPr>
              <w:t>及其它辅助生产设施</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0" w:type="pct"/>
            <w:tcMar>
              <w:top w:w="0" w:type="dxa"/>
              <w:left w:w="0" w:type="dxa"/>
              <w:bottom w:w="0" w:type="dxa"/>
              <w:right w:w="0" w:type="dxa"/>
            </w:tcMar>
            <w:vAlign w:val="center"/>
          </w:tcPr>
          <w:p>
            <w:pPr>
              <w:spacing w:line="240" w:lineRule="auto"/>
              <w:ind w:firstLine="0" w:firstLineChars="0"/>
              <w:jc w:val="center"/>
              <w:rPr>
                <w:color w:val="auto"/>
                <w:sz w:val="21"/>
                <w:szCs w:val="21"/>
              </w:rPr>
            </w:pPr>
            <w:r>
              <w:rPr>
                <w:color w:val="auto"/>
                <w:sz w:val="21"/>
                <w:szCs w:val="21"/>
              </w:rPr>
              <w:t>12</w:t>
            </w:r>
          </w:p>
        </w:tc>
        <w:tc>
          <w:tcPr>
            <w:tcW w:w="1090" w:type="pct"/>
            <w:tcMar>
              <w:top w:w="0" w:type="dxa"/>
              <w:left w:w="0" w:type="dxa"/>
              <w:bottom w:w="0" w:type="dxa"/>
              <w:right w:w="0" w:type="dxa"/>
            </w:tcMar>
            <w:vAlign w:val="center"/>
          </w:tcPr>
          <w:p>
            <w:pPr>
              <w:spacing w:line="240" w:lineRule="auto"/>
              <w:ind w:firstLine="0" w:firstLineChars="0"/>
              <w:jc w:val="center"/>
              <w:rPr>
                <w:color w:val="auto"/>
                <w:sz w:val="21"/>
                <w:szCs w:val="21"/>
              </w:rPr>
            </w:pPr>
            <w:r>
              <w:rPr>
                <w:color w:val="auto"/>
                <w:sz w:val="21"/>
                <w:szCs w:val="21"/>
              </w:rPr>
              <w:t>排水去向</w:t>
            </w:r>
          </w:p>
        </w:tc>
        <w:tc>
          <w:tcPr>
            <w:tcW w:w="3608" w:type="pct"/>
            <w:tcMar>
              <w:top w:w="0" w:type="dxa"/>
              <w:left w:w="0" w:type="dxa"/>
              <w:bottom w:w="0" w:type="dxa"/>
              <w:right w:w="0" w:type="dxa"/>
            </w:tcMar>
            <w:vAlign w:val="center"/>
          </w:tcPr>
          <w:p>
            <w:pPr>
              <w:spacing w:line="240" w:lineRule="auto"/>
              <w:ind w:left="120" w:leftChars="50" w:right="120" w:rightChars="50" w:firstLine="0" w:firstLineChars="0"/>
              <w:jc w:val="center"/>
              <w:rPr>
                <w:color w:val="auto"/>
                <w:sz w:val="21"/>
                <w:szCs w:val="21"/>
              </w:rPr>
            </w:pPr>
            <w:r>
              <w:rPr>
                <w:rFonts w:hint="eastAsia"/>
                <w:color w:val="auto"/>
                <w:sz w:val="21"/>
                <w:szCs w:val="21"/>
              </w:rPr>
              <w:t>厂区</w:t>
            </w:r>
            <w:r>
              <w:rPr>
                <w:color w:val="auto"/>
                <w:sz w:val="21"/>
                <w:szCs w:val="21"/>
              </w:rPr>
              <w:t>设置雨污分流，雨水排至</w:t>
            </w:r>
            <w:r>
              <w:rPr>
                <w:rFonts w:hint="eastAsia"/>
                <w:color w:val="auto"/>
                <w:sz w:val="21"/>
                <w:szCs w:val="21"/>
              </w:rPr>
              <w:t>董楼沟</w:t>
            </w:r>
            <w:r>
              <w:rPr>
                <w:color w:val="auto"/>
                <w:sz w:val="21"/>
                <w:szCs w:val="21"/>
              </w:rPr>
              <w:t>，项目废水经沼气厌氧系统处理后，全部实现还田利用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0" w:type="pct"/>
            <w:tcMar>
              <w:top w:w="0" w:type="dxa"/>
              <w:left w:w="0" w:type="dxa"/>
              <w:bottom w:w="0" w:type="dxa"/>
              <w:right w:w="0" w:type="dxa"/>
            </w:tcMar>
            <w:vAlign w:val="center"/>
          </w:tcPr>
          <w:p>
            <w:pPr>
              <w:spacing w:line="240" w:lineRule="auto"/>
              <w:ind w:firstLine="0" w:firstLineChars="0"/>
              <w:jc w:val="center"/>
              <w:rPr>
                <w:color w:val="auto"/>
                <w:sz w:val="21"/>
                <w:szCs w:val="21"/>
              </w:rPr>
            </w:pPr>
            <w:r>
              <w:rPr>
                <w:color w:val="auto"/>
                <w:sz w:val="21"/>
                <w:szCs w:val="21"/>
              </w:rPr>
              <w:t>13</w:t>
            </w:r>
          </w:p>
        </w:tc>
        <w:tc>
          <w:tcPr>
            <w:tcW w:w="1090" w:type="pct"/>
            <w:tcMar>
              <w:top w:w="0" w:type="dxa"/>
              <w:left w:w="0" w:type="dxa"/>
              <w:bottom w:w="0" w:type="dxa"/>
              <w:right w:w="0" w:type="dxa"/>
            </w:tcMar>
            <w:vAlign w:val="center"/>
          </w:tcPr>
          <w:p>
            <w:pPr>
              <w:spacing w:line="240" w:lineRule="auto"/>
              <w:ind w:firstLine="0" w:firstLineChars="0"/>
              <w:jc w:val="center"/>
              <w:rPr>
                <w:color w:val="auto"/>
                <w:sz w:val="21"/>
                <w:szCs w:val="21"/>
              </w:rPr>
            </w:pPr>
            <w:r>
              <w:rPr>
                <w:color w:val="auto"/>
                <w:sz w:val="21"/>
                <w:szCs w:val="21"/>
              </w:rPr>
              <w:t>预计正式运行日期</w:t>
            </w:r>
          </w:p>
        </w:tc>
        <w:tc>
          <w:tcPr>
            <w:tcW w:w="3608" w:type="pct"/>
            <w:tcMar>
              <w:top w:w="0" w:type="dxa"/>
              <w:left w:w="0" w:type="dxa"/>
              <w:bottom w:w="0" w:type="dxa"/>
              <w:right w:w="0" w:type="dxa"/>
            </w:tcMar>
            <w:vAlign w:val="center"/>
          </w:tcPr>
          <w:p>
            <w:pPr>
              <w:spacing w:line="240" w:lineRule="auto"/>
              <w:ind w:left="120" w:leftChars="50" w:right="120" w:rightChars="50" w:firstLine="0" w:firstLineChars="0"/>
              <w:jc w:val="center"/>
              <w:rPr>
                <w:color w:val="auto"/>
                <w:sz w:val="21"/>
                <w:szCs w:val="21"/>
              </w:rPr>
            </w:pPr>
            <w:r>
              <w:rPr>
                <w:color w:val="auto"/>
                <w:sz w:val="21"/>
                <w:szCs w:val="21"/>
              </w:rPr>
              <w:t>202</w:t>
            </w:r>
            <w:r>
              <w:rPr>
                <w:rFonts w:hint="eastAsia"/>
                <w:color w:val="auto"/>
                <w:sz w:val="21"/>
                <w:szCs w:val="21"/>
              </w:rPr>
              <w:t>1</w:t>
            </w:r>
            <w:r>
              <w:rPr>
                <w:color w:val="auto"/>
                <w:sz w:val="21"/>
                <w:szCs w:val="21"/>
              </w:rPr>
              <w:t>年</w:t>
            </w:r>
            <w:r>
              <w:rPr>
                <w:rFonts w:hint="eastAsia"/>
                <w:color w:val="auto"/>
                <w:sz w:val="21"/>
                <w:szCs w:val="21"/>
              </w:rPr>
              <w:t>1</w:t>
            </w:r>
            <w:r>
              <w:rPr>
                <w:color w:val="auto"/>
                <w:sz w:val="21"/>
                <w:szCs w:val="21"/>
              </w:rPr>
              <w:t>月</w:t>
            </w:r>
          </w:p>
        </w:tc>
      </w:tr>
    </w:tbl>
    <w:p>
      <w:pPr>
        <w:pStyle w:val="36"/>
        <w:ind w:firstLine="480"/>
        <w:rPr>
          <w:color w:val="auto"/>
        </w:rPr>
      </w:pPr>
      <w:bookmarkStart w:id="227" w:name="_Toc311979910"/>
      <w:bookmarkStart w:id="228" w:name="_Toc388881898"/>
      <w:bookmarkStart w:id="229" w:name="_Toc311979796"/>
      <w:bookmarkStart w:id="230" w:name="_Toc311979842"/>
      <w:bookmarkStart w:id="231" w:name="_Toc407001390"/>
      <w:bookmarkStart w:id="232" w:name="_Toc468115356"/>
      <w:bookmarkStart w:id="233" w:name="_Toc406847397"/>
      <w:bookmarkStart w:id="234" w:name="_Toc413166117"/>
      <w:bookmarkStart w:id="235" w:name="_Toc468115354"/>
      <w:bookmarkStart w:id="236" w:name="_Toc406847394"/>
      <w:bookmarkStart w:id="237" w:name="_Toc407001387"/>
      <w:bookmarkStart w:id="238" w:name="_Toc413166114"/>
      <w:r>
        <w:rPr>
          <w:color w:val="auto"/>
        </w:rPr>
        <w:t>3.1.2 项目</w:t>
      </w:r>
      <w:bookmarkEnd w:id="227"/>
      <w:bookmarkEnd w:id="228"/>
      <w:bookmarkEnd w:id="229"/>
      <w:bookmarkEnd w:id="230"/>
      <w:r>
        <w:rPr>
          <w:color w:val="auto"/>
        </w:rPr>
        <w:t>主要产品方案、养殖规模</w:t>
      </w:r>
      <w:bookmarkEnd w:id="231"/>
      <w:bookmarkEnd w:id="232"/>
      <w:bookmarkEnd w:id="233"/>
      <w:bookmarkEnd w:id="234"/>
    </w:p>
    <w:p>
      <w:pPr>
        <w:ind w:firstLine="480"/>
        <w:rPr>
          <w:color w:val="auto"/>
        </w:rPr>
      </w:pPr>
      <w:r>
        <w:rPr>
          <w:color w:val="auto"/>
        </w:rPr>
        <w:t>本项目设计建设规模为：</w:t>
      </w:r>
      <w:r>
        <w:rPr>
          <w:rFonts w:hint="eastAsia"/>
          <w:color w:val="auto"/>
          <w:kern w:val="0"/>
        </w:rPr>
        <w:t>本项目猪舍为保育、育肥一体舍，即濮阳县其他厂区断奶仔猪运至本厂区后直接进入保育育肥一体舍进行保育和育肥，从进入猪舍到出售是存栏146天，故1年出栏2.5批猪，年存栏量20000头，出栏量为50000头</w:t>
      </w:r>
      <w:r>
        <w:rPr>
          <w:color w:val="auto"/>
          <w:kern w:val="0"/>
        </w:rPr>
        <w:t>。</w:t>
      </w:r>
      <w:r>
        <w:rPr>
          <w:color w:val="auto"/>
        </w:rPr>
        <w:t>项目主要产品方案及生产规模见表3.1-2。</w:t>
      </w:r>
    </w:p>
    <w:p>
      <w:pPr>
        <w:spacing w:after="72" w:afterLines="30"/>
        <w:ind w:firstLine="482"/>
        <w:jc w:val="left"/>
        <w:rPr>
          <w:b/>
          <w:color w:val="auto"/>
          <w:szCs w:val="21"/>
        </w:rPr>
      </w:pPr>
      <w:r>
        <w:rPr>
          <w:b/>
          <w:color w:val="auto"/>
          <w:szCs w:val="21"/>
        </w:rPr>
        <w:t>表3.1-2                       项目设计养殖方案</w:t>
      </w:r>
    </w:p>
    <w:tbl>
      <w:tblPr>
        <w:tblStyle w:val="27"/>
        <w:tblW w:w="4997"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700"/>
        <w:gridCol w:w="1689"/>
        <w:gridCol w:w="2119"/>
        <w:gridCol w:w="243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6" w:hRule="atLeast"/>
          <w:tblHeader/>
          <w:jc w:val="center"/>
        </w:trPr>
        <w:tc>
          <w:tcPr>
            <w:tcW w:w="1509" w:type="pct"/>
            <w:vAlign w:val="center"/>
          </w:tcPr>
          <w:p>
            <w:pPr>
              <w:spacing w:line="240" w:lineRule="auto"/>
              <w:ind w:firstLine="0" w:firstLineChars="0"/>
              <w:jc w:val="center"/>
              <w:rPr>
                <w:color w:val="auto"/>
                <w:sz w:val="21"/>
                <w:szCs w:val="21"/>
              </w:rPr>
            </w:pPr>
            <w:r>
              <w:rPr>
                <w:color w:val="auto"/>
                <w:sz w:val="21"/>
                <w:szCs w:val="21"/>
              </w:rPr>
              <w:t>养殖单元名称</w:t>
            </w:r>
          </w:p>
        </w:tc>
        <w:tc>
          <w:tcPr>
            <w:tcW w:w="944" w:type="pct"/>
            <w:vAlign w:val="center"/>
          </w:tcPr>
          <w:p>
            <w:pPr>
              <w:spacing w:line="240" w:lineRule="auto"/>
              <w:ind w:firstLine="0" w:firstLineChars="0"/>
              <w:jc w:val="center"/>
              <w:rPr>
                <w:color w:val="auto"/>
                <w:sz w:val="21"/>
                <w:szCs w:val="21"/>
              </w:rPr>
            </w:pPr>
            <w:r>
              <w:rPr>
                <w:color w:val="auto"/>
                <w:sz w:val="21"/>
                <w:szCs w:val="21"/>
              </w:rPr>
              <w:t>单元数量（舍）</w:t>
            </w:r>
          </w:p>
        </w:tc>
        <w:tc>
          <w:tcPr>
            <w:tcW w:w="1184" w:type="pct"/>
            <w:vAlign w:val="center"/>
          </w:tcPr>
          <w:p>
            <w:pPr>
              <w:spacing w:line="240" w:lineRule="auto"/>
              <w:ind w:firstLine="0" w:firstLineChars="0"/>
              <w:jc w:val="center"/>
              <w:rPr>
                <w:color w:val="auto"/>
                <w:sz w:val="21"/>
                <w:szCs w:val="21"/>
              </w:rPr>
            </w:pPr>
            <w:r>
              <w:rPr>
                <w:color w:val="auto"/>
                <w:sz w:val="21"/>
                <w:szCs w:val="21"/>
              </w:rPr>
              <w:t>存栏周期</w:t>
            </w:r>
            <w:r>
              <w:rPr>
                <w:rFonts w:hint="eastAsia"/>
                <w:color w:val="auto"/>
              </w:rPr>
              <w:t>（d）</w:t>
            </w:r>
          </w:p>
        </w:tc>
        <w:tc>
          <w:tcPr>
            <w:tcW w:w="1361" w:type="pct"/>
            <w:vAlign w:val="center"/>
          </w:tcPr>
          <w:p>
            <w:pPr>
              <w:spacing w:line="240" w:lineRule="auto"/>
              <w:ind w:firstLine="0" w:firstLineChars="0"/>
              <w:jc w:val="center"/>
              <w:rPr>
                <w:color w:val="auto"/>
                <w:sz w:val="21"/>
                <w:szCs w:val="21"/>
              </w:rPr>
            </w:pPr>
            <w:r>
              <w:rPr>
                <w:color w:val="auto"/>
                <w:sz w:val="21"/>
                <w:szCs w:val="21"/>
              </w:rPr>
              <w:t>日常存栏总量（头）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1509" w:type="pct"/>
            <w:vAlign w:val="center"/>
          </w:tcPr>
          <w:p>
            <w:pPr>
              <w:spacing w:line="240" w:lineRule="auto"/>
              <w:ind w:firstLine="0" w:firstLineChars="0"/>
              <w:jc w:val="center"/>
              <w:rPr>
                <w:color w:val="auto"/>
                <w:sz w:val="21"/>
                <w:szCs w:val="21"/>
              </w:rPr>
            </w:pPr>
            <w:r>
              <w:rPr>
                <w:rFonts w:hint="eastAsia"/>
                <w:color w:val="auto"/>
                <w:sz w:val="21"/>
                <w:szCs w:val="21"/>
              </w:rPr>
              <w:t>保育育肥一体舍</w:t>
            </w:r>
          </w:p>
        </w:tc>
        <w:tc>
          <w:tcPr>
            <w:tcW w:w="944" w:type="pct"/>
            <w:vAlign w:val="center"/>
          </w:tcPr>
          <w:p>
            <w:pPr>
              <w:spacing w:line="240" w:lineRule="auto"/>
              <w:ind w:firstLine="0" w:firstLineChars="0"/>
              <w:jc w:val="center"/>
              <w:rPr>
                <w:color w:val="auto"/>
                <w:sz w:val="21"/>
                <w:szCs w:val="21"/>
              </w:rPr>
            </w:pPr>
            <w:r>
              <w:rPr>
                <w:rFonts w:hint="eastAsia"/>
                <w:color w:val="auto"/>
                <w:sz w:val="21"/>
                <w:szCs w:val="21"/>
              </w:rPr>
              <w:t>32</w:t>
            </w:r>
          </w:p>
        </w:tc>
        <w:tc>
          <w:tcPr>
            <w:tcW w:w="1184" w:type="pct"/>
            <w:vAlign w:val="center"/>
          </w:tcPr>
          <w:p>
            <w:pPr>
              <w:tabs>
                <w:tab w:val="left" w:pos="554"/>
              </w:tabs>
              <w:spacing w:line="240" w:lineRule="auto"/>
              <w:ind w:firstLine="0" w:firstLineChars="0"/>
              <w:jc w:val="center"/>
              <w:rPr>
                <w:bCs/>
                <w:color w:val="auto"/>
                <w:sz w:val="21"/>
                <w:szCs w:val="21"/>
              </w:rPr>
            </w:pPr>
            <w:r>
              <w:rPr>
                <w:rFonts w:hint="eastAsia"/>
                <w:bCs/>
                <w:color w:val="auto"/>
                <w:sz w:val="21"/>
                <w:szCs w:val="21"/>
              </w:rPr>
              <w:t>146</w:t>
            </w:r>
          </w:p>
        </w:tc>
        <w:tc>
          <w:tcPr>
            <w:tcW w:w="1361" w:type="pct"/>
            <w:vAlign w:val="center"/>
          </w:tcPr>
          <w:p>
            <w:pPr>
              <w:spacing w:line="240" w:lineRule="auto"/>
              <w:ind w:firstLine="0" w:firstLineChars="0"/>
              <w:jc w:val="center"/>
              <w:rPr>
                <w:color w:val="auto"/>
                <w:sz w:val="21"/>
                <w:szCs w:val="21"/>
              </w:rPr>
            </w:pPr>
            <w:r>
              <w:rPr>
                <w:rFonts w:hint="eastAsia"/>
                <w:color w:val="auto"/>
                <w:sz w:val="21"/>
                <w:szCs w:val="21"/>
              </w:rPr>
              <w:t>20000</w:t>
            </w:r>
          </w:p>
        </w:tc>
      </w:tr>
    </w:tbl>
    <w:p>
      <w:pPr>
        <w:pStyle w:val="36"/>
        <w:ind w:firstLine="480"/>
        <w:rPr>
          <w:color w:val="auto"/>
        </w:rPr>
      </w:pPr>
      <w:r>
        <w:rPr>
          <w:color w:val="auto"/>
        </w:rPr>
        <w:t>3.1.3 项目主要建设内容</w:t>
      </w:r>
      <w:bookmarkEnd w:id="235"/>
      <w:bookmarkEnd w:id="236"/>
      <w:bookmarkEnd w:id="237"/>
      <w:bookmarkEnd w:id="238"/>
    </w:p>
    <w:p>
      <w:pPr>
        <w:pStyle w:val="21"/>
        <w:spacing w:line="360" w:lineRule="auto"/>
        <w:ind w:firstLine="480"/>
        <w:rPr>
          <w:color w:val="auto"/>
        </w:rPr>
      </w:pPr>
      <w:r>
        <w:rPr>
          <w:bCs/>
          <w:color w:val="auto"/>
        </w:rPr>
        <w:t>本</w:t>
      </w:r>
      <w:r>
        <w:rPr>
          <w:color w:val="auto"/>
        </w:rPr>
        <w:t>项目主要建设内容见表3.1-3。</w:t>
      </w:r>
    </w:p>
    <w:p>
      <w:pPr>
        <w:spacing w:after="72" w:afterLines="30"/>
        <w:ind w:firstLine="482"/>
        <w:jc w:val="center"/>
        <w:rPr>
          <w:b/>
          <w:color w:val="auto"/>
          <w:szCs w:val="21"/>
        </w:rPr>
      </w:pPr>
      <w:r>
        <w:rPr>
          <w:b/>
          <w:color w:val="auto"/>
          <w:szCs w:val="21"/>
        </w:rPr>
        <w:t>表3.1-3       项目主要建设内容</w:t>
      </w:r>
    </w:p>
    <w:tbl>
      <w:tblPr>
        <w:tblStyle w:val="27"/>
        <w:tblW w:w="4997"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02"/>
        <w:gridCol w:w="1014"/>
        <w:gridCol w:w="426"/>
        <w:gridCol w:w="1283"/>
        <w:gridCol w:w="581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92" w:type="pct"/>
            <w:gridSpan w:val="2"/>
            <w:vAlign w:val="center"/>
          </w:tcPr>
          <w:p>
            <w:pPr>
              <w:spacing w:line="240" w:lineRule="auto"/>
              <w:ind w:firstLine="0" w:firstLineChars="0"/>
              <w:jc w:val="center"/>
              <w:rPr>
                <w:color w:val="auto"/>
                <w:sz w:val="21"/>
                <w:szCs w:val="21"/>
              </w:rPr>
            </w:pPr>
            <w:r>
              <w:rPr>
                <w:color w:val="auto"/>
                <w:sz w:val="21"/>
                <w:szCs w:val="21"/>
              </w:rPr>
              <w:t>项目组成</w:t>
            </w:r>
          </w:p>
        </w:tc>
        <w:tc>
          <w:tcPr>
            <w:tcW w:w="4207" w:type="pct"/>
            <w:gridSpan w:val="3"/>
            <w:vAlign w:val="center"/>
          </w:tcPr>
          <w:p>
            <w:pPr>
              <w:spacing w:line="240" w:lineRule="auto"/>
              <w:ind w:firstLine="0" w:firstLineChars="0"/>
              <w:jc w:val="center"/>
              <w:rPr>
                <w:color w:val="auto"/>
                <w:sz w:val="21"/>
                <w:szCs w:val="21"/>
              </w:rPr>
            </w:pPr>
            <w:r>
              <w:rPr>
                <w:color w:val="auto"/>
                <w:sz w:val="21"/>
                <w:szCs w:val="21"/>
              </w:rPr>
              <w:t>工程内容</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5" w:type="pct"/>
            <w:vMerge w:val="restart"/>
            <w:vAlign w:val="center"/>
          </w:tcPr>
          <w:p>
            <w:pPr>
              <w:spacing w:line="240" w:lineRule="auto"/>
              <w:ind w:firstLine="0" w:firstLineChars="0"/>
              <w:jc w:val="center"/>
              <w:rPr>
                <w:color w:val="auto"/>
                <w:sz w:val="21"/>
                <w:szCs w:val="21"/>
              </w:rPr>
            </w:pPr>
            <w:r>
              <w:rPr>
                <w:color w:val="auto"/>
                <w:sz w:val="21"/>
                <w:szCs w:val="21"/>
              </w:rPr>
              <w:t>1</w:t>
            </w:r>
          </w:p>
        </w:tc>
        <w:tc>
          <w:tcPr>
            <w:tcW w:w="566" w:type="pct"/>
            <w:vMerge w:val="restart"/>
            <w:vAlign w:val="center"/>
          </w:tcPr>
          <w:p>
            <w:pPr>
              <w:spacing w:line="240" w:lineRule="auto"/>
              <w:ind w:firstLine="0" w:firstLineChars="0"/>
              <w:jc w:val="center"/>
              <w:rPr>
                <w:color w:val="auto"/>
                <w:sz w:val="21"/>
                <w:szCs w:val="21"/>
              </w:rPr>
            </w:pPr>
            <w:r>
              <w:rPr>
                <w:rFonts w:hint="eastAsia"/>
                <w:color w:val="auto"/>
                <w:sz w:val="21"/>
                <w:szCs w:val="21"/>
              </w:rPr>
              <w:t>生产区</w:t>
            </w:r>
          </w:p>
        </w:tc>
        <w:tc>
          <w:tcPr>
            <w:tcW w:w="955" w:type="pct"/>
            <w:gridSpan w:val="2"/>
            <w:vAlign w:val="center"/>
          </w:tcPr>
          <w:p>
            <w:pPr>
              <w:spacing w:line="240" w:lineRule="auto"/>
              <w:ind w:firstLine="0" w:firstLineChars="0"/>
              <w:jc w:val="center"/>
              <w:rPr>
                <w:color w:val="auto"/>
                <w:sz w:val="21"/>
                <w:szCs w:val="21"/>
              </w:rPr>
            </w:pPr>
            <w:r>
              <w:rPr>
                <w:rFonts w:hint="eastAsia"/>
                <w:color w:val="auto"/>
                <w:sz w:val="21"/>
                <w:szCs w:val="21"/>
              </w:rPr>
              <w:t>保育育肥一体舍</w:t>
            </w:r>
          </w:p>
        </w:tc>
        <w:tc>
          <w:tcPr>
            <w:tcW w:w="3251" w:type="pct"/>
            <w:vAlign w:val="center"/>
          </w:tcPr>
          <w:p>
            <w:pPr>
              <w:spacing w:line="240" w:lineRule="auto"/>
              <w:ind w:firstLine="0" w:firstLineChars="0"/>
              <w:jc w:val="center"/>
              <w:rPr>
                <w:color w:val="auto"/>
                <w:sz w:val="21"/>
                <w:szCs w:val="21"/>
              </w:rPr>
            </w:pPr>
            <w:r>
              <w:rPr>
                <w:color w:val="auto"/>
                <w:sz w:val="21"/>
                <w:szCs w:val="21"/>
              </w:rPr>
              <w:t>新建：3</w:t>
            </w:r>
            <w:r>
              <w:rPr>
                <w:rFonts w:hint="eastAsia"/>
                <w:color w:val="auto"/>
                <w:sz w:val="21"/>
                <w:szCs w:val="21"/>
              </w:rPr>
              <w:t>2</w:t>
            </w:r>
            <w:r>
              <w:rPr>
                <w:color w:val="auto"/>
                <w:sz w:val="21"/>
                <w:szCs w:val="21"/>
              </w:rPr>
              <w:t>舍，规格</w:t>
            </w:r>
            <w:r>
              <w:rPr>
                <w:rFonts w:hint="eastAsia"/>
                <w:color w:val="auto"/>
                <w:sz w:val="21"/>
                <w:szCs w:val="21"/>
              </w:rPr>
              <w:t>37.1</w:t>
            </w:r>
            <w:r>
              <w:rPr>
                <w:color w:val="auto"/>
                <w:sz w:val="21"/>
                <w:szCs w:val="21"/>
              </w:rPr>
              <w:t>m×</w:t>
            </w:r>
            <w:r>
              <w:rPr>
                <w:rFonts w:hint="eastAsia"/>
                <w:color w:val="auto"/>
                <w:sz w:val="21"/>
                <w:szCs w:val="21"/>
              </w:rPr>
              <w:t>14</w:t>
            </w:r>
            <w:r>
              <w:rPr>
                <w:color w:val="auto"/>
                <w:sz w:val="21"/>
                <w:szCs w:val="21"/>
              </w:rPr>
              <w:t>m，总建筑面积</w:t>
            </w:r>
            <w:r>
              <w:rPr>
                <w:rFonts w:hint="eastAsia"/>
                <w:color w:val="auto"/>
                <w:sz w:val="21"/>
                <w:szCs w:val="21"/>
              </w:rPr>
              <w:t>16620.8</w:t>
            </w:r>
            <w:r>
              <w:rPr>
                <w:color w:val="auto"/>
                <w:sz w:val="21"/>
                <w:szCs w:val="21"/>
              </w:rPr>
              <w:t>m</w:t>
            </w:r>
            <w:r>
              <w:rPr>
                <w:color w:val="auto"/>
                <w:sz w:val="21"/>
                <w:szCs w:val="21"/>
                <w:vertAlign w:val="superscript"/>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5" w:hRule="atLeast"/>
        </w:trPr>
        <w:tc>
          <w:tcPr>
            <w:tcW w:w="225" w:type="pct"/>
            <w:vMerge w:val="continue"/>
            <w:vAlign w:val="center"/>
          </w:tcPr>
          <w:p>
            <w:pPr>
              <w:spacing w:line="240" w:lineRule="auto"/>
              <w:ind w:firstLine="0" w:firstLineChars="0"/>
              <w:jc w:val="center"/>
              <w:rPr>
                <w:color w:val="auto"/>
                <w:sz w:val="21"/>
                <w:szCs w:val="21"/>
              </w:rPr>
            </w:pPr>
          </w:p>
        </w:tc>
        <w:tc>
          <w:tcPr>
            <w:tcW w:w="566" w:type="pct"/>
            <w:vMerge w:val="continue"/>
            <w:vAlign w:val="center"/>
          </w:tcPr>
          <w:p>
            <w:pPr>
              <w:spacing w:line="240" w:lineRule="auto"/>
              <w:ind w:firstLine="0" w:firstLineChars="0"/>
              <w:jc w:val="center"/>
              <w:rPr>
                <w:color w:val="auto"/>
                <w:sz w:val="21"/>
                <w:szCs w:val="21"/>
              </w:rPr>
            </w:pPr>
          </w:p>
        </w:tc>
        <w:tc>
          <w:tcPr>
            <w:tcW w:w="955" w:type="pct"/>
            <w:gridSpan w:val="2"/>
            <w:vAlign w:val="center"/>
          </w:tcPr>
          <w:p>
            <w:pPr>
              <w:spacing w:line="240" w:lineRule="auto"/>
              <w:ind w:firstLine="0" w:firstLineChars="0"/>
              <w:jc w:val="center"/>
              <w:rPr>
                <w:color w:val="auto"/>
                <w:sz w:val="21"/>
                <w:szCs w:val="21"/>
              </w:rPr>
            </w:pPr>
            <w:r>
              <w:rPr>
                <w:rFonts w:hint="eastAsia"/>
                <w:color w:val="auto"/>
                <w:sz w:val="21"/>
                <w:szCs w:val="21"/>
              </w:rPr>
              <w:t>仔猪转运间</w:t>
            </w:r>
          </w:p>
        </w:tc>
        <w:tc>
          <w:tcPr>
            <w:tcW w:w="3251" w:type="pct"/>
            <w:vAlign w:val="center"/>
          </w:tcPr>
          <w:p>
            <w:pPr>
              <w:spacing w:line="240" w:lineRule="auto"/>
              <w:ind w:firstLine="0" w:firstLineChars="0"/>
              <w:jc w:val="center"/>
              <w:rPr>
                <w:color w:val="auto"/>
                <w:sz w:val="21"/>
                <w:szCs w:val="21"/>
              </w:rPr>
            </w:pPr>
            <w:r>
              <w:rPr>
                <w:color w:val="auto"/>
                <w:sz w:val="21"/>
                <w:szCs w:val="21"/>
              </w:rPr>
              <w:t>新建：规格</w:t>
            </w:r>
            <w:r>
              <w:rPr>
                <w:rFonts w:hint="eastAsia"/>
                <w:color w:val="auto"/>
                <w:sz w:val="21"/>
                <w:szCs w:val="21"/>
              </w:rPr>
              <w:t>7.4</w:t>
            </w:r>
            <w:r>
              <w:rPr>
                <w:color w:val="auto"/>
                <w:sz w:val="21"/>
                <w:szCs w:val="21"/>
              </w:rPr>
              <w:t>m×</w:t>
            </w:r>
            <w:r>
              <w:rPr>
                <w:rFonts w:hint="eastAsia"/>
                <w:color w:val="auto"/>
                <w:sz w:val="21"/>
                <w:szCs w:val="21"/>
              </w:rPr>
              <w:t>3.9</w:t>
            </w:r>
            <w:r>
              <w:rPr>
                <w:color w:val="auto"/>
                <w:sz w:val="21"/>
                <w:szCs w:val="21"/>
              </w:rPr>
              <w:t>m，总建筑面积</w:t>
            </w:r>
            <w:r>
              <w:rPr>
                <w:rFonts w:hint="eastAsia"/>
                <w:color w:val="auto"/>
                <w:sz w:val="21"/>
                <w:szCs w:val="21"/>
              </w:rPr>
              <w:t>28.86</w:t>
            </w:r>
            <w:r>
              <w:rPr>
                <w:color w:val="auto"/>
                <w:sz w:val="21"/>
                <w:szCs w:val="21"/>
              </w:rPr>
              <w:t>m</w:t>
            </w:r>
            <w:r>
              <w:rPr>
                <w:color w:val="auto"/>
                <w:sz w:val="21"/>
                <w:szCs w:val="21"/>
                <w:vertAlign w:val="superscript"/>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 w:hRule="atLeast"/>
        </w:trPr>
        <w:tc>
          <w:tcPr>
            <w:tcW w:w="225" w:type="pct"/>
            <w:vMerge w:val="continue"/>
            <w:vAlign w:val="center"/>
          </w:tcPr>
          <w:p>
            <w:pPr>
              <w:spacing w:line="240" w:lineRule="auto"/>
              <w:ind w:firstLine="0" w:firstLineChars="0"/>
              <w:jc w:val="center"/>
              <w:rPr>
                <w:color w:val="auto"/>
                <w:sz w:val="21"/>
                <w:szCs w:val="21"/>
              </w:rPr>
            </w:pPr>
          </w:p>
        </w:tc>
        <w:tc>
          <w:tcPr>
            <w:tcW w:w="566" w:type="pct"/>
            <w:vMerge w:val="continue"/>
            <w:vAlign w:val="center"/>
          </w:tcPr>
          <w:p>
            <w:pPr>
              <w:spacing w:line="240" w:lineRule="auto"/>
              <w:ind w:firstLine="0" w:firstLineChars="0"/>
              <w:jc w:val="center"/>
              <w:rPr>
                <w:color w:val="auto"/>
                <w:sz w:val="21"/>
                <w:szCs w:val="21"/>
              </w:rPr>
            </w:pPr>
          </w:p>
        </w:tc>
        <w:tc>
          <w:tcPr>
            <w:tcW w:w="955" w:type="pct"/>
            <w:gridSpan w:val="2"/>
            <w:vAlign w:val="center"/>
          </w:tcPr>
          <w:p>
            <w:pPr>
              <w:spacing w:line="240" w:lineRule="auto"/>
              <w:ind w:firstLine="0" w:firstLineChars="0"/>
              <w:jc w:val="center"/>
              <w:rPr>
                <w:color w:val="auto"/>
                <w:sz w:val="21"/>
                <w:szCs w:val="21"/>
              </w:rPr>
            </w:pPr>
            <w:r>
              <w:rPr>
                <w:rFonts w:hint="eastAsia"/>
                <w:color w:val="auto"/>
                <w:sz w:val="21"/>
                <w:szCs w:val="21"/>
              </w:rPr>
              <w:t>清洗房</w:t>
            </w:r>
          </w:p>
        </w:tc>
        <w:tc>
          <w:tcPr>
            <w:tcW w:w="3251" w:type="pct"/>
            <w:vAlign w:val="center"/>
          </w:tcPr>
          <w:p>
            <w:pPr>
              <w:spacing w:line="240" w:lineRule="auto"/>
              <w:ind w:firstLine="0" w:firstLineChars="0"/>
              <w:jc w:val="center"/>
              <w:rPr>
                <w:color w:val="auto"/>
                <w:sz w:val="21"/>
                <w:szCs w:val="21"/>
              </w:rPr>
            </w:pPr>
            <w:r>
              <w:rPr>
                <w:color w:val="auto"/>
                <w:sz w:val="21"/>
                <w:szCs w:val="21"/>
              </w:rPr>
              <w:t>新建：规格</w:t>
            </w:r>
            <w:r>
              <w:rPr>
                <w:rFonts w:hint="eastAsia"/>
                <w:color w:val="auto"/>
                <w:sz w:val="21"/>
                <w:szCs w:val="21"/>
              </w:rPr>
              <w:t>5</w:t>
            </w:r>
            <w:r>
              <w:rPr>
                <w:color w:val="auto"/>
                <w:sz w:val="21"/>
                <w:szCs w:val="21"/>
              </w:rPr>
              <w:t>m×</w:t>
            </w:r>
            <w:r>
              <w:rPr>
                <w:rFonts w:hint="eastAsia"/>
                <w:color w:val="auto"/>
                <w:sz w:val="21"/>
                <w:szCs w:val="21"/>
              </w:rPr>
              <w:t>7</w:t>
            </w:r>
            <w:r>
              <w:rPr>
                <w:color w:val="auto"/>
                <w:sz w:val="21"/>
                <w:szCs w:val="21"/>
              </w:rPr>
              <w:t>m，总建筑面积</w:t>
            </w:r>
            <w:r>
              <w:rPr>
                <w:rFonts w:hint="eastAsia"/>
                <w:color w:val="auto"/>
                <w:sz w:val="21"/>
                <w:szCs w:val="21"/>
              </w:rPr>
              <w:t>70</w:t>
            </w:r>
            <w:r>
              <w:rPr>
                <w:color w:val="auto"/>
                <w:sz w:val="21"/>
                <w:szCs w:val="21"/>
              </w:rPr>
              <w:t>m</w:t>
            </w:r>
            <w:r>
              <w:rPr>
                <w:color w:val="auto"/>
                <w:sz w:val="21"/>
                <w:szCs w:val="21"/>
                <w:vertAlign w:val="superscript"/>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4" w:hRule="atLeast"/>
        </w:trPr>
        <w:tc>
          <w:tcPr>
            <w:tcW w:w="225" w:type="pct"/>
            <w:vMerge w:val="restart"/>
            <w:vAlign w:val="center"/>
          </w:tcPr>
          <w:p>
            <w:pPr>
              <w:spacing w:line="240" w:lineRule="auto"/>
              <w:ind w:firstLine="0" w:firstLineChars="0"/>
              <w:jc w:val="center"/>
              <w:rPr>
                <w:color w:val="auto"/>
                <w:sz w:val="21"/>
                <w:szCs w:val="21"/>
              </w:rPr>
            </w:pPr>
            <w:r>
              <w:rPr>
                <w:rFonts w:hint="eastAsia"/>
                <w:color w:val="auto"/>
                <w:sz w:val="21"/>
                <w:szCs w:val="21"/>
              </w:rPr>
              <w:t>2</w:t>
            </w:r>
          </w:p>
        </w:tc>
        <w:tc>
          <w:tcPr>
            <w:tcW w:w="566" w:type="pct"/>
            <w:vMerge w:val="restart"/>
            <w:vAlign w:val="center"/>
          </w:tcPr>
          <w:p>
            <w:pPr>
              <w:spacing w:line="240" w:lineRule="auto"/>
              <w:ind w:firstLine="0" w:firstLineChars="0"/>
              <w:jc w:val="center"/>
              <w:rPr>
                <w:color w:val="auto"/>
                <w:sz w:val="21"/>
                <w:szCs w:val="21"/>
              </w:rPr>
            </w:pPr>
            <w:r>
              <w:rPr>
                <w:rFonts w:hint="eastAsia"/>
                <w:color w:val="auto"/>
                <w:sz w:val="21"/>
                <w:szCs w:val="21"/>
              </w:rPr>
              <w:t>生活区</w:t>
            </w:r>
          </w:p>
        </w:tc>
        <w:tc>
          <w:tcPr>
            <w:tcW w:w="955" w:type="pct"/>
            <w:gridSpan w:val="2"/>
            <w:vAlign w:val="center"/>
          </w:tcPr>
          <w:p>
            <w:pPr>
              <w:spacing w:line="240" w:lineRule="auto"/>
              <w:ind w:firstLine="0" w:firstLineChars="0"/>
              <w:jc w:val="center"/>
              <w:rPr>
                <w:color w:val="auto"/>
                <w:sz w:val="21"/>
                <w:szCs w:val="21"/>
              </w:rPr>
            </w:pPr>
            <w:r>
              <w:rPr>
                <w:rFonts w:hint="eastAsia"/>
                <w:color w:val="auto"/>
                <w:sz w:val="21"/>
                <w:szCs w:val="21"/>
              </w:rPr>
              <w:t>综合宿舍楼</w:t>
            </w:r>
          </w:p>
        </w:tc>
        <w:tc>
          <w:tcPr>
            <w:tcW w:w="3251" w:type="pct"/>
            <w:vAlign w:val="center"/>
          </w:tcPr>
          <w:p>
            <w:pPr>
              <w:spacing w:line="240" w:lineRule="auto"/>
              <w:ind w:firstLine="0" w:firstLineChars="0"/>
              <w:jc w:val="center"/>
              <w:rPr>
                <w:color w:val="auto"/>
                <w:sz w:val="21"/>
                <w:szCs w:val="21"/>
              </w:rPr>
            </w:pPr>
            <w:r>
              <w:rPr>
                <w:color w:val="auto"/>
                <w:sz w:val="21"/>
                <w:szCs w:val="21"/>
              </w:rPr>
              <w:t>新建：规格</w:t>
            </w:r>
            <w:r>
              <w:rPr>
                <w:rFonts w:hint="eastAsia"/>
                <w:color w:val="auto"/>
                <w:sz w:val="21"/>
                <w:szCs w:val="21"/>
              </w:rPr>
              <w:t>44.94</w:t>
            </w:r>
            <w:r>
              <w:rPr>
                <w:color w:val="auto"/>
                <w:sz w:val="21"/>
                <w:szCs w:val="21"/>
              </w:rPr>
              <w:t>m×</w:t>
            </w:r>
            <w:r>
              <w:rPr>
                <w:rFonts w:hint="eastAsia"/>
                <w:color w:val="auto"/>
                <w:sz w:val="21"/>
                <w:szCs w:val="21"/>
              </w:rPr>
              <w:t>16.84</w:t>
            </w:r>
            <w:r>
              <w:rPr>
                <w:color w:val="auto"/>
                <w:sz w:val="21"/>
                <w:szCs w:val="21"/>
              </w:rPr>
              <w:t>m，总建筑面积</w:t>
            </w:r>
            <w:r>
              <w:rPr>
                <w:rFonts w:hint="eastAsia"/>
                <w:color w:val="auto"/>
                <w:sz w:val="21"/>
                <w:szCs w:val="21"/>
              </w:rPr>
              <w:t>1513.58</w:t>
            </w:r>
            <w:r>
              <w:rPr>
                <w:color w:val="auto"/>
                <w:sz w:val="21"/>
                <w:szCs w:val="21"/>
              </w:rPr>
              <w:t>m</w:t>
            </w:r>
            <w:r>
              <w:rPr>
                <w:color w:val="auto"/>
                <w:sz w:val="21"/>
                <w:szCs w:val="21"/>
                <w:vertAlign w:val="superscript"/>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7" w:hRule="atLeast"/>
        </w:trPr>
        <w:tc>
          <w:tcPr>
            <w:tcW w:w="225" w:type="pct"/>
            <w:vMerge w:val="continue"/>
            <w:vAlign w:val="center"/>
          </w:tcPr>
          <w:p>
            <w:pPr>
              <w:spacing w:line="240" w:lineRule="auto"/>
              <w:ind w:firstLine="0" w:firstLineChars="0"/>
              <w:jc w:val="center"/>
              <w:rPr>
                <w:color w:val="auto"/>
                <w:sz w:val="21"/>
                <w:szCs w:val="21"/>
              </w:rPr>
            </w:pPr>
          </w:p>
        </w:tc>
        <w:tc>
          <w:tcPr>
            <w:tcW w:w="566" w:type="pct"/>
            <w:vMerge w:val="continue"/>
            <w:vAlign w:val="center"/>
          </w:tcPr>
          <w:p>
            <w:pPr>
              <w:spacing w:line="240" w:lineRule="auto"/>
              <w:ind w:firstLine="0" w:firstLineChars="0"/>
              <w:jc w:val="center"/>
              <w:rPr>
                <w:color w:val="auto"/>
                <w:sz w:val="21"/>
                <w:szCs w:val="21"/>
              </w:rPr>
            </w:pPr>
          </w:p>
        </w:tc>
        <w:tc>
          <w:tcPr>
            <w:tcW w:w="955" w:type="pct"/>
            <w:gridSpan w:val="2"/>
            <w:vAlign w:val="center"/>
          </w:tcPr>
          <w:p>
            <w:pPr>
              <w:spacing w:line="240" w:lineRule="auto"/>
              <w:ind w:firstLine="0" w:firstLineChars="0"/>
              <w:jc w:val="center"/>
              <w:rPr>
                <w:color w:val="auto"/>
                <w:sz w:val="21"/>
                <w:szCs w:val="21"/>
              </w:rPr>
            </w:pPr>
            <w:r>
              <w:rPr>
                <w:rFonts w:hint="eastAsia"/>
                <w:color w:val="auto"/>
                <w:sz w:val="21"/>
                <w:szCs w:val="21"/>
              </w:rPr>
              <w:t>洗澡间</w:t>
            </w:r>
          </w:p>
        </w:tc>
        <w:tc>
          <w:tcPr>
            <w:tcW w:w="3251" w:type="pct"/>
            <w:vAlign w:val="center"/>
          </w:tcPr>
          <w:p>
            <w:pPr>
              <w:spacing w:line="240" w:lineRule="auto"/>
              <w:ind w:firstLine="0" w:firstLineChars="0"/>
              <w:jc w:val="center"/>
              <w:rPr>
                <w:color w:val="auto"/>
                <w:sz w:val="21"/>
                <w:szCs w:val="21"/>
              </w:rPr>
            </w:pPr>
            <w:r>
              <w:rPr>
                <w:color w:val="auto"/>
                <w:sz w:val="21"/>
                <w:szCs w:val="21"/>
              </w:rPr>
              <w:t>新建：规格</w:t>
            </w:r>
            <w:r>
              <w:rPr>
                <w:rFonts w:hint="eastAsia"/>
                <w:color w:val="auto"/>
                <w:sz w:val="21"/>
                <w:szCs w:val="21"/>
              </w:rPr>
              <w:t>3.6</w:t>
            </w:r>
            <w:r>
              <w:rPr>
                <w:color w:val="auto"/>
                <w:sz w:val="21"/>
                <w:szCs w:val="21"/>
              </w:rPr>
              <w:t>m×</w:t>
            </w:r>
            <w:r>
              <w:rPr>
                <w:rFonts w:hint="eastAsia"/>
                <w:color w:val="auto"/>
                <w:sz w:val="21"/>
                <w:szCs w:val="21"/>
              </w:rPr>
              <w:t>9.8</w:t>
            </w:r>
            <w:r>
              <w:rPr>
                <w:color w:val="auto"/>
                <w:sz w:val="21"/>
                <w:szCs w:val="21"/>
              </w:rPr>
              <w:t>m，总建筑面积</w:t>
            </w:r>
            <w:r>
              <w:rPr>
                <w:rFonts w:hint="eastAsia"/>
                <w:color w:val="auto"/>
                <w:sz w:val="21"/>
                <w:szCs w:val="21"/>
              </w:rPr>
              <w:t>35.28</w:t>
            </w:r>
            <w:r>
              <w:rPr>
                <w:color w:val="auto"/>
                <w:sz w:val="21"/>
                <w:szCs w:val="21"/>
              </w:rPr>
              <w:t>m</w:t>
            </w:r>
            <w:r>
              <w:rPr>
                <w:color w:val="auto"/>
                <w:sz w:val="21"/>
                <w:szCs w:val="21"/>
                <w:vertAlign w:val="superscript"/>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3" w:hRule="atLeast"/>
        </w:trPr>
        <w:tc>
          <w:tcPr>
            <w:tcW w:w="225" w:type="pct"/>
            <w:vMerge w:val="continue"/>
            <w:vAlign w:val="center"/>
          </w:tcPr>
          <w:p>
            <w:pPr>
              <w:spacing w:line="240" w:lineRule="auto"/>
              <w:ind w:firstLine="0" w:firstLineChars="0"/>
              <w:jc w:val="center"/>
              <w:rPr>
                <w:color w:val="auto"/>
                <w:sz w:val="21"/>
                <w:szCs w:val="21"/>
              </w:rPr>
            </w:pPr>
          </w:p>
        </w:tc>
        <w:tc>
          <w:tcPr>
            <w:tcW w:w="566" w:type="pct"/>
            <w:vMerge w:val="continue"/>
            <w:vAlign w:val="center"/>
          </w:tcPr>
          <w:p>
            <w:pPr>
              <w:spacing w:line="240" w:lineRule="auto"/>
              <w:ind w:firstLine="0" w:firstLineChars="0"/>
              <w:jc w:val="center"/>
              <w:rPr>
                <w:color w:val="auto"/>
                <w:sz w:val="21"/>
                <w:szCs w:val="21"/>
              </w:rPr>
            </w:pPr>
          </w:p>
        </w:tc>
        <w:tc>
          <w:tcPr>
            <w:tcW w:w="955" w:type="pct"/>
            <w:gridSpan w:val="2"/>
            <w:vAlign w:val="center"/>
          </w:tcPr>
          <w:p>
            <w:pPr>
              <w:spacing w:line="240" w:lineRule="auto"/>
              <w:ind w:firstLine="0" w:firstLineChars="0"/>
              <w:jc w:val="center"/>
              <w:rPr>
                <w:color w:val="auto"/>
                <w:sz w:val="21"/>
                <w:szCs w:val="21"/>
              </w:rPr>
            </w:pPr>
            <w:r>
              <w:rPr>
                <w:rFonts w:hint="eastAsia"/>
                <w:color w:val="auto"/>
                <w:sz w:val="21"/>
                <w:szCs w:val="21"/>
              </w:rPr>
              <w:t>综合门卫处</w:t>
            </w:r>
          </w:p>
        </w:tc>
        <w:tc>
          <w:tcPr>
            <w:tcW w:w="3251" w:type="pct"/>
            <w:vAlign w:val="center"/>
          </w:tcPr>
          <w:p>
            <w:pPr>
              <w:spacing w:line="240" w:lineRule="auto"/>
              <w:ind w:firstLine="0" w:firstLineChars="0"/>
              <w:jc w:val="center"/>
              <w:rPr>
                <w:color w:val="auto"/>
                <w:sz w:val="21"/>
                <w:szCs w:val="21"/>
              </w:rPr>
            </w:pPr>
            <w:r>
              <w:rPr>
                <w:color w:val="auto"/>
                <w:sz w:val="21"/>
                <w:szCs w:val="21"/>
              </w:rPr>
              <w:t>新建：规格</w:t>
            </w:r>
            <w:r>
              <w:rPr>
                <w:rFonts w:hint="eastAsia"/>
                <w:color w:val="auto"/>
                <w:sz w:val="21"/>
                <w:szCs w:val="21"/>
              </w:rPr>
              <w:t>9.24</w:t>
            </w:r>
            <w:r>
              <w:rPr>
                <w:color w:val="auto"/>
                <w:sz w:val="21"/>
                <w:szCs w:val="21"/>
              </w:rPr>
              <w:t>m×</w:t>
            </w:r>
            <w:r>
              <w:rPr>
                <w:rFonts w:hint="eastAsia"/>
                <w:color w:val="auto"/>
                <w:sz w:val="21"/>
                <w:szCs w:val="21"/>
              </w:rPr>
              <w:t>30.74</w:t>
            </w:r>
            <w:r>
              <w:rPr>
                <w:color w:val="auto"/>
                <w:sz w:val="21"/>
                <w:szCs w:val="21"/>
              </w:rPr>
              <w:t>m，总建筑面积</w:t>
            </w:r>
            <w:r>
              <w:rPr>
                <w:rFonts w:hint="eastAsia"/>
                <w:color w:val="auto"/>
                <w:sz w:val="21"/>
                <w:szCs w:val="21"/>
              </w:rPr>
              <w:t>284</w:t>
            </w:r>
            <w:r>
              <w:rPr>
                <w:color w:val="auto"/>
                <w:sz w:val="21"/>
                <w:szCs w:val="21"/>
              </w:rPr>
              <w:t>m</w:t>
            </w:r>
            <w:r>
              <w:rPr>
                <w:color w:val="auto"/>
                <w:sz w:val="21"/>
                <w:szCs w:val="21"/>
                <w:vertAlign w:val="superscript"/>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5" w:hRule="atLeast"/>
        </w:trPr>
        <w:tc>
          <w:tcPr>
            <w:tcW w:w="225" w:type="pct"/>
            <w:vMerge w:val="restart"/>
            <w:vAlign w:val="center"/>
          </w:tcPr>
          <w:p>
            <w:pPr>
              <w:spacing w:line="240" w:lineRule="auto"/>
              <w:ind w:firstLine="0" w:firstLineChars="0"/>
              <w:jc w:val="center"/>
              <w:rPr>
                <w:color w:val="auto"/>
                <w:sz w:val="21"/>
                <w:szCs w:val="21"/>
              </w:rPr>
            </w:pPr>
            <w:r>
              <w:rPr>
                <w:rFonts w:hint="eastAsia"/>
                <w:color w:val="auto"/>
                <w:sz w:val="21"/>
                <w:szCs w:val="21"/>
              </w:rPr>
              <w:t>3</w:t>
            </w:r>
          </w:p>
        </w:tc>
        <w:tc>
          <w:tcPr>
            <w:tcW w:w="566" w:type="pct"/>
            <w:vMerge w:val="restart"/>
            <w:vAlign w:val="center"/>
          </w:tcPr>
          <w:p>
            <w:pPr>
              <w:spacing w:line="240" w:lineRule="auto"/>
              <w:ind w:firstLine="0" w:firstLineChars="0"/>
              <w:jc w:val="center"/>
              <w:rPr>
                <w:color w:val="auto"/>
                <w:sz w:val="21"/>
                <w:szCs w:val="21"/>
              </w:rPr>
            </w:pPr>
            <w:r>
              <w:rPr>
                <w:rFonts w:hint="eastAsia"/>
                <w:color w:val="auto"/>
                <w:sz w:val="21"/>
                <w:szCs w:val="21"/>
              </w:rPr>
              <w:t>销售区</w:t>
            </w:r>
          </w:p>
        </w:tc>
        <w:tc>
          <w:tcPr>
            <w:tcW w:w="955" w:type="pct"/>
            <w:gridSpan w:val="2"/>
            <w:vAlign w:val="center"/>
          </w:tcPr>
          <w:p>
            <w:pPr>
              <w:spacing w:line="240" w:lineRule="auto"/>
              <w:ind w:firstLine="0" w:firstLineChars="0"/>
              <w:jc w:val="center"/>
              <w:rPr>
                <w:color w:val="auto"/>
                <w:sz w:val="21"/>
                <w:szCs w:val="21"/>
              </w:rPr>
            </w:pPr>
            <w:r>
              <w:rPr>
                <w:rFonts w:hint="eastAsia"/>
                <w:color w:val="auto"/>
                <w:sz w:val="21"/>
                <w:szCs w:val="21"/>
              </w:rPr>
              <w:t>无害化处理区</w:t>
            </w:r>
          </w:p>
        </w:tc>
        <w:tc>
          <w:tcPr>
            <w:tcW w:w="3251" w:type="pct"/>
            <w:vAlign w:val="center"/>
          </w:tcPr>
          <w:p>
            <w:pPr>
              <w:spacing w:line="240" w:lineRule="auto"/>
              <w:ind w:firstLine="0" w:firstLineChars="0"/>
              <w:jc w:val="center"/>
              <w:rPr>
                <w:color w:val="auto"/>
                <w:sz w:val="21"/>
                <w:szCs w:val="21"/>
              </w:rPr>
            </w:pPr>
            <w:r>
              <w:rPr>
                <w:color w:val="auto"/>
                <w:sz w:val="21"/>
                <w:szCs w:val="21"/>
              </w:rPr>
              <w:t>新建：规格</w:t>
            </w:r>
            <w:r>
              <w:rPr>
                <w:rFonts w:hint="eastAsia"/>
                <w:color w:val="auto"/>
                <w:sz w:val="21"/>
                <w:szCs w:val="21"/>
              </w:rPr>
              <w:t>10</w:t>
            </w:r>
            <w:r>
              <w:rPr>
                <w:color w:val="auto"/>
                <w:sz w:val="21"/>
                <w:szCs w:val="21"/>
              </w:rPr>
              <w:t>m×</w:t>
            </w:r>
            <w:r>
              <w:rPr>
                <w:rFonts w:hint="eastAsia"/>
                <w:color w:val="auto"/>
                <w:sz w:val="21"/>
                <w:szCs w:val="21"/>
              </w:rPr>
              <w:t>10</w:t>
            </w:r>
            <w:r>
              <w:rPr>
                <w:color w:val="auto"/>
                <w:sz w:val="21"/>
                <w:szCs w:val="21"/>
              </w:rPr>
              <w:t>m，总建筑面积</w:t>
            </w:r>
            <w:r>
              <w:rPr>
                <w:rFonts w:hint="eastAsia"/>
                <w:color w:val="auto"/>
                <w:sz w:val="21"/>
                <w:szCs w:val="21"/>
              </w:rPr>
              <w:t>100</w:t>
            </w:r>
            <w:r>
              <w:rPr>
                <w:color w:val="auto"/>
                <w:sz w:val="21"/>
                <w:szCs w:val="21"/>
              </w:rPr>
              <w:t>m</w:t>
            </w:r>
            <w:r>
              <w:rPr>
                <w:color w:val="auto"/>
                <w:sz w:val="21"/>
                <w:szCs w:val="21"/>
                <w:vertAlign w:val="superscript"/>
              </w:rPr>
              <w:t>2</w:t>
            </w:r>
            <w:r>
              <w:rPr>
                <w:rFonts w:hint="eastAsia"/>
                <w:color w:val="auto"/>
                <w:sz w:val="21"/>
                <w:szCs w:val="21"/>
              </w:rPr>
              <w:t>，厂房密闭</w:t>
            </w:r>
            <w:r>
              <w:rPr>
                <w:rStyle w:val="31"/>
                <w:rFonts w:hint="eastAsia"/>
                <w:color w:val="auto"/>
              </w:rPr>
              <w:t>（其中车间是80m</w:t>
            </w:r>
            <w:r>
              <w:rPr>
                <w:rStyle w:val="31"/>
                <w:rFonts w:hint="eastAsia"/>
                <w:color w:val="auto"/>
                <w:vertAlign w:val="superscript"/>
              </w:rPr>
              <w:t>2</w:t>
            </w:r>
            <w:r>
              <w:rPr>
                <w:rStyle w:val="31"/>
                <w:rFonts w:hint="eastAsia"/>
                <w:color w:val="auto"/>
              </w:rPr>
              <w:t>，病死猪暂存间按15m</w:t>
            </w:r>
            <w:r>
              <w:rPr>
                <w:rStyle w:val="31"/>
                <w:rFonts w:hint="eastAsia"/>
                <w:color w:val="auto"/>
                <w:vertAlign w:val="superscript"/>
              </w:rPr>
              <w:t>2</w:t>
            </w:r>
            <w:r>
              <w:rPr>
                <w:rStyle w:val="31"/>
                <w:rFonts w:hint="eastAsia"/>
                <w:color w:val="auto"/>
              </w:rPr>
              <w:t>，危废暂存间按5m</w:t>
            </w:r>
            <w:r>
              <w:rPr>
                <w:rStyle w:val="31"/>
                <w:rFonts w:hint="eastAsia"/>
                <w:color w:val="auto"/>
                <w:vertAlign w:val="superscript"/>
              </w:rPr>
              <w:t>2</w:t>
            </w:r>
            <w:r>
              <w:rPr>
                <w:rStyle w:val="31"/>
                <w:rFonts w:hint="eastAsia"/>
                <w:color w:val="auto"/>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1" w:hRule="atLeast"/>
        </w:trPr>
        <w:tc>
          <w:tcPr>
            <w:tcW w:w="225" w:type="pct"/>
            <w:vMerge w:val="continue"/>
            <w:vAlign w:val="center"/>
          </w:tcPr>
          <w:p>
            <w:pPr>
              <w:spacing w:line="240" w:lineRule="auto"/>
              <w:ind w:firstLine="0" w:firstLineChars="0"/>
              <w:jc w:val="center"/>
              <w:rPr>
                <w:color w:val="auto"/>
                <w:sz w:val="21"/>
                <w:szCs w:val="21"/>
              </w:rPr>
            </w:pPr>
          </w:p>
        </w:tc>
        <w:tc>
          <w:tcPr>
            <w:tcW w:w="566" w:type="pct"/>
            <w:vMerge w:val="continue"/>
            <w:vAlign w:val="center"/>
          </w:tcPr>
          <w:p>
            <w:pPr>
              <w:spacing w:line="240" w:lineRule="auto"/>
              <w:ind w:firstLine="0" w:firstLineChars="0"/>
              <w:jc w:val="center"/>
              <w:rPr>
                <w:color w:val="auto"/>
                <w:sz w:val="21"/>
                <w:szCs w:val="21"/>
              </w:rPr>
            </w:pPr>
          </w:p>
        </w:tc>
        <w:tc>
          <w:tcPr>
            <w:tcW w:w="955" w:type="pct"/>
            <w:gridSpan w:val="2"/>
            <w:vAlign w:val="center"/>
          </w:tcPr>
          <w:p>
            <w:pPr>
              <w:spacing w:line="240" w:lineRule="auto"/>
              <w:ind w:firstLine="0" w:firstLineChars="0"/>
              <w:jc w:val="center"/>
              <w:rPr>
                <w:color w:val="auto"/>
                <w:sz w:val="21"/>
                <w:szCs w:val="21"/>
              </w:rPr>
            </w:pPr>
            <w:r>
              <w:rPr>
                <w:rFonts w:hint="eastAsia"/>
                <w:color w:val="auto"/>
                <w:sz w:val="21"/>
                <w:szCs w:val="21"/>
              </w:rPr>
              <w:t>销售站</w:t>
            </w:r>
          </w:p>
        </w:tc>
        <w:tc>
          <w:tcPr>
            <w:tcW w:w="3251" w:type="pct"/>
            <w:vAlign w:val="center"/>
          </w:tcPr>
          <w:p>
            <w:pPr>
              <w:spacing w:line="240" w:lineRule="auto"/>
              <w:ind w:firstLine="0" w:firstLineChars="0"/>
              <w:jc w:val="center"/>
              <w:rPr>
                <w:color w:val="auto"/>
                <w:sz w:val="21"/>
                <w:szCs w:val="21"/>
              </w:rPr>
            </w:pPr>
            <w:r>
              <w:rPr>
                <w:color w:val="auto"/>
                <w:sz w:val="21"/>
                <w:szCs w:val="21"/>
              </w:rPr>
              <w:t>新建：规格</w:t>
            </w:r>
            <w:r>
              <w:rPr>
                <w:rFonts w:hint="eastAsia"/>
                <w:color w:val="auto"/>
                <w:sz w:val="21"/>
                <w:szCs w:val="21"/>
              </w:rPr>
              <w:t>32.37</w:t>
            </w:r>
            <w:r>
              <w:rPr>
                <w:color w:val="auto"/>
                <w:sz w:val="21"/>
                <w:szCs w:val="21"/>
              </w:rPr>
              <w:t>m×</w:t>
            </w:r>
            <w:r>
              <w:rPr>
                <w:rFonts w:hint="eastAsia"/>
                <w:color w:val="auto"/>
                <w:sz w:val="21"/>
                <w:szCs w:val="21"/>
              </w:rPr>
              <w:t>7.68</w:t>
            </w:r>
            <w:r>
              <w:rPr>
                <w:color w:val="auto"/>
                <w:sz w:val="21"/>
                <w:szCs w:val="21"/>
              </w:rPr>
              <w:t>m，总建筑面积</w:t>
            </w:r>
            <w:r>
              <w:rPr>
                <w:rFonts w:hint="eastAsia"/>
                <w:color w:val="auto"/>
                <w:sz w:val="21"/>
                <w:szCs w:val="21"/>
              </w:rPr>
              <w:t>248.6</w:t>
            </w:r>
            <w:r>
              <w:rPr>
                <w:color w:val="auto"/>
                <w:sz w:val="21"/>
                <w:szCs w:val="21"/>
              </w:rPr>
              <w:t>m</w:t>
            </w:r>
            <w:r>
              <w:rPr>
                <w:color w:val="auto"/>
                <w:sz w:val="21"/>
                <w:szCs w:val="21"/>
                <w:vertAlign w:val="superscript"/>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2" w:hRule="atLeast"/>
        </w:trPr>
        <w:tc>
          <w:tcPr>
            <w:tcW w:w="225" w:type="pct"/>
            <w:vMerge w:val="continue"/>
            <w:vAlign w:val="center"/>
          </w:tcPr>
          <w:p>
            <w:pPr>
              <w:spacing w:line="240" w:lineRule="auto"/>
              <w:ind w:firstLine="0" w:firstLineChars="0"/>
              <w:jc w:val="center"/>
              <w:rPr>
                <w:color w:val="auto"/>
                <w:sz w:val="21"/>
                <w:szCs w:val="21"/>
              </w:rPr>
            </w:pPr>
          </w:p>
        </w:tc>
        <w:tc>
          <w:tcPr>
            <w:tcW w:w="566" w:type="pct"/>
            <w:vMerge w:val="continue"/>
            <w:vAlign w:val="center"/>
          </w:tcPr>
          <w:p>
            <w:pPr>
              <w:spacing w:line="240" w:lineRule="auto"/>
              <w:ind w:firstLine="0" w:firstLineChars="0"/>
              <w:jc w:val="center"/>
              <w:rPr>
                <w:color w:val="auto"/>
                <w:sz w:val="21"/>
                <w:szCs w:val="21"/>
              </w:rPr>
            </w:pPr>
          </w:p>
        </w:tc>
        <w:tc>
          <w:tcPr>
            <w:tcW w:w="955" w:type="pct"/>
            <w:gridSpan w:val="2"/>
            <w:vAlign w:val="center"/>
          </w:tcPr>
          <w:p>
            <w:pPr>
              <w:spacing w:line="240" w:lineRule="auto"/>
              <w:ind w:firstLine="0" w:firstLineChars="0"/>
              <w:jc w:val="center"/>
              <w:rPr>
                <w:color w:val="auto"/>
                <w:sz w:val="21"/>
                <w:szCs w:val="21"/>
              </w:rPr>
            </w:pPr>
            <w:r>
              <w:rPr>
                <w:rFonts w:hint="eastAsia"/>
                <w:color w:val="auto"/>
                <w:sz w:val="21"/>
                <w:szCs w:val="21"/>
              </w:rPr>
              <w:t>烘干房</w:t>
            </w:r>
          </w:p>
        </w:tc>
        <w:tc>
          <w:tcPr>
            <w:tcW w:w="3251" w:type="pct"/>
            <w:vAlign w:val="center"/>
          </w:tcPr>
          <w:p>
            <w:pPr>
              <w:spacing w:line="240" w:lineRule="auto"/>
              <w:ind w:firstLine="0" w:firstLineChars="0"/>
              <w:jc w:val="center"/>
              <w:rPr>
                <w:color w:val="auto"/>
                <w:sz w:val="21"/>
                <w:szCs w:val="21"/>
              </w:rPr>
            </w:pPr>
            <w:r>
              <w:rPr>
                <w:color w:val="auto"/>
                <w:sz w:val="21"/>
                <w:szCs w:val="21"/>
              </w:rPr>
              <w:t>新建：规格</w:t>
            </w:r>
            <w:r>
              <w:rPr>
                <w:rFonts w:hint="eastAsia"/>
                <w:color w:val="auto"/>
                <w:sz w:val="21"/>
                <w:szCs w:val="21"/>
              </w:rPr>
              <w:t>8.48</w:t>
            </w:r>
            <w:r>
              <w:rPr>
                <w:color w:val="auto"/>
                <w:sz w:val="21"/>
                <w:szCs w:val="21"/>
              </w:rPr>
              <w:t>m×</w:t>
            </w:r>
            <w:r>
              <w:rPr>
                <w:rFonts w:hint="eastAsia"/>
                <w:color w:val="auto"/>
                <w:sz w:val="21"/>
                <w:szCs w:val="21"/>
              </w:rPr>
              <w:t>10.38</w:t>
            </w:r>
            <w:r>
              <w:rPr>
                <w:color w:val="auto"/>
                <w:sz w:val="21"/>
                <w:szCs w:val="21"/>
              </w:rPr>
              <w:t>m，总建筑面积</w:t>
            </w:r>
            <w:r>
              <w:rPr>
                <w:rFonts w:hint="eastAsia"/>
                <w:color w:val="auto"/>
                <w:sz w:val="21"/>
                <w:szCs w:val="21"/>
              </w:rPr>
              <w:t>176.04</w:t>
            </w:r>
            <w:r>
              <w:rPr>
                <w:color w:val="auto"/>
                <w:sz w:val="21"/>
                <w:szCs w:val="21"/>
              </w:rPr>
              <w:t>m</w:t>
            </w:r>
            <w:r>
              <w:rPr>
                <w:color w:val="auto"/>
                <w:sz w:val="21"/>
                <w:szCs w:val="21"/>
                <w:vertAlign w:val="superscript"/>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25" w:type="pct"/>
            <w:vMerge w:val="continue"/>
            <w:vAlign w:val="center"/>
          </w:tcPr>
          <w:p>
            <w:pPr>
              <w:spacing w:line="240" w:lineRule="auto"/>
              <w:ind w:firstLine="0" w:firstLineChars="0"/>
              <w:jc w:val="center"/>
              <w:rPr>
                <w:color w:val="auto"/>
                <w:sz w:val="21"/>
                <w:szCs w:val="21"/>
              </w:rPr>
            </w:pPr>
          </w:p>
        </w:tc>
        <w:tc>
          <w:tcPr>
            <w:tcW w:w="566" w:type="pct"/>
            <w:vMerge w:val="continue"/>
            <w:vAlign w:val="center"/>
          </w:tcPr>
          <w:p>
            <w:pPr>
              <w:spacing w:line="240" w:lineRule="auto"/>
              <w:ind w:firstLine="0" w:firstLineChars="0"/>
              <w:jc w:val="center"/>
              <w:rPr>
                <w:color w:val="auto"/>
                <w:sz w:val="21"/>
                <w:szCs w:val="21"/>
              </w:rPr>
            </w:pPr>
          </w:p>
        </w:tc>
        <w:tc>
          <w:tcPr>
            <w:tcW w:w="955" w:type="pct"/>
            <w:gridSpan w:val="2"/>
            <w:vAlign w:val="center"/>
          </w:tcPr>
          <w:p>
            <w:pPr>
              <w:spacing w:line="240" w:lineRule="auto"/>
              <w:ind w:firstLine="0" w:firstLineChars="0"/>
              <w:jc w:val="center"/>
              <w:rPr>
                <w:color w:val="auto"/>
                <w:sz w:val="21"/>
                <w:szCs w:val="21"/>
              </w:rPr>
            </w:pPr>
            <w:r>
              <w:rPr>
                <w:rFonts w:hint="eastAsia"/>
                <w:color w:val="auto"/>
                <w:sz w:val="21"/>
                <w:szCs w:val="21"/>
              </w:rPr>
              <w:t>饲料总站</w:t>
            </w:r>
          </w:p>
        </w:tc>
        <w:tc>
          <w:tcPr>
            <w:tcW w:w="3251" w:type="pct"/>
            <w:vAlign w:val="center"/>
          </w:tcPr>
          <w:p>
            <w:pPr>
              <w:spacing w:line="240" w:lineRule="auto"/>
              <w:ind w:firstLine="0" w:firstLineChars="0"/>
              <w:jc w:val="center"/>
              <w:rPr>
                <w:color w:val="auto"/>
                <w:sz w:val="21"/>
                <w:szCs w:val="21"/>
              </w:rPr>
            </w:pPr>
            <w:r>
              <w:rPr>
                <w:color w:val="auto"/>
                <w:sz w:val="21"/>
                <w:szCs w:val="21"/>
              </w:rPr>
              <w:t>新建：规格</w:t>
            </w:r>
            <w:r>
              <w:rPr>
                <w:rFonts w:hint="eastAsia"/>
                <w:color w:val="auto"/>
                <w:sz w:val="21"/>
                <w:szCs w:val="21"/>
              </w:rPr>
              <w:t>33</w:t>
            </w:r>
            <w:r>
              <w:rPr>
                <w:color w:val="auto"/>
                <w:sz w:val="21"/>
                <w:szCs w:val="21"/>
              </w:rPr>
              <w:t>m×</w:t>
            </w:r>
            <w:r>
              <w:rPr>
                <w:rFonts w:hint="eastAsia"/>
                <w:color w:val="auto"/>
                <w:sz w:val="21"/>
                <w:szCs w:val="21"/>
              </w:rPr>
              <w:t>3</w:t>
            </w:r>
            <w:r>
              <w:rPr>
                <w:color w:val="auto"/>
                <w:sz w:val="21"/>
                <w:szCs w:val="21"/>
              </w:rPr>
              <w:t>m，总建筑面积</w:t>
            </w:r>
            <w:r>
              <w:rPr>
                <w:rFonts w:hint="eastAsia"/>
                <w:color w:val="auto"/>
                <w:sz w:val="21"/>
                <w:szCs w:val="21"/>
              </w:rPr>
              <w:t>99</w:t>
            </w:r>
            <w:r>
              <w:rPr>
                <w:color w:val="auto"/>
                <w:sz w:val="21"/>
                <w:szCs w:val="21"/>
              </w:rPr>
              <w:t>m</w:t>
            </w:r>
            <w:r>
              <w:rPr>
                <w:color w:val="auto"/>
                <w:sz w:val="21"/>
                <w:szCs w:val="21"/>
                <w:vertAlign w:val="superscript"/>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9" w:hRule="atLeast"/>
        </w:trPr>
        <w:tc>
          <w:tcPr>
            <w:tcW w:w="225" w:type="pct"/>
            <w:vMerge w:val="restart"/>
            <w:vAlign w:val="center"/>
          </w:tcPr>
          <w:p>
            <w:pPr>
              <w:spacing w:line="240" w:lineRule="auto"/>
              <w:ind w:firstLine="0" w:firstLineChars="0"/>
              <w:jc w:val="center"/>
              <w:rPr>
                <w:color w:val="auto"/>
                <w:sz w:val="21"/>
                <w:szCs w:val="21"/>
              </w:rPr>
            </w:pPr>
            <w:r>
              <w:rPr>
                <w:rFonts w:hint="eastAsia"/>
                <w:color w:val="auto"/>
                <w:sz w:val="21"/>
                <w:szCs w:val="21"/>
              </w:rPr>
              <w:t>4</w:t>
            </w:r>
          </w:p>
        </w:tc>
        <w:tc>
          <w:tcPr>
            <w:tcW w:w="566" w:type="pct"/>
            <w:vMerge w:val="restart"/>
            <w:vAlign w:val="center"/>
          </w:tcPr>
          <w:p>
            <w:pPr>
              <w:spacing w:line="240" w:lineRule="auto"/>
              <w:ind w:firstLine="0" w:firstLineChars="0"/>
              <w:jc w:val="center"/>
              <w:rPr>
                <w:color w:val="auto"/>
                <w:sz w:val="21"/>
                <w:szCs w:val="21"/>
              </w:rPr>
            </w:pPr>
            <w:r>
              <w:rPr>
                <w:rFonts w:hint="eastAsia"/>
                <w:color w:val="auto"/>
                <w:sz w:val="21"/>
                <w:szCs w:val="21"/>
              </w:rPr>
              <w:t>环保区</w:t>
            </w:r>
          </w:p>
        </w:tc>
        <w:tc>
          <w:tcPr>
            <w:tcW w:w="955" w:type="pct"/>
            <w:gridSpan w:val="2"/>
            <w:vAlign w:val="center"/>
          </w:tcPr>
          <w:p>
            <w:pPr>
              <w:spacing w:line="240" w:lineRule="auto"/>
              <w:ind w:firstLine="0" w:firstLineChars="0"/>
              <w:jc w:val="center"/>
              <w:rPr>
                <w:color w:val="auto"/>
                <w:sz w:val="21"/>
                <w:szCs w:val="21"/>
              </w:rPr>
            </w:pPr>
            <w:r>
              <w:rPr>
                <w:rFonts w:hint="eastAsia"/>
                <w:color w:val="auto"/>
                <w:sz w:val="21"/>
                <w:szCs w:val="21"/>
              </w:rPr>
              <w:t>病死猪暂存间</w:t>
            </w:r>
          </w:p>
        </w:tc>
        <w:tc>
          <w:tcPr>
            <w:tcW w:w="3251" w:type="pct"/>
            <w:vAlign w:val="center"/>
          </w:tcPr>
          <w:p>
            <w:pPr>
              <w:spacing w:line="240" w:lineRule="auto"/>
              <w:ind w:firstLine="0" w:firstLineChars="0"/>
              <w:jc w:val="center"/>
              <w:rPr>
                <w:color w:val="auto"/>
                <w:sz w:val="21"/>
                <w:szCs w:val="21"/>
              </w:rPr>
            </w:pPr>
            <w:r>
              <w:rPr>
                <w:color w:val="auto"/>
                <w:sz w:val="21"/>
                <w:szCs w:val="21"/>
              </w:rPr>
              <w:t>新建：1个，建筑面积</w:t>
            </w:r>
            <w:r>
              <w:rPr>
                <w:rFonts w:hint="eastAsia"/>
                <w:color w:val="auto"/>
                <w:sz w:val="21"/>
                <w:szCs w:val="21"/>
              </w:rPr>
              <w:t>15</w:t>
            </w:r>
            <w:r>
              <w:rPr>
                <w:color w:val="auto"/>
                <w:sz w:val="21"/>
                <w:szCs w:val="21"/>
              </w:rPr>
              <w:t>m</w:t>
            </w:r>
            <w:r>
              <w:rPr>
                <w:color w:val="auto"/>
                <w:sz w:val="21"/>
                <w:szCs w:val="21"/>
                <w:vertAlign w:val="superscript"/>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0" w:hRule="atLeast"/>
        </w:trPr>
        <w:tc>
          <w:tcPr>
            <w:tcW w:w="225" w:type="pct"/>
            <w:vMerge w:val="continue"/>
            <w:vAlign w:val="center"/>
          </w:tcPr>
          <w:p>
            <w:pPr>
              <w:spacing w:line="240" w:lineRule="auto"/>
              <w:ind w:firstLine="0" w:firstLineChars="0"/>
              <w:jc w:val="center"/>
              <w:rPr>
                <w:color w:val="auto"/>
                <w:sz w:val="21"/>
                <w:szCs w:val="21"/>
              </w:rPr>
            </w:pPr>
          </w:p>
        </w:tc>
        <w:tc>
          <w:tcPr>
            <w:tcW w:w="566" w:type="pct"/>
            <w:vMerge w:val="continue"/>
            <w:vAlign w:val="center"/>
          </w:tcPr>
          <w:p>
            <w:pPr>
              <w:spacing w:line="240" w:lineRule="auto"/>
              <w:ind w:firstLine="0" w:firstLineChars="0"/>
              <w:jc w:val="center"/>
              <w:rPr>
                <w:color w:val="auto"/>
                <w:sz w:val="21"/>
                <w:szCs w:val="21"/>
              </w:rPr>
            </w:pPr>
          </w:p>
        </w:tc>
        <w:tc>
          <w:tcPr>
            <w:tcW w:w="955" w:type="pct"/>
            <w:gridSpan w:val="2"/>
            <w:vAlign w:val="center"/>
          </w:tcPr>
          <w:p>
            <w:pPr>
              <w:spacing w:line="240" w:lineRule="auto"/>
              <w:ind w:firstLine="0" w:firstLineChars="0"/>
              <w:jc w:val="center"/>
              <w:rPr>
                <w:color w:val="auto"/>
                <w:sz w:val="21"/>
                <w:szCs w:val="21"/>
              </w:rPr>
            </w:pPr>
            <w:r>
              <w:rPr>
                <w:rFonts w:hint="eastAsia"/>
                <w:color w:val="auto"/>
                <w:sz w:val="21"/>
                <w:szCs w:val="21"/>
              </w:rPr>
              <w:t>环保值班室</w:t>
            </w:r>
          </w:p>
        </w:tc>
        <w:tc>
          <w:tcPr>
            <w:tcW w:w="3251" w:type="pct"/>
            <w:vAlign w:val="center"/>
          </w:tcPr>
          <w:p>
            <w:pPr>
              <w:spacing w:line="240" w:lineRule="auto"/>
              <w:ind w:firstLine="0" w:firstLineChars="0"/>
              <w:jc w:val="center"/>
              <w:rPr>
                <w:color w:val="auto"/>
                <w:sz w:val="21"/>
                <w:szCs w:val="21"/>
              </w:rPr>
            </w:pPr>
            <w:r>
              <w:rPr>
                <w:color w:val="auto"/>
                <w:sz w:val="21"/>
                <w:szCs w:val="21"/>
              </w:rPr>
              <w:t>新建：1栋1层，规格</w:t>
            </w:r>
            <w:r>
              <w:rPr>
                <w:rFonts w:hint="eastAsia"/>
                <w:color w:val="auto"/>
                <w:sz w:val="21"/>
                <w:szCs w:val="21"/>
              </w:rPr>
              <w:t>21.8</w:t>
            </w:r>
            <w:r>
              <w:rPr>
                <w:color w:val="auto"/>
                <w:sz w:val="21"/>
                <w:szCs w:val="21"/>
              </w:rPr>
              <w:t>m×</w:t>
            </w:r>
            <w:r>
              <w:rPr>
                <w:rFonts w:hint="eastAsia"/>
                <w:color w:val="auto"/>
                <w:sz w:val="21"/>
                <w:szCs w:val="21"/>
              </w:rPr>
              <w:t>8.9</w:t>
            </w:r>
            <w:r>
              <w:rPr>
                <w:color w:val="auto"/>
                <w:sz w:val="21"/>
                <w:szCs w:val="21"/>
              </w:rPr>
              <w:t>m，总建筑面积</w:t>
            </w:r>
            <w:r>
              <w:rPr>
                <w:rFonts w:hint="eastAsia"/>
                <w:color w:val="auto"/>
                <w:sz w:val="21"/>
                <w:szCs w:val="21"/>
              </w:rPr>
              <w:t>194.02</w:t>
            </w:r>
            <w:r>
              <w:rPr>
                <w:color w:val="auto"/>
                <w:sz w:val="21"/>
                <w:szCs w:val="21"/>
              </w:rPr>
              <w:t>m</w:t>
            </w:r>
            <w:r>
              <w:rPr>
                <w:color w:val="auto"/>
                <w:sz w:val="21"/>
                <w:szCs w:val="21"/>
                <w:vertAlign w:val="superscript"/>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6" w:hRule="atLeast"/>
        </w:trPr>
        <w:tc>
          <w:tcPr>
            <w:tcW w:w="225" w:type="pct"/>
            <w:vMerge w:val="continue"/>
            <w:vAlign w:val="center"/>
          </w:tcPr>
          <w:p>
            <w:pPr>
              <w:spacing w:line="240" w:lineRule="auto"/>
              <w:ind w:firstLine="0" w:firstLineChars="0"/>
              <w:jc w:val="center"/>
              <w:rPr>
                <w:color w:val="auto"/>
                <w:sz w:val="21"/>
                <w:szCs w:val="21"/>
              </w:rPr>
            </w:pPr>
          </w:p>
        </w:tc>
        <w:tc>
          <w:tcPr>
            <w:tcW w:w="566" w:type="pct"/>
            <w:vMerge w:val="continue"/>
            <w:vAlign w:val="center"/>
          </w:tcPr>
          <w:p>
            <w:pPr>
              <w:spacing w:line="240" w:lineRule="auto"/>
              <w:ind w:firstLine="0" w:firstLineChars="0"/>
              <w:jc w:val="center"/>
              <w:rPr>
                <w:color w:val="auto"/>
                <w:sz w:val="21"/>
                <w:szCs w:val="21"/>
              </w:rPr>
            </w:pPr>
          </w:p>
        </w:tc>
        <w:tc>
          <w:tcPr>
            <w:tcW w:w="955" w:type="pct"/>
            <w:gridSpan w:val="2"/>
            <w:vAlign w:val="center"/>
          </w:tcPr>
          <w:p>
            <w:pPr>
              <w:spacing w:line="240" w:lineRule="auto"/>
              <w:ind w:firstLine="0" w:firstLineChars="0"/>
              <w:jc w:val="center"/>
              <w:rPr>
                <w:color w:val="auto"/>
                <w:sz w:val="21"/>
                <w:szCs w:val="21"/>
              </w:rPr>
            </w:pPr>
            <w:r>
              <w:rPr>
                <w:rFonts w:hint="eastAsia"/>
                <w:color w:val="auto"/>
                <w:sz w:val="21"/>
                <w:szCs w:val="21"/>
              </w:rPr>
              <w:t>固粪处理区</w:t>
            </w:r>
          </w:p>
        </w:tc>
        <w:tc>
          <w:tcPr>
            <w:tcW w:w="3251" w:type="pct"/>
            <w:vAlign w:val="center"/>
          </w:tcPr>
          <w:p>
            <w:pPr>
              <w:spacing w:line="240" w:lineRule="auto"/>
              <w:ind w:firstLine="0" w:firstLineChars="0"/>
              <w:jc w:val="center"/>
              <w:rPr>
                <w:color w:val="auto"/>
                <w:sz w:val="21"/>
                <w:szCs w:val="21"/>
              </w:rPr>
            </w:pPr>
            <w:r>
              <w:rPr>
                <w:color w:val="auto"/>
                <w:sz w:val="21"/>
                <w:szCs w:val="21"/>
              </w:rPr>
              <w:t>新建，1个；规格：14m×</w:t>
            </w:r>
            <w:r>
              <w:rPr>
                <w:rFonts w:hint="eastAsia"/>
                <w:color w:val="auto"/>
                <w:sz w:val="21"/>
                <w:szCs w:val="21"/>
              </w:rPr>
              <w:t>28</w:t>
            </w:r>
            <w:r>
              <w:rPr>
                <w:color w:val="auto"/>
                <w:sz w:val="21"/>
                <w:szCs w:val="21"/>
              </w:rPr>
              <w:t>m，建筑面积</w:t>
            </w:r>
            <w:r>
              <w:rPr>
                <w:rFonts w:hint="eastAsia"/>
                <w:color w:val="auto"/>
                <w:sz w:val="21"/>
                <w:szCs w:val="21"/>
              </w:rPr>
              <w:t>392</w:t>
            </w:r>
            <w:r>
              <w:rPr>
                <w:color w:val="auto"/>
                <w:sz w:val="21"/>
                <w:szCs w:val="21"/>
              </w:rPr>
              <w:t>m</w:t>
            </w:r>
            <w:r>
              <w:rPr>
                <w:color w:val="auto"/>
                <w:sz w:val="21"/>
                <w:szCs w:val="21"/>
                <w:vertAlign w:val="superscript"/>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6" w:hRule="atLeast"/>
        </w:trPr>
        <w:tc>
          <w:tcPr>
            <w:tcW w:w="225" w:type="pct"/>
            <w:vMerge w:val="continue"/>
            <w:vAlign w:val="center"/>
          </w:tcPr>
          <w:p>
            <w:pPr>
              <w:spacing w:line="240" w:lineRule="auto"/>
              <w:ind w:firstLine="0" w:firstLineChars="0"/>
              <w:jc w:val="center"/>
              <w:rPr>
                <w:color w:val="auto"/>
                <w:sz w:val="21"/>
                <w:szCs w:val="21"/>
              </w:rPr>
            </w:pPr>
          </w:p>
        </w:tc>
        <w:tc>
          <w:tcPr>
            <w:tcW w:w="566" w:type="pct"/>
            <w:vMerge w:val="continue"/>
            <w:vAlign w:val="center"/>
          </w:tcPr>
          <w:p>
            <w:pPr>
              <w:spacing w:line="240" w:lineRule="auto"/>
              <w:ind w:firstLine="0" w:firstLineChars="0"/>
              <w:jc w:val="center"/>
              <w:rPr>
                <w:color w:val="auto"/>
                <w:sz w:val="21"/>
                <w:szCs w:val="21"/>
              </w:rPr>
            </w:pPr>
          </w:p>
        </w:tc>
        <w:tc>
          <w:tcPr>
            <w:tcW w:w="955" w:type="pct"/>
            <w:gridSpan w:val="2"/>
            <w:vAlign w:val="center"/>
          </w:tcPr>
          <w:p>
            <w:pPr>
              <w:spacing w:line="240" w:lineRule="auto"/>
              <w:ind w:firstLine="0" w:firstLineChars="0"/>
              <w:jc w:val="center"/>
              <w:rPr>
                <w:color w:val="auto"/>
                <w:sz w:val="21"/>
                <w:szCs w:val="21"/>
              </w:rPr>
            </w:pPr>
            <w:r>
              <w:rPr>
                <w:rFonts w:hint="eastAsia"/>
                <w:color w:val="auto"/>
                <w:sz w:val="21"/>
                <w:szCs w:val="21"/>
              </w:rPr>
              <w:t>黑膜沼气-沼液池</w:t>
            </w:r>
          </w:p>
        </w:tc>
        <w:tc>
          <w:tcPr>
            <w:tcW w:w="3251" w:type="pct"/>
            <w:vAlign w:val="center"/>
          </w:tcPr>
          <w:p>
            <w:pPr>
              <w:spacing w:line="240" w:lineRule="auto"/>
              <w:ind w:firstLine="0" w:firstLineChars="0"/>
              <w:jc w:val="center"/>
              <w:rPr>
                <w:color w:val="auto"/>
                <w:sz w:val="21"/>
                <w:szCs w:val="21"/>
              </w:rPr>
            </w:pPr>
            <w:r>
              <w:rPr>
                <w:color w:val="auto"/>
                <w:sz w:val="21"/>
                <w:szCs w:val="21"/>
              </w:rPr>
              <w:t>新建：1个，</w:t>
            </w:r>
            <w:r>
              <w:rPr>
                <w:rFonts w:hint="eastAsia"/>
                <w:color w:val="auto"/>
                <w:sz w:val="21"/>
                <w:szCs w:val="21"/>
              </w:rPr>
              <w:t>占地面积17633</w:t>
            </w:r>
            <w:r>
              <w:rPr>
                <w:color w:val="auto"/>
                <w:sz w:val="21"/>
                <w:szCs w:val="21"/>
              </w:rPr>
              <w:t>m</w:t>
            </w:r>
            <w:r>
              <w:rPr>
                <w:rFonts w:hint="eastAsia"/>
                <w:color w:val="auto"/>
                <w:sz w:val="21"/>
                <w:szCs w:val="21"/>
                <w:vertAlign w:val="superscript"/>
              </w:rPr>
              <w:t>3</w:t>
            </w:r>
            <w:r>
              <w:rPr>
                <w:rFonts w:hint="eastAsia"/>
                <w:color w:val="auto"/>
                <w:sz w:val="21"/>
                <w:szCs w:val="21"/>
              </w:rPr>
              <w:t>，深6m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5" w:type="pct"/>
            <w:vMerge w:val="restart"/>
            <w:vAlign w:val="center"/>
          </w:tcPr>
          <w:p>
            <w:pPr>
              <w:spacing w:line="240" w:lineRule="auto"/>
              <w:ind w:firstLine="0" w:firstLineChars="0"/>
              <w:jc w:val="center"/>
              <w:rPr>
                <w:color w:val="auto"/>
                <w:sz w:val="21"/>
                <w:szCs w:val="21"/>
              </w:rPr>
            </w:pPr>
            <w:r>
              <w:rPr>
                <w:rFonts w:hint="eastAsia"/>
                <w:color w:val="auto"/>
                <w:sz w:val="21"/>
                <w:szCs w:val="21"/>
              </w:rPr>
              <w:t>5</w:t>
            </w:r>
          </w:p>
        </w:tc>
        <w:tc>
          <w:tcPr>
            <w:tcW w:w="566" w:type="pct"/>
            <w:vMerge w:val="restart"/>
            <w:vAlign w:val="center"/>
          </w:tcPr>
          <w:p>
            <w:pPr>
              <w:spacing w:line="240" w:lineRule="auto"/>
              <w:ind w:firstLine="0" w:firstLineChars="0"/>
              <w:jc w:val="center"/>
              <w:rPr>
                <w:color w:val="auto"/>
                <w:sz w:val="21"/>
                <w:szCs w:val="21"/>
              </w:rPr>
            </w:pPr>
            <w:r>
              <w:rPr>
                <w:color w:val="auto"/>
                <w:sz w:val="21"/>
                <w:szCs w:val="21"/>
              </w:rPr>
              <w:t>公用工程</w:t>
            </w:r>
          </w:p>
        </w:tc>
        <w:tc>
          <w:tcPr>
            <w:tcW w:w="955" w:type="pct"/>
            <w:gridSpan w:val="2"/>
            <w:vAlign w:val="center"/>
          </w:tcPr>
          <w:p>
            <w:pPr>
              <w:spacing w:line="240" w:lineRule="auto"/>
              <w:ind w:firstLine="0" w:firstLineChars="0"/>
              <w:jc w:val="center"/>
              <w:rPr>
                <w:color w:val="auto"/>
                <w:sz w:val="21"/>
                <w:szCs w:val="21"/>
              </w:rPr>
            </w:pPr>
            <w:r>
              <w:rPr>
                <w:color w:val="auto"/>
                <w:sz w:val="21"/>
                <w:szCs w:val="21"/>
              </w:rPr>
              <w:t>给水工程</w:t>
            </w:r>
          </w:p>
        </w:tc>
        <w:tc>
          <w:tcPr>
            <w:tcW w:w="3251" w:type="pct"/>
            <w:vAlign w:val="center"/>
          </w:tcPr>
          <w:p>
            <w:pPr>
              <w:spacing w:line="240" w:lineRule="auto"/>
              <w:ind w:firstLine="0" w:firstLineChars="0"/>
              <w:jc w:val="center"/>
              <w:rPr>
                <w:color w:val="auto"/>
                <w:sz w:val="21"/>
                <w:szCs w:val="21"/>
              </w:rPr>
            </w:pPr>
            <w:r>
              <w:rPr>
                <w:color w:val="auto"/>
                <w:sz w:val="21"/>
                <w:szCs w:val="21"/>
              </w:rPr>
              <w:t>本项目用水由自备井供给，出水约为40m</w:t>
            </w:r>
            <w:r>
              <w:rPr>
                <w:color w:val="auto"/>
                <w:sz w:val="21"/>
                <w:szCs w:val="21"/>
                <w:vertAlign w:val="superscript"/>
              </w:rPr>
              <w:t>3</w:t>
            </w:r>
            <w:r>
              <w:rPr>
                <w:color w:val="auto"/>
                <w:sz w:val="21"/>
                <w:szCs w:val="21"/>
              </w:rPr>
              <w:t>/h，单个水井配置1个蓄水池</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5" w:type="pct"/>
            <w:vMerge w:val="continue"/>
            <w:vAlign w:val="center"/>
          </w:tcPr>
          <w:p>
            <w:pPr>
              <w:spacing w:line="240" w:lineRule="auto"/>
              <w:ind w:firstLine="0" w:firstLineChars="0"/>
              <w:jc w:val="center"/>
              <w:rPr>
                <w:color w:val="auto"/>
                <w:sz w:val="21"/>
                <w:szCs w:val="21"/>
              </w:rPr>
            </w:pPr>
          </w:p>
        </w:tc>
        <w:tc>
          <w:tcPr>
            <w:tcW w:w="566" w:type="pct"/>
            <w:vMerge w:val="continue"/>
            <w:vAlign w:val="center"/>
          </w:tcPr>
          <w:p>
            <w:pPr>
              <w:spacing w:line="240" w:lineRule="auto"/>
              <w:ind w:firstLine="0" w:firstLineChars="0"/>
              <w:jc w:val="center"/>
              <w:rPr>
                <w:color w:val="auto"/>
                <w:sz w:val="21"/>
                <w:szCs w:val="21"/>
              </w:rPr>
            </w:pPr>
          </w:p>
        </w:tc>
        <w:tc>
          <w:tcPr>
            <w:tcW w:w="955" w:type="pct"/>
            <w:gridSpan w:val="2"/>
            <w:vAlign w:val="center"/>
          </w:tcPr>
          <w:p>
            <w:pPr>
              <w:spacing w:line="240" w:lineRule="auto"/>
              <w:ind w:firstLine="0" w:firstLineChars="0"/>
              <w:jc w:val="center"/>
              <w:rPr>
                <w:color w:val="auto"/>
                <w:sz w:val="21"/>
                <w:szCs w:val="21"/>
              </w:rPr>
            </w:pPr>
            <w:r>
              <w:rPr>
                <w:color w:val="auto"/>
                <w:sz w:val="21"/>
                <w:szCs w:val="21"/>
              </w:rPr>
              <w:t>排水工程</w:t>
            </w:r>
          </w:p>
        </w:tc>
        <w:tc>
          <w:tcPr>
            <w:tcW w:w="3251" w:type="pct"/>
            <w:vAlign w:val="center"/>
          </w:tcPr>
          <w:p>
            <w:pPr>
              <w:spacing w:line="240" w:lineRule="auto"/>
              <w:ind w:firstLine="0" w:firstLineChars="0"/>
              <w:jc w:val="center"/>
              <w:rPr>
                <w:color w:val="auto"/>
                <w:sz w:val="21"/>
                <w:szCs w:val="21"/>
              </w:rPr>
            </w:pPr>
            <w:r>
              <w:rPr>
                <w:color w:val="auto"/>
                <w:sz w:val="21"/>
                <w:szCs w:val="21"/>
              </w:rPr>
              <w:t>本项目排水采用雨污分流，雨水经雨水管道排到厂区外部，养殖废水和生活污水经</w:t>
            </w:r>
            <w:r>
              <w:rPr>
                <w:rFonts w:hint="eastAsia"/>
                <w:color w:val="auto"/>
                <w:sz w:val="21"/>
                <w:szCs w:val="21"/>
              </w:rPr>
              <w:t>厂</w:t>
            </w:r>
            <w:r>
              <w:rPr>
                <w:color w:val="auto"/>
                <w:sz w:val="21"/>
                <w:szCs w:val="21"/>
              </w:rPr>
              <w:t>区内黑膜沼气池处理后，沼液作为农肥综合利用，不外排。</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5" w:type="pct"/>
            <w:vMerge w:val="continue"/>
            <w:vAlign w:val="center"/>
          </w:tcPr>
          <w:p>
            <w:pPr>
              <w:spacing w:line="240" w:lineRule="auto"/>
              <w:ind w:firstLine="0" w:firstLineChars="0"/>
              <w:jc w:val="center"/>
              <w:rPr>
                <w:color w:val="auto"/>
                <w:sz w:val="21"/>
                <w:szCs w:val="21"/>
              </w:rPr>
            </w:pPr>
          </w:p>
        </w:tc>
        <w:tc>
          <w:tcPr>
            <w:tcW w:w="566" w:type="pct"/>
            <w:vMerge w:val="continue"/>
            <w:vAlign w:val="center"/>
          </w:tcPr>
          <w:p>
            <w:pPr>
              <w:spacing w:line="240" w:lineRule="auto"/>
              <w:ind w:firstLine="0" w:firstLineChars="0"/>
              <w:jc w:val="center"/>
              <w:rPr>
                <w:color w:val="auto"/>
                <w:sz w:val="21"/>
                <w:szCs w:val="21"/>
              </w:rPr>
            </w:pPr>
          </w:p>
        </w:tc>
        <w:tc>
          <w:tcPr>
            <w:tcW w:w="955" w:type="pct"/>
            <w:gridSpan w:val="2"/>
            <w:vAlign w:val="center"/>
          </w:tcPr>
          <w:p>
            <w:pPr>
              <w:spacing w:line="240" w:lineRule="auto"/>
              <w:ind w:firstLine="0" w:firstLineChars="0"/>
              <w:jc w:val="center"/>
              <w:rPr>
                <w:color w:val="auto"/>
                <w:sz w:val="21"/>
                <w:szCs w:val="21"/>
              </w:rPr>
            </w:pPr>
            <w:r>
              <w:rPr>
                <w:color w:val="auto"/>
                <w:sz w:val="21"/>
                <w:szCs w:val="21"/>
              </w:rPr>
              <w:t>供电系统</w:t>
            </w:r>
          </w:p>
        </w:tc>
        <w:tc>
          <w:tcPr>
            <w:tcW w:w="3251" w:type="pct"/>
            <w:vAlign w:val="center"/>
          </w:tcPr>
          <w:p>
            <w:pPr>
              <w:spacing w:line="240" w:lineRule="auto"/>
              <w:ind w:firstLine="0" w:firstLineChars="0"/>
              <w:jc w:val="center"/>
              <w:rPr>
                <w:color w:val="auto"/>
                <w:sz w:val="21"/>
                <w:szCs w:val="21"/>
              </w:rPr>
            </w:pPr>
            <w:r>
              <w:rPr>
                <w:color w:val="auto"/>
                <w:sz w:val="21"/>
                <w:szCs w:val="21"/>
              </w:rPr>
              <w:t>本项目电源由</w:t>
            </w:r>
            <w:r>
              <w:rPr>
                <w:rFonts w:hint="eastAsia"/>
                <w:color w:val="auto"/>
                <w:sz w:val="21"/>
                <w:szCs w:val="21"/>
              </w:rPr>
              <w:t>濮阳县五星乡</w:t>
            </w:r>
            <w:r>
              <w:rPr>
                <w:color w:val="auto"/>
                <w:sz w:val="21"/>
                <w:szCs w:val="21"/>
              </w:rPr>
              <w:t>供电所接入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5" w:type="pct"/>
            <w:vMerge w:val="continue"/>
            <w:vAlign w:val="center"/>
          </w:tcPr>
          <w:p>
            <w:pPr>
              <w:spacing w:line="240" w:lineRule="auto"/>
              <w:ind w:firstLine="0" w:firstLineChars="0"/>
              <w:jc w:val="center"/>
              <w:rPr>
                <w:b/>
                <w:color w:val="auto"/>
                <w:sz w:val="21"/>
                <w:szCs w:val="21"/>
              </w:rPr>
            </w:pPr>
          </w:p>
        </w:tc>
        <w:tc>
          <w:tcPr>
            <w:tcW w:w="566" w:type="pct"/>
            <w:vMerge w:val="continue"/>
            <w:vAlign w:val="center"/>
          </w:tcPr>
          <w:p>
            <w:pPr>
              <w:spacing w:line="240" w:lineRule="auto"/>
              <w:ind w:firstLine="0" w:firstLineChars="0"/>
              <w:jc w:val="center"/>
              <w:rPr>
                <w:b/>
                <w:color w:val="auto"/>
                <w:sz w:val="21"/>
                <w:szCs w:val="21"/>
              </w:rPr>
            </w:pPr>
          </w:p>
        </w:tc>
        <w:tc>
          <w:tcPr>
            <w:tcW w:w="955" w:type="pct"/>
            <w:gridSpan w:val="2"/>
            <w:vAlign w:val="center"/>
          </w:tcPr>
          <w:p>
            <w:pPr>
              <w:spacing w:line="240" w:lineRule="auto"/>
              <w:ind w:firstLine="0" w:firstLineChars="0"/>
              <w:jc w:val="center"/>
              <w:rPr>
                <w:color w:val="auto"/>
                <w:sz w:val="21"/>
                <w:szCs w:val="21"/>
              </w:rPr>
            </w:pPr>
            <w:r>
              <w:rPr>
                <w:color w:val="auto"/>
                <w:sz w:val="21"/>
                <w:szCs w:val="21"/>
              </w:rPr>
              <w:t>供热工程</w:t>
            </w:r>
          </w:p>
        </w:tc>
        <w:tc>
          <w:tcPr>
            <w:tcW w:w="3251" w:type="pct"/>
            <w:vAlign w:val="center"/>
          </w:tcPr>
          <w:p>
            <w:pPr>
              <w:spacing w:line="240" w:lineRule="auto"/>
              <w:ind w:firstLine="0" w:firstLineChars="0"/>
              <w:jc w:val="center"/>
              <w:rPr>
                <w:color w:val="auto"/>
                <w:sz w:val="21"/>
                <w:szCs w:val="21"/>
              </w:rPr>
            </w:pPr>
            <w:r>
              <w:rPr>
                <w:color w:val="auto"/>
                <w:sz w:val="21"/>
                <w:szCs w:val="21"/>
              </w:rPr>
              <w:t>项目猪舍冬季取暖</w:t>
            </w:r>
            <w:r>
              <w:rPr>
                <w:rFonts w:hint="eastAsia"/>
                <w:color w:val="auto"/>
                <w:sz w:val="21"/>
                <w:szCs w:val="21"/>
              </w:rPr>
              <w:t>主要是通过猪舍墙体保温材料与外部断绝热交换，猪舍内部通风通过全热交换器进行；人员冬季取暖采用空调制暖；</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5" w:type="pct"/>
            <w:vMerge w:val="continue"/>
            <w:vAlign w:val="center"/>
          </w:tcPr>
          <w:p>
            <w:pPr>
              <w:spacing w:line="240" w:lineRule="auto"/>
              <w:ind w:firstLine="0" w:firstLineChars="0"/>
              <w:jc w:val="center"/>
              <w:rPr>
                <w:b/>
                <w:color w:val="auto"/>
                <w:sz w:val="21"/>
                <w:szCs w:val="21"/>
              </w:rPr>
            </w:pPr>
          </w:p>
        </w:tc>
        <w:tc>
          <w:tcPr>
            <w:tcW w:w="566" w:type="pct"/>
            <w:vMerge w:val="continue"/>
            <w:vAlign w:val="center"/>
          </w:tcPr>
          <w:p>
            <w:pPr>
              <w:spacing w:line="240" w:lineRule="auto"/>
              <w:ind w:firstLine="0" w:firstLineChars="0"/>
              <w:jc w:val="center"/>
              <w:rPr>
                <w:b/>
                <w:color w:val="auto"/>
                <w:sz w:val="21"/>
                <w:szCs w:val="21"/>
              </w:rPr>
            </w:pPr>
          </w:p>
        </w:tc>
        <w:tc>
          <w:tcPr>
            <w:tcW w:w="955" w:type="pct"/>
            <w:gridSpan w:val="2"/>
            <w:vAlign w:val="center"/>
          </w:tcPr>
          <w:p>
            <w:pPr>
              <w:spacing w:line="240" w:lineRule="auto"/>
              <w:ind w:firstLine="0" w:firstLineChars="0"/>
              <w:jc w:val="center"/>
              <w:rPr>
                <w:color w:val="auto"/>
                <w:sz w:val="21"/>
                <w:szCs w:val="21"/>
              </w:rPr>
            </w:pPr>
            <w:r>
              <w:rPr>
                <w:color w:val="auto"/>
                <w:sz w:val="21"/>
                <w:szCs w:val="21"/>
              </w:rPr>
              <w:t>沼气综合利用系统</w:t>
            </w:r>
          </w:p>
        </w:tc>
        <w:tc>
          <w:tcPr>
            <w:tcW w:w="3251" w:type="pct"/>
            <w:vAlign w:val="center"/>
          </w:tcPr>
          <w:p>
            <w:pPr>
              <w:spacing w:line="240" w:lineRule="auto"/>
              <w:ind w:firstLine="0" w:firstLineChars="0"/>
              <w:jc w:val="center"/>
              <w:rPr>
                <w:color w:val="auto"/>
                <w:sz w:val="21"/>
                <w:szCs w:val="21"/>
              </w:rPr>
            </w:pPr>
            <w:r>
              <w:rPr>
                <w:color w:val="auto"/>
                <w:sz w:val="21"/>
                <w:szCs w:val="21"/>
              </w:rPr>
              <w:t>新建：本项目沼气产生的沼气经配套的沼气净化装置净化后用于食堂</w:t>
            </w:r>
            <w:r>
              <w:rPr>
                <w:rFonts w:hint="eastAsia"/>
                <w:color w:val="auto"/>
                <w:sz w:val="21"/>
                <w:szCs w:val="21"/>
              </w:rPr>
              <w:t>、</w:t>
            </w:r>
            <w:r>
              <w:rPr>
                <w:color w:val="auto"/>
                <w:sz w:val="21"/>
                <w:szCs w:val="21"/>
              </w:rPr>
              <w:t>多余部分</w:t>
            </w:r>
            <w:r>
              <w:rPr>
                <w:rFonts w:hint="eastAsia"/>
                <w:color w:val="auto"/>
                <w:sz w:val="21"/>
                <w:szCs w:val="21"/>
              </w:rPr>
              <w:t>火炬</w:t>
            </w:r>
            <w:r>
              <w:rPr>
                <w:color w:val="auto"/>
                <w:sz w:val="21"/>
                <w:szCs w:val="21"/>
              </w:rPr>
              <w:t>燃烧</w:t>
            </w:r>
            <w:r>
              <w:rPr>
                <w:rFonts w:hint="eastAsia"/>
                <w:color w:val="auto"/>
                <w:sz w:val="21"/>
                <w:szCs w:val="21"/>
              </w:rPr>
              <w:t>放空</w:t>
            </w:r>
            <w:r>
              <w:rPr>
                <w:color w:val="auto"/>
                <w:sz w:val="21"/>
                <w:szCs w:val="21"/>
              </w:rPr>
              <w:t>。</w:t>
            </w:r>
            <w:r>
              <w:rPr>
                <w:bCs/>
                <w:color w:val="auto"/>
                <w:sz w:val="21"/>
                <w:szCs w:val="21"/>
              </w:rPr>
              <w:t>配套沼气净化装置包括：1套脱硫装置、1套脱水装置、1套阻火装置。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5" w:type="pct"/>
            <w:vMerge w:val="continue"/>
            <w:vAlign w:val="center"/>
          </w:tcPr>
          <w:p>
            <w:pPr>
              <w:spacing w:line="240" w:lineRule="auto"/>
              <w:ind w:firstLine="0" w:firstLineChars="0"/>
              <w:jc w:val="center"/>
              <w:rPr>
                <w:b/>
                <w:color w:val="auto"/>
                <w:sz w:val="21"/>
                <w:szCs w:val="21"/>
              </w:rPr>
            </w:pPr>
          </w:p>
        </w:tc>
        <w:tc>
          <w:tcPr>
            <w:tcW w:w="566" w:type="pct"/>
            <w:vMerge w:val="continue"/>
            <w:vAlign w:val="center"/>
          </w:tcPr>
          <w:p>
            <w:pPr>
              <w:spacing w:line="240" w:lineRule="auto"/>
              <w:ind w:firstLine="0" w:firstLineChars="0"/>
              <w:jc w:val="center"/>
              <w:rPr>
                <w:b/>
                <w:color w:val="auto"/>
                <w:sz w:val="21"/>
                <w:szCs w:val="21"/>
              </w:rPr>
            </w:pPr>
          </w:p>
        </w:tc>
        <w:tc>
          <w:tcPr>
            <w:tcW w:w="955" w:type="pct"/>
            <w:gridSpan w:val="2"/>
            <w:vAlign w:val="center"/>
          </w:tcPr>
          <w:p>
            <w:pPr>
              <w:spacing w:line="240" w:lineRule="auto"/>
              <w:ind w:firstLine="0" w:firstLineChars="0"/>
              <w:jc w:val="center"/>
              <w:rPr>
                <w:color w:val="auto"/>
                <w:sz w:val="21"/>
                <w:szCs w:val="21"/>
              </w:rPr>
            </w:pPr>
            <w:r>
              <w:rPr>
                <w:color w:val="auto"/>
                <w:sz w:val="21"/>
                <w:szCs w:val="21"/>
              </w:rPr>
              <w:t>沼液利用管网系统</w:t>
            </w:r>
          </w:p>
        </w:tc>
        <w:tc>
          <w:tcPr>
            <w:tcW w:w="3251" w:type="pct"/>
            <w:vAlign w:val="center"/>
          </w:tcPr>
          <w:p>
            <w:pPr>
              <w:spacing w:line="240" w:lineRule="auto"/>
              <w:ind w:firstLine="0" w:firstLineChars="0"/>
              <w:jc w:val="center"/>
              <w:rPr>
                <w:color w:val="auto"/>
                <w:sz w:val="21"/>
                <w:szCs w:val="21"/>
                <w:vertAlign w:val="superscript"/>
              </w:rPr>
            </w:pPr>
            <w:r>
              <w:rPr>
                <w:rFonts w:hint="eastAsia"/>
                <w:color w:val="auto"/>
                <w:sz w:val="21"/>
                <w:szCs w:val="21"/>
              </w:rPr>
              <w:t>黑膜沼气池兼做沼液储存池</w:t>
            </w:r>
            <w:r>
              <w:rPr>
                <w:color w:val="auto"/>
                <w:sz w:val="21"/>
                <w:szCs w:val="21"/>
              </w:rPr>
              <w:t>1个，</w:t>
            </w:r>
            <w:r>
              <w:rPr>
                <w:rFonts w:hint="eastAsia"/>
                <w:color w:val="auto"/>
                <w:sz w:val="21"/>
                <w:szCs w:val="21"/>
              </w:rPr>
              <w:t>占地面积17633</w:t>
            </w:r>
            <w:r>
              <w:rPr>
                <w:color w:val="auto"/>
                <w:sz w:val="21"/>
                <w:szCs w:val="21"/>
              </w:rPr>
              <w:t>m</w:t>
            </w:r>
            <w:r>
              <w:rPr>
                <w:rFonts w:hint="eastAsia"/>
                <w:color w:val="auto"/>
                <w:sz w:val="21"/>
                <w:szCs w:val="21"/>
                <w:vertAlign w:val="superscript"/>
              </w:rPr>
              <w:t>3</w:t>
            </w:r>
          </w:p>
          <w:p>
            <w:pPr>
              <w:spacing w:line="240" w:lineRule="auto"/>
              <w:ind w:firstLine="0" w:firstLineChars="0"/>
              <w:jc w:val="center"/>
              <w:rPr>
                <w:color w:val="auto"/>
                <w:sz w:val="21"/>
                <w:szCs w:val="21"/>
              </w:rPr>
            </w:pPr>
            <w:r>
              <w:rPr>
                <w:color w:val="auto"/>
                <w:sz w:val="21"/>
                <w:szCs w:val="21"/>
              </w:rPr>
              <w:t>沼液由</w:t>
            </w:r>
            <w:r>
              <w:rPr>
                <w:rFonts w:hint="eastAsia"/>
                <w:color w:val="auto"/>
                <w:sz w:val="21"/>
                <w:szCs w:val="21"/>
              </w:rPr>
              <w:t>黑膜沼气池</w:t>
            </w:r>
            <w:r>
              <w:rPr>
                <w:color w:val="auto"/>
                <w:sz w:val="21"/>
                <w:szCs w:val="21"/>
              </w:rPr>
              <w:t>引至施肥农田，主干管长度为</w:t>
            </w:r>
            <w:r>
              <w:rPr>
                <w:rFonts w:hint="eastAsia"/>
                <w:color w:val="auto"/>
                <w:sz w:val="21"/>
                <w:szCs w:val="21"/>
              </w:rPr>
              <w:t>2</w:t>
            </w:r>
            <w:r>
              <w:rPr>
                <w:color w:val="auto"/>
                <w:sz w:val="21"/>
                <w:szCs w:val="21"/>
              </w:rPr>
              <w:t>km，每米管网左右各辐射75m，项目使用的管材为灰色不透光PVC管，管道挖深在冻土层15cm以下。</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5" w:type="pct"/>
            <w:vMerge w:val="restart"/>
            <w:vAlign w:val="center"/>
          </w:tcPr>
          <w:p>
            <w:pPr>
              <w:spacing w:line="240" w:lineRule="auto"/>
              <w:ind w:firstLine="0" w:firstLineChars="0"/>
              <w:jc w:val="center"/>
              <w:rPr>
                <w:color w:val="auto"/>
                <w:sz w:val="21"/>
                <w:szCs w:val="21"/>
              </w:rPr>
            </w:pPr>
            <w:r>
              <w:rPr>
                <w:rFonts w:hint="eastAsia"/>
                <w:color w:val="auto"/>
                <w:sz w:val="21"/>
                <w:szCs w:val="21"/>
              </w:rPr>
              <w:t>6</w:t>
            </w:r>
          </w:p>
        </w:tc>
        <w:tc>
          <w:tcPr>
            <w:tcW w:w="566" w:type="pct"/>
            <w:vMerge w:val="restart"/>
            <w:vAlign w:val="center"/>
          </w:tcPr>
          <w:p>
            <w:pPr>
              <w:spacing w:line="240" w:lineRule="auto"/>
              <w:ind w:firstLine="0" w:firstLineChars="0"/>
              <w:jc w:val="center"/>
              <w:rPr>
                <w:color w:val="auto"/>
                <w:sz w:val="21"/>
                <w:szCs w:val="21"/>
              </w:rPr>
            </w:pPr>
            <w:r>
              <w:rPr>
                <w:color w:val="auto"/>
                <w:sz w:val="21"/>
                <w:szCs w:val="21"/>
              </w:rPr>
              <w:t>环保工程</w:t>
            </w:r>
          </w:p>
        </w:tc>
        <w:tc>
          <w:tcPr>
            <w:tcW w:w="238" w:type="pct"/>
            <w:vMerge w:val="restart"/>
            <w:vAlign w:val="center"/>
          </w:tcPr>
          <w:p>
            <w:pPr>
              <w:spacing w:line="240" w:lineRule="auto"/>
              <w:ind w:firstLine="0" w:firstLineChars="0"/>
              <w:jc w:val="center"/>
              <w:rPr>
                <w:color w:val="auto"/>
                <w:sz w:val="21"/>
                <w:szCs w:val="21"/>
              </w:rPr>
            </w:pPr>
            <w:r>
              <w:rPr>
                <w:color w:val="auto"/>
                <w:sz w:val="21"/>
                <w:szCs w:val="21"/>
              </w:rPr>
              <w:t>废气</w:t>
            </w:r>
          </w:p>
        </w:tc>
        <w:tc>
          <w:tcPr>
            <w:tcW w:w="717" w:type="pct"/>
            <w:vAlign w:val="center"/>
          </w:tcPr>
          <w:p>
            <w:pPr>
              <w:spacing w:line="240" w:lineRule="auto"/>
              <w:ind w:firstLine="0" w:firstLineChars="0"/>
              <w:jc w:val="center"/>
              <w:rPr>
                <w:color w:val="auto"/>
                <w:sz w:val="21"/>
                <w:szCs w:val="21"/>
              </w:rPr>
            </w:pPr>
            <w:r>
              <w:rPr>
                <w:color w:val="auto"/>
                <w:sz w:val="21"/>
                <w:szCs w:val="21"/>
              </w:rPr>
              <w:t>废气处理</w:t>
            </w:r>
          </w:p>
        </w:tc>
        <w:tc>
          <w:tcPr>
            <w:tcW w:w="3251" w:type="pct"/>
            <w:vAlign w:val="center"/>
          </w:tcPr>
          <w:p>
            <w:pPr>
              <w:spacing w:line="240" w:lineRule="auto"/>
              <w:ind w:firstLine="0" w:firstLineChars="0"/>
              <w:jc w:val="center"/>
              <w:rPr>
                <w:b/>
                <w:color w:val="auto"/>
                <w:sz w:val="21"/>
                <w:szCs w:val="21"/>
                <w:u w:val="single"/>
              </w:rPr>
            </w:pPr>
            <w:r>
              <w:rPr>
                <w:bCs/>
                <w:color w:val="auto"/>
                <w:sz w:val="21"/>
                <w:szCs w:val="21"/>
              </w:rPr>
              <w:t>猪舍：控制饲养密度、加强通风、定期冲洗、</w:t>
            </w:r>
            <w:r>
              <w:rPr>
                <w:rFonts w:hint="eastAsia"/>
                <w:bCs/>
                <w:color w:val="auto"/>
                <w:sz w:val="21"/>
                <w:szCs w:val="21"/>
              </w:rPr>
              <w:t>调整饲料配方，猪舍出风口处设置风机，将臭气引至除臭棚处理，除臭棚墙内填充填料吸附，同时除臭棚顶部有喷淋水装置</w:t>
            </w:r>
            <w:r>
              <w:rPr>
                <w:bCs/>
                <w:color w:val="auto"/>
                <w:sz w:val="21"/>
                <w:szCs w:val="21"/>
              </w:rPr>
              <w:t>；污水处理站：定期喷洒除臭剂；固粪处理区：</w:t>
            </w:r>
            <w:r>
              <w:rPr>
                <w:rFonts w:hint="eastAsia"/>
                <w:bCs/>
                <w:color w:val="auto"/>
                <w:sz w:val="21"/>
                <w:szCs w:val="21"/>
              </w:rPr>
              <w:t>设置风机，将臭气引至除臭棚处理，除臭棚墙内填充填料吸附，同时除臭棚顶部有喷淋水装置</w:t>
            </w:r>
            <w:r>
              <w:rPr>
                <w:bCs/>
                <w:color w:val="auto"/>
                <w:sz w:val="21"/>
                <w:szCs w:val="21"/>
              </w:rPr>
              <w:t>，定期喷洒除臭剂；加强厂区绿化等；病死猪高温无害化</w:t>
            </w:r>
            <w:r>
              <w:rPr>
                <w:rFonts w:hint="eastAsia"/>
                <w:bCs/>
                <w:color w:val="auto"/>
                <w:sz w:val="21"/>
                <w:szCs w:val="21"/>
              </w:rPr>
              <w:t>区</w:t>
            </w:r>
            <w:r>
              <w:rPr>
                <w:bCs/>
                <w:color w:val="auto"/>
                <w:sz w:val="21"/>
                <w:szCs w:val="21"/>
              </w:rPr>
              <w:t>，</w:t>
            </w:r>
            <w:r>
              <w:rPr>
                <w:rFonts w:hint="eastAsia"/>
                <w:bCs/>
                <w:color w:val="auto"/>
                <w:sz w:val="21"/>
                <w:szCs w:val="21"/>
              </w:rPr>
              <w:t>设置风机，将臭气引至除臭棚处理，除臭棚墙内填充填料吸附，同时除臭棚顶部有喷淋水装置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5" w:type="pct"/>
            <w:vMerge w:val="continue"/>
            <w:vAlign w:val="center"/>
          </w:tcPr>
          <w:p>
            <w:pPr>
              <w:spacing w:line="240" w:lineRule="auto"/>
              <w:ind w:firstLine="0" w:firstLineChars="0"/>
              <w:jc w:val="center"/>
              <w:rPr>
                <w:color w:val="auto"/>
                <w:sz w:val="21"/>
                <w:szCs w:val="21"/>
              </w:rPr>
            </w:pPr>
          </w:p>
        </w:tc>
        <w:tc>
          <w:tcPr>
            <w:tcW w:w="566" w:type="pct"/>
            <w:vMerge w:val="continue"/>
            <w:vAlign w:val="center"/>
          </w:tcPr>
          <w:p>
            <w:pPr>
              <w:spacing w:line="240" w:lineRule="auto"/>
              <w:ind w:firstLine="0" w:firstLineChars="0"/>
              <w:jc w:val="center"/>
              <w:rPr>
                <w:color w:val="auto"/>
                <w:sz w:val="21"/>
                <w:szCs w:val="21"/>
              </w:rPr>
            </w:pPr>
          </w:p>
        </w:tc>
        <w:tc>
          <w:tcPr>
            <w:tcW w:w="238" w:type="pct"/>
            <w:vMerge w:val="continue"/>
            <w:vAlign w:val="center"/>
          </w:tcPr>
          <w:p>
            <w:pPr>
              <w:tabs>
                <w:tab w:val="left" w:pos="600"/>
              </w:tabs>
              <w:spacing w:line="240" w:lineRule="auto"/>
              <w:ind w:firstLine="0" w:firstLineChars="0"/>
              <w:jc w:val="center"/>
              <w:rPr>
                <w:color w:val="auto"/>
                <w:sz w:val="21"/>
                <w:szCs w:val="21"/>
              </w:rPr>
            </w:pPr>
          </w:p>
        </w:tc>
        <w:tc>
          <w:tcPr>
            <w:tcW w:w="717" w:type="pct"/>
            <w:vAlign w:val="center"/>
          </w:tcPr>
          <w:p>
            <w:pPr>
              <w:tabs>
                <w:tab w:val="left" w:pos="600"/>
              </w:tabs>
              <w:spacing w:line="240" w:lineRule="auto"/>
              <w:ind w:firstLine="0" w:firstLineChars="0"/>
              <w:jc w:val="center"/>
              <w:rPr>
                <w:color w:val="auto"/>
                <w:sz w:val="21"/>
                <w:szCs w:val="21"/>
              </w:rPr>
            </w:pPr>
            <w:r>
              <w:rPr>
                <w:color w:val="auto"/>
                <w:sz w:val="21"/>
                <w:szCs w:val="21"/>
              </w:rPr>
              <w:t>沼气燃烧</w:t>
            </w:r>
          </w:p>
        </w:tc>
        <w:tc>
          <w:tcPr>
            <w:tcW w:w="3251" w:type="pct"/>
            <w:vAlign w:val="center"/>
          </w:tcPr>
          <w:p>
            <w:pPr>
              <w:spacing w:line="240" w:lineRule="auto"/>
              <w:ind w:firstLine="0" w:firstLineChars="0"/>
              <w:jc w:val="center"/>
              <w:rPr>
                <w:color w:val="auto"/>
                <w:sz w:val="21"/>
                <w:szCs w:val="21"/>
              </w:rPr>
            </w:pPr>
            <w:r>
              <w:rPr>
                <w:color w:val="auto"/>
                <w:sz w:val="21"/>
                <w:szCs w:val="21"/>
              </w:rPr>
              <w:t>脱硫净化装置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5" w:type="pct"/>
            <w:vMerge w:val="continue"/>
            <w:vAlign w:val="center"/>
          </w:tcPr>
          <w:p>
            <w:pPr>
              <w:spacing w:line="240" w:lineRule="auto"/>
              <w:ind w:firstLine="0" w:firstLineChars="0"/>
              <w:jc w:val="center"/>
              <w:rPr>
                <w:b/>
                <w:color w:val="auto"/>
                <w:sz w:val="21"/>
                <w:szCs w:val="21"/>
              </w:rPr>
            </w:pPr>
          </w:p>
        </w:tc>
        <w:tc>
          <w:tcPr>
            <w:tcW w:w="566" w:type="pct"/>
            <w:vMerge w:val="continue"/>
            <w:vAlign w:val="center"/>
          </w:tcPr>
          <w:p>
            <w:pPr>
              <w:spacing w:line="240" w:lineRule="auto"/>
              <w:ind w:firstLine="0" w:firstLineChars="0"/>
              <w:jc w:val="center"/>
              <w:rPr>
                <w:b/>
                <w:color w:val="auto"/>
                <w:sz w:val="21"/>
                <w:szCs w:val="21"/>
              </w:rPr>
            </w:pPr>
          </w:p>
        </w:tc>
        <w:tc>
          <w:tcPr>
            <w:tcW w:w="238" w:type="pct"/>
            <w:vMerge w:val="restart"/>
            <w:vAlign w:val="center"/>
          </w:tcPr>
          <w:p>
            <w:pPr>
              <w:spacing w:line="240" w:lineRule="auto"/>
              <w:ind w:firstLine="0" w:firstLineChars="0"/>
              <w:jc w:val="center"/>
              <w:rPr>
                <w:color w:val="auto"/>
                <w:sz w:val="21"/>
                <w:szCs w:val="21"/>
              </w:rPr>
            </w:pPr>
            <w:r>
              <w:rPr>
                <w:color w:val="auto"/>
                <w:sz w:val="21"/>
                <w:szCs w:val="21"/>
              </w:rPr>
              <w:t>固废</w:t>
            </w:r>
          </w:p>
        </w:tc>
        <w:tc>
          <w:tcPr>
            <w:tcW w:w="717" w:type="pct"/>
            <w:vAlign w:val="center"/>
          </w:tcPr>
          <w:p>
            <w:pPr>
              <w:spacing w:line="240" w:lineRule="auto"/>
              <w:ind w:firstLine="0" w:firstLineChars="0"/>
              <w:jc w:val="center"/>
              <w:rPr>
                <w:color w:val="auto"/>
                <w:sz w:val="21"/>
                <w:szCs w:val="21"/>
              </w:rPr>
            </w:pPr>
            <w:r>
              <w:rPr>
                <w:color w:val="auto"/>
                <w:sz w:val="21"/>
                <w:szCs w:val="21"/>
              </w:rPr>
              <w:t>医疗废物</w:t>
            </w:r>
          </w:p>
        </w:tc>
        <w:tc>
          <w:tcPr>
            <w:tcW w:w="3251" w:type="pct"/>
            <w:vAlign w:val="center"/>
          </w:tcPr>
          <w:p>
            <w:pPr>
              <w:spacing w:line="240" w:lineRule="auto"/>
              <w:ind w:firstLine="0" w:firstLineChars="0"/>
              <w:jc w:val="center"/>
              <w:rPr>
                <w:color w:val="auto"/>
                <w:sz w:val="21"/>
                <w:szCs w:val="21"/>
              </w:rPr>
            </w:pPr>
            <w:r>
              <w:rPr>
                <w:color w:val="auto"/>
                <w:sz w:val="21"/>
                <w:szCs w:val="21"/>
              </w:rPr>
              <w:t>危险废物暂存间1座，总建筑面积</w:t>
            </w:r>
            <w:r>
              <w:rPr>
                <w:rFonts w:hint="eastAsia"/>
                <w:color w:val="auto"/>
                <w:sz w:val="21"/>
                <w:szCs w:val="21"/>
              </w:rPr>
              <w:t>5</w:t>
            </w:r>
            <w:r>
              <w:rPr>
                <w:color w:val="auto"/>
                <w:sz w:val="21"/>
                <w:szCs w:val="21"/>
              </w:rPr>
              <w:t>m</w:t>
            </w:r>
            <w:r>
              <w:rPr>
                <w:color w:val="auto"/>
                <w:sz w:val="21"/>
                <w:szCs w:val="21"/>
                <w:vertAlign w:val="superscript"/>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5" w:type="pct"/>
            <w:vMerge w:val="continue"/>
            <w:vAlign w:val="center"/>
          </w:tcPr>
          <w:p>
            <w:pPr>
              <w:spacing w:line="240" w:lineRule="auto"/>
              <w:ind w:firstLine="0" w:firstLineChars="0"/>
              <w:jc w:val="center"/>
              <w:rPr>
                <w:b/>
                <w:color w:val="auto"/>
                <w:sz w:val="21"/>
                <w:szCs w:val="21"/>
              </w:rPr>
            </w:pPr>
          </w:p>
        </w:tc>
        <w:tc>
          <w:tcPr>
            <w:tcW w:w="566" w:type="pct"/>
            <w:vMerge w:val="continue"/>
            <w:vAlign w:val="center"/>
          </w:tcPr>
          <w:p>
            <w:pPr>
              <w:spacing w:line="240" w:lineRule="auto"/>
              <w:ind w:firstLine="0" w:firstLineChars="0"/>
              <w:jc w:val="center"/>
              <w:rPr>
                <w:b/>
                <w:color w:val="auto"/>
                <w:sz w:val="21"/>
                <w:szCs w:val="21"/>
              </w:rPr>
            </w:pPr>
          </w:p>
        </w:tc>
        <w:tc>
          <w:tcPr>
            <w:tcW w:w="238" w:type="pct"/>
            <w:vMerge w:val="continue"/>
            <w:vAlign w:val="center"/>
          </w:tcPr>
          <w:p>
            <w:pPr>
              <w:spacing w:line="240" w:lineRule="auto"/>
              <w:ind w:firstLine="0" w:firstLineChars="0"/>
              <w:jc w:val="center"/>
              <w:rPr>
                <w:color w:val="auto"/>
                <w:sz w:val="21"/>
                <w:szCs w:val="21"/>
              </w:rPr>
            </w:pPr>
          </w:p>
        </w:tc>
        <w:tc>
          <w:tcPr>
            <w:tcW w:w="717" w:type="pct"/>
            <w:vAlign w:val="center"/>
          </w:tcPr>
          <w:p>
            <w:pPr>
              <w:spacing w:line="240" w:lineRule="auto"/>
              <w:ind w:firstLine="0" w:firstLineChars="0"/>
              <w:jc w:val="center"/>
              <w:rPr>
                <w:color w:val="auto"/>
                <w:sz w:val="21"/>
                <w:szCs w:val="21"/>
              </w:rPr>
            </w:pPr>
            <w:r>
              <w:rPr>
                <w:color w:val="auto"/>
                <w:sz w:val="21"/>
                <w:szCs w:val="21"/>
              </w:rPr>
              <w:t>病死猪尸体</w:t>
            </w:r>
          </w:p>
        </w:tc>
        <w:tc>
          <w:tcPr>
            <w:tcW w:w="3251" w:type="pct"/>
            <w:vAlign w:val="center"/>
          </w:tcPr>
          <w:p>
            <w:pPr>
              <w:spacing w:line="240" w:lineRule="auto"/>
              <w:ind w:firstLine="0" w:firstLineChars="0"/>
              <w:jc w:val="center"/>
              <w:rPr>
                <w:color w:val="auto"/>
                <w:sz w:val="21"/>
                <w:szCs w:val="21"/>
                <w:highlight w:val="yellow"/>
              </w:rPr>
            </w:pPr>
            <w:r>
              <w:rPr>
                <w:color w:val="auto"/>
                <w:sz w:val="21"/>
                <w:szCs w:val="21"/>
              </w:rPr>
              <w:t>病死猪暂存间</w:t>
            </w:r>
            <w:r>
              <w:rPr>
                <w:rFonts w:eastAsia="Times New Roman"/>
                <w:color w:val="auto"/>
                <w:sz w:val="21"/>
                <w:szCs w:val="21"/>
              </w:rPr>
              <w:t>1</w:t>
            </w:r>
            <w:r>
              <w:rPr>
                <w:color w:val="auto"/>
                <w:sz w:val="21"/>
                <w:szCs w:val="21"/>
              </w:rPr>
              <w:t>间</w:t>
            </w:r>
            <w:r>
              <w:rPr>
                <w:rFonts w:hint="eastAsia"/>
                <w:color w:val="auto"/>
                <w:sz w:val="21"/>
                <w:szCs w:val="21"/>
              </w:rPr>
              <w:t>15</w:t>
            </w:r>
            <w:r>
              <w:rPr>
                <w:rFonts w:eastAsia="Times New Roman"/>
                <w:color w:val="auto"/>
                <w:sz w:val="21"/>
                <w:szCs w:val="21"/>
              </w:rPr>
              <w:t>m</w:t>
            </w:r>
            <w:r>
              <w:rPr>
                <w:rFonts w:hint="eastAsia"/>
                <w:color w:val="auto"/>
                <w:sz w:val="21"/>
                <w:szCs w:val="21"/>
                <w:vertAlign w:val="superscript"/>
              </w:rPr>
              <w:t>2</w:t>
            </w:r>
          </w:p>
        </w:tc>
      </w:tr>
      <w:bookmarkEnd w:id="221"/>
      <w:bookmarkEnd w:id="222"/>
      <w:bookmarkEnd w:id="223"/>
    </w:tbl>
    <w:p>
      <w:pPr>
        <w:pStyle w:val="36"/>
        <w:ind w:firstLine="480"/>
        <w:rPr>
          <w:color w:val="auto"/>
        </w:rPr>
      </w:pPr>
      <w:bookmarkStart w:id="239" w:name="_Toc407001392"/>
      <w:bookmarkStart w:id="240" w:name="_Toc388881900"/>
      <w:bookmarkStart w:id="241" w:name="_Toc311979913"/>
      <w:bookmarkStart w:id="242" w:name="_Toc311979845"/>
      <w:bookmarkStart w:id="243" w:name="_Toc311979799"/>
      <w:bookmarkStart w:id="244" w:name="_Toc468115355"/>
      <w:bookmarkStart w:id="245" w:name="_Toc413166119"/>
      <w:bookmarkStart w:id="246" w:name="_Toc406847399"/>
      <w:bookmarkStart w:id="247" w:name="_Toc269400661"/>
      <w:bookmarkStart w:id="248" w:name="_Toc407001389"/>
      <w:bookmarkStart w:id="249" w:name="_Toc269400657"/>
      <w:bookmarkStart w:id="250" w:name="_Toc388881897"/>
      <w:bookmarkStart w:id="251" w:name="_Toc311979841"/>
      <w:bookmarkStart w:id="252" w:name="_Toc413166116"/>
      <w:bookmarkStart w:id="253" w:name="_Toc311979909"/>
      <w:bookmarkStart w:id="254" w:name="_Toc406847396"/>
      <w:bookmarkStart w:id="255" w:name="_Toc311979795"/>
      <w:r>
        <w:rPr>
          <w:color w:val="auto"/>
        </w:rPr>
        <w:t>3.1.4 项目主要生产设备</w:t>
      </w:r>
      <w:bookmarkEnd w:id="239"/>
      <w:bookmarkEnd w:id="240"/>
      <w:bookmarkEnd w:id="241"/>
      <w:bookmarkEnd w:id="242"/>
      <w:bookmarkEnd w:id="243"/>
      <w:bookmarkEnd w:id="244"/>
      <w:bookmarkEnd w:id="245"/>
      <w:bookmarkEnd w:id="246"/>
      <w:bookmarkEnd w:id="247"/>
    </w:p>
    <w:p>
      <w:pPr>
        <w:pStyle w:val="37"/>
        <w:ind w:firstLine="480"/>
        <w:rPr>
          <w:color w:val="auto"/>
        </w:rPr>
      </w:pPr>
      <w:r>
        <w:rPr>
          <w:color w:val="auto"/>
        </w:rPr>
        <w:t>项目为养殖类型，非工业生产性企业，主要的养殖设备为风机、饮水器等，主要设备见表3.1-</w:t>
      </w:r>
      <w:r>
        <w:rPr>
          <w:rFonts w:hint="eastAsia"/>
          <w:color w:val="auto"/>
        </w:rPr>
        <w:t>4</w:t>
      </w:r>
      <w:r>
        <w:rPr>
          <w:color w:val="auto"/>
        </w:rPr>
        <w:t>。</w:t>
      </w:r>
    </w:p>
    <w:p>
      <w:pPr>
        <w:spacing w:after="72" w:afterLines="30" w:line="500" w:lineRule="exact"/>
        <w:ind w:firstLine="482"/>
        <w:jc w:val="left"/>
        <w:rPr>
          <w:b/>
          <w:color w:val="auto"/>
          <w:szCs w:val="21"/>
        </w:rPr>
      </w:pPr>
      <w:r>
        <w:rPr>
          <w:b/>
          <w:color w:val="auto"/>
          <w:szCs w:val="21"/>
        </w:rPr>
        <w:t>表3.1-</w:t>
      </w:r>
      <w:r>
        <w:rPr>
          <w:rFonts w:hint="eastAsia"/>
          <w:b/>
          <w:color w:val="auto"/>
          <w:szCs w:val="21"/>
        </w:rPr>
        <w:t>4</w:t>
      </w:r>
      <w:r>
        <w:rPr>
          <w:b/>
          <w:color w:val="auto"/>
          <w:szCs w:val="21"/>
        </w:rPr>
        <w:t xml:space="preserve">                        项目主要设备一览表</w:t>
      </w:r>
    </w:p>
    <w:tbl>
      <w:tblPr>
        <w:tblStyle w:val="27"/>
        <w:tblW w:w="4997"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408"/>
        <w:gridCol w:w="1025"/>
        <w:gridCol w:w="3286"/>
        <w:gridCol w:w="217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7" w:hRule="atLeast"/>
          <w:tblHeader/>
          <w:jc w:val="center"/>
        </w:trPr>
        <w:tc>
          <w:tcPr>
            <w:tcW w:w="1929" w:type="pct"/>
            <w:gridSpan w:val="2"/>
            <w:tcMar>
              <w:top w:w="57" w:type="dxa"/>
              <w:left w:w="85" w:type="dxa"/>
              <w:bottom w:w="57" w:type="dxa"/>
              <w:right w:w="85" w:type="dxa"/>
            </w:tcMar>
            <w:vAlign w:val="center"/>
          </w:tcPr>
          <w:p>
            <w:pPr>
              <w:widowControl/>
              <w:spacing w:line="240" w:lineRule="auto"/>
              <w:ind w:firstLine="0" w:firstLineChars="0"/>
              <w:jc w:val="center"/>
              <w:rPr>
                <w:b/>
                <w:bCs/>
                <w:color w:val="auto"/>
                <w:kern w:val="0"/>
                <w:sz w:val="21"/>
                <w:szCs w:val="21"/>
              </w:rPr>
            </w:pPr>
            <w:r>
              <w:rPr>
                <w:b/>
                <w:bCs/>
                <w:color w:val="auto"/>
                <w:kern w:val="0"/>
                <w:sz w:val="21"/>
                <w:szCs w:val="21"/>
              </w:rPr>
              <w:t>1、</w:t>
            </w:r>
            <w:r>
              <w:rPr>
                <w:rFonts w:hint="eastAsia"/>
                <w:b/>
                <w:bCs/>
                <w:color w:val="auto"/>
                <w:kern w:val="0"/>
                <w:sz w:val="21"/>
                <w:szCs w:val="21"/>
              </w:rPr>
              <w:t>养殖区</w:t>
            </w:r>
          </w:p>
        </w:tc>
        <w:tc>
          <w:tcPr>
            <w:tcW w:w="3070" w:type="pct"/>
            <w:gridSpan w:val="2"/>
            <w:tcMar>
              <w:top w:w="57" w:type="dxa"/>
              <w:left w:w="85" w:type="dxa"/>
              <w:bottom w:w="57" w:type="dxa"/>
              <w:right w:w="85" w:type="dxa"/>
            </w:tcMar>
            <w:vAlign w:val="center"/>
          </w:tcPr>
          <w:p>
            <w:pPr>
              <w:widowControl/>
              <w:spacing w:line="240" w:lineRule="auto"/>
              <w:ind w:firstLine="0" w:firstLineChars="0"/>
              <w:jc w:val="center"/>
              <w:rPr>
                <w:b/>
                <w:bCs/>
                <w:color w:val="auto"/>
                <w:kern w:val="0"/>
                <w:sz w:val="21"/>
                <w:szCs w:val="21"/>
              </w:rPr>
            </w:pPr>
            <w:r>
              <w:rPr>
                <w:b/>
                <w:bCs/>
                <w:color w:val="auto"/>
                <w:kern w:val="0"/>
                <w:sz w:val="21"/>
                <w:szCs w:val="21"/>
              </w:rPr>
              <w:t>配套设备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0" w:hRule="atLeast"/>
          <w:tblHeader/>
          <w:jc w:val="center"/>
        </w:trPr>
        <w:tc>
          <w:tcPr>
            <w:tcW w:w="1353" w:type="pct"/>
            <w:tcMar>
              <w:top w:w="57" w:type="dxa"/>
              <w:left w:w="85" w:type="dxa"/>
              <w:bottom w:w="57" w:type="dxa"/>
              <w:right w:w="85" w:type="dxa"/>
            </w:tcMar>
            <w:vAlign w:val="center"/>
          </w:tcPr>
          <w:p>
            <w:pPr>
              <w:widowControl/>
              <w:spacing w:line="240" w:lineRule="auto"/>
              <w:ind w:firstLine="0" w:firstLineChars="0"/>
              <w:jc w:val="center"/>
              <w:rPr>
                <w:color w:val="auto"/>
                <w:kern w:val="0"/>
                <w:sz w:val="21"/>
                <w:szCs w:val="21"/>
              </w:rPr>
            </w:pPr>
            <w:r>
              <w:rPr>
                <w:color w:val="auto"/>
                <w:kern w:val="0"/>
                <w:sz w:val="21"/>
                <w:szCs w:val="21"/>
              </w:rPr>
              <w:t>名称</w:t>
            </w:r>
          </w:p>
        </w:tc>
        <w:tc>
          <w:tcPr>
            <w:tcW w:w="576" w:type="pct"/>
            <w:tcMar>
              <w:top w:w="57" w:type="dxa"/>
              <w:left w:w="85" w:type="dxa"/>
              <w:bottom w:w="57" w:type="dxa"/>
              <w:right w:w="85" w:type="dxa"/>
            </w:tcMar>
            <w:vAlign w:val="center"/>
          </w:tcPr>
          <w:p>
            <w:pPr>
              <w:widowControl/>
              <w:spacing w:line="240" w:lineRule="auto"/>
              <w:ind w:firstLine="0" w:firstLineChars="0"/>
              <w:jc w:val="center"/>
              <w:rPr>
                <w:color w:val="auto"/>
                <w:kern w:val="0"/>
                <w:sz w:val="21"/>
                <w:szCs w:val="21"/>
              </w:rPr>
            </w:pPr>
            <w:r>
              <w:rPr>
                <w:color w:val="auto"/>
                <w:kern w:val="0"/>
                <w:sz w:val="21"/>
                <w:szCs w:val="21"/>
              </w:rPr>
              <w:t>数量</w:t>
            </w:r>
          </w:p>
        </w:tc>
        <w:tc>
          <w:tcPr>
            <w:tcW w:w="1846" w:type="pct"/>
            <w:tcMar>
              <w:top w:w="57" w:type="dxa"/>
              <w:left w:w="85" w:type="dxa"/>
              <w:bottom w:w="57" w:type="dxa"/>
              <w:right w:w="85" w:type="dxa"/>
            </w:tcMar>
            <w:vAlign w:val="center"/>
          </w:tcPr>
          <w:p>
            <w:pPr>
              <w:widowControl/>
              <w:spacing w:line="240" w:lineRule="auto"/>
              <w:ind w:left="-120" w:leftChars="-50" w:right="-120" w:rightChars="-50" w:firstLine="0" w:firstLineChars="0"/>
              <w:jc w:val="center"/>
              <w:rPr>
                <w:color w:val="auto"/>
                <w:kern w:val="0"/>
                <w:sz w:val="21"/>
                <w:szCs w:val="21"/>
              </w:rPr>
            </w:pPr>
            <w:r>
              <w:rPr>
                <w:color w:val="auto"/>
                <w:kern w:val="0"/>
                <w:sz w:val="21"/>
                <w:szCs w:val="21"/>
              </w:rPr>
              <w:t>饮水器（个）</w:t>
            </w:r>
          </w:p>
        </w:tc>
        <w:tc>
          <w:tcPr>
            <w:tcW w:w="1224" w:type="pct"/>
            <w:tcMar>
              <w:top w:w="57" w:type="dxa"/>
              <w:left w:w="85" w:type="dxa"/>
              <w:bottom w:w="57" w:type="dxa"/>
              <w:right w:w="85" w:type="dxa"/>
            </w:tcMar>
            <w:vAlign w:val="center"/>
          </w:tcPr>
          <w:p>
            <w:pPr>
              <w:widowControl/>
              <w:spacing w:line="240" w:lineRule="auto"/>
              <w:ind w:firstLine="0" w:firstLineChars="0"/>
              <w:jc w:val="center"/>
              <w:rPr>
                <w:color w:val="auto"/>
                <w:kern w:val="0"/>
                <w:sz w:val="21"/>
                <w:szCs w:val="21"/>
              </w:rPr>
            </w:pPr>
            <w:r>
              <w:rPr>
                <w:color w:val="auto"/>
                <w:kern w:val="0"/>
                <w:sz w:val="21"/>
                <w:szCs w:val="21"/>
              </w:rPr>
              <w:t>风机（套）</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tblHeader/>
          <w:jc w:val="center"/>
        </w:trPr>
        <w:tc>
          <w:tcPr>
            <w:tcW w:w="1353" w:type="pct"/>
            <w:tcMar>
              <w:top w:w="57" w:type="dxa"/>
              <w:left w:w="85" w:type="dxa"/>
              <w:bottom w:w="57" w:type="dxa"/>
              <w:right w:w="85" w:type="dxa"/>
            </w:tcMar>
            <w:vAlign w:val="center"/>
          </w:tcPr>
          <w:p>
            <w:pPr>
              <w:spacing w:line="240" w:lineRule="auto"/>
              <w:ind w:firstLine="0" w:firstLineChars="0"/>
              <w:jc w:val="center"/>
              <w:rPr>
                <w:color w:val="auto"/>
                <w:sz w:val="21"/>
                <w:szCs w:val="21"/>
              </w:rPr>
            </w:pPr>
            <w:r>
              <w:rPr>
                <w:rFonts w:hint="eastAsia"/>
                <w:color w:val="auto"/>
                <w:sz w:val="21"/>
                <w:szCs w:val="21"/>
              </w:rPr>
              <w:t>保育育肥一体舍</w:t>
            </w:r>
          </w:p>
        </w:tc>
        <w:tc>
          <w:tcPr>
            <w:tcW w:w="576" w:type="pct"/>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3</w:t>
            </w:r>
            <w:r>
              <w:rPr>
                <w:rFonts w:hint="eastAsia"/>
                <w:color w:val="auto"/>
                <w:sz w:val="21"/>
                <w:szCs w:val="21"/>
              </w:rPr>
              <w:t>2舍</w:t>
            </w:r>
          </w:p>
        </w:tc>
        <w:tc>
          <w:tcPr>
            <w:tcW w:w="1846" w:type="pct"/>
            <w:tcMar>
              <w:top w:w="57" w:type="dxa"/>
              <w:left w:w="85" w:type="dxa"/>
              <w:bottom w:w="57" w:type="dxa"/>
              <w:right w:w="85" w:type="dxa"/>
            </w:tcMar>
            <w:vAlign w:val="center"/>
          </w:tcPr>
          <w:p>
            <w:pPr>
              <w:widowControl/>
              <w:spacing w:line="240" w:lineRule="auto"/>
              <w:ind w:left="-120" w:leftChars="-50" w:right="-120" w:rightChars="-50" w:firstLine="0" w:firstLineChars="0"/>
              <w:jc w:val="center"/>
              <w:rPr>
                <w:color w:val="auto"/>
                <w:kern w:val="0"/>
                <w:sz w:val="21"/>
                <w:szCs w:val="21"/>
              </w:rPr>
            </w:pPr>
            <w:r>
              <w:rPr>
                <w:rFonts w:hint="eastAsia"/>
                <w:color w:val="auto"/>
                <w:kern w:val="0"/>
                <w:sz w:val="21"/>
                <w:szCs w:val="21"/>
              </w:rPr>
              <w:t>448</w:t>
            </w:r>
          </w:p>
        </w:tc>
        <w:tc>
          <w:tcPr>
            <w:tcW w:w="1224" w:type="pct"/>
            <w:tcMar>
              <w:top w:w="57" w:type="dxa"/>
              <w:left w:w="85" w:type="dxa"/>
              <w:bottom w:w="57" w:type="dxa"/>
              <w:right w:w="85" w:type="dxa"/>
            </w:tcMar>
            <w:vAlign w:val="center"/>
          </w:tcPr>
          <w:p>
            <w:pPr>
              <w:widowControl/>
              <w:spacing w:line="240" w:lineRule="auto"/>
              <w:ind w:left="-120" w:leftChars="-50" w:right="-120" w:rightChars="-50" w:firstLine="0" w:firstLineChars="0"/>
              <w:jc w:val="center"/>
              <w:rPr>
                <w:color w:val="auto"/>
                <w:kern w:val="0"/>
                <w:sz w:val="21"/>
                <w:szCs w:val="21"/>
              </w:rPr>
            </w:pPr>
            <w:r>
              <w:rPr>
                <w:rFonts w:hint="eastAsia"/>
                <w:color w:val="auto"/>
                <w:kern w:val="0"/>
                <w:sz w:val="21"/>
                <w:szCs w:val="21"/>
              </w:rPr>
              <w:t>160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0" w:hRule="atLeast"/>
          <w:tblHeader/>
          <w:jc w:val="center"/>
        </w:trPr>
        <w:tc>
          <w:tcPr>
            <w:tcW w:w="1353" w:type="pct"/>
            <w:tcMar>
              <w:top w:w="57" w:type="dxa"/>
              <w:left w:w="85" w:type="dxa"/>
              <w:bottom w:w="57" w:type="dxa"/>
              <w:right w:w="85" w:type="dxa"/>
            </w:tcMar>
            <w:vAlign w:val="center"/>
          </w:tcPr>
          <w:p>
            <w:pPr>
              <w:spacing w:line="240" w:lineRule="auto"/>
              <w:ind w:firstLine="0" w:firstLineChars="0"/>
              <w:jc w:val="center"/>
              <w:rPr>
                <w:color w:val="auto"/>
                <w:sz w:val="21"/>
                <w:szCs w:val="21"/>
              </w:rPr>
            </w:pPr>
            <w:r>
              <w:rPr>
                <w:rFonts w:hint="eastAsia"/>
                <w:color w:val="auto"/>
                <w:sz w:val="21"/>
                <w:szCs w:val="21"/>
              </w:rPr>
              <w:t>料罐</w:t>
            </w:r>
          </w:p>
        </w:tc>
        <w:tc>
          <w:tcPr>
            <w:tcW w:w="576" w:type="pct"/>
            <w:tcMar>
              <w:top w:w="57" w:type="dxa"/>
              <w:left w:w="85" w:type="dxa"/>
              <w:bottom w:w="57" w:type="dxa"/>
              <w:right w:w="85" w:type="dxa"/>
            </w:tcMar>
            <w:vAlign w:val="center"/>
          </w:tcPr>
          <w:p>
            <w:pPr>
              <w:spacing w:line="240" w:lineRule="auto"/>
              <w:ind w:firstLine="0" w:firstLineChars="0"/>
              <w:jc w:val="center"/>
              <w:rPr>
                <w:color w:val="auto"/>
                <w:sz w:val="21"/>
                <w:szCs w:val="21"/>
              </w:rPr>
            </w:pPr>
            <w:r>
              <w:rPr>
                <w:rFonts w:hint="eastAsia"/>
                <w:color w:val="auto"/>
                <w:sz w:val="21"/>
                <w:szCs w:val="21"/>
              </w:rPr>
              <w:t>17个</w:t>
            </w:r>
          </w:p>
        </w:tc>
        <w:tc>
          <w:tcPr>
            <w:tcW w:w="1846" w:type="pct"/>
            <w:tcMar>
              <w:top w:w="57" w:type="dxa"/>
              <w:left w:w="85" w:type="dxa"/>
              <w:bottom w:w="57" w:type="dxa"/>
              <w:right w:w="85" w:type="dxa"/>
            </w:tcMar>
            <w:vAlign w:val="center"/>
          </w:tcPr>
          <w:p>
            <w:pPr>
              <w:widowControl/>
              <w:spacing w:line="240" w:lineRule="auto"/>
              <w:ind w:left="-120" w:leftChars="-50" w:right="-120" w:rightChars="-50" w:firstLine="0" w:firstLineChars="0"/>
              <w:jc w:val="center"/>
              <w:rPr>
                <w:color w:val="auto"/>
                <w:kern w:val="0"/>
                <w:sz w:val="21"/>
                <w:szCs w:val="21"/>
              </w:rPr>
            </w:pPr>
            <w:r>
              <w:rPr>
                <w:rFonts w:hint="eastAsia"/>
                <w:color w:val="auto"/>
                <w:kern w:val="0"/>
                <w:sz w:val="21"/>
                <w:szCs w:val="21"/>
              </w:rPr>
              <w:t>/</w:t>
            </w:r>
          </w:p>
        </w:tc>
        <w:tc>
          <w:tcPr>
            <w:tcW w:w="1224" w:type="pct"/>
            <w:tcMar>
              <w:top w:w="57" w:type="dxa"/>
              <w:left w:w="85" w:type="dxa"/>
              <w:bottom w:w="57" w:type="dxa"/>
              <w:right w:w="85" w:type="dxa"/>
            </w:tcMar>
            <w:vAlign w:val="center"/>
          </w:tcPr>
          <w:p>
            <w:pPr>
              <w:widowControl/>
              <w:spacing w:line="240" w:lineRule="auto"/>
              <w:ind w:left="-120" w:leftChars="-50" w:right="-120" w:rightChars="-50" w:firstLine="0" w:firstLineChars="0"/>
              <w:jc w:val="center"/>
              <w:rPr>
                <w:color w:val="auto"/>
                <w:kern w:val="0"/>
                <w:sz w:val="21"/>
                <w:szCs w:val="21"/>
              </w:rPr>
            </w:pPr>
            <w:r>
              <w:rPr>
                <w:rFonts w:hint="eastAsia"/>
                <w:color w:val="auto"/>
                <w:kern w:val="0"/>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6" w:hRule="atLeast"/>
          <w:tblHeader/>
          <w:jc w:val="center"/>
        </w:trPr>
        <w:tc>
          <w:tcPr>
            <w:tcW w:w="1353" w:type="pct"/>
            <w:tcMar>
              <w:top w:w="57" w:type="dxa"/>
              <w:left w:w="85" w:type="dxa"/>
              <w:bottom w:w="57" w:type="dxa"/>
              <w:right w:w="85" w:type="dxa"/>
            </w:tcMar>
            <w:vAlign w:val="center"/>
          </w:tcPr>
          <w:p>
            <w:pPr>
              <w:spacing w:line="240" w:lineRule="auto"/>
              <w:ind w:firstLine="0" w:firstLineChars="0"/>
              <w:jc w:val="center"/>
              <w:rPr>
                <w:color w:val="auto"/>
                <w:sz w:val="21"/>
                <w:szCs w:val="21"/>
              </w:rPr>
            </w:pPr>
            <w:r>
              <w:rPr>
                <w:rFonts w:hint="eastAsia"/>
                <w:color w:val="auto"/>
                <w:sz w:val="21"/>
                <w:szCs w:val="21"/>
              </w:rPr>
              <w:t>猪舍漏粪板</w:t>
            </w:r>
          </w:p>
        </w:tc>
        <w:tc>
          <w:tcPr>
            <w:tcW w:w="576" w:type="pct"/>
            <w:tcMar>
              <w:top w:w="57" w:type="dxa"/>
              <w:left w:w="85" w:type="dxa"/>
              <w:bottom w:w="57" w:type="dxa"/>
              <w:right w:w="85" w:type="dxa"/>
            </w:tcMar>
            <w:vAlign w:val="center"/>
          </w:tcPr>
          <w:p>
            <w:pPr>
              <w:spacing w:line="240" w:lineRule="auto"/>
              <w:ind w:firstLine="0" w:firstLineChars="0"/>
              <w:jc w:val="center"/>
              <w:rPr>
                <w:color w:val="auto"/>
                <w:sz w:val="21"/>
                <w:szCs w:val="21"/>
              </w:rPr>
            </w:pPr>
            <w:r>
              <w:rPr>
                <w:rFonts w:hint="eastAsia"/>
                <w:color w:val="auto"/>
                <w:sz w:val="21"/>
                <w:szCs w:val="21"/>
              </w:rPr>
              <w:t>32套</w:t>
            </w:r>
          </w:p>
        </w:tc>
        <w:tc>
          <w:tcPr>
            <w:tcW w:w="1846" w:type="pct"/>
            <w:tcMar>
              <w:top w:w="57" w:type="dxa"/>
              <w:left w:w="85" w:type="dxa"/>
              <w:bottom w:w="57" w:type="dxa"/>
              <w:right w:w="85" w:type="dxa"/>
            </w:tcMar>
            <w:vAlign w:val="center"/>
          </w:tcPr>
          <w:p>
            <w:pPr>
              <w:widowControl/>
              <w:spacing w:line="240" w:lineRule="auto"/>
              <w:ind w:left="-120" w:leftChars="-50" w:right="-120" w:rightChars="-50" w:firstLine="0" w:firstLineChars="0"/>
              <w:jc w:val="center"/>
              <w:rPr>
                <w:color w:val="auto"/>
                <w:kern w:val="0"/>
                <w:sz w:val="21"/>
                <w:szCs w:val="21"/>
              </w:rPr>
            </w:pPr>
            <w:r>
              <w:rPr>
                <w:rFonts w:hint="eastAsia"/>
                <w:color w:val="auto"/>
                <w:kern w:val="0"/>
                <w:sz w:val="21"/>
                <w:szCs w:val="21"/>
              </w:rPr>
              <w:t>/</w:t>
            </w:r>
          </w:p>
        </w:tc>
        <w:tc>
          <w:tcPr>
            <w:tcW w:w="1224" w:type="pct"/>
            <w:tcMar>
              <w:top w:w="57" w:type="dxa"/>
              <w:left w:w="85" w:type="dxa"/>
              <w:bottom w:w="57" w:type="dxa"/>
              <w:right w:w="85" w:type="dxa"/>
            </w:tcMar>
            <w:vAlign w:val="center"/>
          </w:tcPr>
          <w:p>
            <w:pPr>
              <w:widowControl/>
              <w:spacing w:line="240" w:lineRule="auto"/>
              <w:ind w:left="-120" w:leftChars="-50" w:right="-120" w:rightChars="-50" w:firstLine="0" w:firstLineChars="0"/>
              <w:jc w:val="center"/>
              <w:rPr>
                <w:color w:val="auto"/>
                <w:kern w:val="0"/>
                <w:sz w:val="21"/>
                <w:szCs w:val="21"/>
              </w:rPr>
            </w:pPr>
            <w:r>
              <w:rPr>
                <w:rFonts w:hint="eastAsia"/>
                <w:color w:val="auto"/>
                <w:kern w:val="0"/>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tblHeader/>
          <w:jc w:val="center"/>
        </w:trPr>
        <w:tc>
          <w:tcPr>
            <w:tcW w:w="1929" w:type="pct"/>
            <w:gridSpan w:val="2"/>
            <w:tcMar>
              <w:top w:w="57" w:type="dxa"/>
              <w:left w:w="85" w:type="dxa"/>
              <w:bottom w:w="57" w:type="dxa"/>
              <w:right w:w="85" w:type="dxa"/>
            </w:tcMar>
            <w:vAlign w:val="center"/>
          </w:tcPr>
          <w:p>
            <w:pPr>
              <w:autoSpaceDN w:val="0"/>
              <w:spacing w:line="240" w:lineRule="auto"/>
              <w:ind w:firstLine="0" w:firstLineChars="0"/>
              <w:jc w:val="center"/>
              <w:textAlignment w:val="center"/>
              <w:rPr>
                <w:b/>
                <w:bCs/>
                <w:color w:val="auto"/>
                <w:kern w:val="0"/>
                <w:sz w:val="21"/>
                <w:szCs w:val="21"/>
              </w:rPr>
            </w:pPr>
            <w:r>
              <w:rPr>
                <w:b/>
                <w:color w:val="auto"/>
                <w:kern w:val="0"/>
                <w:sz w:val="21"/>
                <w:szCs w:val="21"/>
              </w:rPr>
              <w:t>2、</w:t>
            </w:r>
            <w:r>
              <w:rPr>
                <w:b/>
                <w:bCs/>
                <w:color w:val="auto"/>
                <w:kern w:val="0"/>
                <w:sz w:val="21"/>
                <w:szCs w:val="21"/>
              </w:rPr>
              <w:t>污水处理构筑物</w:t>
            </w:r>
          </w:p>
        </w:tc>
        <w:tc>
          <w:tcPr>
            <w:tcW w:w="3070" w:type="pct"/>
            <w:gridSpan w:val="2"/>
            <w:tcMar>
              <w:top w:w="57" w:type="dxa"/>
              <w:left w:w="85" w:type="dxa"/>
              <w:bottom w:w="57" w:type="dxa"/>
              <w:right w:w="85" w:type="dxa"/>
            </w:tcMar>
            <w:vAlign w:val="center"/>
          </w:tcPr>
          <w:p>
            <w:pPr>
              <w:autoSpaceDN w:val="0"/>
              <w:spacing w:line="240" w:lineRule="auto"/>
              <w:ind w:firstLine="0" w:firstLineChars="0"/>
              <w:jc w:val="center"/>
              <w:textAlignment w:val="center"/>
              <w:rPr>
                <w:color w:val="auto"/>
                <w:sz w:val="21"/>
                <w:szCs w:val="21"/>
              </w:rPr>
            </w:pPr>
            <w:r>
              <w:rPr>
                <w:b/>
                <w:bCs/>
                <w:color w:val="auto"/>
                <w:kern w:val="0"/>
                <w:sz w:val="21"/>
                <w:szCs w:val="21"/>
              </w:rPr>
              <w:t>配套设备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0" w:hRule="atLeast"/>
          <w:tblHeader/>
          <w:jc w:val="center"/>
        </w:trPr>
        <w:tc>
          <w:tcPr>
            <w:tcW w:w="1353" w:type="pct"/>
            <w:tcMar>
              <w:top w:w="57" w:type="dxa"/>
              <w:left w:w="85" w:type="dxa"/>
              <w:bottom w:w="57" w:type="dxa"/>
              <w:right w:w="85" w:type="dxa"/>
            </w:tcMar>
            <w:vAlign w:val="center"/>
          </w:tcPr>
          <w:p>
            <w:pPr>
              <w:widowControl/>
              <w:spacing w:line="240" w:lineRule="auto"/>
              <w:ind w:left="-120" w:leftChars="-50" w:right="-120" w:rightChars="-50" w:firstLine="0" w:firstLineChars="0"/>
              <w:jc w:val="center"/>
              <w:rPr>
                <w:color w:val="auto"/>
                <w:kern w:val="0"/>
                <w:sz w:val="21"/>
                <w:szCs w:val="21"/>
              </w:rPr>
            </w:pPr>
            <w:r>
              <w:rPr>
                <w:rFonts w:hint="eastAsia"/>
                <w:color w:val="auto"/>
                <w:kern w:val="0"/>
                <w:sz w:val="21"/>
                <w:szCs w:val="21"/>
              </w:rPr>
              <w:t>污水泵</w:t>
            </w:r>
          </w:p>
        </w:tc>
        <w:tc>
          <w:tcPr>
            <w:tcW w:w="576" w:type="pct"/>
            <w:tcMar>
              <w:top w:w="57" w:type="dxa"/>
              <w:left w:w="85" w:type="dxa"/>
              <w:bottom w:w="57" w:type="dxa"/>
              <w:right w:w="85" w:type="dxa"/>
            </w:tcMar>
            <w:vAlign w:val="center"/>
          </w:tcPr>
          <w:p>
            <w:pPr>
              <w:widowControl/>
              <w:spacing w:line="240" w:lineRule="auto"/>
              <w:ind w:left="-120" w:leftChars="-50" w:right="-120" w:rightChars="-50" w:firstLine="0" w:firstLineChars="0"/>
              <w:jc w:val="center"/>
              <w:rPr>
                <w:color w:val="auto"/>
                <w:kern w:val="0"/>
                <w:sz w:val="21"/>
                <w:szCs w:val="21"/>
              </w:rPr>
            </w:pPr>
            <w:r>
              <w:rPr>
                <w:color w:val="auto"/>
                <w:kern w:val="0"/>
                <w:sz w:val="21"/>
                <w:szCs w:val="21"/>
              </w:rPr>
              <w:t>1</w:t>
            </w:r>
            <w:r>
              <w:rPr>
                <w:rFonts w:hint="eastAsia"/>
                <w:color w:val="auto"/>
                <w:kern w:val="0"/>
                <w:sz w:val="21"/>
                <w:szCs w:val="21"/>
              </w:rPr>
              <w:t>台</w:t>
            </w:r>
          </w:p>
        </w:tc>
        <w:tc>
          <w:tcPr>
            <w:tcW w:w="3070" w:type="pct"/>
            <w:gridSpan w:val="2"/>
            <w:tcMar>
              <w:top w:w="57" w:type="dxa"/>
              <w:left w:w="85" w:type="dxa"/>
              <w:bottom w:w="57" w:type="dxa"/>
              <w:right w:w="85" w:type="dxa"/>
            </w:tcMar>
            <w:vAlign w:val="center"/>
          </w:tcPr>
          <w:p>
            <w:pPr>
              <w:widowControl/>
              <w:spacing w:line="240" w:lineRule="auto"/>
              <w:ind w:left="-120" w:leftChars="-50" w:right="-120" w:rightChars="-50" w:firstLine="0" w:firstLineChars="0"/>
              <w:jc w:val="center"/>
              <w:rPr>
                <w:color w:val="auto"/>
                <w:kern w:val="0"/>
                <w:sz w:val="21"/>
                <w:szCs w:val="21"/>
              </w:rPr>
            </w:pPr>
            <w:r>
              <w:rPr>
                <w:color w:val="auto"/>
                <w:kern w:val="0"/>
                <w:sz w:val="21"/>
                <w:szCs w:val="21"/>
              </w:rPr>
              <w:t>80GNWQ45-9-2.2kW</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2" w:hRule="atLeast"/>
          <w:tblHeader/>
          <w:jc w:val="center"/>
        </w:trPr>
        <w:tc>
          <w:tcPr>
            <w:tcW w:w="1353" w:type="pct"/>
            <w:tcMar>
              <w:top w:w="57" w:type="dxa"/>
              <w:left w:w="85" w:type="dxa"/>
              <w:bottom w:w="57" w:type="dxa"/>
              <w:right w:w="85" w:type="dxa"/>
            </w:tcMar>
            <w:vAlign w:val="center"/>
          </w:tcPr>
          <w:p>
            <w:pPr>
              <w:widowControl/>
              <w:spacing w:line="240" w:lineRule="auto"/>
              <w:ind w:left="-120" w:leftChars="-50" w:right="-120" w:rightChars="-50" w:firstLine="0" w:firstLineChars="0"/>
              <w:jc w:val="center"/>
              <w:rPr>
                <w:color w:val="auto"/>
                <w:kern w:val="0"/>
                <w:sz w:val="21"/>
                <w:szCs w:val="21"/>
              </w:rPr>
            </w:pPr>
            <w:r>
              <w:rPr>
                <w:rFonts w:hint="eastAsia"/>
                <w:color w:val="auto"/>
                <w:kern w:val="0"/>
                <w:sz w:val="21"/>
                <w:szCs w:val="21"/>
              </w:rPr>
              <w:t>固液分离机</w:t>
            </w:r>
          </w:p>
        </w:tc>
        <w:tc>
          <w:tcPr>
            <w:tcW w:w="576" w:type="pct"/>
            <w:tcMar>
              <w:top w:w="57" w:type="dxa"/>
              <w:left w:w="85" w:type="dxa"/>
              <w:bottom w:w="57" w:type="dxa"/>
              <w:right w:w="85" w:type="dxa"/>
            </w:tcMar>
            <w:vAlign w:val="center"/>
          </w:tcPr>
          <w:p>
            <w:pPr>
              <w:widowControl/>
              <w:spacing w:line="240" w:lineRule="auto"/>
              <w:ind w:left="-120" w:leftChars="-50" w:right="-120" w:rightChars="-50" w:firstLine="0" w:firstLineChars="0"/>
              <w:jc w:val="center"/>
              <w:rPr>
                <w:color w:val="auto"/>
                <w:kern w:val="0"/>
                <w:sz w:val="21"/>
                <w:szCs w:val="21"/>
              </w:rPr>
            </w:pPr>
            <w:r>
              <w:rPr>
                <w:color w:val="auto"/>
                <w:kern w:val="0"/>
                <w:sz w:val="21"/>
                <w:szCs w:val="21"/>
              </w:rPr>
              <w:t>1</w:t>
            </w:r>
            <w:r>
              <w:rPr>
                <w:rFonts w:hint="eastAsia"/>
                <w:color w:val="auto"/>
                <w:kern w:val="0"/>
                <w:sz w:val="21"/>
                <w:szCs w:val="21"/>
              </w:rPr>
              <w:t>台</w:t>
            </w:r>
          </w:p>
        </w:tc>
        <w:tc>
          <w:tcPr>
            <w:tcW w:w="3070" w:type="pct"/>
            <w:gridSpan w:val="2"/>
            <w:tcMar>
              <w:top w:w="57" w:type="dxa"/>
              <w:left w:w="85" w:type="dxa"/>
              <w:bottom w:w="57" w:type="dxa"/>
              <w:right w:w="85" w:type="dxa"/>
            </w:tcMar>
            <w:vAlign w:val="center"/>
          </w:tcPr>
          <w:p>
            <w:pPr>
              <w:widowControl/>
              <w:spacing w:line="240" w:lineRule="auto"/>
              <w:ind w:left="-120" w:leftChars="-50" w:right="-120" w:rightChars="-50" w:firstLine="0" w:firstLineChars="0"/>
              <w:jc w:val="center"/>
              <w:rPr>
                <w:color w:val="auto"/>
                <w:kern w:val="0"/>
                <w:sz w:val="21"/>
                <w:szCs w:val="21"/>
              </w:rPr>
            </w:pPr>
            <w:r>
              <w:rPr>
                <w:rFonts w:hint="eastAsia"/>
                <w:color w:val="auto"/>
                <w:kern w:val="0"/>
                <w:sz w:val="21"/>
                <w:szCs w:val="21"/>
              </w:rPr>
              <w:t>固粪处理区内设置，型号绿能SLC-2000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5" w:hRule="atLeast"/>
          <w:tblHeader/>
          <w:jc w:val="center"/>
        </w:trPr>
        <w:tc>
          <w:tcPr>
            <w:tcW w:w="1353" w:type="pct"/>
            <w:tcMar>
              <w:top w:w="57" w:type="dxa"/>
              <w:left w:w="85" w:type="dxa"/>
              <w:bottom w:w="57" w:type="dxa"/>
              <w:right w:w="85" w:type="dxa"/>
            </w:tcMar>
            <w:vAlign w:val="center"/>
          </w:tcPr>
          <w:p>
            <w:pPr>
              <w:widowControl/>
              <w:spacing w:line="240" w:lineRule="auto"/>
              <w:ind w:left="-120" w:leftChars="-50" w:right="-120" w:rightChars="-50" w:firstLine="0" w:firstLineChars="0"/>
              <w:jc w:val="center"/>
              <w:rPr>
                <w:color w:val="auto"/>
                <w:kern w:val="0"/>
                <w:sz w:val="21"/>
                <w:szCs w:val="21"/>
              </w:rPr>
            </w:pPr>
            <w:r>
              <w:rPr>
                <w:rFonts w:hint="eastAsia"/>
                <w:color w:val="auto"/>
                <w:kern w:val="0"/>
                <w:sz w:val="21"/>
                <w:szCs w:val="21"/>
              </w:rPr>
              <w:t>黑膜沼气兼沼液储存池</w:t>
            </w:r>
          </w:p>
        </w:tc>
        <w:tc>
          <w:tcPr>
            <w:tcW w:w="576" w:type="pct"/>
            <w:tcMar>
              <w:top w:w="57" w:type="dxa"/>
              <w:left w:w="85" w:type="dxa"/>
              <w:bottom w:w="57" w:type="dxa"/>
              <w:right w:w="85" w:type="dxa"/>
            </w:tcMar>
            <w:vAlign w:val="center"/>
          </w:tcPr>
          <w:p>
            <w:pPr>
              <w:widowControl/>
              <w:spacing w:line="240" w:lineRule="auto"/>
              <w:ind w:left="-120" w:leftChars="-50" w:right="-120" w:rightChars="-50" w:firstLine="0" w:firstLineChars="0"/>
              <w:jc w:val="center"/>
              <w:rPr>
                <w:color w:val="auto"/>
                <w:kern w:val="0"/>
                <w:sz w:val="21"/>
                <w:szCs w:val="21"/>
              </w:rPr>
            </w:pPr>
            <w:r>
              <w:rPr>
                <w:color w:val="auto"/>
                <w:kern w:val="0"/>
                <w:sz w:val="21"/>
                <w:szCs w:val="21"/>
              </w:rPr>
              <w:t>1</w:t>
            </w:r>
            <w:r>
              <w:rPr>
                <w:rFonts w:hint="eastAsia"/>
                <w:color w:val="auto"/>
                <w:sz w:val="21"/>
                <w:szCs w:val="21"/>
              </w:rPr>
              <w:t>个</w:t>
            </w:r>
          </w:p>
        </w:tc>
        <w:tc>
          <w:tcPr>
            <w:tcW w:w="3070" w:type="pct"/>
            <w:gridSpan w:val="2"/>
            <w:tcMar>
              <w:top w:w="57" w:type="dxa"/>
              <w:left w:w="85" w:type="dxa"/>
              <w:bottom w:w="57" w:type="dxa"/>
              <w:right w:w="85" w:type="dxa"/>
            </w:tcMar>
            <w:vAlign w:val="center"/>
          </w:tcPr>
          <w:p>
            <w:pPr>
              <w:widowControl/>
              <w:spacing w:line="240" w:lineRule="auto"/>
              <w:ind w:left="-120" w:leftChars="-50" w:right="-120" w:rightChars="-50" w:firstLine="0" w:firstLineChars="0"/>
              <w:jc w:val="center"/>
              <w:rPr>
                <w:color w:val="auto"/>
                <w:kern w:val="0"/>
                <w:sz w:val="21"/>
                <w:szCs w:val="21"/>
              </w:rPr>
            </w:pPr>
            <w:r>
              <w:rPr>
                <w:color w:val="auto"/>
                <w:kern w:val="0"/>
                <w:sz w:val="21"/>
                <w:szCs w:val="21"/>
              </w:rPr>
              <w:t>176</w:t>
            </w:r>
            <w:r>
              <w:rPr>
                <w:rFonts w:hint="eastAsia"/>
                <w:color w:val="auto"/>
                <w:kern w:val="0"/>
                <w:sz w:val="21"/>
                <w:szCs w:val="21"/>
              </w:rPr>
              <w:t>33</w:t>
            </w:r>
            <w:r>
              <w:rPr>
                <w:color w:val="auto"/>
                <w:kern w:val="0"/>
                <w:sz w:val="21"/>
                <w:szCs w:val="21"/>
              </w:rPr>
              <w:t>m</w:t>
            </w:r>
            <w:r>
              <w:rPr>
                <w:color w:val="auto"/>
                <w:kern w:val="0"/>
                <w:sz w:val="21"/>
                <w:szCs w:val="21"/>
                <w:vertAlign w:val="superscript"/>
              </w:rPr>
              <w:t>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3" w:hRule="atLeast"/>
          <w:tblHeader/>
          <w:jc w:val="center"/>
        </w:trPr>
        <w:tc>
          <w:tcPr>
            <w:tcW w:w="1353" w:type="pct"/>
            <w:tcMar>
              <w:top w:w="57" w:type="dxa"/>
              <w:left w:w="85" w:type="dxa"/>
              <w:bottom w:w="57" w:type="dxa"/>
              <w:right w:w="85" w:type="dxa"/>
            </w:tcMar>
            <w:vAlign w:val="center"/>
          </w:tcPr>
          <w:p>
            <w:pPr>
              <w:widowControl/>
              <w:spacing w:line="240" w:lineRule="auto"/>
              <w:ind w:left="-120" w:leftChars="-50" w:right="-120" w:rightChars="-50" w:firstLine="0" w:firstLineChars="0"/>
              <w:jc w:val="center"/>
              <w:rPr>
                <w:color w:val="auto"/>
                <w:kern w:val="0"/>
                <w:sz w:val="21"/>
                <w:szCs w:val="21"/>
              </w:rPr>
            </w:pPr>
            <w:r>
              <w:rPr>
                <w:rFonts w:hint="eastAsia"/>
                <w:color w:val="auto"/>
                <w:kern w:val="0"/>
                <w:sz w:val="21"/>
                <w:szCs w:val="21"/>
              </w:rPr>
              <w:t>两相流泵</w:t>
            </w:r>
          </w:p>
        </w:tc>
        <w:tc>
          <w:tcPr>
            <w:tcW w:w="576" w:type="pct"/>
            <w:tcMar>
              <w:top w:w="57" w:type="dxa"/>
              <w:left w:w="85" w:type="dxa"/>
              <w:bottom w:w="57" w:type="dxa"/>
              <w:right w:w="85" w:type="dxa"/>
            </w:tcMar>
            <w:vAlign w:val="center"/>
          </w:tcPr>
          <w:p>
            <w:pPr>
              <w:widowControl/>
              <w:spacing w:line="240" w:lineRule="auto"/>
              <w:ind w:left="-120" w:leftChars="-50" w:right="-120" w:rightChars="-50" w:firstLine="0" w:firstLineChars="0"/>
              <w:jc w:val="center"/>
              <w:rPr>
                <w:color w:val="auto"/>
                <w:kern w:val="0"/>
                <w:sz w:val="21"/>
                <w:szCs w:val="21"/>
              </w:rPr>
            </w:pPr>
            <w:r>
              <w:rPr>
                <w:color w:val="auto"/>
                <w:kern w:val="0"/>
                <w:sz w:val="21"/>
                <w:szCs w:val="21"/>
              </w:rPr>
              <w:t>1</w:t>
            </w:r>
            <w:r>
              <w:rPr>
                <w:rFonts w:hint="eastAsia"/>
                <w:color w:val="auto"/>
                <w:sz w:val="21"/>
                <w:szCs w:val="21"/>
              </w:rPr>
              <w:t>个</w:t>
            </w:r>
          </w:p>
        </w:tc>
        <w:tc>
          <w:tcPr>
            <w:tcW w:w="3070" w:type="pct"/>
            <w:gridSpan w:val="2"/>
            <w:tcMar>
              <w:top w:w="57" w:type="dxa"/>
              <w:left w:w="85" w:type="dxa"/>
              <w:bottom w:w="57" w:type="dxa"/>
              <w:right w:w="85" w:type="dxa"/>
            </w:tcMar>
            <w:vAlign w:val="center"/>
          </w:tcPr>
          <w:p>
            <w:pPr>
              <w:widowControl/>
              <w:spacing w:line="240" w:lineRule="auto"/>
              <w:ind w:left="-120" w:leftChars="-50" w:right="-120" w:rightChars="-50" w:firstLine="0" w:firstLineChars="0"/>
              <w:jc w:val="center"/>
              <w:rPr>
                <w:color w:val="auto"/>
                <w:kern w:val="0"/>
                <w:sz w:val="21"/>
                <w:szCs w:val="21"/>
              </w:rPr>
            </w:pPr>
            <w:r>
              <w:rPr>
                <w:color w:val="auto"/>
                <w:kern w:val="0"/>
                <w:sz w:val="21"/>
                <w:szCs w:val="21"/>
              </w:rPr>
              <w:t>100LXLZ-80-20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0" w:hRule="atLeast"/>
          <w:tblHeader/>
          <w:jc w:val="center"/>
        </w:trPr>
        <w:tc>
          <w:tcPr>
            <w:tcW w:w="1353" w:type="pct"/>
            <w:tcMar>
              <w:top w:w="57" w:type="dxa"/>
              <w:left w:w="85" w:type="dxa"/>
              <w:bottom w:w="57" w:type="dxa"/>
              <w:right w:w="85" w:type="dxa"/>
            </w:tcMar>
            <w:vAlign w:val="center"/>
          </w:tcPr>
          <w:p>
            <w:pPr>
              <w:widowControl/>
              <w:spacing w:line="240" w:lineRule="auto"/>
              <w:ind w:left="-120" w:leftChars="-50" w:right="-120" w:rightChars="-50" w:firstLine="0" w:firstLineChars="0"/>
              <w:jc w:val="center"/>
              <w:rPr>
                <w:color w:val="auto"/>
                <w:kern w:val="0"/>
                <w:sz w:val="21"/>
                <w:szCs w:val="21"/>
              </w:rPr>
            </w:pPr>
            <w:r>
              <w:rPr>
                <w:rFonts w:hint="eastAsia"/>
                <w:color w:val="auto"/>
                <w:kern w:val="0"/>
                <w:sz w:val="21"/>
                <w:szCs w:val="21"/>
              </w:rPr>
              <w:t>真空罐</w:t>
            </w:r>
          </w:p>
        </w:tc>
        <w:tc>
          <w:tcPr>
            <w:tcW w:w="576" w:type="pct"/>
            <w:tcMar>
              <w:top w:w="57" w:type="dxa"/>
              <w:left w:w="85" w:type="dxa"/>
              <w:bottom w:w="57" w:type="dxa"/>
              <w:right w:w="85" w:type="dxa"/>
            </w:tcMar>
            <w:vAlign w:val="center"/>
          </w:tcPr>
          <w:p>
            <w:pPr>
              <w:widowControl/>
              <w:spacing w:line="240" w:lineRule="auto"/>
              <w:ind w:left="-120" w:leftChars="-50" w:right="-120" w:rightChars="-50" w:firstLine="0" w:firstLineChars="0"/>
              <w:jc w:val="center"/>
              <w:rPr>
                <w:color w:val="auto"/>
                <w:kern w:val="0"/>
                <w:sz w:val="21"/>
                <w:szCs w:val="21"/>
              </w:rPr>
            </w:pPr>
            <w:r>
              <w:rPr>
                <w:color w:val="auto"/>
                <w:kern w:val="0"/>
                <w:sz w:val="21"/>
                <w:szCs w:val="21"/>
              </w:rPr>
              <w:t>1</w:t>
            </w:r>
            <w:r>
              <w:rPr>
                <w:rFonts w:hint="eastAsia"/>
                <w:color w:val="auto"/>
                <w:sz w:val="21"/>
                <w:szCs w:val="21"/>
              </w:rPr>
              <w:t>个</w:t>
            </w:r>
          </w:p>
        </w:tc>
        <w:tc>
          <w:tcPr>
            <w:tcW w:w="3070" w:type="pct"/>
            <w:gridSpan w:val="2"/>
            <w:tcMar>
              <w:top w:w="57" w:type="dxa"/>
              <w:left w:w="85" w:type="dxa"/>
              <w:bottom w:w="57" w:type="dxa"/>
              <w:right w:w="85" w:type="dxa"/>
            </w:tcMar>
            <w:vAlign w:val="center"/>
          </w:tcPr>
          <w:p>
            <w:pPr>
              <w:widowControl/>
              <w:spacing w:line="240" w:lineRule="auto"/>
              <w:ind w:left="-120" w:leftChars="-50" w:right="-120" w:rightChars="-50" w:firstLine="0" w:firstLineChars="0"/>
              <w:jc w:val="center"/>
              <w:rPr>
                <w:color w:val="auto"/>
                <w:kern w:val="0"/>
                <w:sz w:val="21"/>
                <w:szCs w:val="21"/>
              </w:rPr>
            </w:pPr>
            <w:r>
              <w:rPr>
                <w:rFonts w:hint="eastAsia"/>
                <w:color w:val="auto"/>
                <w:kern w:val="0"/>
                <w:sz w:val="21"/>
                <w:szCs w:val="21"/>
              </w:rPr>
              <w:t>直径1.1m，高1.5m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5" w:hRule="atLeast"/>
          <w:tblHeader/>
          <w:jc w:val="center"/>
        </w:trPr>
        <w:tc>
          <w:tcPr>
            <w:tcW w:w="1353" w:type="pct"/>
            <w:tcMar>
              <w:top w:w="57" w:type="dxa"/>
              <w:left w:w="85" w:type="dxa"/>
              <w:bottom w:w="57" w:type="dxa"/>
              <w:right w:w="85" w:type="dxa"/>
            </w:tcMar>
            <w:vAlign w:val="center"/>
          </w:tcPr>
          <w:p>
            <w:pPr>
              <w:widowControl/>
              <w:spacing w:line="240" w:lineRule="auto"/>
              <w:ind w:left="-120" w:leftChars="-50" w:right="-120" w:rightChars="-50" w:firstLine="0" w:firstLineChars="0"/>
              <w:jc w:val="center"/>
              <w:rPr>
                <w:color w:val="auto"/>
                <w:kern w:val="0"/>
                <w:sz w:val="21"/>
                <w:szCs w:val="21"/>
              </w:rPr>
            </w:pPr>
            <w:r>
              <w:rPr>
                <w:rFonts w:hint="eastAsia"/>
                <w:color w:val="auto"/>
                <w:kern w:val="0"/>
                <w:sz w:val="21"/>
                <w:szCs w:val="21"/>
              </w:rPr>
              <w:t>电机</w:t>
            </w:r>
          </w:p>
        </w:tc>
        <w:tc>
          <w:tcPr>
            <w:tcW w:w="576" w:type="pct"/>
            <w:tcMar>
              <w:top w:w="57" w:type="dxa"/>
              <w:left w:w="85" w:type="dxa"/>
              <w:bottom w:w="57" w:type="dxa"/>
              <w:right w:w="85" w:type="dxa"/>
            </w:tcMar>
            <w:vAlign w:val="center"/>
          </w:tcPr>
          <w:p>
            <w:pPr>
              <w:widowControl/>
              <w:spacing w:line="240" w:lineRule="auto"/>
              <w:ind w:left="-120" w:leftChars="-50" w:right="-120" w:rightChars="-50" w:firstLine="0" w:firstLineChars="0"/>
              <w:jc w:val="center"/>
              <w:rPr>
                <w:color w:val="auto"/>
                <w:kern w:val="0"/>
                <w:sz w:val="21"/>
                <w:szCs w:val="21"/>
              </w:rPr>
            </w:pPr>
            <w:r>
              <w:rPr>
                <w:color w:val="auto"/>
                <w:kern w:val="0"/>
                <w:sz w:val="21"/>
                <w:szCs w:val="21"/>
              </w:rPr>
              <w:t>1</w:t>
            </w:r>
            <w:r>
              <w:rPr>
                <w:rFonts w:hint="eastAsia"/>
                <w:color w:val="auto"/>
                <w:sz w:val="21"/>
                <w:szCs w:val="21"/>
              </w:rPr>
              <w:t>个</w:t>
            </w:r>
          </w:p>
        </w:tc>
        <w:tc>
          <w:tcPr>
            <w:tcW w:w="3070" w:type="pct"/>
            <w:gridSpan w:val="2"/>
            <w:tcMar>
              <w:top w:w="57" w:type="dxa"/>
              <w:left w:w="85" w:type="dxa"/>
              <w:bottom w:w="57" w:type="dxa"/>
              <w:right w:w="85" w:type="dxa"/>
            </w:tcMar>
            <w:vAlign w:val="center"/>
          </w:tcPr>
          <w:p>
            <w:pPr>
              <w:widowControl/>
              <w:spacing w:line="240" w:lineRule="auto"/>
              <w:ind w:left="-120" w:leftChars="-50" w:right="-120" w:rightChars="-50" w:firstLine="0" w:firstLineChars="0"/>
              <w:jc w:val="center"/>
              <w:rPr>
                <w:color w:val="auto"/>
                <w:kern w:val="0"/>
                <w:sz w:val="21"/>
                <w:szCs w:val="21"/>
              </w:rPr>
            </w:pPr>
            <w:r>
              <w:rPr>
                <w:color w:val="auto"/>
                <w:kern w:val="0"/>
                <w:sz w:val="21"/>
                <w:szCs w:val="21"/>
              </w:rPr>
              <w:t>Y132M-4P-7.5kW</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7" w:hRule="atLeast"/>
          <w:tblHeader/>
          <w:jc w:val="center"/>
        </w:trPr>
        <w:tc>
          <w:tcPr>
            <w:tcW w:w="1353" w:type="pct"/>
            <w:tcMar>
              <w:top w:w="57" w:type="dxa"/>
              <w:left w:w="85" w:type="dxa"/>
              <w:bottom w:w="57" w:type="dxa"/>
              <w:right w:w="85" w:type="dxa"/>
            </w:tcMar>
            <w:vAlign w:val="center"/>
          </w:tcPr>
          <w:p>
            <w:pPr>
              <w:widowControl/>
              <w:spacing w:line="240" w:lineRule="auto"/>
              <w:ind w:left="-120" w:leftChars="-50" w:right="-120" w:rightChars="-50" w:firstLine="0" w:firstLineChars="0"/>
              <w:jc w:val="center"/>
              <w:rPr>
                <w:color w:val="auto"/>
                <w:kern w:val="0"/>
                <w:sz w:val="21"/>
                <w:szCs w:val="21"/>
              </w:rPr>
            </w:pPr>
            <w:r>
              <w:rPr>
                <w:rFonts w:hint="eastAsia"/>
                <w:color w:val="auto"/>
                <w:kern w:val="0"/>
                <w:sz w:val="21"/>
                <w:szCs w:val="21"/>
              </w:rPr>
              <w:t>配电柜</w:t>
            </w:r>
          </w:p>
        </w:tc>
        <w:tc>
          <w:tcPr>
            <w:tcW w:w="576" w:type="pct"/>
            <w:tcMar>
              <w:top w:w="57" w:type="dxa"/>
              <w:left w:w="85" w:type="dxa"/>
              <w:bottom w:w="57" w:type="dxa"/>
              <w:right w:w="85" w:type="dxa"/>
            </w:tcMar>
            <w:vAlign w:val="center"/>
          </w:tcPr>
          <w:p>
            <w:pPr>
              <w:widowControl/>
              <w:spacing w:line="240" w:lineRule="auto"/>
              <w:ind w:left="-120" w:leftChars="-50" w:right="-120" w:rightChars="-50" w:firstLine="0" w:firstLineChars="0"/>
              <w:jc w:val="center"/>
              <w:rPr>
                <w:color w:val="auto"/>
                <w:kern w:val="0"/>
                <w:sz w:val="21"/>
                <w:szCs w:val="21"/>
              </w:rPr>
            </w:pPr>
            <w:r>
              <w:rPr>
                <w:color w:val="auto"/>
                <w:kern w:val="0"/>
                <w:sz w:val="21"/>
                <w:szCs w:val="21"/>
              </w:rPr>
              <w:t>1</w:t>
            </w:r>
            <w:r>
              <w:rPr>
                <w:rFonts w:hint="eastAsia"/>
                <w:color w:val="auto"/>
                <w:sz w:val="21"/>
                <w:szCs w:val="21"/>
              </w:rPr>
              <w:t>个</w:t>
            </w:r>
          </w:p>
        </w:tc>
        <w:tc>
          <w:tcPr>
            <w:tcW w:w="3070" w:type="pct"/>
            <w:gridSpan w:val="2"/>
            <w:tcMar>
              <w:top w:w="57" w:type="dxa"/>
              <w:left w:w="85" w:type="dxa"/>
              <w:bottom w:w="57" w:type="dxa"/>
              <w:right w:w="85" w:type="dxa"/>
            </w:tcMar>
            <w:vAlign w:val="center"/>
          </w:tcPr>
          <w:p>
            <w:pPr>
              <w:widowControl/>
              <w:spacing w:line="240" w:lineRule="auto"/>
              <w:ind w:left="-120" w:leftChars="-50" w:right="-120" w:rightChars="-50" w:firstLine="0" w:firstLineChars="0"/>
              <w:jc w:val="center"/>
              <w:rPr>
                <w:color w:val="auto"/>
                <w:kern w:val="0"/>
                <w:sz w:val="21"/>
                <w:szCs w:val="21"/>
              </w:rPr>
            </w:pPr>
            <w:r>
              <w:rPr>
                <w:color w:val="auto"/>
                <w:kern w:val="0"/>
                <w:sz w:val="21"/>
                <w:szCs w:val="21"/>
              </w:rPr>
              <w:t>30kw</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9" w:hRule="atLeast"/>
          <w:tblHeader/>
          <w:jc w:val="center"/>
        </w:trPr>
        <w:tc>
          <w:tcPr>
            <w:tcW w:w="1353" w:type="pct"/>
            <w:tcMar>
              <w:top w:w="57" w:type="dxa"/>
              <w:left w:w="85" w:type="dxa"/>
              <w:bottom w:w="57" w:type="dxa"/>
              <w:right w:w="85" w:type="dxa"/>
            </w:tcMar>
            <w:vAlign w:val="center"/>
          </w:tcPr>
          <w:p>
            <w:pPr>
              <w:widowControl/>
              <w:spacing w:line="240" w:lineRule="auto"/>
              <w:ind w:firstLine="0" w:firstLineChars="0"/>
              <w:jc w:val="center"/>
              <w:rPr>
                <w:b/>
                <w:color w:val="auto"/>
                <w:kern w:val="0"/>
                <w:sz w:val="21"/>
                <w:szCs w:val="21"/>
              </w:rPr>
            </w:pPr>
            <w:r>
              <w:rPr>
                <w:b/>
                <w:color w:val="auto"/>
                <w:kern w:val="0"/>
                <w:sz w:val="21"/>
                <w:szCs w:val="21"/>
              </w:rPr>
              <w:t>3、沼气工程</w:t>
            </w:r>
          </w:p>
        </w:tc>
        <w:tc>
          <w:tcPr>
            <w:tcW w:w="576" w:type="pct"/>
            <w:tcMar>
              <w:top w:w="57" w:type="dxa"/>
              <w:left w:w="85" w:type="dxa"/>
              <w:bottom w:w="57" w:type="dxa"/>
              <w:right w:w="85" w:type="dxa"/>
            </w:tcMar>
            <w:vAlign w:val="center"/>
          </w:tcPr>
          <w:p>
            <w:pPr>
              <w:widowControl/>
              <w:spacing w:line="240" w:lineRule="auto"/>
              <w:ind w:firstLine="0" w:firstLineChars="0"/>
              <w:jc w:val="center"/>
              <w:rPr>
                <w:color w:val="auto"/>
                <w:kern w:val="0"/>
                <w:sz w:val="21"/>
                <w:szCs w:val="21"/>
              </w:rPr>
            </w:pPr>
          </w:p>
        </w:tc>
        <w:tc>
          <w:tcPr>
            <w:tcW w:w="3070" w:type="pct"/>
            <w:gridSpan w:val="2"/>
            <w:tcMar>
              <w:top w:w="57" w:type="dxa"/>
              <w:left w:w="85" w:type="dxa"/>
              <w:bottom w:w="57" w:type="dxa"/>
              <w:right w:w="85" w:type="dxa"/>
            </w:tcMar>
            <w:vAlign w:val="center"/>
          </w:tcPr>
          <w:p>
            <w:pPr>
              <w:widowControl/>
              <w:spacing w:line="240" w:lineRule="auto"/>
              <w:ind w:firstLine="0" w:firstLineChars="0"/>
              <w:jc w:val="center"/>
              <w:rPr>
                <w:color w:val="auto"/>
                <w:kern w:val="0"/>
                <w:sz w:val="21"/>
                <w:szCs w:val="21"/>
              </w:rPr>
            </w:pPr>
            <w:r>
              <w:rPr>
                <w:b/>
                <w:bCs/>
                <w:color w:val="auto"/>
                <w:kern w:val="0"/>
                <w:sz w:val="21"/>
                <w:szCs w:val="21"/>
              </w:rPr>
              <w:t>配套设备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tblHeader/>
          <w:jc w:val="center"/>
        </w:trPr>
        <w:tc>
          <w:tcPr>
            <w:tcW w:w="1353" w:type="pct"/>
            <w:tcMar>
              <w:top w:w="57" w:type="dxa"/>
              <w:left w:w="85" w:type="dxa"/>
              <w:bottom w:w="57" w:type="dxa"/>
              <w:right w:w="85" w:type="dxa"/>
            </w:tcMar>
          </w:tcPr>
          <w:p>
            <w:pPr>
              <w:widowControl/>
              <w:spacing w:line="240" w:lineRule="auto"/>
              <w:ind w:firstLine="0" w:firstLineChars="0"/>
              <w:jc w:val="center"/>
              <w:rPr>
                <w:color w:val="auto"/>
                <w:kern w:val="0"/>
                <w:sz w:val="21"/>
                <w:szCs w:val="21"/>
              </w:rPr>
            </w:pPr>
            <w:r>
              <w:rPr>
                <w:color w:val="auto"/>
                <w:kern w:val="0"/>
                <w:sz w:val="21"/>
                <w:szCs w:val="21"/>
              </w:rPr>
              <w:t>沼气脱硫器</w:t>
            </w:r>
          </w:p>
        </w:tc>
        <w:tc>
          <w:tcPr>
            <w:tcW w:w="576" w:type="pct"/>
            <w:tcMar>
              <w:top w:w="57" w:type="dxa"/>
              <w:left w:w="85" w:type="dxa"/>
              <w:bottom w:w="57" w:type="dxa"/>
              <w:right w:w="85" w:type="dxa"/>
            </w:tcMar>
            <w:vAlign w:val="center"/>
          </w:tcPr>
          <w:p>
            <w:pPr>
              <w:widowControl/>
              <w:spacing w:line="240" w:lineRule="auto"/>
              <w:ind w:firstLine="0" w:firstLineChars="0"/>
              <w:jc w:val="center"/>
              <w:rPr>
                <w:color w:val="auto"/>
                <w:kern w:val="0"/>
                <w:sz w:val="21"/>
                <w:szCs w:val="21"/>
              </w:rPr>
            </w:pPr>
            <w:r>
              <w:rPr>
                <w:color w:val="auto"/>
                <w:kern w:val="0"/>
                <w:sz w:val="21"/>
                <w:szCs w:val="21"/>
              </w:rPr>
              <w:t>1</w:t>
            </w:r>
            <w:r>
              <w:rPr>
                <w:rFonts w:hint="eastAsia"/>
                <w:color w:val="auto"/>
                <w:kern w:val="0"/>
                <w:sz w:val="21"/>
                <w:szCs w:val="21"/>
              </w:rPr>
              <w:t>台</w:t>
            </w:r>
          </w:p>
        </w:tc>
        <w:tc>
          <w:tcPr>
            <w:tcW w:w="3070" w:type="pct"/>
            <w:gridSpan w:val="2"/>
            <w:tcMar>
              <w:top w:w="57" w:type="dxa"/>
              <w:left w:w="85" w:type="dxa"/>
              <w:bottom w:w="57" w:type="dxa"/>
              <w:right w:w="85" w:type="dxa"/>
            </w:tcMar>
            <w:vAlign w:val="center"/>
          </w:tcPr>
          <w:p>
            <w:pPr>
              <w:widowControl/>
              <w:spacing w:line="240" w:lineRule="auto"/>
              <w:ind w:firstLine="0" w:firstLineChars="0"/>
              <w:jc w:val="center"/>
              <w:rPr>
                <w:color w:val="auto"/>
                <w:kern w:val="0"/>
                <w:sz w:val="21"/>
                <w:szCs w:val="21"/>
              </w:rPr>
            </w:pPr>
            <w:r>
              <w:rPr>
                <w:color w:val="auto"/>
                <w:kern w:val="0"/>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tblHeader/>
          <w:jc w:val="center"/>
        </w:trPr>
        <w:tc>
          <w:tcPr>
            <w:tcW w:w="1353" w:type="pct"/>
            <w:tcMar>
              <w:top w:w="57" w:type="dxa"/>
              <w:left w:w="85" w:type="dxa"/>
              <w:bottom w:w="57" w:type="dxa"/>
              <w:right w:w="85" w:type="dxa"/>
            </w:tcMar>
          </w:tcPr>
          <w:p>
            <w:pPr>
              <w:widowControl/>
              <w:spacing w:line="240" w:lineRule="auto"/>
              <w:ind w:firstLine="0" w:firstLineChars="0"/>
              <w:jc w:val="center"/>
              <w:rPr>
                <w:color w:val="auto"/>
                <w:kern w:val="0"/>
                <w:sz w:val="21"/>
                <w:szCs w:val="21"/>
              </w:rPr>
            </w:pPr>
            <w:r>
              <w:rPr>
                <w:color w:val="auto"/>
                <w:kern w:val="0"/>
                <w:sz w:val="21"/>
                <w:szCs w:val="21"/>
              </w:rPr>
              <w:t>沼气除水器</w:t>
            </w:r>
          </w:p>
        </w:tc>
        <w:tc>
          <w:tcPr>
            <w:tcW w:w="576" w:type="pct"/>
            <w:tcMar>
              <w:top w:w="57" w:type="dxa"/>
              <w:left w:w="85" w:type="dxa"/>
              <w:bottom w:w="57" w:type="dxa"/>
              <w:right w:w="85" w:type="dxa"/>
            </w:tcMar>
            <w:vAlign w:val="center"/>
          </w:tcPr>
          <w:p>
            <w:pPr>
              <w:widowControl/>
              <w:spacing w:line="240" w:lineRule="auto"/>
              <w:ind w:firstLine="0" w:firstLineChars="0"/>
              <w:jc w:val="center"/>
              <w:rPr>
                <w:color w:val="auto"/>
                <w:kern w:val="0"/>
                <w:sz w:val="21"/>
                <w:szCs w:val="21"/>
              </w:rPr>
            </w:pPr>
            <w:r>
              <w:rPr>
                <w:color w:val="auto"/>
                <w:kern w:val="0"/>
                <w:sz w:val="21"/>
                <w:szCs w:val="21"/>
              </w:rPr>
              <w:t>1</w:t>
            </w:r>
            <w:r>
              <w:rPr>
                <w:rFonts w:hint="eastAsia"/>
                <w:color w:val="auto"/>
                <w:kern w:val="0"/>
                <w:sz w:val="21"/>
                <w:szCs w:val="21"/>
              </w:rPr>
              <w:t>台</w:t>
            </w:r>
          </w:p>
        </w:tc>
        <w:tc>
          <w:tcPr>
            <w:tcW w:w="3070" w:type="pct"/>
            <w:gridSpan w:val="2"/>
            <w:tcMar>
              <w:top w:w="57" w:type="dxa"/>
              <w:left w:w="85" w:type="dxa"/>
              <w:bottom w:w="57" w:type="dxa"/>
              <w:right w:w="85" w:type="dxa"/>
            </w:tcMar>
            <w:vAlign w:val="center"/>
          </w:tcPr>
          <w:p>
            <w:pPr>
              <w:widowControl/>
              <w:spacing w:line="240" w:lineRule="auto"/>
              <w:ind w:firstLine="0" w:firstLineChars="0"/>
              <w:jc w:val="center"/>
              <w:rPr>
                <w:color w:val="auto"/>
                <w:kern w:val="0"/>
                <w:sz w:val="21"/>
                <w:szCs w:val="21"/>
              </w:rPr>
            </w:pPr>
            <w:r>
              <w:rPr>
                <w:color w:val="auto"/>
                <w:kern w:val="0"/>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blHeader/>
          <w:jc w:val="center"/>
        </w:trPr>
        <w:tc>
          <w:tcPr>
            <w:tcW w:w="1353" w:type="pct"/>
            <w:tcMar>
              <w:top w:w="57" w:type="dxa"/>
              <w:left w:w="85" w:type="dxa"/>
              <w:bottom w:w="57" w:type="dxa"/>
              <w:right w:w="85" w:type="dxa"/>
            </w:tcMar>
            <w:vAlign w:val="center"/>
          </w:tcPr>
          <w:p>
            <w:pPr>
              <w:widowControl/>
              <w:spacing w:line="240" w:lineRule="auto"/>
              <w:ind w:firstLine="0" w:firstLineChars="0"/>
              <w:jc w:val="center"/>
              <w:rPr>
                <w:color w:val="auto"/>
                <w:kern w:val="0"/>
                <w:sz w:val="21"/>
                <w:szCs w:val="21"/>
              </w:rPr>
            </w:pPr>
            <w:r>
              <w:rPr>
                <w:rFonts w:hint="eastAsia"/>
                <w:color w:val="auto"/>
                <w:kern w:val="0"/>
                <w:sz w:val="21"/>
                <w:szCs w:val="21"/>
              </w:rPr>
              <w:t>阻火器</w:t>
            </w:r>
          </w:p>
        </w:tc>
        <w:tc>
          <w:tcPr>
            <w:tcW w:w="576" w:type="pct"/>
            <w:tcMar>
              <w:top w:w="57" w:type="dxa"/>
              <w:left w:w="85" w:type="dxa"/>
              <w:bottom w:w="57" w:type="dxa"/>
              <w:right w:w="85" w:type="dxa"/>
            </w:tcMar>
            <w:vAlign w:val="center"/>
          </w:tcPr>
          <w:p>
            <w:pPr>
              <w:widowControl/>
              <w:spacing w:line="240" w:lineRule="auto"/>
              <w:ind w:firstLine="0" w:firstLineChars="0"/>
              <w:jc w:val="center"/>
              <w:rPr>
                <w:color w:val="auto"/>
                <w:kern w:val="0"/>
                <w:sz w:val="21"/>
                <w:szCs w:val="21"/>
              </w:rPr>
            </w:pPr>
            <w:r>
              <w:rPr>
                <w:rFonts w:hint="eastAsia"/>
                <w:color w:val="auto"/>
                <w:kern w:val="0"/>
                <w:sz w:val="21"/>
                <w:szCs w:val="21"/>
              </w:rPr>
              <w:t>1台</w:t>
            </w:r>
          </w:p>
        </w:tc>
        <w:tc>
          <w:tcPr>
            <w:tcW w:w="3070" w:type="pct"/>
            <w:gridSpan w:val="2"/>
            <w:tcMar>
              <w:top w:w="57" w:type="dxa"/>
              <w:left w:w="85" w:type="dxa"/>
              <w:bottom w:w="57" w:type="dxa"/>
              <w:right w:w="85" w:type="dxa"/>
            </w:tcMar>
            <w:vAlign w:val="center"/>
          </w:tcPr>
          <w:p>
            <w:pPr>
              <w:widowControl/>
              <w:spacing w:line="240" w:lineRule="auto"/>
              <w:ind w:firstLine="0" w:firstLineChars="0"/>
              <w:jc w:val="center"/>
              <w:rPr>
                <w:color w:val="auto"/>
                <w:kern w:val="0"/>
                <w:sz w:val="21"/>
                <w:szCs w:val="21"/>
              </w:rPr>
            </w:pPr>
            <w:r>
              <w:rPr>
                <w:rFonts w:hint="eastAsia"/>
                <w:color w:val="auto"/>
                <w:kern w:val="0"/>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5" w:hRule="atLeast"/>
          <w:tblHeader/>
          <w:jc w:val="center"/>
        </w:trPr>
        <w:tc>
          <w:tcPr>
            <w:tcW w:w="1929" w:type="pct"/>
            <w:gridSpan w:val="2"/>
            <w:tcMar>
              <w:top w:w="57" w:type="dxa"/>
              <w:left w:w="85" w:type="dxa"/>
              <w:bottom w:w="57" w:type="dxa"/>
              <w:right w:w="85" w:type="dxa"/>
            </w:tcMar>
            <w:vAlign w:val="center"/>
          </w:tcPr>
          <w:p>
            <w:pPr>
              <w:widowControl/>
              <w:spacing w:line="240" w:lineRule="auto"/>
              <w:ind w:firstLine="0" w:firstLineChars="0"/>
              <w:jc w:val="center"/>
              <w:rPr>
                <w:b/>
                <w:color w:val="auto"/>
                <w:kern w:val="0"/>
                <w:sz w:val="21"/>
                <w:szCs w:val="21"/>
              </w:rPr>
            </w:pPr>
            <w:r>
              <w:rPr>
                <w:b/>
                <w:color w:val="auto"/>
                <w:kern w:val="0"/>
                <w:sz w:val="21"/>
                <w:szCs w:val="21"/>
              </w:rPr>
              <w:t>4、粪便处理构筑物</w:t>
            </w:r>
          </w:p>
        </w:tc>
        <w:tc>
          <w:tcPr>
            <w:tcW w:w="3070" w:type="pct"/>
            <w:gridSpan w:val="2"/>
            <w:tcMar>
              <w:top w:w="57" w:type="dxa"/>
              <w:left w:w="85" w:type="dxa"/>
              <w:bottom w:w="57" w:type="dxa"/>
              <w:right w:w="85" w:type="dxa"/>
            </w:tcMar>
            <w:vAlign w:val="center"/>
          </w:tcPr>
          <w:p>
            <w:pPr>
              <w:widowControl/>
              <w:spacing w:line="240" w:lineRule="auto"/>
              <w:ind w:firstLine="0" w:firstLineChars="0"/>
              <w:jc w:val="center"/>
              <w:rPr>
                <w:b/>
                <w:color w:val="auto"/>
                <w:kern w:val="0"/>
                <w:sz w:val="21"/>
                <w:szCs w:val="21"/>
              </w:rPr>
            </w:pPr>
            <w:r>
              <w:rPr>
                <w:b/>
                <w:bCs/>
                <w:color w:val="auto"/>
                <w:kern w:val="0"/>
                <w:sz w:val="21"/>
                <w:szCs w:val="21"/>
              </w:rPr>
              <w:t>配套设备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 w:hRule="atLeast"/>
          <w:tblHeader/>
          <w:jc w:val="center"/>
        </w:trPr>
        <w:tc>
          <w:tcPr>
            <w:tcW w:w="1353" w:type="pct"/>
            <w:tcMar>
              <w:top w:w="57" w:type="dxa"/>
              <w:left w:w="85" w:type="dxa"/>
              <w:bottom w:w="57" w:type="dxa"/>
              <w:right w:w="85" w:type="dxa"/>
            </w:tcMar>
            <w:vAlign w:val="center"/>
          </w:tcPr>
          <w:p>
            <w:pPr>
              <w:widowControl/>
              <w:spacing w:line="240" w:lineRule="auto"/>
              <w:ind w:firstLine="0" w:firstLineChars="0"/>
              <w:jc w:val="center"/>
              <w:rPr>
                <w:color w:val="auto"/>
                <w:kern w:val="0"/>
                <w:sz w:val="21"/>
                <w:szCs w:val="21"/>
              </w:rPr>
            </w:pPr>
            <w:r>
              <w:rPr>
                <w:color w:val="auto"/>
                <w:kern w:val="0"/>
                <w:sz w:val="21"/>
                <w:szCs w:val="21"/>
              </w:rPr>
              <w:t>固粪处理区</w:t>
            </w:r>
          </w:p>
        </w:tc>
        <w:tc>
          <w:tcPr>
            <w:tcW w:w="576" w:type="pct"/>
            <w:tcMar>
              <w:top w:w="57" w:type="dxa"/>
              <w:left w:w="85" w:type="dxa"/>
              <w:bottom w:w="57" w:type="dxa"/>
              <w:right w:w="85" w:type="dxa"/>
            </w:tcMar>
            <w:vAlign w:val="center"/>
          </w:tcPr>
          <w:p>
            <w:pPr>
              <w:widowControl/>
              <w:spacing w:line="240" w:lineRule="auto"/>
              <w:ind w:firstLine="0" w:firstLineChars="0"/>
              <w:jc w:val="center"/>
              <w:rPr>
                <w:color w:val="auto"/>
                <w:kern w:val="0"/>
                <w:sz w:val="21"/>
                <w:szCs w:val="21"/>
              </w:rPr>
            </w:pPr>
            <w:r>
              <w:rPr>
                <w:color w:val="auto"/>
                <w:kern w:val="0"/>
                <w:sz w:val="21"/>
                <w:szCs w:val="21"/>
              </w:rPr>
              <w:t>1</w:t>
            </w:r>
            <w:r>
              <w:rPr>
                <w:rFonts w:hint="eastAsia"/>
                <w:color w:val="auto"/>
                <w:kern w:val="0"/>
                <w:sz w:val="21"/>
                <w:szCs w:val="21"/>
              </w:rPr>
              <w:t>个</w:t>
            </w:r>
          </w:p>
        </w:tc>
        <w:tc>
          <w:tcPr>
            <w:tcW w:w="3070" w:type="pct"/>
            <w:gridSpan w:val="2"/>
            <w:tcMar>
              <w:top w:w="57" w:type="dxa"/>
              <w:left w:w="85" w:type="dxa"/>
              <w:bottom w:w="57" w:type="dxa"/>
              <w:right w:w="85" w:type="dxa"/>
            </w:tcMar>
            <w:vAlign w:val="center"/>
          </w:tcPr>
          <w:p>
            <w:pPr>
              <w:widowControl/>
              <w:spacing w:line="240" w:lineRule="auto"/>
              <w:ind w:firstLine="0" w:firstLineChars="0"/>
              <w:jc w:val="center"/>
              <w:rPr>
                <w:color w:val="auto"/>
                <w:kern w:val="0"/>
                <w:sz w:val="21"/>
                <w:szCs w:val="21"/>
              </w:rPr>
            </w:pPr>
            <w:r>
              <w:rPr>
                <w:color w:val="auto"/>
                <w:kern w:val="0"/>
                <w:sz w:val="21"/>
                <w:szCs w:val="21"/>
              </w:rPr>
              <w:t>长</w:t>
            </w:r>
            <w:r>
              <w:rPr>
                <w:rFonts w:hint="eastAsia"/>
                <w:color w:val="auto"/>
                <w:kern w:val="0"/>
                <w:sz w:val="21"/>
                <w:szCs w:val="21"/>
              </w:rPr>
              <w:t>28</w:t>
            </w:r>
            <w:r>
              <w:rPr>
                <w:color w:val="auto"/>
                <w:kern w:val="0"/>
                <w:sz w:val="21"/>
                <w:szCs w:val="21"/>
              </w:rPr>
              <w:t>m、宽14m，封闭结构</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7" w:hRule="atLeast"/>
          <w:tblHeader/>
          <w:jc w:val="center"/>
        </w:trPr>
        <w:tc>
          <w:tcPr>
            <w:tcW w:w="1353" w:type="pct"/>
            <w:tcMar>
              <w:top w:w="57" w:type="dxa"/>
              <w:left w:w="85" w:type="dxa"/>
              <w:bottom w:w="57" w:type="dxa"/>
              <w:right w:w="85" w:type="dxa"/>
            </w:tcMar>
            <w:vAlign w:val="center"/>
          </w:tcPr>
          <w:p>
            <w:pPr>
              <w:widowControl/>
              <w:spacing w:line="240" w:lineRule="auto"/>
              <w:ind w:firstLine="0" w:firstLineChars="0"/>
              <w:jc w:val="center"/>
              <w:rPr>
                <w:color w:val="auto"/>
                <w:kern w:val="0"/>
                <w:sz w:val="21"/>
                <w:szCs w:val="21"/>
              </w:rPr>
            </w:pPr>
            <w:r>
              <w:rPr>
                <w:b/>
                <w:bCs/>
                <w:color w:val="auto"/>
                <w:kern w:val="0"/>
                <w:sz w:val="21"/>
                <w:szCs w:val="21"/>
              </w:rPr>
              <w:t>5、无害化处理工程</w:t>
            </w:r>
          </w:p>
        </w:tc>
        <w:tc>
          <w:tcPr>
            <w:tcW w:w="576" w:type="pct"/>
            <w:tcMar>
              <w:top w:w="57" w:type="dxa"/>
              <w:left w:w="85" w:type="dxa"/>
              <w:bottom w:w="57" w:type="dxa"/>
              <w:right w:w="85" w:type="dxa"/>
            </w:tcMar>
            <w:vAlign w:val="center"/>
          </w:tcPr>
          <w:p>
            <w:pPr>
              <w:widowControl/>
              <w:spacing w:line="240" w:lineRule="auto"/>
              <w:ind w:firstLine="0" w:firstLineChars="0"/>
              <w:jc w:val="center"/>
              <w:rPr>
                <w:color w:val="auto"/>
                <w:kern w:val="0"/>
                <w:sz w:val="21"/>
                <w:szCs w:val="21"/>
              </w:rPr>
            </w:pPr>
          </w:p>
        </w:tc>
        <w:tc>
          <w:tcPr>
            <w:tcW w:w="3070" w:type="pct"/>
            <w:gridSpan w:val="2"/>
            <w:tcMar>
              <w:top w:w="57" w:type="dxa"/>
              <w:left w:w="85" w:type="dxa"/>
              <w:bottom w:w="57" w:type="dxa"/>
              <w:right w:w="85" w:type="dxa"/>
            </w:tcMar>
            <w:vAlign w:val="center"/>
          </w:tcPr>
          <w:p>
            <w:pPr>
              <w:widowControl/>
              <w:spacing w:line="240" w:lineRule="auto"/>
              <w:ind w:firstLine="0" w:firstLineChars="0"/>
              <w:jc w:val="center"/>
              <w:rPr>
                <w:color w:val="auto"/>
                <w:kern w:val="0"/>
                <w:sz w:val="21"/>
                <w:szCs w:val="21"/>
              </w:rPr>
            </w:pPr>
            <w:r>
              <w:rPr>
                <w:b/>
                <w:bCs/>
                <w:color w:val="auto"/>
                <w:kern w:val="0"/>
                <w:sz w:val="21"/>
                <w:szCs w:val="21"/>
              </w:rPr>
              <w:t>配套设备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1353" w:type="pct"/>
            <w:tcMar>
              <w:top w:w="57" w:type="dxa"/>
              <w:left w:w="85" w:type="dxa"/>
              <w:bottom w:w="57" w:type="dxa"/>
              <w:right w:w="85" w:type="dxa"/>
            </w:tcMar>
            <w:vAlign w:val="center"/>
          </w:tcPr>
          <w:p>
            <w:pPr>
              <w:widowControl/>
              <w:spacing w:line="240" w:lineRule="auto"/>
              <w:ind w:firstLine="0" w:firstLineChars="0"/>
              <w:jc w:val="center"/>
              <w:rPr>
                <w:color w:val="auto"/>
                <w:kern w:val="0"/>
                <w:sz w:val="21"/>
                <w:szCs w:val="21"/>
              </w:rPr>
            </w:pPr>
            <w:r>
              <w:rPr>
                <w:color w:val="auto"/>
                <w:kern w:val="0"/>
                <w:sz w:val="21"/>
                <w:szCs w:val="21"/>
              </w:rPr>
              <w:t>无害化处理</w:t>
            </w:r>
            <w:r>
              <w:rPr>
                <w:rFonts w:hint="eastAsia"/>
                <w:color w:val="auto"/>
                <w:kern w:val="0"/>
                <w:sz w:val="21"/>
                <w:szCs w:val="21"/>
              </w:rPr>
              <w:t>区</w:t>
            </w:r>
          </w:p>
        </w:tc>
        <w:tc>
          <w:tcPr>
            <w:tcW w:w="576" w:type="pct"/>
            <w:tcMar>
              <w:top w:w="57" w:type="dxa"/>
              <w:left w:w="85" w:type="dxa"/>
              <w:bottom w:w="57" w:type="dxa"/>
              <w:right w:w="85" w:type="dxa"/>
            </w:tcMar>
            <w:vAlign w:val="center"/>
          </w:tcPr>
          <w:p>
            <w:pPr>
              <w:widowControl/>
              <w:spacing w:line="240" w:lineRule="auto"/>
              <w:ind w:firstLine="0" w:firstLineChars="0"/>
              <w:jc w:val="center"/>
              <w:rPr>
                <w:color w:val="auto"/>
                <w:kern w:val="0"/>
                <w:sz w:val="21"/>
                <w:szCs w:val="21"/>
              </w:rPr>
            </w:pPr>
            <w:r>
              <w:rPr>
                <w:color w:val="auto"/>
                <w:kern w:val="0"/>
                <w:sz w:val="21"/>
                <w:szCs w:val="21"/>
              </w:rPr>
              <w:t>1</w:t>
            </w:r>
          </w:p>
        </w:tc>
        <w:tc>
          <w:tcPr>
            <w:tcW w:w="3070" w:type="pct"/>
            <w:gridSpan w:val="2"/>
            <w:tcMar>
              <w:top w:w="57" w:type="dxa"/>
              <w:left w:w="85" w:type="dxa"/>
              <w:bottom w:w="57" w:type="dxa"/>
              <w:right w:w="85" w:type="dxa"/>
            </w:tcMar>
            <w:vAlign w:val="center"/>
          </w:tcPr>
          <w:p>
            <w:pPr>
              <w:widowControl/>
              <w:spacing w:line="240" w:lineRule="auto"/>
              <w:ind w:firstLine="0" w:firstLineChars="0"/>
              <w:jc w:val="center"/>
              <w:rPr>
                <w:color w:val="auto"/>
                <w:kern w:val="0"/>
                <w:sz w:val="21"/>
                <w:szCs w:val="21"/>
              </w:rPr>
            </w:pPr>
            <w:r>
              <w:rPr>
                <w:color w:val="auto"/>
                <w:kern w:val="0"/>
                <w:sz w:val="21"/>
                <w:szCs w:val="21"/>
              </w:rPr>
              <w:t>长</w:t>
            </w:r>
            <w:r>
              <w:rPr>
                <w:rFonts w:hint="eastAsia"/>
                <w:color w:val="auto"/>
                <w:kern w:val="0"/>
                <w:sz w:val="21"/>
                <w:szCs w:val="21"/>
              </w:rPr>
              <w:t>10</w:t>
            </w:r>
            <w:r>
              <w:rPr>
                <w:color w:val="auto"/>
                <w:kern w:val="0"/>
                <w:sz w:val="21"/>
                <w:szCs w:val="21"/>
              </w:rPr>
              <w:t>m、宽</w:t>
            </w:r>
            <w:r>
              <w:rPr>
                <w:rFonts w:hint="eastAsia"/>
                <w:color w:val="auto"/>
                <w:kern w:val="0"/>
                <w:sz w:val="21"/>
                <w:szCs w:val="21"/>
              </w:rPr>
              <w:t>10</w:t>
            </w:r>
            <w:r>
              <w:rPr>
                <w:color w:val="auto"/>
                <w:kern w:val="0"/>
                <w:sz w:val="21"/>
                <w:szCs w:val="21"/>
              </w:rPr>
              <w:t>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1353" w:type="pct"/>
            <w:tcMar>
              <w:top w:w="57" w:type="dxa"/>
              <w:left w:w="85" w:type="dxa"/>
              <w:bottom w:w="57" w:type="dxa"/>
              <w:right w:w="85" w:type="dxa"/>
            </w:tcMar>
            <w:vAlign w:val="center"/>
          </w:tcPr>
          <w:p>
            <w:pPr>
              <w:widowControl/>
              <w:spacing w:line="240" w:lineRule="auto"/>
              <w:ind w:firstLine="0" w:firstLineChars="0"/>
              <w:jc w:val="center"/>
              <w:rPr>
                <w:b/>
                <w:bCs/>
                <w:color w:val="auto"/>
                <w:kern w:val="0"/>
                <w:sz w:val="21"/>
                <w:szCs w:val="21"/>
              </w:rPr>
            </w:pPr>
            <w:r>
              <w:rPr>
                <w:rFonts w:hint="eastAsia"/>
                <w:b/>
                <w:bCs/>
                <w:color w:val="auto"/>
                <w:kern w:val="0"/>
                <w:sz w:val="21"/>
                <w:szCs w:val="21"/>
              </w:rPr>
              <w:t>6、变压器</w:t>
            </w:r>
          </w:p>
        </w:tc>
        <w:tc>
          <w:tcPr>
            <w:tcW w:w="576" w:type="pct"/>
            <w:tcMar>
              <w:top w:w="57" w:type="dxa"/>
              <w:left w:w="85" w:type="dxa"/>
              <w:bottom w:w="57" w:type="dxa"/>
              <w:right w:w="85" w:type="dxa"/>
            </w:tcMar>
            <w:vAlign w:val="center"/>
          </w:tcPr>
          <w:p>
            <w:pPr>
              <w:widowControl/>
              <w:spacing w:line="240" w:lineRule="auto"/>
              <w:ind w:firstLine="0" w:firstLineChars="0"/>
              <w:jc w:val="center"/>
              <w:rPr>
                <w:b/>
                <w:bCs/>
                <w:color w:val="auto"/>
                <w:kern w:val="0"/>
                <w:sz w:val="21"/>
                <w:szCs w:val="21"/>
              </w:rPr>
            </w:pPr>
            <w:r>
              <w:rPr>
                <w:rFonts w:hint="eastAsia"/>
                <w:b/>
                <w:bCs/>
                <w:color w:val="auto"/>
                <w:kern w:val="0"/>
                <w:sz w:val="21"/>
                <w:szCs w:val="21"/>
              </w:rPr>
              <w:t>2台</w:t>
            </w:r>
          </w:p>
        </w:tc>
        <w:tc>
          <w:tcPr>
            <w:tcW w:w="3070" w:type="pct"/>
            <w:gridSpan w:val="2"/>
            <w:tcMar>
              <w:top w:w="57" w:type="dxa"/>
              <w:left w:w="85" w:type="dxa"/>
              <w:bottom w:w="57" w:type="dxa"/>
              <w:right w:w="85" w:type="dxa"/>
            </w:tcMar>
            <w:vAlign w:val="center"/>
          </w:tcPr>
          <w:p>
            <w:pPr>
              <w:widowControl/>
              <w:spacing w:line="240" w:lineRule="auto"/>
              <w:ind w:firstLine="0" w:firstLineChars="0"/>
              <w:jc w:val="center"/>
              <w:rPr>
                <w:b/>
                <w:bCs/>
                <w:color w:val="auto"/>
                <w:kern w:val="0"/>
                <w:sz w:val="21"/>
                <w:szCs w:val="21"/>
              </w:rPr>
            </w:pPr>
            <w:r>
              <w:rPr>
                <w:rFonts w:hint="eastAsia"/>
                <w:b/>
                <w:bCs/>
                <w:color w:val="auto"/>
                <w:kern w:val="0"/>
                <w:sz w:val="21"/>
                <w:szCs w:val="21"/>
              </w:rPr>
              <w:t>415KVA</w:t>
            </w:r>
          </w:p>
        </w:tc>
      </w:tr>
      <w:bookmarkEnd w:id="248"/>
      <w:bookmarkEnd w:id="249"/>
      <w:bookmarkEnd w:id="250"/>
      <w:bookmarkEnd w:id="251"/>
      <w:bookmarkEnd w:id="252"/>
      <w:bookmarkEnd w:id="253"/>
      <w:bookmarkEnd w:id="254"/>
      <w:bookmarkEnd w:id="255"/>
    </w:tbl>
    <w:p>
      <w:pPr>
        <w:pStyle w:val="36"/>
        <w:ind w:firstLine="480"/>
        <w:rPr>
          <w:color w:val="auto"/>
        </w:rPr>
      </w:pPr>
      <w:bookmarkStart w:id="256" w:name="_Toc468115357"/>
      <w:bookmarkStart w:id="257" w:name="_Toc269400662"/>
      <w:r>
        <w:rPr>
          <w:color w:val="auto"/>
        </w:rPr>
        <w:t>3.1.5 主要原辅材料及动力消耗</w:t>
      </w:r>
      <w:bookmarkEnd w:id="256"/>
    </w:p>
    <w:p>
      <w:pPr>
        <w:pStyle w:val="37"/>
        <w:ind w:firstLine="480"/>
        <w:rPr>
          <w:color w:val="auto"/>
        </w:rPr>
      </w:pPr>
      <w:bookmarkStart w:id="258" w:name="_Toc311979915"/>
      <w:bookmarkStart w:id="259" w:name="_Toc311979801"/>
      <w:bookmarkStart w:id="260" w:name="_Toc311979847"/>
      <w:r>
        <w:rPr>
          <w:color w:val="auto"/>
        </w:rPr>
        <w:t>（1）原料来源</w:t>
      </w:r>
    </w:p>
    <w:p>
      <w:pPr>
        <w:pStyle w:val="37"/>
        <w:ind w:firstLine="480"/>
        <w:rPr>
          <w:color w:val="auto"/>
        </w:rPr>
      </w:pPr>
      <w:r>
        <w:rPr>
          <w:color w:val="auto"/>
        </w:rPr>
        <w:t>本项目</w:t>
      </w:r>
      <w:r>
        <w:rPr>
          <w:rFonts w:hint="eastAsia"/>
          <w:color w:val="auto"/>
        </w:rPr>
        <w:t>厂</w:t>
      </w:r>
      <w:r>
        <w:rPr>
          <w:color w:val="auto"/>
        </w:rPr>
        <w:t>区内不设饲料制作车间，根据企业提供的资料，饲料由其他场供给，汽车运输。饲料运送至</w:t>
      </w:r>
      <w:r>
        <w:rPr>
          <w:rFonts w:hint="eastAsia"/>
          <w:color w:val="auto"/>
        </w:rPr>
        <w:t>厂</w:t>
      </w:r>
      <w:r>
        <w:rPr>
          <w:color w:val="auto"/>
        </w:rPr>
        <w:t>区饲料中转站后，采用全自动配送上料系统和限位猪槽，机械化操作，定时定量供应饲料，保证生猪饮食需求。</w:t>
      </w:r>
    </w:p>
    <w:p>
      <w:pPr>
        <w:pStyle w:val="37"/>
        <w:ind w:firstLine="480"/>
        <w:rPr>
          <w:color w:val="auto"/>
        </w:rPr>
      </w:pPr>
      <w:r>
        <w:rPr>
          <w:color w:val="auto"/>
        </w:rPr>
        <w:t>项目饲料用量见表3.1-</w:t>
      </w:r>
      <w:r>
        <w:rPr>
          <w:rFonts w:hint="eastAsia"/>
          <w:color w:val="auto"/>
        </w:rPr>
        <w:t>5</w:t>
      </w:r>
      <w:r>
        <w:rPr>
          <w:color w:val="auto"/>
        </w:rPr>
        <w:t>。</w:t>
      </w:r>
    </w:p>
    <w:p>
      <w:pPr>
        <w:spacing w:after="72" w:afterLines="30" w:line="500" w:lineRule="exact"/>
        <w:ind w:firstLine="482"/>
        <w:jc w:val="left"/>
        <w:rPr>
          <w:b/>
          <w:color w:val="auto"/>
          <w:szCs w:val="21"/>
        </w:rPr>
      </w:pPr>
      <w:r>
        <w:rPr>
          <w:b/>
          <w:color w:val="auto"/>
          <w:szCs w:val="21"/>
        </w:rPr>
        <w:t>表3.1-</w:t>
      </w:r>
      <w:r>
        <w:rPr>
          <w:rFonts w:hint="eastAsia"/>
          <w:b/>
          <w:color w:val="auto"/>
          <w:szCs w:val="21"/>
        </w:rPr>
        <w:t>5</w:t>
      </w:r>
      <w:r>
        <w:rPr>
          <w:b/>
          <w:color w:val="auto"/>
          <w:szCs w:val="21"/>
        </w:rPr>
        <w:t xml:space="preserve">                  工程主要饲料消耗量</w:t>
      </w:r>
    </w:p>
    <w:tbl>
      <w:tblPr>
        <w:tblStyle w:val="27"/>
        <w:tblW w:w="4997"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420"/>
        <w:gridCol w:w="2653"/>
        <w:gridCol w:w="1968"/>
        <w:gridCol w:w="190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53" w:type="pct"/>
            <w:vMerge w:val="restart"/>
            <w:vAlign w:val="center"/>
          </w:tcPr>
          <w:p>
            <w:pPr>
              <w:spacing w:line="240" w:lineRule="auto"/>
              <w:ind w:firstLine="0" w:firstLineChars="0"/>
              <w:jc w:val="center"/>
              <w:rPr>
                <w:color w:val="auto"/>
                <w:sz w:val="21"/>
                <w:szCs w:val="21"/>
              </w:rPr>
            </w:pPr>
            <w:r>
              <w:rPr>
                <w:color w:val="auto"/>
                <w:sz w:val="21"/>
                <w:szCs w:val="21"/>
              </w:rPr>
              <w:t>生猪种类</w:t>
            </w:r>
          </w:p>
        </w:tc>
        <w:tc>
          <w:tcPr>
            <w:tcW w:w="1483" w:type="pct"/>
            <w:vMerge w:val="restart"/>
            <w:vAlign w:val="center"/>
          </w:tcPr>
          <w:p>
            <w:pPr>
              <w:spacing w:line="240" w:lineRule="auto"/>
              <w:ind w:firstLine="0" w:firstLineChars="0"/>
              <w:jc w:val="center"/>
              <w:rPr>
                <w:color w:val="auto"/>
                <w:sz w:val="21"/>
                <w:szCs w:val="21"/>
              </w:rPr>
            </w:pPr>
            <w:r>
              <w:rPr>
                <w:color w:val="auto"/>
                <w:sz w:val="21"/>
                <w:szCs w:val="21"/>
              </w:rPr>
              <w:t>饲料定额</w:t>
            </w:r>
          </w:p>
          <w:p>
            <w:pPr>
              <w:spacing w:line="240" w:lineRule="auto"/>
              <w:ind w:firstLine="0" w:firstLineChars="0"/>
              <w:jc w:val="center"/>
              <w:rPr>
                <w:color w:val="auto"/>
                <w:sz w:val="21"/>
                <w:szCs w:val="21"/>
              </w:rPr>
            </w:pPr>
            <w:r>
              <w:rPr>
                <w:color w:val="auto"/>
                <w:sz w:val="21"/>
                <w:szCs w:val="21"/>
              </w:rPr>
              <w:t>（kg/头·d）</w:t>
            </w:r>
          </w:p>
        </w:tc>
        <w:tc>
          <w:tcPr>
            <w:tcW w:w="2163" w:type="pct"/>
            <w:gridSpan w:val="2"/>
            <w:vAlign w:val="center"/>
          </w:tcPr>
          <w:p>
            <w:pPr>
              <w:spacing w:line="240" w:lineRule="auto"/>
              <w:ind w:firstLine="0" w:firstLineChars="0"/>
              <w:jc w:val="center"/>
              <w:rPr>
                <w:color w:val="auto"/>
                <w:sz w:val="21"/>
                <w:szCs w:val="21"/>
              </w:rPr>
            </w:pPr>
            <w:r>
              <w:rPr>
                <w:color w:val="auto"/>
                <w:sz w:val="21"/>
                <w:szCs w:val="21"/>
              </w:rPr>
              <w:t>饲料消耗总量</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1" w:hRule="atLeast"/>
          <w:jc w:val="center"/>
        </w:trPr>
        <w:tc>
          <w:tcPr>
            <w:tcW w:w="1353" w:type="pct"/>
            <w:vMerge w:val="continue"/>
            <w:vAlign w:val="center"/>
          </w:tcPr>
          <w:p>
            <w:pPr>
              <w:spacing w:line="240" w:lineRule="auto"/>
              <w:ind w:firstLine="0" w:firstLineChars="0"/>
              <w:jc w:val="center"/>
              <w:rPr>
                <w:color w:val="auto"/>
                <w:sz w:val="21"/>
                <w:szCs w:val="21"/>
              </w:rPr>
            </w:pPr>
          </w:p>
        </w:tc>
        <w:tc>
          <w:tcPr>
            <w:tcW w:w="1483" w:type="pct"/>
            <w:vMerge w:val="continue"/>
            <w:vAlign w:val="center"/>
          </w:tcPr>
          <w:p>
            <w:pPr>
              <w:spacing w:line="240" w:lineRule="auto"/>
              <w:ind w:firstLine="0" w:firstLineChars="0"/>
              <w:jc w:val="center"/>
              <w:rPr>
                <w:color w:val="auto"/>
                <w:sz w:val="21"/>
                <w:szCs w:val="21"/>
              </w:rPr>
            </w:pPr>
          </w:p>
        </w:tc>
        <w:tc>
          <w:tcPr>
            <w:tcW w:w="1100" w:type="pct"/>
            <w:vAlign w:val="center"/>
          </w:tcPr>
          <w:p>
            <w:pPr>
              <w:spacing w:line="240" w:lineRule="auto"/>
              <w:ind w:firstLine="0" w:firstLineChars="0"/>
              <w:jc w:val="center"/>
              <w:rPr>
                <w:color w:val="auto"/>
                <w:sz w:val="21"/>
                <w:szCs w:val="21"/>
              </w:rPr>
            </w:pPr>
            <w:r>
              <w:rPr>
                <w:color w:val="auto"/>
                <w:sz w:val="21"/>
                <w:szCs w:val="21"/>
              </w:rPr>
              <w:t>kg/d</w:t>
            </w:r>
          </w:p>
        </w:tc>
        <w:tc>
          <w:tcPr>
            <w:tcW w:w="1063" w:type="pct"/>
            <w:vAlign w:val="center"/>
          </w:tcPr>
          <w:p>
            <w:pPr>
              <w:spacing w:line="240" w:lineRule="auto"/>
              <w:ind w:firstLine="0" w:firstLineChars="0"/>
              <w:jc w:val="center"/>
              <w:rPr>
                <w:color w:val="auto"/>
                <w:sz w:val="21"/>
                <w:szCs w:val="21"/>
              </w:rPr>
            </w:pPr>
            <w:r>
              <w:rPr>
                <w:color w:val="auto"/>
                <w:sz w:val="21"/>
                <w:szCs w:val="21"/>
              </w:rPr>
              <w:t>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 w:hRule="atLeast"/>
          <w:jc w:val="center"/>
        </w:trPr>
        <w:tc>
          <w:tcPr>
            <w:tcW w:w="1353" w:type="pct"/>
            <w:vAlign w:val="center"/>
          </w:tcPr>
          <w:p>
            <w:pPr>
              <w:spacing w:line="240" w:lineRule="auto"/>
              <w:ind w:firstLine="0" w:firstLineChars="0"/>
              <w:jc w:val="center"/>
              <w:rPr>
                <w:color w:val="auto"/>
                <w:sz w:val="21"/>
                <w:szCs w:val="21"/>
              </w:rPr>
            </w:pPr>
            <w:r>
              <w:rPr>
                <w:rFonts w:hint="eastAsia"/>
                <w:color w:val="auto"/>
                <w:sz w:val="21"/>
                <w:szCs w:val="21"/>
              </w:rPr>
              <w:t>保育育肥猪</w:t>
            </w:r>
          </w:p>
        </w:tc>
        <w:tc>
          <w:tcPr>
            <w:tcW w:w="1483" w:type="pct"/>
            <w:vAlign w:val="center"/>
          </w:tcPr>
          <w:p>
            <w:pPr>
              <w:spacing w:line="240" w:lineRule="auto"/>
              <w:ind w:firstLine="0" w:firstLineChars="0"/>
              <w:jc w:val="center"/>
              <w:rPr>
                <w:color w:val="auto"/>
                <w:sz w:val="21"/>
                <w:szCs w:val="21"/>
              </w:rPr>
            </w:pPr>
            <w:r>
              <w:rPr>
                <w:rFonts w:hint="eastAsia"/>
                <w:color w:val="auto"/>
                <w:sz w:val="21"/>
                <w:szCs w:val="21"/>
              </w:rPr>
              <w:t>1.5</w:t>
            </w:r>
          </w:p>
        </w:tc>
        <w:tc>
          <w:tcPr>
            <w:tcW w:w="1100" w:type="pct"/>
            <w:vAlign w:val="center"/>
          </w:tcPr>
          <w:p>
            <w:pPr>
              <w:spacing w:line="240" w:lineRule="auto"/>
              <w:ind w:firstLine="0" w:firstLineChars="0"/>
              <w:jc w:val="center"/>
              <w:rPr>
                <w:color w:val="auto"/>
                <w:sz w:val="21"/>
                <w:szCs w:val="21"/>
              </w:rPr>
            </w:pPr>
            <w:r>
              <w:rPr>
                <w:rFonts w:hint="eastAsia"/>
                <w:color w:val="auto"/>
                <w:sz w:val="21"/>
                <w:szCs w:val="21"/>
              </w:rPr>
              <w:t>30000</w:t>
            </w:r>
          </w:p>
        </w:tc>
        <w:tc>
          <w:tcPr>
            <w:tcW w:w="1063" w:type="pct"/>
            <w:vAlign w:val="center"/>
          </w:tcPr>
          <w:p>
            <w:pPr>
              <w:spacing w:line="240" w:lineRule="auto"/>
              <w:ind w:firstLine="0" w:firstLineChars="0"/>
              <w:jc w:val="center"/>
              <w:rPr>
                <w:color w:val="auto"/>
                <w:sz w:val="21"/>
                <w:szCs w:val="21"/>
              </w:rPr>
            </w:pPr>
            <w:r>
              <w:rPr>
                <w:rFonts w:hint="eastAsia"/>
                <w:color w:val="auto"/>
                <w:sz w:val="21"/>
                <w:szCs w:val="21"/>
              </w:rPr>
              <w:t>10950</w:t>
            </w:r>
          </w:p>
        </w:tc>
      </w:tr>
    </w:tbl>
    <w:p>
      <w:pPr>
        <w:pStyle w:val="38"/>
        <w:spacing w:line="360" w:lineRule="auto"/>
        <w:ind w:firstLine="480"/>
        <w:rPr>
          <w:color w:val="auto"/>
        </w:rPr>
      </w:pPr>
      <w:r>
        <w:rPr>
          <w:color w:val="auto"/>
        </w:rPr>
        <w:t>（2）辅助材料消耗</w:t>
      </w:r>
    </w:p>
    <w:p>
      <w:pPr>
        <w:pStyle w:val="38"/>
        <w:spacing w:line="360" w:lineRule="auto"/>
        <w:ind w:firstLine="480"/>
        <w:rPr>
          <w:color w:val="auto"/>
        </w:rPr>
      </w:pPr>
      <w:r>
        <w:rPr>
          <w:color w:val="auto"/>
        </w:rPr>
        <w:t>项目辅助材料主要包括消毒药品、植物除臭剂、脱硫剂及防疫药品。其中植物型除臭剂为喷洒在猪舍、固粪处理区、污水处理站等区域，用来抑制恶臭的产生。植物除臭剂1kg可喷洒500m</w:t>
      </w:r>
      <w:r>
        <w:rPr>
          <w:color w:val="auto"/>
          <w:vertAlign w:val="superscript"/>
        </w:rPr>
        <w:t>2</w:t>
      </w:r>
      <w:r>
        <w:rPr>
          <w:color w:val="auto"/>
        </w:rPr>
        <w:t>，项目植物除臭剂总用量约为0.</w:t>
      </w:r>
      <w:r>
        <w:rPr>
          <w:rFonts w:hint="eastAsia"/>
          <w:color w:val="auto"/>
        </w:rPr>
        <w:t>04</w:t>
      </w:r>
      <w:r>
        <w:rPr>
          <w:color w:val="auto"/>
        </w:rPr>
        <w:t>t/a。脱硫剂为氧化铁，用来对沼气净化脱硫，项目脱硫剂总用量为0.0</w:t>
      </w:r>
      <w:r>
        <w:rPr>
          <w:rFonts w:hint="eastAsia"/>
          <w:color w:val="auto"/>
        </w:rPr>
        <w:t>0</w:t>
      </w:r>
      <w:r>
        <w:rPr>
          <w:color w:val="auto"/>
        </w:rPr>
        <w:t>6t/a。消毒剂（过氧乙酸溶液消毒剂等）主要用于公司日常对人员，猪舍及进出厂区的车辆进行消毒，总用量为0.2t/a。项目防疫药品的种类为伪狂犬疫苗、猪瘟疫苗、口蹄疫疫苗、蓝耳病疫苗4种，出栏的商品猪每头各需1份，年共需防疫药品0.</w:t>
      </w:r>
      <w:r>
        <w:rPr>
          <w:rFonts w:hint="eastAsia"/>
          <w:color w:val="auto"/>
        </w:rPr>
        <w:t>4</w:t>
      </w:r>
      <w:r>
        <w:rPr>
          <w:color w:val="auto"/>
        </w:rPr>
        <w:t>t/a。益生菌，用于病死猪无害化处理添加到高温处理机中，一般一次添加1kg。每天处理一次，年用量为0.365t。</w:t>
      </w:r>
    </w:p>
    <w:p>
      <w:pPr>
        <w:pStyle w:val="38"/>
        <w:spacing w:line="360" w:lineRule="auto"/>
        <w:ind w:firstLine="480"/>
        <w:rPr>
          <w:color w:val="auto"/>
        </w:rPr>
      </w:pPr>
      <w:r>
        <w:rPr>
          <w:color w:val="auto"/>
        </w:rPr>
        <w:t>（3）资源能源消耗汇总</w:t>
      </w:r>
    </w:p>
    <w:p>
      <w:pPr>
        <w:pStyle w:val="37"/>
        <w:ind w:firstLine="480"/>
        <w:rPr>
          <w:color w:val="auto"/>
        </w:rPr>
      </w:pPr>
      <w:r>
        <w:rPr>
          <w:color w:val="auto"/>
        </w:rPr>
        <w:t>项目建成后主要原辅材料及资源能源消耗汇总见下表3.1-</w:t>
      </w:r>
      <w:r>
        <w:rPr>
          <w:rFonts w:hint="eastAsia"/>
          <w:color w:val="auto"/>
        </w:rPr>
        <w:t>6</w:t>
      </w:r>
      <w:r>
        <w:rPr>
          <w:color w:val="auto"/>
        </w:rPr>
        <w:t>。</w:t>
      </w:r>
    </w:p>
    <w:p>
      <w:pPr>
        <w:tabs>
          <w:tab w:val="left" w:pos="822"/>
        </w:tabs>
        <w:spacing w:after="72" w:afterLines="30"/>
        <w:ind w:firstLine="482"/>
        <w:jc w:val="left"/>
        <w:rPr>
          <w:b/>
          <w:color w:val="auto"/>
          <w:szCs w:val="21"/>
        </w:rPr>
      </w:pPr>
      <w:r>
        <w:rPr>
          <w:b/>
          <w:color w:val="auto"/>
          <w:szCs w:val="21"/>
        </w:rPr>
        <w:t>表3.1-</w:t>
      </w:r>
      <w:r>
        <w:rPr>
          <w:rFonts w:hint="eastAsia"/>
          <w:b/>
          <w:color w:val="auto"/>
          <w:szCs w:val="21"/>
        </w:rPr>
        <w:t>6</w:t>
      </w:r>
      <w:r>
        <w:rPr>
          <w:b/>
          <w:color w:val="auto"/>
          <w:szCs w:val="21"/>
        </w:rPr>
        <w:t xml:space="preserve">             工程主要原辅材料及能源资源消耗一览表</w:t>
      </w:r>
    </w:p>
    <w:tbl>
      <w:tblPr>
        <w:tblStyle w:val="27"/>
        <w:tblW w:w="4997"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44"/>
        <w:gridCol w:w="1353"/>
        <w:gridCol w:w="1163"/>
        <w:gridCol w:w="1822"/>
        <w:gridCol w:w="306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863" w:type="pct"/>
            <w:vAlign w:val="center"/>
          </w:tcPr>
          <w:p>
            <w:pPr>
              <w:spacing w:line="240" w:lineRule="auto"/>
              <w:ind w:firstLine="0" w:firstLineChars="0"/>
              <w:jc w:val="center"/>
              <w:rPr>
                <w:color w:val="auto"/>
                <w:sz w:val="21"/>
                <w:szCs w:val="21"/>
              </w:rPr>
            </w:pPr>
            <w:r>
              <w:rPr>
                <w:color w:val="auto"/>
                <w:sz w:val="21"/>
                <w:szCs w:val="21"/>
              </w:rPr>
              <w:t>单元</w:t>
            </w:r>
          </w:p>
        </w:tc>
        <w:tc>
          <w:tcPr>
            <w:tcW w:w="756" w:type="pct"/>
            <w:vAlign w:val="center"/>
          </w:tcPr>
          <w:p>
            <w:pPr>
              <w:spacing w:line="240" w:lineRule="auto"/>
              <w:ind w:firstLine="0" w:firstLineChars="0"/>
              <w:jc w:val="center"/>
              <w:rPr>
                <w:color w:val="auto"/>
                <w:sz w:val="21"/>
                <w:szCs w:val="21"/>
              </w:rPr>
            </w:pPr>
            <w:r>
              <w:rPr>
                <w:color w:val="auto"/>
                <w:sz w:val="21"/>
                <w:szCs w:val="21"/>
              </w:rPr>
              <w:t>项目名称</w:t>
            </w:r>
          </w:p>
        </w:tc>
        <w:tc>
          <w:tcPr>
            <w:tcW w:w="650" w:type="pct"/>
            <w:vAlign w:val="center"/>
          </w:tcPr>
          <w:p>
            <w:pPr>
              <w:spacing w:line="240" w:lineRule="auto"/>
              <w:ind w:firstLine="0" w:firstLineChars="0"/>
              <w:jc w:val="center"/>
              <w:rPr>
                <w:color w:val="auto"/>
                <w:sz w:val="21"/>
                <w:szCs w:val="21"/>
              </w:rPr>
            </w:pPr>
            <w:r>
              <w:rPr>
                <w:color w:val="auto"/>
                <w:sz w:val="21"/>
                <w:szCs w:val="21"/>
              </w:rPr>
              <w:t>单位</w:t>
            </w:r>
          </w:p>
        </w:tc>
        <w:tc>
          <w:tcPr>
            <w:tcW w:w="1018" w:type="pct"/>
            <w:vAlign w:val="center"/>
          </w:tcPr>
          <w:p>
            <w:pPr>
              <w:spacing w:line="240" w:lineRule="auto"/>
              <w:ind w:firstLine="0" w:firstLineChars="0"/>
              <w:jc w:val="center"/>
              <w:rPr>
                <w:color w:val="auto"/>
                <w:sz w:val="21"/>
                <w:szCs w:val="21"/>
              </w:rPr>
            </w:pPr>
            <w:r>
              <w:rPr>
                <w:color w:val="auto"/>
                <w:sz w:val="21"/>
                <w:szCs w:val="21"/>
              </w:rPr>
              <w:t>年消耗量</w:t>
            </w:r>
          </w:p>
        </w:tc>
        <w:tc>
          <w:tcPr>
            <w:tcW w:w="1710" w:type="pct"/>
            <w:vAlign w:val="center"/>
          </w:tcPr>
          <w:p>
            <w:pPr>
              <w:spacing w:line="240" w:lineRule="auto"/>
              <w:ind w:firstLine="0" w:firstLineChars="0"/>
              <w:jc w:val="center"/>
              <w:rPr>
                <w:color w:val="auto"/>
                <w:sz w:val="21"/>
                <w:szCs w:val="21"/>
              </w:rPr>
            </w:pPr>
            <w:r>
              <w:rPr>
                <w:color w:val="auto"/>
                <w:sz w:val="21"/>
                <w:szCs w:val="21"/>
              </w:rPr>
              <w:t>储存方式</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863" w:type="pct"/>
            <w:vMerge w:val="restart"/>
            <w:vAlign w:val="center"/>
          </w:tcPr>
          <w:p>
            <w:pPr>
              <w:spacing w:line="240" w:lineRule="auto"/>
              <w:ind w:firstLine="0" w:firstLineChars="0"/>
              <w:jc w:val="center"/>
              <w:rPr>
                <w:color w:val="auto"/>
                <w:sz w:val="21"/>
                <w:szCs w:val="21"/>
              </w:rPr>
            </w:pPr>
            <w:r>
              <w:rPr>
                <w:color w:val="auto"/>
                <w:sz w:val="21"/>
                <w:szCs w:val="21"/>
              </w:rPr>
              <w:t>养殖生产</w:t>
            </w:r>
          </w:p>
        </w:tc>
        <w:tc>
          <w:tcPr>
            <w:tcW w:w="756" w:type="pct"/>
            <w:vAlign w:val="center"/>
          </w:tcPr>
          <w:p>
            <w:pPr>
              <w:spacing w:line="240" w:lineRule="auto"/>
              <w:ind w:firstLine="0" w:firstLineChars="0"/>
              <w:jc w:val="center"/>
              <w:rPr>
                <w:color w:val="auto"/>
                <w:sz w:val="21"/>
                <w:szCs w:val="21"/>
              </w:rPr>
            </w:pPr>
            <w:r>
              <w:rPr>
                <w:color w:val="auto"/>
                <w:sz w:val="21"/>
                <w:szCs w:val="21"/>
              </w:rPr>
              <w:t>饲料</w:t>
            </w:r>
          </w:p>
        </w:tc>
        <w:tc>
          <w:tcPr>
            <w:tcW w:w="650" w:type="pct"/>
            <w:vAlign w:val="center"/>
          </w:tcPr>
          <w:p>
            <w:pPr>
              <w:spacing w:line="240" w:lineRule="auto"/>
              <w:ind w:firstLine="0" w:firstLineChars="0"/>
              <w:jc w:val="center"/>
              <w:rPr>
                <w:color w:val="auto"/>
                <w:sz w:val="21"/>
                <w:szCs w:val="21"/>
              </w:rPr>
            </w:pPr>
            <w:r>
              <w:rPr>
                <w:color w:val="auto"/>
                <w:sz w:val="21"/>
                <w:szCs w:val="21"/>
              </w:rPr>
              <w:t>t</w:t>
            </w:r>
          </w:p>
        </w:tc>
        <w:tc>
          <w:tcPr>
            <w:tcW w:w="1018" w:type="pct"/>
            <w:vAlign w:val="center"/>
          </w:tcPr>
          <w:p>
            <w:pPr>
              <w:spacing w:line="240" w:lineRule="auto"/>
              <w:ind w:firstLine="0" w:firstLineChars="0"/>
              <w:jc w:val="center"/>
              <w:rPr>
                <w:color w:val="auto"/>
                <w:sz w:val="21"/>
                <w:szCs w:val="21"/>
              </w:rPr>
            </w:pPr>
            <w:r>
              <w:rPr>
                <w:rFonts w:hint="eastAsia"/>
                <w:color w:val="auto"/>
                <w:sz w:val="21"/>
                <w:szCs w:val="21"/>
              </w:rPr>
              <w:t>10950</w:t>
            </w:r>
          </w:p>
        </w:tc>
        <w:tc>
          <w:tcPr>
            <w:tcW w:w="1710" w:type="pct"/>
            <w:vAlign w:val="center"/>
          </w:tcPr>
          <w:p>
            <w:pPr>
              <w:spacing w:line="240" w:lineRule="auto"/>
              <w:ind w:firstLine="0" w:firstLineChars="0"/>
              <w:jc w:val="center"/>
              <w:rPr>
                <w:color w:val="auto"/>
                <w:sz w:val="21"/>
                <w:szCs w:val="21"/>
              </w:rPr>
            </w:pPr>
            <w:r>
              <w:rPr>
                <w:color w:val="auto"/>
                <w:sz w:val="21"/>
                <w:szCs w:val="21"/>
              </w:rPr>
              <w:t>饲料罐储存</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863" w:type="pct"/>
            <w:vMerge w:val="continue"/>
            <w:vAlign w:val="center"/>
          </w:tcPr>
          <w:p>
            <w:pPr>
              <w:spacing w:line="240" w:lineRule="auto"/>
              <w:ind w:firstLine="0" w:firstLineChars="0"/>
              <w:jc w:val="center"/>
              <w:rPr>
                <w:color w:val="auto"/>
                <w:sz w:val="21"/>
                <w:szCs w:val="21"/>
              </w:rPr>
            </w:pPr>
          </w:p>
        </w:tc>
        <w:tc>
          <w:tcPr>
            <w:tcW w:w="756" w:type="pct"/>
            <w:vAlign w:val="center"/>
          </w:tcPr>
          <w:p>
            <w:pPr>
              <w:spacing w:line="240" w:lineRule="auto"/>
              <w:ind w:firstLine="0" w:firstLineChars="0"/>
              <w:jc w:val="center"/>
              <w:rPr>
                <w:color w:val="auto"/>
                <w:sz w:val="21"/>
                <w:szCs w:val="21"/>
              </w:rPr>
            </w:pPr>
            <w:r>
              <w:rPr>
                <w:color w:val="auto"/>
                <w:sz w:val="21"/>
                <w:szCs w:val="21"/>
              </w:rPr>
              <w:t>脱硫剂</w:t>
            </w:r>
          </w:p>
        </w:tc>
        <w:tc>
          <w:tcPr>
            <w:tcW w:w="650" w:type="pct"/>
            <w:vAlign w:val="center"/>
          </w:tcPr>
          <w:p>
            <w:pPr>
              <w:spacing w:line="240" w:lineRule="auto"/>
              <w:ind w:firstLine="0" w:firstLineChars="0"/>
              <w:jc w:val="center"/>
              <w:rPr>
                <w:color w:val="auto"/>
                <w:sz w:val="21"/>
                <w:szCs w:val="21"/>
              </w:rPr>
            </w:pPr>
            <w:r>
              <w:rPr>
                <w:color w:val="auto"/>
                <w:sz w:val="21"/>
                <w:szCs w:val="21"/>
              </w:rPr>
              <w:t>t</w:t>
            </w:r>
          </w:p>
        </w:tc>
        <w:tc>
          <w:tcPr>
            <w:tcW w:w="1018" w:type="pct"/>
            <w:vAlign w:val="center"/>
          </w:tcPr>
          <w:p>
            <w:pPr>
              <w:spacing w:line="240" w:lineRule="auto"/>
              <w:ind w:firstLine="0" w:firstLineChars="0"/>
              <w:jc w:val="center"/>
              <w:rPr>
                <w:iCs/>
                <w:color w:val="auto"/>
                <w:sz w:val="21"/>
                <w:szCs w:val="21"/>
              </w:rPr>
            </w:pPr>
            <w:r>
              <w:rPr>
                <w:iCs/>
                <w:color w:val="auto"/>
                <w:sz w:val="21"/>
                <w:szCs w:val="21"/>
              </w:rPr>
              <w:t>0.0</w:t>
            </w:r>
            <w:r>
              <w:rPr>
                <w:rFonts w:hint="eastAsia"/>
                <w:iCs/>
                <w:color w:val="auto"/>
                <w:sz w:val="21"/>
                <w:szCs w:val="21"/>
              </w:rPr>
              <w:t>0</w:t>
            </w:r>
            <w:r>
              <w:rPr>
                <w:iCs/>
                <w:color w:val="auto"/>
                <w:sz w:val="21"/>
                <w:szCs w:val="21"/>
              </w:rPr>
              <w:t>6</w:t>
            </w:r>
          </w:p>
        </w:tc>
        <w:tc>
          <w:tcPr>
            <w:tcW w:w="1710" w:type="pct"/>
            <w:vAlign w:val="center"/>
          </w:tcPr>
          <w:p>
            <w:pPr>
              <w:spacing w:line="240" w:lineRule="auto"/>
              <w:ind w:firstLine="0" w:firstLineChars="0"/>
              <w:jc w:val="center"/>
              <w:rPr>
                <w:iCs/>
                <w:color w:val="auto"/>
                <w:sz w:val="21"/>
                <w:szCs w:val="21"/>
              </w:rPr>
            </w:pPr>
            <w:r>
              <w:rPr>
                <w:iCs/>
                <w:color w:val="auto"/>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863" w:type="pct"/>
            <w:vMerge w:val="continue"/>
            <w:vAlign w:val="center"/>
          </w:tcPr>
          <w:p>
            <w:pPr>
              <w:spacing w:line="240" w:lineRule="auto"/>
              <w:ind w:firstLine="0" w:firstLineChars="0"/>
              <w:jc w:val="center"/>
              <w:rPr>
                <w:color w:val="auto"/>
                <w:sz w:val="21"/>
                <w:szCs w:val="21"/>
              </w:rPr>
            </w:pPr>
          </w:p>
        </w:tc>
        <w:tc>
          <w:tcPr>
            <w:tcW w:w="756" w:type="pct"/>
            <w:vAlign w:val="center"/>
          </w:tcPr>
          <w:p>
            <w:pPr>
              <w:spacing w:line="240" w:lineRule="auto"/>
              <w:ind w:firstLine="0" w:firstLineChars="0"/>
              <w:jc w:val="center"/>
              <w:rPr>
                <w:color w:val="auto"/>
                <w:sz w:val="21"/>
                <w:szCs w:val="21"/>
              </w:rPr>
            </w:pPr>
            <w:r>
              <w:rPr>
                <w:color w:val="auto"/>
                <w:sz w:val="21"/>
                <w:szCs w:val="21"/>
              </w:rPr>
              <w:t>消毒剂</w:t>
            </w:r>
          </w:p>
        </w:tc>
        <w:tc>
          <w:tcPr>
            <w:tcW w:w="650" w:type="pct"/>
            <w:vAlign w:val="center"/>
          </w:tcPr>
          <w:p>
            <w:pPr>
              <w:spacing w:line="240" w:lineRule="auto"/>
              <w:ind w:firstLine="0" w:firstLineChars="0"/>
              <w:jc w:val="center"/>
              <w:rPr>
                <w:color w:val="auto"/>
                <w:sz w:val="21"/>
                <w:szCs w:val="21"/>
              </w:rPr>
            </w:pPr>
            <w:r>
              <w:rPr>
                <w:color w:val="auto"/>
                <w:sz w:val="21"/>
                <w:szCs w:val="21"/>
              </w:rPr>
              <w:t>t</w:t>
            </w:r>
          </w:p>
        </w:tc>
        <w:tc>
          <w:tcPr>
            <w:tcW w:w="1018" w:type="pct"/>
            <w:vAlign w:val="center"/>
          </w:tcPr>
          <w:p>
            <w:pPr>
              <w:spacing w:line="240" w:lineRule="auto"/>
              <w:ind w:firstLine="0" w:firstLineChars="0"/>
              <w:jc w:val="center"/>
              <w:rPr>
                <w:iCs/>
                <w:color w:val="auto"/>
                <w:sz w:val="21"/>
                <w:szCs w:val="21"/>
              </w:rPr>
            </w:pPr>
            <w:r>
              <w:rPr>
                <w:iCs/>
                <w:color w:val="auto"/>
                <w:sz w:val="21"/>
                <w:szCs w:val="21"/>
              </w:rPr>
              <w:t>0.2</w:t>
            </w:r>
          </w:p>
        </w:tc>
        <w:tc>
          <w:tcPr>
            <w:tcW w:w="1710" w:type="pct"/>
            <w:vAlign w:val="center"/>
          </w:tcPr>
          <w:p>
            <w:pPr>
              <w:spacing w:line="240" w:lineRule="auto"/>
              <w:ind w:firstLine="0" w:firstLineChars="0"/>
              <w:jc w:val="center"/>
              <w:rPr>
                <w:iCs/>
                <w:color w:val="auto"/>
                <w:sz w:val="21"/>
                <w:szCs w:val="21"/>
              </w:rPr>
            </w:pPr>
            <w:r>
              <w:rPr>
                <w:iCs/>
                <w:color w:val="auto"/>
                <w:sz w:val="21"/>
                <w:szCs w:val="21"/>
              </w:rPr>
              <w:t>储存于项目仓库</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863" w:type="pct"/>
            <w:vMerge w:val="continue"/>
            <w:vAlign w:val="center"/>
          </w:tcPr>
          <w:p>
            <w:pPr>
              <w:spacing w:line="240" w:lineRule="auto"/>
              <w:ind w:firstLine="0" w:firstLineChars="0"/>
              <w:jc w:val="center"/>
              <w:rPr>
                <w:color w:val="auto"/>
                <w:sz w:val="21"/>
                <w:szCs w:val="21"/>
              </w:rPr>
            </w:pPr>
          </w:p>
        </w:tc>
        <w:tc>
          <w:tcPr>
            <w:tcW w:w="756" w:type="pct"/>
            <w:vAlign w:val="center"/>
          </w:tcPr>
          <w:p>
            <w:pPr>
              <w:spacing w:line="240" w:lineRule="auto"/>
              <w:ind w:firstLine="0" w:firstLineChars="0"/>
              <w:jc w:val="center"/>
              <w:rPr>
                <w:color w:val="auto"/>
                <w:sz w:val="21"/>
                <w:szCs w:val="21"/>
              </w:rPr>
            </w:pPr>
            <w:r>
              <w:rPr>
                <w:color w:val="auto"/>
                <w:sz w:val="21"/>
                <w:szCs w:val="21"/>
              </w:rPr>
              <w:t>防疫药品</w:t>
            </w:r>
          </w:p>
        </w:tc>
        <w:tc>
          <w:tcPr>
            <w:tcW w:w="650" w:type="pct"/>
            <w:vAlign w:val="center"/>
          </w:tcPr>
          <w:p>
            <w:pPr>
              <w:spacing w:line="240" w:lineRule="auto"/>
              <w:ind w:firstLine="0" w:firstLineChars="0"/>
              <w:jc w:val="center"/>
              <w:rPr>
                <w:color w:val="auto"/>
                <w:sz w:val="21"/>
                <w:szCs w:val="21"/>
              </w:rPr>
            </w:pPr>
            <w:r>
              <w:rPr>
                <w:color w:val="auto"/>
                <w:sz w:val="21"/>
                <w:szCs w:val="21"/>
              </w:rPr>
              <w:t>t</w:t>
            </w:r>
          </w:p>
        </w:tc>
        <w:tc>
          <w:tcPr>
            <w:tcW w:w="1018" w:type="pct"/>
            <w:vAlign w:val="center"/>
          </w:tcPr>
          <w:p>
            <w:pPr>
              <w:spacing w:line="240" w:lineRule="auto"/>
              <w:ind w:firstLine="0" w:firstLineChars="0"/>
              <w:jc w:val="center"/>
              <w:rPr>
                <w:iCs/>
                <w:color w:val="auto"/>
                <w:sz w:val="21"/>
                <w:szCs w:val="21"/>
              </w:rPr>
            </w:pPr>
            <w:r>
              <w:rPr>
                <w:rFonts w:hint="eastAsia"/>
                <w:iCs/>
                <w:color w:val="auto"/>
                <w:sz w:val="21"/>
                <w:szCs w:val="21"/>
              </w:rPr>
              <w:t>0.4</w:t>
            </w:r>
          </w:p>
        </w:tc>
        <w:tc>
          <w:tcPr>
            <w:tcW w:w="1710" w:type="pct"/>
            <w:vAlign w:val="center"/>
          </w:tcPr>
          <w:p>
            <w:pPr>
              <w:spacing w:line="240" w:lineRule="auto"/>
              <w:ind w:firstLine="0" w:firstLineChars="0"/>
              <w:jc w:val="center"/>
              <w:rPr>
                <w:iCs/>
                <w:color w:val="auto"/>
                <w:sz w:val="21"/>
                <w:szCs w:val="21"/>
              </w:rPr>
            </w:pPr>
            <w:r>
              <w:rPr>
                <w:iCs/>
                <w:color w:val="auto"/>
                <w:sz w:val="21"/>
                <w:szCs w:val="21"/>
              </w:rPr>
              <w:t>仓库内疫苗专用冰柜冷藏</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863" w:type="pct"/>
            <w:vMerge w:val="continue"/>
            <w:vAlign w:val="center"/>
          </w:tcPr>
          <w:p>
            <w:pPr>
              <w:spacing w:line="240" w:lineRule="auto"/>
              <w:ind w:firstLine="0" w:firstLineChars="0"/>
              <w:jc w:val="center"/>
              <w:rPr>
                <w:color w:val="auto"/>
                <w:sz w:val="21"/>
                <w:szCs w:val="21"/>
              </w:rPr>
            </w:pPr>
          </w:p>
        </w:tc>
        <w:tc>
          <w:tcPr>
            <w:tcW w:w="756" w:type="pct"/>
            <w:vAlign w:val="center"/>
          </w:tcPr>
          <w:p>
            <w:pPr>
              <w:spacing w:line="240" w:lineRule="auto"/>
              <w:ind w:firstLine="0" w:firstLineChars="0"/>
              <w:jc w:val="center"/>
              <w:rPr>
                <w:color w:val="auto"/>
                <w:sz w:val="21"/>
                <w:szCs w:val="21"/>
              </w:rPr>
            </w:pPr>
            <w:r>
              <w:rPr>
                <w:color w:val="auto"/>
                <w:sz w:val="21"/>
                <w:szCs w:val="21"/>
              </w:rPr>
              <w:t>植物除臭剂</w:t>
            </w:r>
          </w:p>
        </w:tc>
        <w:tc>
          <w:tcPr>
            <w:tcW w:w="650" w:type="pct"/>
            <w:vAlign w:val="center"/>
          </w:tcPr>
          <w:p>
            <w:pPr>
              <w:spacing w:line="240" w:lineRule="auto"/>
              <w:ind w:firstLine="0" w:firstLineChars="0"/>
              <w:jc w:val="center"/>
              <w:rPr>
                <w:color w:val="auto"/>
                <w:sz w:val="21"/>
                <w:szCs w:val="21"/>
              </w:rPr>
            </w:pPr>
            <w:r>
              <w:rPr>
                <w:color w:val="auto"/>
                <w:sz w:val="21"/>
                <w:szCs w:val="21"/>
              </w:rPr>
              <w:t>t</w:t>
            </w:r>
          </w:p>
        </w:tc>
        <w:tc>
          <w:tcPr>
            <w:tcW w:w="1018" w:type="pct"/>
            <w:vAlign w:val="center"/>
          </w:tcPr>
          <w:p>
            <w:pPr>
              <w:spacing w:line="240" w:lineRule="auto"/>
              <w:ind w:firstLine="0" w:firstLineChars="0"/>
              <w:jc w:val="center"/>
              <w:rPr>
                <w:iCs/>
                <w:color w:val="auto"/>
                <w:sz w:val="21"/>
                <w:szCs w:val="21"/>
              </w:rPr>
            </w:pPr>
            <w:r>
              <w:rPr>
                <w:iCs/>
                <w:color w:val="auto"/>
                <w:sz w:val="21"/>
                <w:szCs w:val="21"/>
              </w:rPr>
              <w:t>0.</w:t>
            </w:r>
            <w:r>
              <w:rPr>
                <w:rFonts w:hint="eastAsia"/>
                <w:iCs/>
                <w:color w:val="auto"/>
                <w:sz w:val="21"/>
                <w:szCs w:val="21"/>
              </w:rPr>
              <w:t>04</w:t>
            </w:r>
          </w:p>
        </w:tc>
        <w:tc>
          <w:tcPr>
            <w:tcW w:w="1710" w:type="pct"/>
            <w:vAlign w:val="center"/>
          </w:tcPr>
          <w:p>
            <w:pPr>
              <w:spacing w:line="240" w:lineRule="auto"/>
              <w:ind w:firstLine="0" w:firstLineChars="0"/>
              <w:jc w:val="center"/>
              <w:rPr>
                <w:iCs/>
                <w:color w:val="auto"/>
                <w:sz w:val="21"/>
                <w:szCs w:val="21"/>
              </w:rPr>
            </w:pPr>
            <w:r>
              <w:rPr>
                <w:iCs/>
                <w:color w:val="auto"/>
                <w:sz w:val="21"/>
                <w:szCs w:val="21"/>
              </w:rPr>
              <w:t>仓库内罐装密闭储存</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63" w:type="pct"/>
            <w:vAlign w:val="center"/>
          </w:tcPr>
          <w:p>
            <w:pPr>
              <w:spacing w:line="240" w:lineRule="auto"/>
              <w:ind w:firstLine="0" w:firstLineChars="0"/>
              <w:jc w:val="center"/>
              <w:rPr>
                <w:color w:val="auto"/>
                <w:sz w:val="21"/>
                <w:szCs w:val="21"/>
              </w:rPr>
            </w:pPr>
            <w:r>
              <w:rPr>
                <w:rFonts w:hint="eastAsia"/>
                <w:color w:val="auto"/>
                <w:sz w:val="21"/>
                <w:szCs w:val="21"/>
              </w:rPr>
              <w:t>高温化制机</w:t>
            </w:r>
          </w:p>
        </w:tc>
        <w:tc>
          <w:tcPr>
            <w:tcW w:w="756" w:type="pct"/>
            <w:vAlign w:val="center"/>
          </w:tcPr>
          <w:p>
            <w:pPr>
              <w:spacing w:line="240" w:lineRule="auto"/>
              <w:ind w:firstLine="0" w:firstLineChars="0"/>
              <w:jc w:val="center"/>
              <w:rPr>
                <w:color w:val="auto"/>
                <w:sz w:val="21"/>
                <w:szCs w:val="21"/>
              </w:rPr>
            </w:pPr>
            <w:r>
              <w:rPr>
                <w:color w:val="auto"/>
                <w:sz w:val="21"/>
                <w:szCs w:val="21"/>
              </w:rPr>
              <w:t>益生菌</w:t>
            </w:r>
          </w:p>
        </w:tc>
        <w:tc>
          <w:tcPr>
            <w:tcW w:w="650" w:type="pct"/>
            <w:vAlign w:val="center"/>
          </w:tcPr>
          <w:p>
            <w:pPr>
              <w:spacing w:line="240" w:lineRule="auto"/>
              <w:ind w:firstLine="0" w:firstLineChars="0"/>
              <w:jc w:val="center"/>
              <w:rPr>
                <w:color w:val="auto"/>
                <w:sz w:val="21"/>
                <w:szCs w:val="21"/>
              </w:rPr>
            </w:pPr>
            <w:r>
              <w:rPr>
                <w:color w:val="auto"/>
                <w:sz w:val="21"/>
                <w:szCs w:val="21"/>
              </w:rPr>
              <w:t>t</w:t>
            </w:r>
          </w:p>
        </w:tc>
        <w:tc>
          <w:tcPr>
            <w:tcW w:w="1018" w:type="pct"/>
            <w:vAlign w:val="center"/>
          </w:tcPr>
          <w:p>
            <w:pPr>
              <w:spacing w:line="240" w:lineRule="auto"/>
              <w:ind w:firstLine="0" w:firstLineChars="0"/>
              <w:jc w:val="center"/>
              <w:rPr>
                <w:color w:val="auto"/>
                <w:sz w:val="21"/>
                <w:szCs w:val="21"/>
              </w:rPr>
            </w:pPr>
            <w:r>
              <w:rPr>
                <w:color w:val="auto"/>
                <w:sz w:val="21"/>
                <w:szCs w:val="21"/>
              </w:rPr>
              <w:t>0.365</w:t>
            </w:r>
          </w:p>
        </w:tc>
        <w:tc>
          <w:tcPr>
            <w:tcW w:w="1710" w:type="pct"/>
            <w:vAlign w:val="center"/>
          </w:tcPr>
          <w:p>
            <w:pPr>
              <w:spacing w:line="240" w:lineRule="auto"/>
              <w:ind w:firstLine="0" w:firstLineChars="0"/>
              <w:jc w:val="center"/>
              <w:rPr>
                <w:color w:val="auto"/>
                <w:sz w:val="21"/>
                <w:szCs w:val="21"/>
              </w:rPr>
            </w:pPr>
            <w:r>
              <w:rPr>
                <w:color w:val="auto"/>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863" w:type="pct"/>
            <w:vMerge w:val="restart"/>
            <w:vAlign w:val="center"/>
          </w:tcPr>
          <w:p>
            <w:pPr>
              <w:spacing w:line="240" w:lineRule="auto"/>
              <w:ind w:firstLine="0" w:firstLineChars="0"/>
              <w:jc w:val="center"/>
              <w:rPr>
                <w:color w:val="auto"/>
                <w:sz w:val="21"/>
                <w:szCs w:val="21"/>
              </w:rPr>
            </w:pPr>
            <w:r>
              <w:rPr>
                <w:color w:val="auto"/>
                <w:sz w:val="21"/>
                <w:szCs w:val="21"/>
              </w:rPr>
              <w:t>其他</w:t>
            </w:r>
          </w:p>
        </w:tc>
        <w:tc>
          <w:tcPr>
            <w:tcW w:w="756" w:type="pct"/>
            <w:vAlign w:val="center"/>
          </w:tcPr>
          <w:p>
            <w:pPr>
              <w:spacing w:line="240" w:lineRule="auto"/>
              <w:ind w:firstLine="0" w:firstLineChars="0"/>
              <w:jc w:val="center"/>
              <w:rPr>
                <w:color w:val="auto"/>
                <w:sz w:val="21"/>
                <w:szCs w:val="21"/>
                <w:highlight w:val="yellow"/>
              </w:rPr>
            </w:pPr>
            <w:r>
              <w:rPr>
                <w:color w:val="auto"/>
                <w:sz w:val="21"/>
                <w:szCs w:val="21"/>
              </w:rPr>
              <w:t>电</w:t>
            </w:r>
          </w:p>
        </w:tc>
        <w:tc>
          <w:tcPr>
            <w:tcW w:w="650" w:type="pct"/>
            <w:vAlign w:val="center"/>
          </w:tcPr>
          <w:p>
            <w:pPr>
              <w:spacing w:line="240" w:lineRule="auto"/>
              <w:ind w:firstLine="0" w:firstLineChars="0"/>
              <w:jc w:val="center"/>
              <w:rPr>
                <w:color w:val="auto"/>
                <w:sz w:val="21"/>
                <w:szCs w:val="21"/>
              </w:rPr>
            </w:pPr>
            <w:r>
              <w:rPr>
                <w:color w:val="auto"/>
                <w:sz w:val="21"/>
                <w:szCs w:val="21"/>
              </w:rPr>
              <w:t>万度</w:t>
            </w:r>
          </w:p>
        </w:tc>
        <w:tc>
          <w:tcPr>
            <w:tcW w:w="1018" w:type="pct"/>
            <w:vAlign w:val="center"/>
          </w:tcPr>
          <w:p>
            <w:pPr>
              <w:spacing w:line="240" w:lineRule="auto"/>
              <w:ind w:firstLine="0" w:firstLineChars="0"/>
              <w:jc w:val="center"/>
              <w:rPr>
                <w:color w:val="auto"/>
                <w:sz w:val="21"/>
                <w:szCs w:val="21"/>
              </w:rPr>
            </w:pPr>
            <w:r>
              <w:rPr>
                <w:rFonts w:hint="eastAsia"/>
                <w:color w:val="auto"/>
                <w:sz w:val="21"/>
                <w:szCs w:val="21"/>
              </w:rPr>
              <w:t>50</w:t>
            </w:r>
          </w:p>
        </w:tc>
        <w:tc>
          <w:tcPr>
            <w:tcW w:w="1710" w:type="pct"/>
            <w:vAlign w:val="center"/>
          </w:tcPr>
          <w:p>
            <w:pPr>
              <w:spacing w:line="240" w:lineRule="auto"/>
              <w:ind w:firstLine="0" w:firstLineChars="0"/>
              <w:jc w:val="center"/>
              <w:rPr>
                <w:color w:val="auto"/>
                <w:sz w:val="21"/>
                <w:szCs w:val="21"/>
              </w:rPr>
            </w:pPr>
            <w:r>
              <w:rPr>
                <w:color w:val="auto"/>
                <w:sz w:val="21"/>
                <w:szCs w:val="21"/>
              </w:rPr>
              <w:t>来自</w:t>
            </w:r>
            <w:r>
              <w:rPr>
                <w:rFonts w:hint="eastAsia"/>
                <w:color w:val="auto"/>
                <w:sz w:val="21"/>
                <w:szCs w:val="21"/>
              </w:rPr>
              <w:t>濮阳县五星乡</w:t>
            </w:r>
            <w:r>
              <w:rPr>
                <w:color w:val="auto"/>
                <w:sz w:val="21"/>
                <w:szCs w:val="21"/>
              </w:rPr>
              <w:t>供电所</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63" w:type="pct"/>
            <w:vMerge w:val="continue"/>
            <w:vAlign w:val="center"/>
          </w:tcPr>
          <w:p>
            <w:pPr>
              <w:spacing w:line="240" w:lineRule="auto"/>
              <w:ind w:firstLine="0" w:firstLineChars="0"/>
              <w:jc w:val="center"/>
              <w:rPr>
                <w:color w:val="auto"/>
                <w:sz w:val="21"/>
                <w:szCs w:val="21"/>
              </w:rPr>
            </w:pPr>
          </w:p>
        </w:tc>
        <w:tc>
          <w:tcPr>
            <w:tcW w:w="756" w:type="pct"/>
            <w:vAlign w:val="center"/>
          </w:tcPr>
          <w:p>
            <w:pPr>
              <w:spacing w:line="240" w:lineRule="auto"/>
              <w:ind w:firstLine="0" w:firstLineChars="0"/>
              <w:jc w:val="center"/>
              <w:rPr>
                <w:color w:val="auto"/>
                <w:sz w:val="21"/>
                <w:szCs w:val="21"/>
                <w:highlight w:val="yellow"/>
              </w:rPr>
            </w:pPr>
            <w:r>
              <w:rPr>
                <w:color w:val="auto"/>
                <w:sz w:val="21"/>
                <w:szCs w:val="21"/>
              </w:rPr>
              <w:t>水</w:t>
            </w:r>
          </w:p>
        </w:tc>
        <w:tc>
          <w:tcPr>
            <w:tcW w:w="650" w:type="pct"/>
            <w:vAlign w:val="center"/>
          </w:tcPr>
          <w:p>
            <w:pPr>
              <w:spacing w:line="240" w:lineRule="auto"/>
              <w:ind w:firstLine="0" w:firstLineChars="0"/>
              <w:jc w:val="center"/>
              <w:rPr>
                <w:color w:val="auto"/>
                <w:sz w:val="21"/>
                <w:szCs w:val="21"/>
              </w:rPr>
            </w:pPr>
            <w:r>
              <w:rPr>
                <w:rFonts w:hint="eastAsia"/>
                <w:color w:val="auto"/>
                <w:sz w:val="21"/>
                <w:szCs w:val="21"/>
              </w:rPr>
              <w:t>m</w:t>
            </w:r>
            <w:r>
              <w:rPr>
                <w:rFonts w:hint="eastAsia"/>
                <w:color w:val="auto"/>
                <w:sz w:val="21"/>
                <w:szCs w:val="21"/>
                <w:vertAlign w:val="superscript"/>
              </w:rPr>
              <w:t>3</w:t>
            </w:r>
          </w:p>
        </w:tc>
        <w:tc>
          <w:tcPr>
            <w:tcW w:w="1018" w:type="pct"/>
            <w:vAlign w:val="center"/>
          </w:tcPr>
          <w:p>
            <w:pPr>
              <w:spacing w:line="240" w:lineRule="auto"/>
              <w:ind w:firstLine="0" w:firstLineChars="0"/>
              <w:jc w:val="center"/>
              <w:rPr>
                <w:color w:val="auto"/>
                <w:sz w:val="21"/>
                <w:szCs w:val="21"/>
              </w:rPr>
            </w:pPr>
            <w:r>
              <w:rPr>
                <w:rFonts w:hint="eastAsia"/>
                <w:color w:val="auto"/>
                <w:sz w:val="21"/>
                <w:szCs w:val="21"/>
              </w:rPr>
              <w:t>81632.48</w:t>
            </w:r>
          </w:p>
        </w:tc>
        <w:tc>
          <w:tcPr>
            <w:tcW w:w="1710" w:type="pct"/>
            <w:vAlign w:val="center"/>
          </w:tcPr>
          <w:p>
            <w:pPr>
              <w:spacing w:line="240" w:lineRule="auto"/>
              <w:ind w:firstLine="0" w:firstLineChars="0"/>
              <w:jc w:val="center"/>
              <w:rPr>
                <w:color w:val="auto"/>
                <w:sz w:val="21"/>
                <w:szCs w:val="21"/>
              </w:rPr>
            </w:pPr>
            <w:r>
              <w:rPr>
                <w:color w:val="auto"/>
                <w:sz w:val="21"/>
                <w:szCs w:val="21"/>
              </w:rPr>
              <w:t>厂区水井</w:t>
            </w:r>
          </w:p>
        </w:tc>
      </w:tr>
    </w:tbl>
    <w:p>
      <w:pPr>
        <w:pStyle w:val="36"/>
        <w:ind w:firstLine="480"/>
        <w:rPr>
          <w:color w:val="auto"/>
        </w:rPr>
      </w:pPr>
      <w:bookmarkStart w:id="261" w:name="_Toc468115358"/>
      <w:r>
        <w:rPr>
          <w:color w:val="auto"/>
        </w:rPr>
        <w:t>3.1.6 工用工程</w:t>
      </w:r>
      <w:bookmarkEnd w:id="261"/>
    </w:p>
    <w:p>
      <w:pPr>
        <w:pStyle w:val="39"/>
        <w:ind w:firstLine="480"/>
        <w:rPr>
          <w:color w:val="auto"/>
        </w:rPr>
      </w:pPr>
      <w:r>
        <w:rPr>
          <w:color w:val="auto"/>
        </w:rPr>
        <w:t>3.1.6.1项目用水情况</w:t>
      </w:r>
    </w:p>
    <w:p>
      <w:pPr>
        <w:ind w:firstLine="480"/>
        <w:rPr>
          <w:color w:val="auto"/>
        </w:rPr>
      </w:pPr>
      <w:r>
        <w:rPr>
          <w:color w:val="auto"/>
        </w:rPr>
        <w:t>项目完成后全</w:t>
      </w:r>
      <w:r>
        <w:rPr>
          <w:rFonts w:hint="eastAsia"/>
          <w:color w:val="auto"/>
        </w:rPr>
        <w:t>厂</w:t>
      </w:r>
      <w:r>
        <w:rPr>
          <w:color w:val="auto"/>
        </w:rPr>
        <w:t>新鲜水总用水量为</w:t>
      </w:r>
      <w:r>
        <w:rPr>
          <w:rFonts w:hint="eastAsia"/>
          <w:color w:val="auto"/>
        </w:rPr>
        <w:t>81632.48</w:t>
      </w:r>
      <w:r>
        <w:rPr>
          <w:color w:val="auto"/>
        </w:rPr>
        <w:t>m</w:t>
      </w:r>
      <w:r>
        <w:rPr>
          <w:color w:val="auto"/>
          <w:vertAlign w:val="superscript"/>
        </w:rPr>
        <w:t>3</w:t>
      </w:r>
      <w:r>
        <w:rPr>
          <w:color w:val="auto"/>
        </w:rPr>
        <w:t>/a，用水方向主要为生活用水、猪只饮用水、猪舍冲洗水、降温用水等。项目用水全部由</w:t>
      </w:r>
      <w:r>
        <w:rPr>
          <w:rFonts w:hint="eastAsia"/>
          <w:color w:val="auto"/>
        </w:rPr>
        <w:t>厂区</w:t>
      </w:r>
      <w:r>
        <w:rPr>
          <w:color w:val="auto"/>
        </w:rPr>
        <w:t>自备井供应。</w:t>
      </w:r>
    </w:p>
    <w:p>
      <w:pPr>
        <w:ind w:firstLine="480"/>
        <w:rPr>
          <w:color w:val="auto"/>
        </w:rPr>
      </w:pPr>
      <w:r>
        <w:rPr>
          <w:color w:val="auto"/>
        </w:rPr>
        <w:t>（1）猪只饮用及猪舍冲洗水</w:t>
      </w:r>
    </w:p>
    <w:p>
      <w:pPr>
        <w:ind w:firstLine="480"/>
        <w:rPr>
          <w:color w:val="auto"/>
        </w:rPr>
      </w:pPr>
      <w:r>
        <w:rPr>
          <w:color w:val="auto"/>
        </w:rPr>
        <w:t>本项目猪的饮水量根据牧原公司其他已投入运营的干清粪养殖工艺养猪场的实际运营情况确定，用水参数见表3.1-</w:t>
      </w:r>
      <w:r>
        <w:rPr>
          <w:rFonts w:hint="eastAsia"/>
          <w:color w:val="auto"/>
        </w:rPr>
        <w:t>7</w:t>
      </w:r>
      <w:r>
        <w:rPr>
          <w:color w:val="auto"/>
        </w:rPr>
        <w:t>，猪舍冲洗水用水情况见表3.1-</w:t>
      </w:r>
      <w:r>
        <w:rPr>
          <w:rFonts w:hint="eastAsia"/>
          <w:color w:val="auto"/>
        </w:rPr>
        <w:t>8</w:t>
      </w:r>
      <w:r>
        <w:rPr>
          <w:color w:val="auto"/>
        </w:rPr>
        <w:t>。</w:t>
      </w:r>
    </w:p>
    <w:p>
      <w:pPr>
        <w:spacing w:after="72" w:afterLines="30"/>
        <w:ind w:firstLine="482"/>
        <w:jc w:val="left"/>
        <w:rPr>
          <w:b/>
          <w:color w:val="auto"/>
          <w:szCs w:val="21"/>
        </w:rPr>
      </w:pPr>
      <w:r>
        <w:rPr>
          <w:b/>
          <w:color w:val="auto"/>
          <w:szCs w:val="21"/>
        </w:rPr>
        <w:t>表3.1-</w:t>
      </w:r>
      <w:r>
        <w:rPr>
          <w:rFonts w:hint="eastAsia"/>
          <w:b/>
          <w:color w:val="auto"/>
          <w:szCs w:val="21"/>
        </w:rPr>
        <w:t>7</w:t>
      </w:r>
      <w:r>
        <w:rPr>
          <w:b/>
          <w:color w:val="auto"/>
          <w:szCs w:val="21"/>
        </w:rPr>
        <w:t xml:space="preserve">                    猪只饮用水情况一览表</w:t>
      </w:r>
    </w:p>
    <w:tbl>
      <w:tblPr>
        <w:tblStyle w:val="27"/>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30"/>
        <w:gridCol w:w="3410"/>
        <w:gridCol w:w="370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2929" w:type="pct"/>
            <w:gridSpan w:val="2"/>
            <w:vAlign w:val="center"/>
          </w:tcPr>
          <w:p>
            <w:pPr>
              <w:spacing w:line="240" w:lineRule="auto"/>
              <w:ind w:firstLine="0" w:firstLineChars="0"/>
              <w:jc w:val="center"/>
              <w:rPr>
                <w:iCs/>
                <w:color w:val="auto"/>
                <w:sz w:val="21"/>
                <w:szCs w:val="21"/>
              </w:rPr>
            </w:pPr>
            <w:r>
              <w:rPr>
                <w:iCs/>
                <w:color w:val="auto"/>
                <w:sz w:val="21"/>
                <w:szCs w:val="21"/>
              </w:rPr>
              <w:t>种类</w:t>
            </w:r>
          </w:p>
        </w:tc>
        <w:tc>
          <w:tcPr>
            <w:tcW w:w="2070" w:type="pct"/>
            <w:vAlign w:val="center"/>
          </w:tcPr>
          <w:p>
            <w:pPr>
              <w:spacing w:line="240" w:lineRule="auto"/>
              <w:ind w:firstLine="0" w:firstLineChars="0"/>
              <w:jc w:val="center"/>
              <w:rPr>
                <w:iCs/>
                <w:color w:val="auto"/>
                <w:sz w:val="21"/>
                <w:szCs w:val="21"/>
              </w:rPr>
            </w:pPr>
            <w:r>
              <w:rPr>
                <w:rFonts w:hint="eastAsia"/>
                <w:iCs/>
                <w:color w:val="auto"/>
                <w:sz w:val="21"/>
                <w:szCs w:val="21"/>
              </w:rPr>
              <w:t>保育育肥一体舍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2929" w:type="pct"/>
            <w:gridSpan w:val="2"/>
            <w:vAlign w:val="center"/>
          </w:tcPr>
          <w:p>
            <w:pPr>
              <w:spacing w:line="240" w:lineRule="auto"/>
              <w:ind w:firstLine="0" w:firstLineChars="0"/>
              <w:jc w:val="center"/>
              <w:rPr>
                <w:iCs/>
                <w:color w:val="auto"/>
                <w:sz w:val="21"/>
                <w:szCs w:val="21"/>
              </w:rPr>
            </w:pPr>
            <w:r>
              <w:rPr>
                <w:iCs/>
                <w:color w:val="auto"/>
                <w:sz w:val="21"/>
                <w:szCs w:val="21"/>
              </w:rPr>
              <w:t>存栏数（头）</w:t>
            </w:r>
          </w:p>
        </w:tc>
        <w:tc>
          <w:tcPr>
            <w:tcW w:w="2070" w:type="pct"/>
            <w:vAlign w:val="center"/>
          </w:tcPr>
          <w:p>
            <w:pPr>
              <w:spacing w:line="240" w:lineRule="auto"/>
              <w:ind w:firstLine="0" w:firstLineChars="0"/>
              <w:jc w:val="center"/>
              <w:rPr>
                <w:iCs/>
                <w:color w:val="auto"/>
                <w:sz w:val="21"/>
                <w:szCs w:val="21"/>
              </w:rPr>
            </w:pPr>
            <w:r>
              <w:rPr>
                <w:rFonts w:hint="eastAsia"/>
                <w:iCs/>
                <w:color w:val="auto"/>
                <w:sz w:val="21"/>
                <w:szCs w:val="21"/>
              </w:rPr>
              <w:t>20000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6" w:hRule="atLeast"/>
          <w:jc w:val="center"/>
        </w:trPr>
        <w:tc>
          <w:tcPr>
            <w:tcW w:w="1023" w:type="pct"/>
            <w:vMerge w:val="restart"/>
            <w:vAlign w:val="center"/>
          </w:tcPr>
          <w:p>
            <w:pPr>
              <w:spacing w:line="240" w:lineRule="auto"/>
              <w:ind w:firstLine="0" w:firstLineChars="0"/>
              <w:jc w:val="center"/>
              <w:rPr>
                <w:iCs/>
                <w:color w:val="auto"/>
                <w:sz w:val="21"/>
                <w:szCs w:val="21"/>
              </w:rPr>
            </w:pPr>
            <w:r>
              <w:rPr>
                <w:iCs/>
                <w:color w:val="auto"/>
                <w:sz w:val="21"/>
                <w:szCs w:val="21"/>
              </w:rPr>
              <w:t>饮用水</w:t>
            </w:r>
          </w:p>
        </w:tc>
        <w:tc>
          <w:tcPr>
            <w:tcW w:w="1905" w:type="pct"/>
            <w:vAlign w:val="center"/>
          </w:tcPr>
          <w:p>
            <w:pPr>
              <w:spacing w:line="240" w:lineRule="auto"/>
              <w:ind w:firstLine="0" w:firstLineChars="0"/>
              <w:jc w:val="center"/>
              <w:rPr>
                <w:iCs/>
                <w:color w:val="auto"/>
                <w:sz w:val="21"/>
                <w:szCs w:val="21"/>
              </w:rPr>
            </w:pPr>
            <w:r>
              <w:rPr>
                <w:iCs/>
                <w:color w:val="auto"/>
                <w:sz w:val="21"/>
                <w:szCs w:val="21"/>
              </w:rPr>
              <w:t>夏季（L/ d·头）</w:t>
            </w:r>
          </w:p>
        </w:tc>
        <w:tc>
          <w:tcPr>
            <w:tcW w:w="2070" w:type="pct"/>
            <w:vAlign w:val="center"/>
          </w:tcPr>
          <w:p>
            <w:pPr>
              <w:spacing w:line="240" w:lineRule="auto"/>
              <w:ind w:firstLine="0" w:firstLineChars="0"/>
              <w:jc w:val="center"/>
              <w:rPr>
                <w:iCs/>
                <w:color w:val="auto"/>
                <w:sz w:val="21"/>
                <w:szCs w:val="21"/>
              </w:rPr>
            </w:pPr>
            <w:r>
              <w:rPr>
                <w:rFonts w:hint="eastAsia"/>
                <w:iCs/>
                <w:color w:val="auto"/>
                <w:sz w:val="21"/>
                <w:szCs w:val="21"/>
              </w:rPr>
              <w:t>14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023" w:type="pct"/>
            <w:vMerge w:val="continue"/>
            <w:vAlign w:val="center"/>
          </w:tcPr>
          <w:p>
            <w:pPr>
              <w:spacing w:line="240" w:lineRule="auto"/>
              <w:ind w:firstLine="0" w:firstLineChars="0"/>
              <w:jc w:val="center"/>
              <w:rPr>
                <w:iCs/>
                <w:color w:val="auto"/>
                <w:sz w:val="21"/>
                <w:szCs w:val="21"/>
              </w:rPr>
            </w:pPr>
          </w:p>
        </w:tc>
        <w:tc>
          <w:tcPr>
            <w:tcW w:w="1905" w:type="pct"/>
            <w:vAlign w:val="center"/>
          </w:tcPr>
          <w:p>
            <w:pPr>
              <w:spacing w:line="240" w:lineRule="auto"/>
              <w:ind w:firstLine="0" w:firstLineChars="0"/>
              <w:jc w:val="center"/>
              <w:rPr>
                <w:iCs/>
                <w:color w:val="auto"/>
                <w:sz w:val="21"/>
                <w:szCs w:val="21"/>
              </w:rPr>
            </w:pPr>
            <w:r>
              <w:rPr>
                <w:rFonts w:hint="eastAsia"/>
                <w:iCs/>
                <w:color w:val="auto"/>
                <w:sz w:val="21"/>
                <w:szCs w:val="21"/>
              </w:rPr>
              <w:t>夏季（m</w:t>
            </w:r>
            <w:r>
              <w:rPr>
                <w:rFonts w:hint="eastAsia"/>
                <w:iCs/>
                <w:color w:val="auto"/>
                <w:sz w:val="21"/>
                <w:szCs w:val="21"/>
                <w:vertAlign w:val="superscript"/>
              </w:rPr>
              <w:t>3</w:t>
            </w:r>
            <w:r>
              <w:rPr>
                <w:rFonts w:hint="eastAsia"/>
                <w:iCs/>
                <w:color w:val="auto"/>
                <w:sz w:val="21"/>
                <w:szCs w:val="21"/>
              </w:rPr>
              <w:t>/122d）</w:t>
            </w:r>
          </w:p>
        </w:tc>
        <w:tc>
          <w:tcPr>
            <w:tcW w:w="2070" w:type="pct"/>
            <w:vAlign w:val="center"/>
          </w:tcPr>
          <w:p>
            <w:pPr>
              <w:spacing w:line="240" w:lineRule="auto"/>
              <w:ind w:firstLine="0" w:firstLineChars="0"/>
              <w:jc w:val="center"/>
              <w:rPr>
                <w:iCs/>
                <w:color w:val="auto"/>
                <w:sz w:val="21"/>
                <w:szCs w:val="21"/>
              </w:rPr>
            </w:pPr>
            <w:r>
              <w:rPr>
                <w:rFonts w:hint="eastAsia"/>
                <w:iCs/>
                <w:color w:val="auto"/>
                <w:sz w:val="21"/>
                <w:szCs w:val="21"/>
              </w:rPr>
              <w:t>34160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9" w:hRule="atLeast"/>
          <w:jc w:val="center"/>
        </w:trPr>
        <w:tc>
          <w:tcPr>
            <w:tcW w:w="1023" w:type="pct"/>
            <w:vMerge w:val="continue"/>
            <w:vAlign w:val="center"/>
          </w:tcPr>
          <w:p>
            <w:pPr>
              <w:spacing w:line="240" w:lineRule="auto"/>
              <w:ind w:firstLine="0" w:firstLineChars="0"/>
              <w:jc w:val="center"/>
              <w:rPr>
                <w:iCs/>
                <w:color w:val="auto"/>
                <w:sz w:val="21"/>
                <w:szCs w:val="21"/>
              </w:rPr>
            </w:pPr>
          </w:p>
        </w:tc>
        <w:tc>
          <w:tcPr>
            <w:tcW w:w="1905" w:type="pct"/>
            <w:vAlign w:val="center"/>
          </w:tcPr>
          <w:p>
            <w:pPr>
              <w:spacing w:line="240" w:lineRule="auto"/>
              <w:ind w:firstLine="0" w:firstLineChars="0"/>
              <w:jc w:val="center"/>
              <w:rPr>
                <w:iCs/>
                <w:color w:val="auto"/>
                <w:sz w:val="21"/>
                <w:szCs w:val="21"/>
              </w:rPr>
            </w:pPr>
            <w:r>
              <w:rPr>
                <w:iCs/>
                <w:color w:val="auto"/>
                <w:sz w:val="21"/>
                <w:szCs w:val="21"/>
              </w:rPr>
              <w:t>其他季节（L/d·头）</w:t>
            </w:r>
          </w:p>
        </w:tc>
        <w:tc>
          <w:tcPr>
            <w:tcW w:w="2070" w:type="pct"/>
            <w:vAlign w:val="center"/>
          </w:tcPr>
          <w:p>
            <w:pPr>
              <w:spacing w:line="240" w:lineRule="auto"/>
              <w:ind w:firstLine="0" w:firstLineChars="0"/>
              <w:jc w:val="center"/>
              <w:rPr>
                <w:iCs/>
                <w:color w:val="auto"/>
                <w:sz w:val="21"/>
                <w:szCs w:val="21"/>
              </w:rPr>
            </w:pPr>
            <w:r>
              <w:rPr>
                <w:rFonts w:hint="eastAsia"/>
                <w:iCs/>
                <w:color w:val="auto"/>
                <w:sz w:val="21"/>
                <w:szCs w:val="21"/>
              </w:rPr>
              <w:t>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8" w:hRule="atLeast"/>
          <w:jc w:val="center"/>
        </w:trPr>
        <w:tc>
          <w:tcPr>
            <w:tcW w:w="1023" w:type="pct"/>
            <w:vMerge w:val="continue"/>
            <w:vAlign w:val="center"/>
          </w:tcPr>
          <w:p>
            <w:pPr>
              <w:spacing w:line="240" w:lineRule="auto"/>
              <w:ind w:firstLine="0" w:firstLineChars="0"/>
              <w:jc w:val="center"/>
              <w:rPr>
                <w:iCs/>
                <w:color w:val="auto"/>
                <w:sz w:val="21"/>
                <w:szCs w:val="21"/>
              </w:rPr>
            </w:pPr>
          </w:p>
        </w:tc>
        <w:tc>
          <w:tcPr>
            <w:tcW w:w="1905" w:type="pct"/>
            <w:vAlign w:val="center"/>
          </w:tcPr>
          <w:p>
            <w:pPr>
              <w:spacing w:line="240" w:lineRule="auto"/>
              <w:ind w:firstLine="0" w:firstLineChars="0"/>
              <w:jc w:val="center"/>
              <w:rPr>
                <w:iCs/>
                <w:color w:val="auto"/>
                <w:sz w:val="21"/>
                <w:szCs w:val="21"/>
              </w:rPr>
            </w:pPr>
            <w:r>
              <w:rPr>
                <w:rFonts w:hint="eastAsia"/>
                <w:iCs/>
                <w:color w:val="auto"/>
                <w:sz w:val="21"/>
                <w:szCs w:val="21"/>
              </w:rPr>
              <w:t>其他季节（m</w:t>
            </w:r>
            <w:r>
              <w:rPr>
                <w:rFonts w:hint="eastAsia"/>
                <w:iCs/>
                <w:color w:val="auto"/>
                <w:sz w:val="21"/>
                <w:szCs w:val="21"/>
                <w:vertAlign w:val="superscript"/>
              </w:rPr>
              <w:t>3</w:t>
            </w:r>
            <w:r>
              <w:rPr>
                <w:rFonts w:hint="eastAsia"/>
                <w:iCs/>
                <w:color w:val="auto"/>
                <w:sz w:val="21"/>
                <w:szCs w:val="21"/>
              </w:rPr>
              <w:t>/243d）</w:t>
            </w:r>
          </w:p>
        </w:tc>
        <w:tc>
          <w:tcPr>
            <w:tcW w:w="2070" w:type="pct"/>
            <w:vAlign w:val="center"/>
          </w:tcPr>
          <w:p>
            <w:pPr>
              <w:spacing w:line="240" w:lineRule="auto"/>
              <w:ind w:firstLine="0" w:firstLineChars="0"/>
              <w:jc w:val="center"/>
              <w:rPr>
                <w:iCs/>
                <w:color w:val="auto"/>
                <w:sz w:val="21"/>
                <w:szCs w:val="21"/>
              </w:rPr>
            </w:pPr>
            <w:r>
              <w:rPr>
                <w:rFonts w:hint="eastAsia"/>
                <w:iCs/>
                <w:color w:val="auto"/>
                <w:sz w:val="21"/>
                <w:szCs w:val="21"/>
              </w:rPr>
              <w:t>43740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7" w:hRule="atLeast"/>
          <w:jc w:val="center"/>
        </w:trPr>
        <w:tc>
          <w:tcPr>
            <w:tcW w:w="1023" w:type="pct"/>
            <w:vMerge w:val="continue"/>
            <w:vAlign w:val="center"/>
          </w:tcPr>
          <w:p>
            <w:pPr>
              <w:spacing w:line="240" w:lineRule="auto"/>
              <w:ind w:firstLine="0" w:firstLineChars="0"/>
              <w:jc w:val="center"/>
              <w:rPr>
                <w:iCs/>
                <w:color w:val="auto"/>
                <w:sz w:val="21"/>
                <w:szCs w:val="21"/>
              </w:rPr>
            </w:pPr>
          </w:p>
        </w:tc>
        <w:tc>
          <w:tcPr>
            <w:tcW w:w="1905" w:type="pct"/>
            <w:vAlign w:val="center"/>
          </w:tcPr>
          <w:p>
            <w:pPr>
              <w:spacing w:line="240" w:lineRule="auto"/>
              <w:ind w:firstLine="0" w:firstLineChars="0"/>
              <w:jc w:val="center"/>
              <w:rPr>
                <w:iCs/>
                <w:color w:val="auto"/>
                <w:sz w:val="21"/>
                <w:szCs w:val="21"/>
              </w:rPr>
            </w:pPr>
            <w:r>
              <w:rPr>
                <w:iCs/>
                <w:color w:val="auto"/>
                <w:sz w:val="21"/>
                <w:szCs w:val="21"/>
              </w:rPr>
              <w:t>总用水量（m</w:t>
            </w:r>
            <w:r>
              <w:rPr>
                <w:iCs/>
                <w:color w:val="auto"/>
                <w:sz w:val="21"/>
                <w:szCs w:val="21"/>
                <w:vertAlign w:val="superscript"/>
              </w:rPr>
              <w:t>3</w:t>
            </w:r>
            <w:r>
              <w:rPr>
                <w:iCs/>
                <w:color w:val="auto"/>
                <w:sz w:val="21"/>
                <w:szCs w:val="21"/>
              </w:rPr>
              <w:t>/a）</w:t>
            </w:r>
          </w:p>
        </w:tc>
        <w:tc>
          <w:tcPr>
            <w:tcW w:w="2070" w:type="pct"/>
            <w:vAlign w:val="center"/>
          </w:tcPr>
          <w:p>
            <w:pPr>
              <w:spacing w:line="240" w:lineRule="auto"/>
              <w:ind w:firstLine="0" w:firstLineChars="0"/>
              <w:jc w:val="center"/>
              <w:rPr>
                <w:iCs/>
                <w:color w:val="auto"/>
                <w:sz w:val="21"/>
                <w:szCs w:val="21"/>
              </w:rPr>
            </w:pPr>
            <w:r>
              <w:rPr>
                <w:rFonts w:hint="eastAsia"/>
                <w:iCs/>
                <w:color w:val="auto"/>
                <w:sz w:val="21"/>
                <w:szCs w:val="21"/>
              </w:rPr>
              <w:t>77900</w:t>
            </w:r>
          </w:p>
        </w:tc>
      </w:tr>
    </w:tbl>
    <w:p>
      <w:pPr>
        <w:spacing w:after="72" w:afterLines="30" w:line="500" w:lineRule="exact"/>
        <w:ind w:firstLine="482"/>
        <w:jc w:val="left"/>
        <w:rPr>
          <w:b/>
          <w:color w:val="auto"/>
          <w:szCs w:val="21"/>
        </w:rPr>
      </w:pPr>
      <w:r>
        <w:rPr>
          <w:b/>
          <w:color w:val="auto"/>
          <w:szCs w:val="21"/>
        </w:rPr>
        <w:t>表3.1-</w:t>
      </w:r>
      <w:r>
        <w:rPr>
          <w:rFonts w:hint="eastAsia"/>
          <w:b/>
          <w:color w:val="auto"/>
          <w:szCs w:val="21"/>
        </w:rPr>
        <w:t>8</w:t>
      </w:r>
      <w:r>
        <w:rPr>
          <w:b/>
          <w:color w:val="auto"/>
          <w:szCs w:val="21"/>
        </w:rPr>
        <w:t xml:space="preserve">                    猪舍冲洗水用水一览表</w:t>
      </w:r>
    </w:p>
    <w:tbl>
      <w:tblPr>
        <w:tblStyle w:val="27"/>
        <w:tblW w:w="4999"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67"/>
        <w:gridCol w:w="3374"/>
        <w:gridCol w:w="1841"/>
        <w:gridCol w:w="214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 w:hRule="atLeast"/>
          <w:tblHeader/>
          <w:jc w:val="center"/>
        </w:trPr>
        <w:tc>
          <w:tcPr>
            <w:tcW w:w="3769" w:type="pct"/>
            <w:gridSpan w:val="3"/>
            <w:tcMar>
              <w:left w:w="0" w:type="dxa"/>
              <w:right w:w="0" w:type="dxa"/>
            </w:tcMar>
            <w:vAlign w:val="center"/>
          </w:tcPr>
          <w:p>
            <w:pPr>
              <w:spacing w:line="240" w:lineRule="auto"/>
              <w:ind w:firstLine="0" w:firstLineChars="0"/>
              <w:jc w:val="center"/>
              <w:rPr>
                <w:iCs/>
                <w:color w:val="auto"/>
                <w:sz w:val="21"/>
                <w:szCs w:val="21"/>
              </w:rPr>
            </w:pPr>
            <w:r>
              <w:rPr>
                <w:iCs/>
                <w:color w:val="auto"/>
                <w:sz w:val="21"/>
                <w:szCs w:val="21"/>
              </w:rPr>
              <w:t>种类</w:t>
            </w:r>
          </w:p>
        </w:tc>
        <w:tc>
          <w:tcPr>
            <w:tcW w:w="1230" w:type="pct"/>
            <w:tcMar>
              <w:left w:w="0" w:type="dxa"/>
              <w:right w:w="0" w:type="dxa"/>
            </w:tcMar>
            <w:vAlign w:val="center"/>
          </w:tcPr>
          <w:p>
            <w:pPr>
              <w:spacing w:line="240" w:lineRule="auto"/>
              <w:ind w:firstLine="0" w:firstLineChars="0"/>
              <w:jc w:val="center"/>
              <w:rPr>
                <w:bCs/>
                <w:color w:val="auto"/>
                <w:sz w:val="21"/>
                <w:szCs w:val="21"/>
              </w:rPr>
            </w:pPr>
            <w:r>
              <w:rPr>
                <w:rFonts w:hint="eastAsia"/>
                <w:iCs/>
                <w:color w:val="auto"/>
                <w:sz w:val="21"/>
                <w:szCs w:val="21"/>
              </w:rPr>
              <w:t>保育育肥一体舍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3769" w:type="pct"/>
            <w:gridSpan w:val="3"/>
            <w:tcMar>
              <w:left w:w="0" w:type="dxa"/>
              <w:right w:w="0" w:type="dxa"/>
            </w:tcMar>
            <w:vAlign w:val="center"/>
          </w:tcPr>
          <w:p>
            <w:pPr>
              <w:spacing w:line="240" w:lineRule="auto"/>
              <w:ind w:firstLine="0" w:firstLineChars="0"/>
              <w:jc w:val="center"/>
              <w:rPr>
                <w:bCs/>
                <w:iCs/>
                <w:color w:val="auto"/>
                <w:sz w:val="21"/>
                <w:szCs w:val="21"/>
              </w:rPr>
            </w:pPr>
            <w:r>
              <w:rPr>
                <w:bCs/>
                <w:iCs/>
                <w:color w:val="auto"/>
                <w:sz w:val="21"/>
                <w:szCs w:val="21"/>
              </w:rPr>
              <w:t>单元个数</w:t>
            </w:r>
          </w:p>
        </w:tc>
        <w:tc>
          <w:tcPr>
            <w:tcW w:w="1230" w:type="pct"/>
            <w:tcMar>
              <w:left w:w="0" w:type="dxa"/>
              <w:right w:w="0" w:type="dxa"/>
            </w:tcMar>
            <w:vAlign w:val="center"/>
          </w:tcPr>
          <w:p>
            <w:pPr>
              <w:spacing w:line="240" w:lineRule="auto"/>
              <w:ind w:firstLine="0" w:firstLineChars="0"/>
              <w:jc w:val="center"/>
              <w:rPr>
                <w:color w:val="auto"/>
                <w:sz w:val="21"/>
                <w:szCs w:val="21"/>
              </w:rPr>
            </w:pPr>
            <w:r>
              <w:rPr>
                <w:rFonts w:hint="eastAsia"/>
                <w:color w:val="auto"/>
                <w:sz w:val="21"/>
                <w:szCs w:val="21"/>
              </w:rPr>
              <w:t>32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3769" w:type="pct"/>
            <w:gridSpan w:val="3"/>
            <w:tcMar>
              <w:left w:w="0" w:type="dxa"/>
              <w:right w:w="0" w:type="dxa"/>
            </w:tcMar>
            <w:vAlign w:val="center"/>
          </w:tcPr>
          <w:p>
            <w:pPr>
              <w:spacing w:line="240" w:lineRule="auto"/>
              <w:ind w:firstLine="0" w:firstLineChars="0"/>
              <w:jc w:val="center"/>
              <w:rPr>
                <w:iCs/>
                <w:color w:val="auto"/>
                <w:sz w:val="21"/>
                <w:szCs w:val="21"/>
              </w:rPr>
            </w:pPr>
            <w:r>
              <w:rPr>
                <w:iCs/>
                <w:color w:val="auto"/>
                <w:sz w:val="21"/>
                <w:szCs w:val="21"/>
              </w:rPr>
              <w:t>清圈周期（d）</w:t>
            </w:r>
          </w:p>
        </w:tc>
        <w:tc>
          <w:tcPr>
            <w:tcW w:w="1230" w:type="pct"/>
            <w:tcMar>
              <w:left w:w="0" w:type="dxa"/>
              <w:right w:w="0" w:type="dxa"/>
            </w:tcMar>
            <w:vAlign w:val="center"/>
          </w:tcPr>
          <w:p>
            <w:pPr>
              <w:widowControl/>
              <w:spacing w:line="240" w:lineRule="auto"/>
              <w:ind w:firstLine="0" w:firstLineChars="0"/>
              <w:jc w:val="center"/>
              <w:rPr>
                <w:color w:val="auto"/>
                <w:sz w:val="21"/>
                <w:szCs w:val="21"/>
              </w:rPr>
            </w:pPr>
            <w:r>
              <w:rPr>
                <w:rFonts w:hint="eastAsia"/>
                <w:color w:val="auto"/>
                <w:sz w:val="21"/>
                <w:szCs w:val="21"/>
              </w:rPr>
              <w:t>146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3769" w:type="pct"/>
            <w:gridSpan w:val="3"/>
            <w:tcMar>
              <w:left w:w="0" w:type="dxa"/>
              <w:right w:w="0" w:type="dxa"/>
            </w:tcMar>
            <w:vAlign w:val="center"/>
          </w:tcPr>
          <w:p>
            <w:pPr>
              <w:spacing w:line="240" w:lineRule="auto"/>
              <w:ind w:firstLine="0" w:firstLineChars="0"/>
              <w:jc w:val="center"/>
              <w:rPr>
                <w:iCs/>
                <w:color w:val="auto"/>
                <w:sz w:val="21"/>
                <w:szCs w:val="21"/>
              </w:rPr>
            </w:pPr>
            <w:r>
              <w:rPr>
                <w:iCs/>
                <w:color w:val="auto"/>
                <w:sz w:val="21"/>
                <w:szCs w:val="21"/>
              </w:rPr>
              <w:t>清圈次数（次/a）</w:t>
            </w:r>
          </w:p>
        </w:tc>
        <w:tc>
          <w:tcPr>
            <w:tcW w:w="1230" w:type="pct"/>
            <w:tcMar>
              <w:left w:w="0" w:type="dxa"/>
              <w:right w:w="0" w:type="dxa"/>
            </w:tcMar>
            <w:vAlign w:val="center"/>
          </w:tcPr>
          <w:p>
            <w:pPr>
              <w:spacing w:line="240" w:lineRule="auto"/>
              <w:ind w:firstLine="0" w:firstLineChars="0"/>
              <w:jc w:val="center"/>
              <w:rPr>
                <w:color w:val="auto"/>
                <w:sz w:val="21"/>
                <w:szCs w:val="21"/>
              </w:rPr>
            </w:pPr>
            <w:r>
              <w:rPr>
                <w:rFonts w:hint="eastAsia"/>
                <w:color w:val="auto"/>
                <w:sz w:val="21"/>
                <w:szCs w:val="21"/>
              </w:rPr>
              <w:t>2.5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6" w:hRule="atLeast"/>
          <w:jc w:val="center"/>
        </w:trPr>
        <w:tc>
          <w:tcPr>
            <w:tcW w:w="783" w:type="pct"/>
            <w:vMerge w:val="restart"/>
            <w:tcMar>
              <w:left w:w="0" w:type="dxa"/>
              <w:right w:w="0" w:type="dxa"/>
            </w:tcMar>
            <w:vAlign w:val="center"/>
          </w:tcPr>
          <w:p>
            <w:pPr>
              <w:spacing w:line="240" w:lineRule="auto"/>
              <w:ind w:firstLine="0" w:firstLineChars="0"/>
              <w:jc w:val="center"/>
              <w:rPr>
                <w:iCs/>
                <w:color w:val="auto"/>
                <w:sz w:val="21"/>
                <w:szCs w:val="21"/>
              </w:rPr>
            </w:pPr>
            <w:r>
              <w:rPr>
                <w:iCs/>
                <w:color w:val="auto"/>
                <w:sz w:val="21"/>
                <w:szCs w:val="21"/>
              </w:rPr>
              <w:t>猪舍冲洗水</w:t>
            </w:r>
          </w:p>
        </w:tc>
        <w:tc>
          <w:tcPr>
            <w:tcW w:w="1932" w:type="pct"/>
            <w:tcMar>
              <w:left w:w="0" w:type="dxa"/>
              <w:right w:w="0" w:type="dxa"/>
            </w:tcMar>
            <w:vAlign w:val="center"/>
          </w:tcPr>
          <w:p>
            <w:pPr>
              <w:spacing w:line="240" w:lineRule="auto"/>
              <w:ind w:firstLine="0" w:firstLineChars="0"/>
              <w:jc w:val="center"/>
              <w:rPr>
                <w:iCs/>
                <w:color w:val="auto"/>
                <w:sz w:val="21"/>
                <w:szCs w:val="21"/>
              </w:rPr>
            </w:pPr>
            <w:r>
              <w:rPr>
                <w:iCs/>
                <w:color w:val="auto"/>
                <w:sz w:val="21"/>
                <w:szCs w:val="21"/>
              </w:rPr>
              <w:t>定额（m</w:t>
            </w:r>
            <w:r>
              <w:rPr>
                <w:iCs/>
                <w:color w:val="auto"/>
                <w:sz w:val="21"/>
                <w:szCs w:val="21"/>
                <w:vertAlign w:val="superscript"/>
              </w:rPr>
              <w:t>3</w:t>
            </w:r>
            <w:r>
              <w:rPr>
                <w:iCs/>
                <w:color w:val="auto"/>
                <w:sz w:val="21"/>
                <w:szCs w:val="21"/>
              </w:rPr>
              <w:t>/单元·次）</w:t>
            </w:r>
          </w:p>
        </w:tc>
        <w:tc>
          <w:tcPr>
            <w:tcW w:w="1053" w:type="pct"/>
            <w:tcMar>
              <w:left w:w="0" w:type="dxa"/>
              <w:right w:w="0" w:type="dxa"/>
            </w:tcMar>
            <w:vAlign w:val="center"/>
          </w:tcPr>
          <w:p>
            <w:pPr>
              <w:tabs>
                <w:tab w:val="left" w:pos="557"/>
              </w:tabs>
              <w:spacing w:line="240" w:lineRule="auto"/>
              <w:ind w:firstLine="0" w:firstLineChars="0"/>
              <w:jc w:val="center"/>
              <w:rPr>
                <w:iCs/>
                <w:color w:val="auto"/>
                <w:sz w:val="21"/>
                <w:szCs w:val="21"/>
              </w:rPr>
            </w:pPr>
            <w:r>
              <w:rPr>
                <w:iCs/>
                <w:color w:val="auto"/>
                <w:sz w:val="21"/>
                <w:szCs w:val="21"/>
              </w:rPr>
              <w:t>清水用量</w:t>
            </w:r>
          </w:p>
        </w:tc>
        <w:tc>
          <w:tcPr>
            <w:tcW w:w="1230" w:type="pct"/>
            <w:tcMar>
              <w:left w:w="0" w:type="dxa"/>
              <w:right w:w="0" w:type="dxa"/>
            </w:tcMar>
            <w:vAlign w:val="center"/>
          </w:tcPr>
          <w:p>
            <w:pPr>
              <w:spacing w:line="240" w:lineRule="auto"/>
              <w:ind w:firstLine="0" w:firstLineChars="0"/>
              <w:jc w:val="center"/>
              <w:rPr>
                <w:color w:val="auto"/>
                <w:sz w:val="21"/>
                <w:szCs w:val="21"/>
              </w:rPr>
            </w:pPr>
            <w:r>
              <w:rPr>
                <w:rFonts w:hint="eastAsia"/>
                <w:color w:val="auto"/>
                <w:sz w:val="21"/>
                <w:szCs w:val="21"/>
              </w:rPr>
              <w:t>18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83" w:type="pct"/>
            <w:vMerge w:val="continue"/>
            <w:tcMar>
              <w:left w:w="0" w:type="dxa"/>
              <w:right w:w="0" w:type="dxa"/>
            </w:tcMar>
            <w:vAlign w:val="center"/>
          </w:tcPr>
          <w:p>
            <w:pPr>
              <w:spacing w:line="240" w:lineRule="auto"/>
              <w:ind w:firstLine="0" w:firstLineChars="0"/>
              <w:jc w:val="center"/>
              <w:rPr>
                <w:iCs/>
                <w:color w:val="auto"/>
                <w:sz w:val="21"/>
                <w:szCs w:val="21"/>
              </w:rPr>
            </w:pPr>
          </w:p>
        </w:tc>
        <w:tc>
          <w:tcPr>
            <w:tcW w:w="1932" w:type="pct"/>
            <w:vAlign w:val="center"/>
          </w:tcPr>
          <w:p>
            <w:pPr>
              <w:spacing w:line="240" w:lineRule="auto"/>
              <w:ind w:firstLine="0" w:firstLineChars="0"/>
              <w:jc w:val="center"/>
              <w:rPr>
                <w:iCs/>
                <w:color w:val="auto"/>
                <w:sz w:val="21"/>
                <w:szCs w:val="21"/>
              </w:rPr>
            </w:pPr>
            <w:r>
              <w:rPr>
                <w:iCs/>
                <w:color w:val="auto"/>
                <w:sz w:val="21"/>
                <w:szCs w:val="21"/>
              </w:rPr>
              <w:t>总用水量（m</w:t>
            </w:r>
            <w:r>
              <w:rPr>
                <w:iCs/>
                <w:color w:val="auto"/>
                <w:sz w:val="21"/>
                <w:szCs w:val="21"/>
                <w:vertAlign w:val="superscript"/>
              </w:rPr>
              <w:t>3</w:t>
            </w:r>
            <w:r>
              <w:rPr>
                <w:iCs/>
                <w:color w:val="auto"/>
                <w:sz w:val="21"/>
                <w:szCs w:val="21"/>
              </w:rPr>
              <w:t>/a）</w:t>
            </w:r>
          </w:p>
        </w:tc>
        <w:tc>
          <w:tcPr>
            <w:tcW w:w="1053" w:type="pct"/>
            <w:vAlign w:val="center"/>
          </w:tcPr>
          <w:p>
            <w:pPr>
              <w:spacing w:line="240" w:lineRule="auto"/>
              <w:ind w:firstLine="0" w:firstLineChars="0"/>
              <w:jc w:val="center"/>
              <w:rPr>
                <w:iCs/>
                <w:color w:val="auto"/>
                <w:sz w:val="21"/>
                <w:szCs w:val="21"/>
              </w:rPr>
            </w:pPr>
            <w:r>
              <w:rPr>
                <w:iCs/>
                <w:color w:val="auto"/>
                <w:sz w:val="21"/>
                <w:szCs w:val="21"/>
              </w:rPr>
              <w:t>清水用量</w:t>
            </w:r>
          </w:p>
        </w:tc>
        <w:tc>
          <w:tcPr>
            <w:tcW w:w="1230" w:type="pct"/>
            <w:tcMar>
              <w:left w:w="0" w:type="dxa"/>
              <w:right w:w="0" w:type="dxa"/>
            </w:tcMar>
            <w:vAlign w:val="center"/>
          </w:tcPr>
          <w:p>
            <w:pPr>
              <w:spacing w:line="240" w:lineRule="auto"/>
              <w:ind w:firstLine="0" w:firstLineChars="0"/>
              <w:jc w:val="center"/>
              <w:rPr>
                <w:color w:val="auto"/>
                <w:sz w:val="21"/>
                <w:szCs w:val="21"/>
              </w:rPr>
            </w:pPr>
            <w:r>
              <w:rPr>
                <w:rFonts w:hint="eastAsia"/>
                <w:color w:val="auto"/>
                <w:sz w:val="21"/>
                <w:szCs w:val="21"/>
              </w:rPr>
              <w:t>1440</w:t>
            </w:r>
          </w:p>
        </w:tc>
      </w:tr>
    </w:tbl>
    <w:p>
      <w:pPr>
        <w:ind w:firstLine="480"/>
        <w:rPr>
          <w:color w:val="auto"/>
        </w:rPr>
      </w:pPr>
      <w:r>
        <w:rPr>
          <w:color w:val="auto"/>
        </w:rPr>
        <w:t>（2）降温喷</w:t>
      </w:r>
      <w:r>
        <w:rPr>
          <w:rFonts w:hint="eastAsia"/>
          <w:color w:val="auto"/>
        </w:rPr>
        <w:t>雾</w:t>
      </w:r>
      <w:r>
        <w:rPr>
          <w:color w:val="auto"/>
        </w:rPr>
        <w:t>用水</w:t>
      </w:r>
    </w:p>
    <w:p>
      <w:pPr>
        <w:ind w:firstLine="480"/>
        <w:rPr>
          <w:color w:val="auto"/>
        </w:rPr>
      </w:pPr>
      <w:r>
        <w:rPr>
          <w:color w:val="auto"/>
        </w:rPr>
        <w:t>根据建设单位提供的资料，</w:t>
      </w:r>
      <w:r>
        <w:rPr>
          <w:rFonts w:hint="eastAsia"/>
          <w:color w:val="auto"/>
        </w:rPr>
        <w:t>猪舍利用喷雾进行降温</w:t>
      </w:r>
      <w:r>
        <w:rPr>
          <w:color w:val="auto"/>
        </w:rPr>
        <w:t>，降温水由电脑控制喷雾时间，喷雾不形成径流，降温过程不产生废水。本项目降温喷淋时间按</w:t>
      </w:r>
      <w:r>
        <w:rPr>
          <w:rFonts w:hint="eastAsia"/>
          <w:color w:val="auto"/>
        </w:rPr>
        <w:t>30</w:t>
      </w:r>
      <w:r>
        <w:rPr>
          <w:color w:val="auto"/>
        </w:rPr>
        <w:t>天计，喷淋情况为：</w:t>
      </w:r>
      <w:r>
        <w:rPr>
          <w:rFonts w:hint="eastAsia"/>
          <w:color w:val="auto"/>
        </w:rPr>
        <w:t>0.198m</w:t>
      </w:r>
      <w:r>
        <w:rPr>
          <w:rFonts w:hint="eastAsia"/>
          <w:color w:val="auto"/>
          <w:vertAlign w:val="superscript"/>
        </w:rPr>
        <w:t>3</w:t>
      </w:r>
      <w:r>
        <w:rPr>
          <w:rFonts w:hint="eastAsia"/>
          <w:color w:val="auto"/>
        </w:rPr>
        <w:t>/（栋·d），</w:t>
      </w:r>
      <w:r>
        <w:rPr>
          <w:color w:val="auto"/>
        </w:rPr>
        <w:t>则降温喷淋用水量为</w:t>
      </w:r>
      <w:r>
        <w:rPr>
          <w:rFonts w:hint="eastAsia"/>
          <w:color w:val="auto"/>
        </w:rPr>
        <w:t>6.336</w:t>
      </w:r>
      <w:r>
        <w:rPr>
          <w:color w:val="auto"/>
        </w:rPr>
        <w:t>m</w:t>
      </w:r>
      <w:r>
        <w:rPr>
          <w:color w:val="auto"/>
          <w:vertAlign w:val="superscript"/>
        </w:rPr>
        <w:t>3</w:t>
      </w:r>
      <w:r>
        <w:rPr>
          <w:color w:val="auto"/>
        </w:rPr>
        <w:t>/d、</w:t>
      </w:r>
      <w:r>
        <w:rPr>
          <w:rFonts w:hint="eastAsia"/>
          <w:color w:val="auto"/>
        </w:rPr>
        <w:t>190.08</w:t>
      </w:r>
      <w:r>
        <w:rPr>
          <w:color w:val="auto"/>
        </w:rPr>
        <w:t>m</w:t>
      </w:r>
      <w:r>
        <w:rPr>
          <w:color w:val="auto"/>
          <w:vertAlign w:val="superscript"/>
        </w:rPr>
        <w:t>3</w:t>
      </w:r>
      <w:r>
        <w:rPr>
          <w:color w:val="auto"/>
        </w:rPr>
        <w:t>/</w:t>
      </w:r>
      <w:r>
        <w:rPr>
          <w:rFonts w:hint="eastAsia"/>
          <w:color w:val="auto"/>
        </w:rPr>
        <w:t>30d</w:t>
      </w:r>
      <w:r>
        <w:rPr>
          <w:color w:val="auto"/>
        </w:rPr>
        <w:t>，降温水全部蒸发耗散，不排放。</w:t>
      </w:r>
    </w:p>
    <w:p>
      <w:pPr>
        <w:ind w:firstLine="480"/>
        <w:rPr>
          <w:color w:val="auto"/>
        </w:rPr>
      </w:pPr>
      <w:r>
        <w:rPr>
          <w:color w:val="auto"/>
        </w:rPr>
        <w:t>（</w:t>
      </w:r>
      <w:r>
        <w:rPr>
          <w:rFonts w:hint="eastAsia"/>
          <w:color w:val="auto"/>
        </w:rPr>
        <w:t>3</w:t>
      </w:r>
      <w:r>
        <w:rPr>
          <w:color w:val="auto"/>
        </w:rPr>
        <w:t>）员工生活用水</w:t>
      </w:r>
    </w:p>
    <w:p>
      <w:pPr>
        <w:ind w:firstLine="480"/>
        <w:rPr>
          <w:color w:val="auto"/>
        </w:rPr>
      </w:pPr>
      <w:r>
        <w:rPr>
          <w:color w:val="auto"/>
        </w:rPr>
        <w:t>项目设有员工食堂和宿舍，员工生活污水经管道引至沼气工程处理，废水主要污染物为COD、BOD</w:t>
      </w:r>
      <w:r>
        <w:rPr>
          <w:color w:val="auto"/>
          <w:vertAlign w:val="subscript"/>
        </w:rPr>
        <w:t>5</w:t>
      </w:r>
      <w:r>
        <w:rPr>
          <w:color w:val="auto"/>
        </w:rPr>
        <w:t>、氨氮、动植物油等。项目全场劳动定员</w:t>
      </w:r>
      <w:r>
        <w:rPr>
          <w:rFonts w:hint="eastAsia"/>
          <w:color w:val="auto"/>
        </w:rPr>
        <w:t>35</w:t>
      </w:r>
      <w:r>
        <w:rPr>
          <w:color w:val="auto"/>
        </w:rPr>
        <w:t>人，用水量按120L/人·d，年工作365天，则生活用水量为</w:t>
      </w:r>
      <w:r>
        <w:rPr>
          <w:rFonts w:hint="eastAsia"/>
          <w:color w:val="auto"/>
        </w:rPr>
        <w:t>4.2</w:t>
      </w:r>
      <w:r>
        <w:rPr>
          <w:color w:val="auto"/>
        </w:rPr>
        <w:t>m</w:t>
      </w:r>
      <w:r>
        <w:rPr>
          <w:color w:val="auto"/>
          <w:vertAlign w:val="superscript"/>
        </w:rPr>
        <w:t>3</w:t>
      </w:r>
      <w:r>
        <w:rPr>
          <w:color w:val="auto"/>
        </w:rPr>
        <w:t>/d、</w:t>
      </w:r>
      <w:r>
        <w:rPr>
          <w:rFonts w:hint="eastAsia"/>
          <w:color w:val="auto"/>
        </w:rPr>
        <w:t>1533</w:t>
      </w:r>
      <w:r>
        <w:rPr>
          <w:color w:val="auto"/>
        </w:rPr>
        <w:t>m</w:t>
      </w:r>
      <w:r>
        <w:rPr>
          <w:color w:val="auto"/>
          <w:vertAlign w:val="superscript"/>
        </w:rPr>
        <w:t>3</w:t>
      </w:r>
      <w:r>
        <w:rPr>
          <w:color w:val="auto"/>
        </w:rPr>
        <w:t>/a。</w:t>
      </w:r>
      <w:bookmarkStart w:id="262" w:name="_Ref377413095"/>
      <w:r>
        <w:rPr>
          <w:color w:val="auto"/>
        </w:rPr>
        <w:t>生活污水产生量按用水量的80%计算，则生活污水产生量为</w:t>
      </w:r>
      <w:r>
        <w:rPr>
          <w:rFonts w:hint="eastAsia"/>
          <w:color w:val="auto"/>
        </w:rPr>
        <w:t>3.36</w:t>
      </w:r>
      <w:r>
        <w:rPr>
          <w:color w:val="auto"/>
        </w:rPr>
        <w:t>m</w:t>
      </w:r>
      <w:r>
        <w:rPr>
          <w:color w:val="auto"/>
          <w:vertAlign w:val="superscript"/>
        </w:rPr>
        <w:t>3</w:t>
      </w:r>
      <w:r>
        <w:rPr>
          <w:color w:val="auto"/>
        </w:rPr>
        <w:t>/d、</w:t>
      </w:r>
      <w:r>
        <w:rPr>
          <w:rFonts w:hint="eastAsia"/>
          <w:color w:val="auto"/>
        </w:rPr>
        <w:t>1226.4</w:t>
      </w:r>
      <w:r>
        <w:rPr>
          <w:color w:val="auto"/>
        </w:rPr>
        <w:t>m</w:t>
      </w:r>
      <w:r>
        <w:rPr>
          <w:color w:val="auto"/>
          <w:vertAlign w:val="superscript"/>
        </w:rPr>
        <w:t>3</w:t>
      </w:r>
      <w:r>
        <w:rPr>
          <w:color w:val="auto"/>
        </w:rPr>
        <w:t>/a。</w:t>
      </w:r>
    </w:p>
    <w:bookmarkEnd w:id="258"/>
    <w:bookmarkEnd w:id="259"/>
    <w:bookmarkEnd w:id="260"/>
    <w:bookmarkEnd w:id="262"/>
    <w:p>
      <w:pPr>
        <w:ind w:firstLine="480"/>
        <w:rPr>
          <w:color w:val="auto"/>
        </w:rPr>
      </w:pPr>
      <w:bookmarkStart w:id="263" w:name="_Toc413166122"/>
      <w:bookmarkStart w:id="264" w:name="_Toc311979803"/>
      <w:bookmarkStart w:id="265" w:name="_Toc406847402"/>
      <w:bookmarkStart w:id="266" w:name="_Toc311979849"/>
      <w:bookmarkStart w:id="267" w:name="_Toc407001395"/>
      <w:bookmarkStart w:id="268" w:name="_Toc388881903"/>
      <w:bookmarkStart w:id="269" w:name="_Toc311979917"/>
      <w:r>
        <w:rPr>
          <w:rFonts w:hint="eastAsia"/>
          <w:color w:val="auto"/>
        </w:rPr>
        <w:t>（4）除臭装置喷淋用水</w:t>
      </w:r>
    </w:p>
    <w:p>
      <w:pPr>
        <w:ind w:firstLine="480"/>
        <w:rPr>
          <w:color w:val="auto"/>
        </w:rPr>
      </w:pPr>
      <w:r>
        <w:rPr>
          <w:rFonts w:hint="eastAsia"/>
          <w:color w:val="auto"/>
        </w:rPr>
        <w:t>项目猪舍、固粪处理区、高温化制机均设置风机，将臭气引至除臭棚处理，除臭棚顶部有喷淋水装置，正常情况水帘泵流量为10m</w:t>
      </w:r>
      <w:r>
        <w:rPr>
          <w:rFonts w:hint="eastAsia"/>
          <w:color w:val="auto"/>
          <w:vertAlign w:val="superscript"/>
        </w:rPr>
        <w:t>3</w:t>
      </w:r>
      <w:r>
        <w:rPr>
          <w:rFonts w:hint="eastAsia"/>
          <w:color w:val="auto"/>
        </w:rPr>
        <w:t>/h，损耗水量按1%计，即0.1m</w:t>
      </w:r>
      <w:r>
        <w:rPr>
          <w:rFonts w:hint="eastAsia"/>
          <w:color w:val="auto"/>
          <w:vertAlign w:val="superscript"/>
        </w:rPr>
        <w:t>3</w:t>
      </w:r>
      <w:r>
        <w:rPr>
          <w:rFonts w:hint="eastAsia"/>
          <w:color w:val="auto"/>
        </w:rPr>
        <w:t>/h，2.4m</w:t>
      </w:r>
      <w:r>
        <w:rPr>
          <w:rFonts w:hint="eastAsia"/>
          <w:color w:val="auto"/>
          <w:vertAlign w:val="superscript"/>
        </w:rPr>
        <w:t>3</w:t>
      </w:r>
      <w:r>
        <w:rPr>
          <w:rFonts w:hint="eastAsia"/>
          <w:color w:val="auto"/>
        </w:rPr>
        <w:t>/d。水帘用水喷淋水装置循环使用，每10天更换一次，一次更换量为5m</w:t>
      </w:r>
      <w:r>
        <w:rPr>
          <w:rFonts w:hint="eastAsia"/>
          <w:color w:val="auto"/>
          <w:vertAlign w:val="superscript"/>
        </w:rPr>
        <w:t>3</w:t>
      </w:r>
      <w:r>
        <w:rPr>
          <w:rFonts w:hint="eastAsia"/>
          <w:color w:val="auto"/>
        </w:rPr>
        <w:t>，更换水排放进入污水处理系统。</w:t>
      </w:r>
    </w:p>
    <w:p>
      <w:pPr>
        <w:pStyle w:val="39"/>
        <w:ind w:firstLine="480"/>
        <w:rPr>
          <w:color w:val="auto"/>
        </w:rPr>
      </w:pPr>
      <w:r>
        <w:rPr>
          <w:color w:val="auto"/>
        </w:rPr>
        <w:t>3.1.6.2项目排水情况</w:t>
      </w:r>
      <w:bookmarkEnd w:id="263"/>
      <w:bookmarkEnd w:id="264"/>
      <w:bookmarkEnd w:id="265"/>
      <w:bookmarkEnd w:id="266"/>
      <w:bookmarkEnd w:id="267"/>
      <w:bookmarkEnd w:id="268"/>
      <w:bookmarkEnd w:id="269"/>
    </w:p>
    <w:p>
      <w:pPr>
        <w:ind w:firstLine="480"/>
        <w:rPr>
          <w:color w:val="auto"/>
        </w:rPr>
      </w:pPr>
      <w:r>
        <w:rPr>
          <w:color w:val="auto"/>
        </w:rPr>
        <w:t>项目排水采用雨污分流制，雨水经雨水管道排出</w:t>
      </w:r>
      <w:r>
        <w:rPr>
          <w:rFonts w:hint="eastAsia"/>
          <w:color w:val="auto"/>
        </w:rPr>
        <w:t>厂</w:t>
      </w:r>
      <w:r>
        <w:rPr>
          <w:color w:val="auto"/>
        </w:rPr>
        <w:t>外。</w:t>
      </w:r>
    </w:p>
    <w:p>
      <w:pPr>
        <w:tabs>
          <w:tab w:val="left" w:pos="624"/>
        </w:tabs>
        <w:ind w:firstLine="480"/>
        <w:rPr>
          <w:color w:val="auto"/>
        </w:rPr>
      </w:pPr>
      <w:r>
        <w:rPr>
          <w:color w:val="auto"/>
        </w:rPr>
        <w:t>猪舍采用干清粪工艺，生猪饲养猪舍采用漏缝地板饲养，漏缝地板下设储存池，粪尿在储存池中贮存后到治污区，通过固液分离机对粪污进行干湿分离，猪粪用于生产有机肥</w:t>
      </w:r>
      <w:r>
        <w:rPr>
          <w:rFonts w:hint="eastAsia"/>
          <w:color w:val="auto"/>
        </w:rPr>
        <w:t>基料</w:t>
      </w:r>
      <w:r>
        <w:rPr>
          <w:color w:val="auto"/>
        </w:rPr>
        <w:t>，废水进入污水处理区处理。</w:t>
      </w:r>
    </w:p>
    <w:p>
      <w:pPr>
        <w:ind w:firstLine="480"/>
        <w:rPr>
          <w:color w:val="auto"/>
        </w:rPr>
      </w:pPr>
      <w:r>
        <w:rPr>
          <w:rFonts w:hint="eastAsia"/>
          <w:color w:val="auto"/>
        </w:rPr>
        <w:t>（1）猪尿</w:t>
      </w:r>
    </w:p>
    <w:p>
      <w:pPr>
        <w:ind w:firstLine="480"/>
        <w:rPr>
          <w:color w:val="auto"/>
        </w:rPr>
      </w:pPr>
      <w:r>
        <w:rPr>
          <w:color w:val="auto"/>
        </w:rPr>
        <w:t>本项目投入运营后全</w:t>
      </w:r>
      <w:r>
        <w:rPr>
          <w:rFonts w:hint="eastAsia"/>
          <w:color w:val="auto"/>
        </w:rPr>
        <w:t>厂</w:t>
      </w:r>
      <w:r>
        <w:rPr>
          <w:color w:val="auto"/>
        </w:rPr>
        <w:t>存栏</w:t>
      </w:r>
      <w:r>
        <w:rPr>
          <w:rFonts w:hint="eastAsia"/>
          <w:color w:val="auto"/>
        </w:rPr>
        <w:t>20000</w:t>
      </w:r>
      <w:r>
        <w:rPr>
          <w:color w:val="auto"/>
        </w:rPr>
        <w:t>头，猪的尿液产生量根据《畜禽养殖污染防治最佳可行技术指南》（征求意见稿），猪尿的排泄量计算公式为：</w:t>
      </w:r>
    </w:p>
    <w:p>
      <w:pPr>
        <w:ind w:firstLine="3360" w:firstLineChars="1400"/>
        <w:rPr>
          <w:color w:val="auto"/>
        </w:rPr>
      </w:pPr>
      <w:r>
        <w:rPr>
          <w:color w:val="auto"/>
        </w:rPr>
        <w:t>Yu=0.205+0.438W(kg)</w:t>
      </w:r>
    </w:p>
    <w:p>
      <w:pPr>
        <w:ind w:firstLine="480"/>
        <w:rPr>
          <w:color w:val="auto"/>
        </w:rPr>
      </w:pPr>
      <w:r>
        <w:rPr>
          <w:color w:val="auto"/>
        </w:rPr>
        <w:t>式中：Yu为猪尿排泄量</w:t>
      </w:r>
    </w:p>
    <w:p>
      <w:pPr>
        <w:ind w:firstLine="480"/>
        <w:rPr>
          <w:color w:val="auto"/>
        </w:rPr>
      </w:pPr>
      <w:r>
        <w:rPr>
          <w:color w:val="auto"/>
        </w:rPr>
        <w:t xml:space="preserve">   </w:t>
      </w:r>
      <w:r>
        <w:rPr>
          <w:rFonts w:hint="eastAsia"/>
          <w:color w:val="auto"/>
        </w:rPr>
        <w:t xml:space="preserve"> </w:t>
      </w:r>
      <w:r>
        <w:rPr>
          <w:color w:val="auto"/>
        </w:rPr>
        <w:t>W为猪只饮用水量</w:t>
      </w:r>
    </w:p>
    <w:p>
      <w:pPr>
        <w:pStyle w:val="37"/>
        <w:ind w:firstLine="480"/>
        <w:rPr>
          <w:color w:val="auto"/>
        </w:rPr>
      </w:pPr>
      <w:r>
        <w:rPr>
          <w:color w:val="auto"/>
        </w:rPr>
        <w:t>猪尿排放情况见表3.1-</w:t>
      </w:r>
      <w:r>
        <w:rPr>
          <w:rFonts w:hint="eastAsia"/>
          <w:color w:val="auto"/>
        </w:rPr>
        <w:t>9</w:t>
      </w:r>
      <w:r>
        <w:rPr>
          <w:color w:val="auto"/>
        </w:rPr>
        <w:t>。</w:t>
      </w:r>
    </w:p>
    <w:p>
      <w:pPr>
        <w:spacing w:after="72" w:afterLines="30"/>
        <w:ind w:firstLine="482"/>
        <w:jc w:val="left"/>
        <w:rPr>
          <w:b/>
          <w:color w:val="auto"/>
          <w:szCs w:val="21"/>
        </w:rPr>
      </w:pPr>
      <w:r>
        <w:rPr>
          <w:b/>
          <w:color w:val="auto"/>
          <w:szCs w:val="21"/>
        </w:rPr>
        <w:t>表3.1-</w:t>
      </w:r>
      <w:r>
        <w:rPr>
          <w:rFonts w:hint="eastAsia"/>
          <w:b/>
          <w:color w:val="auto"/>
          <w:szCs w:val="21"/>
        </w:rPr>
        <w:t>9</w:t>
      </w:r>
      <w:r>
        <w:rPr>
          <w:b/>
          <w:color w:val="auto"/>
          <w:szCs w:val="21"/>
        </w:rPr>
        <w:t xml:space="preserve">                     猪尿排放情况一览表</w:t>
      </w:r>
    </w:p>
    <w:tbl>
      <w:tblPr>
        <w:tblStyle w:val="27"/>
        <w:tblW w:w="4997"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41"/>
        <w:gridCol w:w="969"/>
        <w:gridCol w:w="1104"/>
        <w:gridCol w:w="1182"/>
        <w:gridCol w:w="1318"/>
        <w:gridCol w:w="1656"/>
        <w:gridCol w:w="157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8" w:type="pct"/>
            <w:vMerge w:val="restart"/>
            <w:vAlign w:val="center"/>
          </w:tcPr>
          <w:p>
            <w:pPr>
              <w:widowControl/>
              <w:spacing w:line="240" w:lineRule="auto"/>
              <w:ind w:left="-122" w:leftChars="-51" w:right="-125" w:rightChars="-52" w:firstLine="0" w:firstLineChars="0"/>
              <w:jc w:val="center"/>
              <w:rPr>
                <w:iCs/>
                <w:color w:val="auto"/>
                <w:sz w:val="21"/>
                <w:szCs w:val="21"/>
              </w:rPr>
            </w:pPr>
            <w:r>
              <w:rPr>
                <w:iCs/>
                <w:color w:val="auto"/>
                <w:sz w:val="21"/>
                <w:szCs w:val="21"/>
              </w:rPr>
              <w:t>用水</w:t>
            </w:r>
          </w:p>
          <w:p>
            <w:pPr>
              <w:widowControl/>
              <w:spacing w:line="240" w:lineRule="auto"/>
              <w:ind w:left="-122" w:leftChars="-51" w:right="-125" w:rightChars="-52" w:firstLine="0" w:firstLineChars="0"/>
              <w:jc w:val="center"/>
              <w:rPr>
                <w:iCs/>
                <w:color w:val="auto"/>
                <w:sz w:val="21"/>
                <w:szCs w:val="21"/>
              </w:rPr>
            </w:pPr>
            <w:r>
              <w:rPr>
                <w:iCs/>
                <w:color w:val="auto"/>
                <w:sz w:val="21"/>
                <w:szCs w:val="21"/>
              </w:rPr>
              <w:t>性质</w:t>
            </w:r>
          </w:p>
        </w:tc>
        <w:tc>
          <w:tcPr>
            <w:tcW w:w="1159" w:type="pct"/>
            <w:gridSpan w:val="2"/>
            <w:vAlign w:val="center"/>
          </w:tcPr>
          <w:p>
            <w:pPr>
              <w:spacing w:line="240" w:lineRule="auto"/>
              <w:ind w:left="-122" w:leftChars="-51" w:right="-125" w:rightChars="-52" w:firstLine="0" w:firstLineChars="0"/>
              <w:jc w:val="center"/>
              <w:rPr>
                <w:iCs/>
                <w:color w:val="auto"/>
                <w:sz w:val="21"/>
                <w:szCs w:val="21"/>
              </w:rPr>
            </w:pPr>
            <w:r>
              <w:rPr>
                <w:iCs/>
                <w:color w:val="auto"/>
                <w:sz w:val="21"/>
                <w:szCs w:val="21"/>
              </w:rPr>
              <w:t>排尿量（L/头·d）</w:t>
            </w:r>
          </w:p>
        </w:tc>
        <w:tc>
          <w:tcPr>
            <w:tcW w:w="659" w:type="pct"/>
            <w:vMerge w:val="restart"/>
            <w:vAlign w:val="center"/>
          </w:tcPr>
          <w:p>
            <w:pPr>
              <w:widowControl/>
              <w:spacing w:line="240" w:lineRule="auto"/>
              <w:ind w:left="-122" w:leftChars="-51" w:right="-125" w:rightChars="-52" w:firstLine="0" w:firstLineChars="0"/>
              <w:jc w:val="center"/>
              <w:rPr>
                <w:iCs/>
                <w:color w:val="auto"/>
                <w:sz w:val="21"/>
                <w:szCs w:val="21"/>
              </w:rPr>
            </w:pPr>
            <w:r>
              <w:rPr>
                <w:iCs/>
                <w:color w:val="auto"/>
                <w:sz w:val="21"/>
                <w:szCs w:val="21"/>
              </w:rPr>
              <w:t>用水单位</w:t>
            </w:r>
          </w:p>
          <w:p>
            <w:pPr>
              <w:widowControl/>
              <w:spacing w:line="240" w:lineRule="auto"/>
              <w:ind w:right="-125" w:rightChars="-52" w:firstLine="0" w:firstLineChars="0"/>
              <w:jc w:val="center"/>
              <w:rPr>
                <w:iCs/>
                <w:color w:val="auto"/>
                <w:sz w:val="21"/>
                <w:szCs w:val="21"/>
              </w:rPr>
            </w:pPr>
            <w:r>
              <w:rPr>
                <w:iCs/>
                <w:color w:val="auto"/>
                <w:sz w:val="21"/>
                <w:szCs w:val="21"/>
              </w:rPr>
              <w:t>（头）</w:t>
            </w:r>
          </w:p>
        </w:tc>
        <w:tc>
          <w:tcPr>
            <w:tcW w:w="2541" w:type="pct"/>
            <w:gridSpan w:val="3"/>
            <w:vAlign w:val="center"/>
          </w:tcPr>
          <w:p>
            <w:pPr>
              <w:spacing w:line="240" w:lineRule="auto"/>
              <w:ind w:firstLine="0" w:firstLineChars="0"/>
              <w:jc w:val="center"/>
              <w:rPr>
                <w:color w:val="auto"/>
                <w:sz w:val="21"/>
                <w:szCs w:val="21"/>
              </w:rPr>
            </w:pPr>
            <w:r>
              <w:rPr>
                <w:iCs/>
                <w:color w:val="auto"/>
                <w:sz w:val="21"/>
                <w:szCs w:val="21"/>
              </w:rPr>
              <w:t>排尿总量</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8" w:type="pct"/>
            <w:vMerge w:val="continue"/>
            <w:vAlign w:val="center"/>
          </w:tcPr>
          <w:p>
            <w:pPr>
              <w:widowControl/>
              <w:spacing w:line="240" w:lineRule="auto"/>
              <w:ind w:left="-122" w:leftChars="-51" w:right="-125" w:rightChars="-52" w:firstLine="0" w:firstLineChars="0"/>
              <w:jc w:val="center"/>
              <w:rPr>
                <w:iCs/>
                <w:color w:val="auto"/>
                <w:sz w:val="21"/>
                <w:szCs w:val="21"/>
              </w:rPr>
            </w:pPr>
          </w:p>
        </w:tc>
        <w:tc>
          <w:tcPr>
            <w:tcW w:w="542" w:type="pct"/>
            <w:vAlign w:val="center"/>
          </w:tcPr>
          <w:p>
            <w:pPr>
              <w:widowControl/>
              <w:spacing w:line="240" w:lineRule="auto"/>
              <w:ind w:left="-122" w:leftChars="-51" w:right="-125" w:rightChars="-52" w:firstLine="0" w:firstLineChars="0"/>
              <w:jc w:val="center"/>
              <w:rPr>
                <w:iCs/>
                <w:color w:val="auto"/>
                <w:sz w:val="21"/>
                <w:szCs w:val="21"/>
              </w:rPr>
            </w:pPr>
            <w:r>
              <w:rPr>
                <w:iCs/>
                <w:color w:val="auto"/>
                <w:sz w:val="21"/>
                <w:szCs w:val="21"/>
              </w:rPr>
              <w:t>夏季</w:t>
            </w:r>
          </w:p>
        </w:tc>
        <w:tc>
          <w:tcPr>
            <w:tcW w:w="617" w:type="pct"/>
            <w:vAlign w:val="center"/>
          </w:tcPr>
          <w:p>
            <w:pPr>
              <w:widowControl/>
              <w:spacing w:line="240" w:lineRule="auto"/>
              <w:ind w:left="-122" w:leftChars="-51" w:right="-125" w:rightChars="-52" w:firstLine="0" w:firstLineChars="0"/>
              <w:jc w:val="center"/>
              <w:rPr>
                <w:iCs/>
                <w:color w:val="auto"/>
                <w:sz w:val="21"/>
                <w:szCs w:val="21"/>
              </w:rPr>
            </w:pPr>
            <w:r>
              <w:rPr>
                <w:iCs/>
                <w:color w:val="auto"/>
                <w:sz w:val="21"/>
                <w:szCs w:val="21"/>
              </w:rPr>
              <w:t>其他季节</w:t>
            </w:r>
          </w:p>
        </w:tc>
        <w:tc>
          <w:tcPr>
            <w:tcW w:w="659" w:type="pct"/>
            <w:vMerge w:val="continue"/>
            <w:vAlign w:val="center"/>
          </w:tcPr>
          <w:p>
            <w:pPr>
              <w:widowControl/>
              <w:spacing w:line="240" w:lineRule="auto"/>
              <w:ind w:left="-122" w:leftChars="-51" w:right="-125" w:rightChars="-52" w:firstLine="0" w:firstLineChars="0"/>
              <w:jc w:val="center"/>
              <w:rPr>
                <w:iCs/>
                <w:color w:val="auto"/>
                <w:sz w:val="21"/>
                <w:szCs w:val="21"/>
              </w:rPr>
            </w:pPr>
          </w:p>
        </w:tc>
        <w:tc>
          <w:tcPr>
            <w:tcW w:w="737" w:type="pct"/>
            <w:vAlign w:val="center"/>
          </w:tcPr>
          <w:p>
            <w:pPr>
              <w:spacing w:line="240" w:lineRule="auto"/>
              <w:ind w:left="-122" w:leftChars="-51" w:right="-125" w:rightChars="-52" w:firstLine="0" w:firstLineChars="0"/>
              <w:jc w:val="center"/>
              <w:rPr>
                <w:iCs/>
                <w:color w:val="auto"/>
                <w:sz w:val="21"/>
                <w:szCs w:val="21"/>
              </w:rPr>
            </w:pPr>
            <w:r>
              <w:rPr>
                <w:iCs/>
                <w:color w:val="auto"/>
                <w:sz w:val="21"/>
                <w:szCs w:val="21"/>
              </w:rPr>
              <w:t>夏季（m</w:t>
            </w:r>
            <w:r>
              <w:rPr>
                <w:iCs/>
                <w:color w:val="auto"/>
                <w:sz w:val="21"/>
                <w:szCs w:val="21"/>
                <w:vertAlign w:val="superscript"/>
              </w:rPr>
              <w:t>3</w:t>
            </w:r>
            <w:r>
              <w:rPr>
                <w:iCs/>
                <w:color w:val="auto"/>
                <w:sz w:val="21"/>
                <w:szCs w:val="21"/>
              </w:rPr>
              <w:t>/d）</w:t>
            </w:r>
          </w:p>
        </w:tc>
        <w:tc>
          <w:tcPr>
            <w:tcW w:w="926" w:type="pct"/>
            <w:vAlign w:val="center"/>
          </w:tcPr>
          <w:p>
            <w:pPr>
              <w:spacing w:line="240" w:lineRule="auto"/>
              <w:ind w:left="-122" w:leftChars="-51" w:right="-125" w:rightChars="-52" w:firstLine="0" w:firstLineChars="0"/>
              <w:jc w:val="center"/>
              <w:rPr>
                <w:iCs/>
                <w:color w:val="auto"/>
                <w:sz w:val="21"/>
                <w:szCs w:val="21"/>
              </w:rPr>
            </w:pPr>
            <w:r>
              <w:rPr>
                <w:iCs/>
                <w:color w:val="auto"/>
                <w:sz w:val="21"/>
                <w:szCs w:val="21"/>
              </w:rPr>
              <w:t>其他季节（m</w:t>
            </w:r>
            <w:r>
              <w:rPr>
                <w:iCs/>
                <w:color w:val="auto"/>
                <w:sz w:val="21"/>
                <w:szCs w:val="21"/>
                <w:vertAlign w:val="superscript"/>
              </w:rPr>
              <w:t>3</w:t>
            </w:r>
            <w:r>
              <w:rPr>
                <w:iCs/>
                <w:color w:val="auto"/>
                <w:sz w:val="21"/>
                <w:szCs w:val="21"/>
              </w:rPr>
              <w:t>/d）</w:t>
            </w:r>
          </w:p>
        </w:tc>
        <w:tc>
          <w:tcPr>
            <w:tcW w:w="877" w:type="pct"/>
            <w:vAlign w:val="center"/>
          </w:tcPr>
          <w:p>
            <w:pPr>
              <w:widowControl/>
              <w:spacing w:line="240" w:lineRule="auto"/>
              <w:ind w:right="-125" w:rightChars="-52" w:firstLine="0" w:firstLineChars="0"/>
              <w:jc w:val="center"/>
              <w:rPr>
                <w:iCs/>
                <w:color w:val="auto"/>
                <w:sz w:val="21"/>
                <w:szCs w:val="21"/>
              </w:rPr>
            </w:pPr>
            <w:r>
              <w:rPr>
                <w:iCs/>
                <w:color w:val="auto"/>
                <w:sz w:val="21"/>
                <w:szCs w:val="21"/>
              </w:rPr>
              <w:t>全年（m</w:t>
            </w:r>
            <w:r>
              <w:rPr>
                <w:iCs/>
                <w:color w:val="auto"/>
                <w:sz w:val="21"/>
                <w:szCs w:val="21"/>
                <w:vertAlign w:val="superscript"/>
              </w:rPr>
              <w:t>3</w:t>
            </w:r>
            <w:r>
              <w:rPr>
                <w:iCs/>
                <w:color w:val="auto"/>
                <w:sz w:val="21"/>
                <w:szCs w:val="21"/>
              </w:rPr>
              <w: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38" w:type="pct"/>
            <w:vAlign w:val="center"/>
          </w:tcPr>
          <w:p>
            <w:pPr>
              <w:spacing w:line="240" w:lineRule="auto"/>
              <w:ind w:firstLine="0" w:firstLineChars="0"/>
              <w:jc w:val="center"/>
              <w:rPr>
                <w:color w:val="auto"/>
                <w:sz w:val="21"/>
                <w:szCs w:val="21"/>
              </w:rPr>
            </w:pPr>
            <w:r>
              <w:rPr>
                <w:rFonts w:hint="eastAsia"/>
                <w:color w:val="auto"/>
                <w:sz w:val="21"/>
                <w:szCs w:val="21"/>
              </w:rPr>
              <w:t>保育猪</w:t>
            </w:r>
          </w:p>
        </w:tc>
        <w:tc>
          <w:tcPr>
            <w:tcW w:w="542" w:type="pct"/>
            <w:vAlign w:val="center"/>
          </w:tcPr>
          <w:p>
            <w:pPr>
              <w:spacing w:line="240" w:lineRule="auto"/>
              <w:ind w:firstLine="0" w:firstLineChars="0"/>
              <w:jc w:val="center"/>
              <w:rPr>
                <w:color w:val="auto"/>
                <w:sz w:val="21"/>
                <w:szCs w:val="21"/>
              </w:rPr>
            </w:pPr>
            <w:r>
              <w:rPr>
                <w:rFonts w:hint="eastAsia"/>
                <w:color w:val="auto"/>
                <w:sz w:val="21"/>
                <w:szCs w:val="21"/>
              </w:rPr>
              <w:t>2.614</w:t>
            </w:r>
          </w:p>
        </w:tc>
        <w:tc>
          <w:tcPr>
            <w:tcW w:w="617" w:type="pct"/>
            <w:vAlign w:val="center"/>
          </w:tcPr>
          <w:p>
            <w:pPr>
              <w:spacing w:line="240" w:lineRule="auto"/>
              <w:ind w:firstLine="0" w:firstLineChars="0"/>
              <w:jc w:val="center"/>
              <w:rPr>
                <w:color w:val="auto"/>
                <w:sz w:val="21"/>
                <w:szCs w:val="21"/>
              </w:rPr>
            </w:pPr>
            <w:r>
              <w:rPr>
                <w:rFonts w:hint="eastAsia"/>
                <w:color w:val="auto"/>
                <w:sz w:val="21"/>
                <w:szCs w:val="21"/>
              </w:rPr>
              <w:t>1.519</w:t>
            </w:r>
          </w:p>
        </w:tc>
        <w:tc>
          <w:tcPr>
            <w:tcW w:w="659" w:type="pct"/>
            <w:vAlign w:val="center"/>
          </w:tcPr>
          <w:p>
            <w:pPr>
              <w:spacing w:line="240" w:lineRule="auto"/>
              <w:ind w:firstLine="0" w:firstLineChars="0"/>
              <w:jc w:val="center"/>
              <w:rPr>
                <w:color w:val="auto"/>
                <w:sz w:val="21"/>
                <w:szCs w:val="21"/>
              </w:rPr>
            </w:pPr>
            <w:r>
              <w:rPr>
                <w:rFonts w:hint="eastAsia"/>
                <w:color w:val="auto"/>
                <w:sz w:val="21"/>
                <w:szCs w:val="21"/>
              </w:rPr>
              <w:t>20000</w:t>
            </w:r>
          </w:p>
        </w:tc>
        <w:tc>
          <w:tcPr>
            <w:tcW w:w="737" w:type="pct"/>
            <w:vAlign w:val="center"/>
          </w:tcPr>
          <w:p>
            <w:pPr>
              <w:spacing w:line="240" w:lineRule="auto"/>
              <w:ind w:firstLine="0" w:firstLineChars="0"/>
              <w:jc w:val="center"/>
              <w:rPr>
                <w:color w:val="auto"/>
                <w:sz w:val="21"/>
                <w:szCs w:val="21"/>
              </w:rPr>
            </w:pPr>
            <w:r>
              <w:rPr>
                <w:rFonts w:hint="eastAsia"/>
                <w:color w:val="auto"/>
                <w:sz w:val="21"/>
                <w:szCs w:val="21"/>
              </w:rPr>
              <w:t>52.28</w:t>
            </w:r>
          </w:p>
        </w:tc>
        <w:tc>
          <w:tcPr>
            <w:tcW w:w="926" w:type="pct"/>
            <w:vAlign w:val="center"/>
          </w:tcPr>
          <w:p>
            <w:pPr>
              <w:spacing w:line="240" w:lineRule="auto"/>
              <w:ind w:firstLine="0" w:firstLineChars="0"/>
              <w:jc w:val="center"/>
              <w:rPr>
                <w:color w:val="auto"/>
                <w:sz w:val="21"/>
                <w:szCs w:val="21"/>
              </w:rPr>
            </w:pPr>
            <w:r>
              <w:rPr>
                <w:rFonts w:hint="eastAsia"/>
                <w:color w:val="auto"/>
                <w:sz w:val="21"/>
                <w:szCs w:val="21"/>
              </w:rPr>
              <w:t>30.38</w:t>
            </w:r>
          </w:p>
        </w:tc>
        <w:tc>
          <w:tcPr>
            <w:tcW w:w="1573" w:type="dxa"/>
            <w:vAlign w:val="center"/>
          </w:tcPr>
          <w:p>
            <w:pPr>
              <w:spacing w:line="240" w:lineRule="auto"/>
              <w:ind w:firstLine="0" w:firstLineChars="0"/>
              <w:jc w:val="center"/>
              <w:rPr>
                <w:color w:val="auto"/>
                <w:sz w:val="21"/>
                <w:szCs w:val="21"/>
              </w:rPr>
            </w:pPr>
            <w:r>
              <w:rPr>
                <w:rFonts w:hint="eastAsia"/>
                <w:color w:val="auto"/>
                <w:sz w:val="21"/>
                <w:szCs w:val="21"/>
              </w:rPr>
              <w:t>13760.5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0" w:hRule="atLeast"/>
          <w:jc w:val="center"/>
        </w:trPr>
        <w:tc>
          <w:tcPr>
            <w:tcW w:w="638" w:type="pct"/>
            <w:vAlign w:val="center"/>
          </w:tcPr>
          <w:p>
            <w:pPr>
              <w:spacing w:line="240" w:lineRule="auto"/>
              <w:ind w:firstLine="0" w:firstLineChars="0"/>
              <w:jc w:val="center"/>
              <w:rPr>
                <w:color w:val="auto"/>
                <w:sz w:val="21"/>
                <w:szCs w:val="21"/>
              </w:rPr>
            </w:pPr>
            <w:r>
              <w:rPr>
                <w:rFonts w:hint="eastAsia"/>
                <w:color w:val="auto"/>
                <w:sz w:val="21"/>
                <w:szCs w:val="21"/>
              </w:rPr>
              <w:t>育肥猪</w:t>
            </w:r>
          </w:p>
        </w:tc>
        <w:tc>
          <w:tcPr>
            <w:tcW w:w="542" w:type="pct"/>
            <w:vAlign w:val="center"/>
          </w:tcPr>
          <w:p>
            <w:pPr>
              <w:spacing w:line="240" w:lineRule="auto"/>
              <w:ind w:firstLine="0" w:firstLineChars="0"/>
              <w:jc w:val="center"/>
              <w:rPr>
                <w:color w:val="auto"/>
                <w:sz w:val="21"/>
                <w:szCs w:val="21"/>
              </w:rPr>
            </w:pPr>
            <w:r>
              <w:rPr>
                <w:rFonts w:hint="eastAsia"/>
                <w:color w:val="auto"/>
                <w:sz w:val="21"/>
                <w:szCs w:val="21"/>
              </w:rPr>
              <w:t>5.023</w:t>
            </w:r>
          </w:p>
        </w:tc>
        <w:tc>
          <w:tcPr>
            <w:tcW w:w="617" w:type="pct"/>
            <w:vAlign w:val="center"/>
          </w:tcPr>
          <w:p>
            <w:pPr>
              <w:spacing w:line="240" w:lineRule="auto"/>
              <w:ind w:firstLine="0" w:firstLineChars="0"/>
              <w:jc w:val="center"/>
              <w:rPr>
                <w:color w:val="auto"/>
                <w:sz w:val="21"/>
                <w:szCs w:val="21"/>
              </w:rPr>
            </w:pPr>
            <w:r>
              <w:rPr>
                <w:rFonts w:hint="eastAsia"/>
                <w:color w:val="auto"/>
                <w:sz w:val="21"/>
                <w:szCs w:val="21"/>
              </w:rPr>
              <w:t>3.052</w:t>
            </w:r>
          </w:p>
        </w:tc>
        <w:tc>
          <w:tcPr>
            <w:tcW w:w="659" w:type="pct"/>
            <w:vAlign w:val="center"/>
          </w:tcPr>
          <w:p>
            <w:pPr>
              <w:spacing w:line="240" w:lineRule="auto"/>
              <w:ind w:firstLine="0" w:firstLineChars="0"/>
              <w:jc w:val="center"/>
              <w:rPr>
                <w:bCs/>
                <w:color w:val="auto"/>
                <w:sz w:val="21"/>
                <w:szCs w:val="21"/>
              </w:rPr>
            </w:pPr>
            <w:r>
              <w:rPr>
                <w:rFonts w:hint="eastAsia"/>
                <w:bCs/>
                <w:color w:val="auto"/>
                <w:sz w:val="21"/>
                <w:szCs w:val="21"/>
              </w:rPr>
              <w:t>20000</w:t>
            </w:r>
          </w:p>
        </w:tc>
        <w:tc>
          <w:tcPr>
            <w:tcW w:w="737" w:type="pct"/>
            <w:vAlign w:val="center"/>
          </w:tcPr>
          <w:p>
            <w:pPr>
              <w:spacing w:line="240" w:lineRule="auto"/>
              <w:ind w:firstLine="0" w:firstLineChars="0"/>
              <w:jc w:val="center"/>
              <w:rPr>
                <w:color w:val="auto"/>
                <w:sz w:val="21"/>
                <w:szCs w:val="21"/>
              </w:rPr>
            </w:pPr>
            <w:r>
              <w:rPr>
                <w:rFonts w:hint="eastAsia"/>
                <w:color w:val="auto"/>
                <w:sz w:val="21"/>
                <w:szCs w:val="21"/>
              </w:rPr>
              <w:t>100.46</w:t>
            </w:r>
          </w:p>
        </w:tc>
        <w:tc>
          <w:tcPr>
            <w:tcW w:w="926" w:type="pct"/>
            <w:vAlign w:val="center"/>
          </w:tcPr>
          <w:p>
            <w:pPr>
              <w:spacing w:line="240" w:lineRule="auto"/>
              <w:ind w:firstLine="0" w:firstLineChars="0"/>
              <w:jc w:val="center"/>
              <w:rPr>
                <w:color w:val="auto"/>
                <w:sz w:val="21"/>
                <w:szCs w:val="21"/>
              </w:rPr>
            </w:pPr>
            <w:r>
              <w:rPr>
                <w:rFonts w:hint="eastAsia"/>
                <w:color w:val="auto"/>
                <w:sz w:val="21"/>
                <w:szCs w:val="21"/>
              </w:rPr>
              <w:t>61.04</w:t>
            </w:r>
          </w:p>
        </w:tc>
        <w:tc>
          <w:tcPr>
            <w:tcW w:w="1573" w:type="dxa"/>
            <w:vAlign w:val="center"/>
          </w:tcPr>
          <w:p>
            <w:pPr>
              <w:spacing w:line="240" w:lineRule="auto"/>
              <w:ind w:firstLine="0" w:firstLineChars="0"/>
              <w:jc w:val="center"/>
              <w:rPr>
                <w:color w:val="auto"/>
                <w:sz w:val="21"/>
                <w:szCs w:val="21"/>
              </w:rPr>
            </w:pPr>
            <w:r>
              <w:rPr>
                <w:rFonts w:hint="eastAsia"/>
                <w:color w:val="auto"/>
                <w:sz w:val="21"/>
                <w:szCs w:val="21"/>
              </w:rPr>
              <w:t>27088.84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2458" w:type="pct"/>
            <w:gridSpan w:val="4"/>
            <w:vAlign w:val="center"/>
          </w:tcPr>
          <w:p>
            <w:pPr>
              <w:spacing w:line="240" w:lineRule="auto"/>
              <w:ind w:firstLine="0" w:firstLineChars="0"/>
              <w:jc w:val="center"/>
              <w:rPr>
                <w:bCs/>
                <w:color w:val="auto"/>
                <w:sz w:val="21"/>
                <w:szCs w:val="21"/>
              </w:rPr>
            </w:pPr>
            <w:r>
              <w:rPr>
                <w:bCs/>
                <w:color w:val="auto"/>
                <w:sz w:val="21"/>
                <w:szCs w:val="21"/>
              </w:rPr>
              <w:t>小计</w:t>
            </w:r>
          </w:p>
        </w:tc>
        <w:tc>
          <w:tcPr>
            <w:tcW w:w="1318" w:type="dxa"/>
            <w:vAlign w:val="center"/>
          </w:tcPr>
          <w:p>
            <w:pPr>
              <w:spacing w:line="240" w:lineRule="auto"/>
              <w:ind w:firstLine="0" w:firstLineChars="0"/>
              <w:jc w:val="center"/>
              <w:rPr>
                <w:color w:val="auto"/>
                <w:sz w:val="21"/>
                <w:szCs w:val="21"/>
              </w:rPr>
            </w:pPr>
            <w:r>
              <w:rPr>
                <w:rFonts w:hint="eastAsia"/>
                <w:color w:val="auto"/>
                <w:sz w:val="21"/>
                <w:szCs w:val="21"/>
              </w:rPr>
              <w:t>152.74</w:t>
            </w:r>
          </w:p>
        </w:tc>
        <w:tc>
          <w:tcPr>
            <w:tcW w:w="1656" w:type="dxa"/>
            <w:vAlign w:val="center"/>
          </w:tcPr>
          <w:p>
            <w:pPr>
              <w:spacing w:line="240" w:lineRule="auto"/>
              <w:ind w:firstLine="0" w:firstLineChars="0"/>
              <w:jc w:val="center"/>
              <w:rPr>
                <w:color w:val="auto"/>
                <w:sz w:val="21"/>
                <w:szCs w:val="21"/>
              </w:rPr>
            </w:pPr>
            <w:r>
              <w:rPr>
                <w:rFonts w:hint="eastAsia"/>
                <w:color w:val="auto"/>
                <w:sz w:val="21"/>
                <w:szCs w:val="21"/>
              </w:rPr>
              <w:t>91.42</w:t>
            </w:r>
          </w:p>
        </w:tc>
        <w:tc>
          <w:tcPr>
            <w:tcW w:w="1573" w:type="dxa"/>
            <w:vAlign w:val="center"/>
          </w:tcPr>
          <w:p>
            <w:pPr>
              <w:spacing w:line="240" w:lineRule="auto"/>
              <w:ind w:firstLine="0" w:firstLineChars="0"/>
              <w:jc w:val="center"/>
              <w:rPr>
                <w:color w:val="auto"/>
                <w:sz w:val="21"/>
                <w:szCs w:val="21"/>
              </w:rPr>
            </w:pPr>
            <w:r>
              <w:rPr>
                <w:rFonts w:hint="eastAsia"/>
                <w:color w:val="auto"/>
                <w:sz w:val="21"/>
                <w:szCs w:val="21"/>
              </w:rPr>
              <w:t>40849.34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7"/>
            <w:vAlign w:val="center"/>
          </w:tcPr>
          <w:p>
            <w:pPr>
              <w:spacing w:line="240" w:lineRule="auto"/>
              <w:ind w:firstLine="0" w:firstLineChars="0"/>
              <w:jc w:val="center"/>
              <w:rPr>
                <w:iCs/>
                <w:color w:val="auto"/>
                <w:sz w:val="21"/>
                <w:szCs w:val="21"/>
              </w:rPr>
            </w:pPr>
            <w:r>
              <w:rPr>
                <w:bCs/>
                <w:iCs/>
                <w:color w:val="auto"/>
                <w:sz w:val="21"/>
                <w:szCs w:val="21"/>
              </w:rPr>
              <w:t>备注：夏季按122d计算，其他季节为243d。</w:t>
            </w:r>
          </w:p>
        </w:tc>
      </w:tr>
    </w:tbl>
    <w:p>
      <w:pPr>
        <w:ind w:firstLine="480"/>
        <w:rPr>
          <w:color w:val="auto"/>
        </w:rPr>
      </w:pPr>
      <w:r>
        <w:rPr>
          <w:rFonts w:hint="eastAsia"/>
          <w:color w:val="auto"/>
        </w:rPr>
        <w:t>（2）含污冷凝水</w:t>
      </w:r>
    </w:p>
    <w:p>
      <w:pPr>
        <w:pStyle w:val="11"/>
        <w:spacing w:after="0"/>
        <w:ind w:firstLine="496"/>
        <w:rPr>
          <w:color w:val="auto"/>
          <w:spacing w:val="4"/>
        </w:rPr>
      </w:pPr>
      <w:r>
        <w:rPr>
          <w:rFonts w:hint="eastAsia"/>
          <w:color w:val="auto"/>
          <w:spacing w:val="4"/>
        </w:rPr>
        <w:t>根据项目产生的病死猪量、恶臭产生量和病死猪处理后残渣量进行分析，病死猪产生量为12t/a，恶臭产生量为0.00005t/a，残渣产生量为</w:t>
      </w:r>
      <w:r>
        <w:rPr>
          <w:rFonts w:hint="eastAsia"/>
          <w:bCs/>
          <w:color w:val="auto"/>
        </w:rPr>
        <w:t>9.6</w:t>
      </w:r>
      <w:r>
        <w:rPr>
          <w:bCs/>
          <w:color w:val="auto"/>
        </w:rPr>
        <w:t>t/a</w:t>
      </w:r>
      <w:r>
        <w:rPr>
          <w:rFonts w:hint="eastAsia"/>
          <w:color w:val="auto"/>
          <w:spacing w:val="4"/>
        </w:rPr>
        <w:t>，其余部分全部转化为冷凝水，则本项目冷凝水量为0.007t/d，即2.4t/a。</w:t>
      </w:r>
    </w:p>
    <w:p>
      <w:pPr>
        <w:pStyle w:val="37"/>
        <w:ind w:firstLine="676" w:firstLineChars="282"/>
        <w:rPr>
          <w:color w:val="auto"/>
        </w:rPr>
      </w:pPr>
      <w:r>
        <w:rPr>
          <w:color w:val="auto"/>
        </w:rPr>
        <w:t>经计算，本项目用排水状况见表3.1-1</w:t>
      </w:r>
      <w:r>
        <w:rPr>
          <w:rFonts w:hint="eastAsia"/>
          <w:color w:val="auto"/>
        </w:rPr>
        <w:t>0</w:t>
      </w:r>
      <w:r>
        <w:rPr>
          <w:color w:val="auto"/>
        </w:rPr>
        <w:t>。</w:t>
      </w:r>
    </w:p>
    <w:p>
      <w:pPr>
        <w:spacing w:after="72" w:afterLines="30" w:line="500" w:lineRule="exact"/>
        <w:ind w:firstLine="482"/>
        <w:jc w:val="left"/>
        <w:rPr>
          <w:b/>
          <w:color w:val="auto"/>
          <w:szCs w:val="21"/>
        </w:rPr>
      </w:pPr>
      <w:r>
        <w:rPr>
          <w:b/>
          <w:color w:val="auto"/>
          <w:szCs w:val="21"/>
        </w:rPr>
        <w:t>表3.1-</w:t>
      </w:r>
      <w:r>
        <w:rPr>
          <w:rFonts w:hint="eastAsia"/>
          <w:b/>
          <w:color w:val="auto"/>
          <w:szCs w:val="21"/>
        </w:rPr>
        <w:t>10</w:t>
      </w:r>
      <w:r>
        <w:rPr>
          <w:b/>
          <w:color w:val="auto"/>
          <w:szCs w:val="21"/>
        </w:rPr>
        <w:t xml:space="preserve">                      项目用排水情况一览表</w:t>
      </w:r>
    </w:p>
    <w:tbl>
      <w:tblPr>
        <w:tblStyle w:val="27"/>
        <w:tblW w:w="4997"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57" w:type="dxa"/>
          <w:left w:w="108" w:type="dxa"/>
          <w:bottom w:w="57" w:type="dxa"/>
          <w:right w:w="108" w:type="dxa"/>
        </w:tblCellMar>
      </w:tblPr>
      <w:tblGrid>
        <w:gridCol w:w="984"/>
        <w:gridCol w:w="3209"/>
        <w:gridCol w:w="2038"/>
        <w:gridCol w:w="271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57" w:type="dxa"/>
            <w:left w:w="108" w:type="dxa"/>
            <w:bottom w:w="57" w:type="dxa"/>
            <w:right w:w="108" w:type="dxa"/>
          </w:tblCellMar>
        </w:tblPrEx>
        <w:trPr>
          <w:trHeight w:val="67" w:hRule="atLeast"/>
          <w:tblHeader/>
        </w:trPr>
        <w:tc>
          <w:tcPr>
            <w:tcW w:w="2344" w:type="pct"/>
            <w:gridSpan w:val="2"/>
            <w:vAlign w:val="center"/>
          </w:tcPr>
          <w:p>
            <w:pPr>
              <w:spacing w:line="240" w:lineRule="auto"/>
              <w:ind w:firstLine="0" w:firstLineChars="0"/>
              <w:jc w:val="center"/>
              <w:rPr>
                <w:color w:val="auto"/>
                <w:sz w:val="21"/>
                <w:szCs w:val="21"/>
              </w:rPr>
            </w:pPr>
            <w:r>
              <w:rPr>
                <w:color w:val="auto"/>
                <w:sz w:val="21"/>
                <w:szCs w:val="21"/>
              </w:rPr>
              <w:t>名称</w:t>
            </w:r>
          </w:p>
        </w:tc>
        <w:tc>
          <w:tcPr>
            <w:tcW w:w="1139" w:type="pct"/>
            <w:vAlign w:val="center"/>
          </w:tcPr>
          <w:p>
            <w:pPr>
              <w:spacing w:line="240" w:lineRule="auto"/>
              <w:ind w:firstLine="0" w:firstLineChars="0"/>
              <w:jc w:val="center"/>
              <w:rPr>
                <w:color w:val="auto"/>
                <w:sz w:val="21"/>
                <w:szCs w:val="21"/>
              </w:rPr>
            </w:pPr>
            <w:r>
              <w:rPr>
                <w:color w:val="auto"/>
                <w:sz w:val="21"/>
                <w:szCs w:val="21"/>
              </w:rPr>
              <w:t>夏季m</w:t>
            </w:r>
            <w:r>
              <w:rPr>
                <w:color w:val="auto"/>
                <w:sz w:val="21"/>
                <w:szCs w:val="21"/>
                <w:vertAlign w:val="superscript"/>
              </w:rPr>
              <w:t>3</w:t>
            </w:r>
            <w:r>
              <w:rPr>
                <w:color w:val="auto"/>
                <w:sz w:val="21"/>
                <w:szCs w:val="21"/>
              </w:rPr>
              <w:t>/122d</w:t>
            </w:r>
          </w:p>
        </w:tc>
        <w:tc>
          <w:tcPr>
            <w:tcW w:w="1516" w:type="pct"/>
            <w:vAlign w:val="center"/>
          </w:tcPr>
          <w:p>
            <w:pPr>
              <w:spacing w:line="240" w:lineRule="auto"/>
              <w:ind w:firstLine="0" w:firstLineChars="0"/>
              <w:jc w:val="center"/>
              <w:rPr>
                <w:color w:val="auto"/>
                <w:sz w:val="21"/>
                <w:szCs w:val="21"/>
              </w:rPr>
            </w:pPr>
            <w:r>
              <w:rPr>
                <w:color w:val="auto"/>
                <w:sz w:val="21"/>
                <w:szCs w:val="21"/>
              </w:rPr>
              <w:t>其他季节m</w:t>
            </w:r>
            <w:r>
              <w:rPr>
                <w:color w:val="auto"/>
                <w:sz w:val="21"/>
                <w:szCs w:val="21"/>
                <w:vertAlign w:val="superscript"/>
              </w:rPr>
              <w:t>3</w:t>
            </w:r>
            <w:r>
              <w:rPr>
                <w:color w:val="auto"/>
                <w:sz w:val="21"/>
                <w:szCs w:val="21"/>
              </w:rPr>
              <w:t>/243d</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57" w:type="dxa"/>
            <w:left w:w="108" w:type="dxa"/>
            <w:bottom w:w="57" w:type="dxa"/>
            <w:right w:w="108" w:type="dxa"/>
          </w:tblCellMar>
        </w:tblPrEx>
        <w:trPr>
          <w:trHeight w:val="90" w:hRule="atLeast"/>
        </w:trPr>
        <w:tc>
          <w:tcPr>
            <w:tcW w:w="550" w:type="pct"/>
            <w:vMerge w:val="restart"/>
            <w:vAlign w:val="center"/>
          </w:tcPr>
          <w:p>
            <w:pPr>
              <w:spacing w:line="240" w:lineRule="auto"/>
              <w:ind w:firstLine="0" w:firstLineChars="0"/>
              <w:jc w:val="center"/>
              <w:rPr>
                <w:color w:val="auto"/>
                <w:sz w:val="21"/>
                <w:szCs w:val="21"/>
              </w:rPr>
            </w:pPr>
            <w:r>
              <w:rPr>
                <w:color w:val="auto"/>
                <w:sz w:val="21"/>
                <w:szCs w:val="21"/>
              </w:rPr>
              <w:t>用水</w:t>
            </w:r>
          </w:p>
        </w:tc>
        <w:tc>
          <w:tcPr>
            <w:tcW w:w="1794" w:type="pct"/>
            <w:vAlign w:val="center"/>
          </w:tcPr>
          <w:p>
            <w:pPr>
              <w:spacing w:line="240" w:lineRule="auto"/>
              <w:ind w:firstLine="0" w:firstLineChars="0"/>
              <w:jc w:val="center"/>
              <w:rPr>
                <w:color w:val="auto"/>
                <w:sz w:val="21"/>
                <w:szCs w:val="21"/>
              </w:rPr>
            </w:pPr>
            <w:bookmarkStart w:id="270" w:name="_Hlk376119699"/>
            <w:r>
              <w:rPr>
                <w:bCs/>
                <w:color w:val="auto"/>
                <w:sz w:val="21"/>
                <w:szCs w:val="21"/>
              </w:rPr>
              <w:t>猪饮用水</w:t>
            </w:r>
          </w:p>
        </w:tc>
        <w:tc>
          <w:tcPr>
            <w:tcW w:w="1139" w:type="pct"/>
            <w:vAlign w:val="center"/>
          </w:tcPr>
          <w:p>
            <w:pPr>
              <w:spacing w:line="240" w:lineRule="auto"/>
              <w:ind w:firstLine="0" w:firstLineChars="0"/>
              <w:jc w:val="center"/>
              <w:rPr>
                <w:bCs/>
                <w:color w:val="auto"/>
                <w:sz w:val="21"/>
                <w:szCs w:val="21"/>
              </w:rPr>
            </w:pPr>
            <w:r>
              <w:rPr>
                <w:rFonts w:hint="eastAsia"/>
                <w:bCs/>
                <w:color w:val="auto"/>
                <w:sz w:val="21"/>
                <w:szCs w:val="21"/>
              </w:rPr>
              <w:t>34160</w:t>
            </w:r>
          </w:p>
        </w:tc>
        <w:tc>
          <w:tcPr>
            <w:tcW w:w="1516" w:type="pct"/>
            <w:vAlign w:val="center"/>
          </w:tcPr>
          <w:p>
            <w:pPr>
              <w:spacing w:line="240" w:lineRule="auto"/>
              <w:ind w:firstLine="0" w:firstLineChars="0"/>
              <w:jc w:val="center"/>
              <w:rPr>
                <w:bCs/>
                <w:color w:val="auto"/>
                <w:sz w:val="21"/>
                <w:szCs w:val="21"/>
              </w:rPr>
            </w:pPr>
            <w:r>
              <w:rPr>
                <w:rFonts w:hint="eastAsia"/>
                <w:bCs/>
                <w:color w:val="auto"/>
                <w:sz w:val="21"/>
                <w:szCs w:val="21"/>
              </w:rPr>
              <w:t>43740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57" w:type="dxa"/>
            <w:left w:w="108" w:type="dxa"/>
            <w:bottom w:w="57" w:type="dxa"/>
            <w:right w:w="108" w:type="dxa"/>
          </w:tblCellMar>
        </w:tblPrEx>
        <w:trPr>
          <w:trHeight w:val="284" w:hRule="atLeast"/>
        </w:trPr>
        <w:tc>
          <w:tcPr>
            <w:tcW w:w="550" w:type="pct"/>
            <w:vMerge w:val="continue"/>
            <w:vAlign w:val="center"/>
          </w:tcPr>
          <w:p>
            <w:pPr>
              <w:spacing w:line="240" w:lineRule="auto"/>
              <w:ind w:firstLine="0" w:firstLineChars="0"/>
              <w:jc w:val="center"/>
              <w:rPr>
                <w:bCs/>
                <w:color w:val="auto"/>
                <w:sz w:val="21"/>
                <w:szCs w:val="21"/>
              </w:rPr>
            </w:pPr>
          </w:p>
          <w:bookmarkEnd w:id="270"/>
        </w:tc>
        <w:tc>
          <w:tcPr>
            <w:tcW w:w="1794" w:type="pct"/>
            <w:vAlign w:val="center"/>
          </w:tcPr>
          <w:p>
            <w:pPr>
              <w:spacing w:line="240" w:lineRule="auto"/>
              <w:ind w:firstLine="0" w:firstLineChars="0"/>
              <w:jc w:val="center"/>
              <w:rPr>
                <w:color w:val="auto"/>
                <w:sz w:val="21"/>
                <w:szCs w:val="21"/>
              </w:rPr>
            </w:pPr>
            <w:r>
              <w:rPr>
                <w:bCs/>
                <w:color w:val="auto"/>
                <w:sz w:val="21"/>
                <w:szCs w:val="21"/>
              </w:rPr>
              <w:t>猪舍冲洗水</w:t>
            </w:r>
          </w:p>
        </w:tc>
        <w:tc>
          <w:tcPr>
            <w:tcW w:w="1139" w:type="pct"/>
            <w:vAlign w:val="center"/>
          </w:tcPr>
          <w:p>
            <w:pPr>
              <w:spacing w:line="240" w:lineRule="auto"/>
              <w:ind w:firstLine="0" w:firstLineChars="0"/>
              <w:jc w:val="center"/>
              <w:rPr>
                <w:bCs/>
                <w:color w:val="auto"/>
                <w:sz w:val="21"/>
                <w:szCs w:val="21"/>
              </w:rPr>
            </w:pPr>
            <w:r>
              <w:rPr>
                <w:rFonts w:hint="eastAsia"/>
                <w:bCs/>
                <w:color w:val="auto"/>
                <w:sz w:val="21"/>
                <w:szCs w:val="21"/>
              </w:rPr>
              <w:t>481.3</w:t>
            </w:r>
          </w:p>
        </w:tc>
        <w:tc>
          <w:tcPr>
            <w:tcW w:w="1516" w:type="pct"/>
            <w:vAlign w:val="center"/>
          </w:tcPr>
          <w:p>
            <w:pPr>
              <w:spacing w:line="240" w:lineRule="auto"/>
              <w:ind w:firstLine="0" w:firstLineChars="0"/>
              <w:jc w:val="center"/>
              <w:rPr>
                <w:bCs/>
                <w:color w:val="auto"/>
                <w:sz w:val="21"/>
                <w:szCs w:val="21"/>
              </w:rPr>
            </w:pPr>
            <w:r>
              <w:rPr>
                <w:rFonts w:hint="eastAsia"/>
                <w:bCs/>
                <w:color w:val="auto"/>
                <w:sz w:val="21"/>
                <w:szCs w:val="21"/>
              </w:rPr>
              <w:t>958.7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57" w:type="dxa"/>
            <w:left w:w="108" w:type="dxa"/>
            <w:bottom w:w="57" w:type="dxa"/>
            <w:right w:w="108" w:type="dxa"/>
          </w:tblCellMar>
        </w:tblPrEx>
        <w:trPr>
          <w:trHeight w:val="21" w:hRule="atLeast"/>
        </w:trPr>
        <w:tc>
          <w:tcPr>
            <w:tcW w:w="550" w:type="pct"/>
            <w:vMerge w:val="continue"/>
            <w:vAlign w:val="center"/>
          </w:tcPr>
          <w:p>
            <w:pPr>
              <w:spacing w:line="240" w:lineRule="auto"/>
              <w:ind w:firstLine="0" w:firstLineChars="0"/>
              <w:jc w:val="center"/>
              <w:rPr>
                <w:color w:val="auto"/>
                <w:sz w:val="21"/>
                <w:szCs w:val="21"/>
              </w:rPr>
            </w:pPr>
          </w:p>
        </w:tc>
        <w:tc>
          <w:tcPr>
            <w:tcW w:w="1794" w:type="pct"/>
            <w:vAlign w:val="center"/>
          </w:tcPr>
          <w:p>
            <w:pPr>
              <w:spacing w:line="240" w:lineRule="auto"/>
              <w:ind w:firstLine="0" w:firstLineChars="0"/>
              <w:jc w:val="center"/>
              <w:rPr>
                <w:color w:val="auto"/>
                <w:sz w:val="21"/>
                <w:szCs w:val="21"/>
              </w:rPr>
            </w:pPr>
            <w:r>
              <w:rPr>
                <w:bCs/>
                <w:color w:val="auto"/>
                <w:sz w:val="21"/>
                <w:szCs w:val="21"/>
              </w:rPr>
              <w:t>猪舍降温喷</w:t>
            </w:r>
            <w:r>
              <w:rPr>
                <w:rFonts w:hint="eastAsia"/>
                <w:bCs/>
                <w:color w:val="auto"/>
                <w:sz w:val="21"/>
                <w:szCs w:val="21"/>
              </w:rPr>
              <w:t>雾</w:t>
            </w:r>
            <w:r>
              <w:rPr>
                <w:bCs/>
                <w:color w:val="auto"/>
                <w:sz w:val="21"/>
                <w:szCs w:val="21"/>
              </w:rPr>
              <w:t>用水</w:t>
            </w:r>
          </w:p>
        </w:tc>
        <w:tc>
          <w:tcPr>
            <w:tcW w:w="1139" w:type="pct"/>
            <w:vAlign w:val="center"/>
          </w:tcPr>
          <w:p>
            <w:pPr>
              <w:spacing w:line="240" w:lineRule="auto"/>
              <w:ind w:firstLine="0" w:firstLineChars="0"/>
              <w:jc w:val="center"/>
              <w:rPr>
                <w:color w:val="auto"/>
                <w:sz w:val="21"/>
                <w:szCs w:val="21"/>
              </w:rPr>
            </w:pPr>
            <w:r>
              <w:rPr>
                <w:rFonts w:hint="eastAsia"/>
                <w:color w:val="auto"/>
                <w:sz w:val="21"/>
                <w:szCs w:val="21"/>
              </w:rPr>
              <w:t>190.08</w:t>
            </w:r>
          </w:p>
        </w:tc>
        <w:tc>
          <w:tcPr>
            <w:tcW w:w="1516" w:type="pct"/>
            <w:vAlign w:val="center"/>
          </w:tcPr>
          <w:p>
            <w:pPr>
              <w:spacing w:line="240" w:lineRule="auto"/>
              <w:ind w:firstLine="0" w:firstLineChars="0"/>
              <w:jc w:val="center"/>
              <w:rPr>
                <w:color w:val="auto"/>
                <w:sz w:val="21"/>
                <w:szCs w:val="21"/>
              </w:rPr>
            </w:pPr>
            <w:r>
              <w:rPr>
                <w:rFonts w:hint="eastAsia"/>
                <w:color w:val="auto"/>
                <w:sz w:val="21"/>
                <w:szCs w:val="21"/>
              </w:rPr>
              <w:t>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57" w:type="dxa"/>
            <w:left w:w="108" w:type="dxa"/>
            <w:bottom w:w="57" w:type="dxa"/>
            <w:right w:w="108" w:type="dxa"/>
          </w:tblCellMar>
        </w:tblPrEx>
        <w:trPr>
          <w:trHeight w:val="214" w:hRule="atLeast"/>
        </w:trPr>
        <w:tc>
          <w:tcPr>
            <w:tcW w:w="550" w:type="pct"/>
            <w:vMerge w:val="continue"/>
            <w:vAlign w:val="center"/>
          </w:tcPr>
          <w:p>
            <w:pPr>
              <w:spacing w:line="240" w:lineRule="auto"/>
              <w:ind w:firstLine="0" w:firstLineChars="0"/>
              <w:jc w:val="center"/>
              <w:rPr>
                <w:color w:val="auto"/>
                <w:sz w:val="21"/>
                <w:szCs w:val="21"/>
              </w:rPr>
            </w:pPr>
          </w:p>
        </w:tc>
        <w:tc>
          <w:tcPr>
            <w:tcW w:w="1794" w:type="pct"/>
            <w:vAlign w:val="center"/>
          </w:tcPr>
          <w:p>
            <w:pPr>
              <w:spacing w:line="240" w:lineRule="auto"/>
              <w:ind w:firstLine="0" w:firstLineChars="0"/>
              <w:jc w:val="center"/>
              <w:rPr>
                <w:color w:val="auto"/>
                <w:sz w:val="21"/>
                <w:szCs w:val="21"/>
              </w:rPr>
            </w:pPr>
            <w:r>
              <w:rPr>
                <w:bCs/>
                <w:color w:val="auto"/>
                <w:sz w:val="21"/>
                <w:szCs w:val="21"/>
              </w:rPr>
              <w:t>职工生活用水</w:t>
            </w:r>
          </w:p>
        </w:tc>
        <w:tc>
          <w:tcPr>
            <w:tcW w:w="1139" w:type="pct"/>
            <w:vAlign w:val="center"/>
          </w:tcPr>
          <w:p>
            <w:pPr>
              <w:spacing w:line="240" w:lineRule="auto"/>
              <w:ind w:firstLine="0" w:firstLineChars="0"/>
              <w:jc w:val="center"/>
              <w:rPr>
                <w:color w:val="auto"/>
                <w:sz w:val="21"/>
                <w:szCs w:val="21"/>
              </w:rPr>
            </w:pPr>
            <w:r>
              <w:rPr>
                <w:rFonts w:hint="eastAsia"/>
                <w:color w:val="auto"/>
                <w:sz w:val="21"/>
                <w:szCs w:val="21"/>
              </w:rPr>
              <w:t>409.92</w:t>
            </w:r>
          </w:p>
        </w:tc>
        <w:tc>
          <w:tcPr>
            <w:tcW w:w="1516" w:type="pct"/>
            <w:vAlign w:val="center"/>
          </w:tcPr>
          <w:p>
            <w:pPr>
              <w:spacing w:line="240" w:lineRule="auto"/>
              <w:ind w:firstLine="0" w:firstLineChars="0"/>
              <w:jc w:val="center"/>
              <w:rPr>
                <w:color w:val="auto"/>
                <w:sz w:val="21"/>
                <w:szCs w:val="21"/>
              </w:rPr>
            </w:pPr>
            <w:r>
              <w:rPr>
                <w:rFonts w:hint="eastAsia"/>
                <w:color w:val="auto"/>
                <w:sz w:val="21"/>
                <w:szCs w:val="21"/>
              </w:rPr>
              <w:t>816.48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57" w:type="dxa"/>
            <w:left w:w="108" w:type="dxa"/>
            <w:bottom w:w="57" w:type="dxa"/>
            <w:right w:w="108" w:type="dxa"/>
          </w:tblCellMar>
        </w:tblPrEx>
        <w:trPr>
          <w:trHeight w:val="182" w:hRule="atLeast"/>
        </w:trPr>
        <w:tc>
          <w:tcPr>
            <w:tcW w:w="550" w:type="pct"/>
            <w:vMerge w:val="continue"/>
            <w:vAlign w:val="center"/>
          </w:tcPr>
          <w:p>
            <w:pPr>
              <w:spacing w:line="240" w:lineRule="auto"/>
              <w:ind w:firstLine="0" w:firstLineChars="0"/>
              <w:jc w:val="center"/>
              <w:rPr>
                <w:color w:val="auto"/>
                <w:sz w:val="21"/>
                <w:szCs w:val="21"/>
              </w:rPr>
            </w:pPr>
          </w:p>
        </w:tc>
        <w:tc>
          <w:tcPr>
            <w:tcW w:w="1794" w:type="pct"/>
            <w:vAlign w:val="center"/>
          </w:tcPr>
          <w:p>
            <w:pPr>
              <w:spacing w:line="240" w:lineRule="auto"/>
              <w:ind w:firstLine="0" w:firstLineChars="0"/>
              <w:jc w:val="center"/>
              <w:rPr>
                <w:bCs/>
                <w:color w:val="auto"/>
                <w:sz w:val="21"/>
                <w:szCs w:val="21"/>
              </w:rPr>
            </w:pPr>
            <w:r>
              <w:rPr>
                <w:rFonts w:hint="eastAsia"/>
                <w:bCs/>
                <w:color w:val="auto"/>
                <w:sz w:val="21"/>
                <w:szCs w:val="21"/>
              </w:rPr>
              <w:t>除臭装置喷淋用水</w:t>
            </w:r>
          </w:p>
        </w:tc>
        <w:tc>
          <w:tcPr>
            <w:tcW w:w="1139" w:type="pct"/>
            <w:vAlign w:val="center"/>
          </w:tcPr>
          <w:p>
            <w:pPr>
              <w:spacing w:line="240" w:lineRule="auto"/>
              <w:ind w:firstLine="0" w:firstLineChars="0"/>
              <w:jc w:val="center"/>
              <w:rPr>
                <w:color w:val="auto"/>
                <w:sz w:val="21"/>
                <w:szCs w:val="21"/>
              </w:rPr>
            </w:pPr>
            <w:r>
              <w:rPr>
                <w:rFonts w:hint="eastAsia"/>
                <w:color w:val="auto"/>
                <w:sz w:val="21"/>
                <w:szCs w:val="21"/>
              </w:rPr>
              <w:t>292.8</w:t>
            </w:r>
          </w:p>
        </w:tc>
        <w:tc>
          <w:tcPr>
            <w:tcW w:w="1516" w:type="pct"/>
            <w:vAlign w:val="center"/>
          </w:tcPr>
          <w:p>
            <w:pPr>
              <w:spacing w:line="240" w:lineRule="auto"/>
              <w:ind w:firstLine="0" w:firstLineChars="0"/>
              <w:jc w:val="center"/>
              <w:rPr>
                <w:color w:val="auto"/>
                <w:sz w:val="21"/>
                <w:szCs w:val="21"/>
              </w:rPr>
            </w:pPr>
            <w:r>
              <w:rPr>
                <w:rFonts w:hint="eastAsia"/>
                <w:color w:val="auto"/>
                <w:sz w:val="21"/>
                <w:szCs w:val="21"/>
              </w:rPr>
              <w:t>583.2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57" w:type="dxa"/>
            <w:left w:w="108" w:type="dxa"/>
            <w:bottom w:w="57" w:type="dxa"/>
            <w:right w:w="108" w:type="dxa"/>
          </w:tblCellMar>
        </w:tblPrEx>
        <w:trPr>
          <w:trHeight w:val="90" w:hRule="atLeast"/>
        </w:trPr>
        <w:tc>
          <w:tcPr>
            <w:tcW w:w="550" w:type="pct"/>
            <w:vMerge w:val="continue"/>
            <w:vAlign w:val="center"/>
          </w:tcPr>
          <w:p>
            <w:pPr>
              <w:spacing w:line="240" w:lineRule="auto"/>
              <w:ind w:firstLine="0" w:firstLineChars="0"/>
              <w:jc w:val="center"/>
              <w:rPr>
                <w:color w:val="auto"/>
                <w:sz w:val="21"/>
                <w:szCs w:val="21"/>
              </w:rPr>
            </w:pPr>
          </w:p>
        </w:tc>
        <w:tc>
          <w:tcPr>
            <w:tcW w:w="1794" w:type="pct"/>
            <w:vAlign w:val="center"/>
          </w:tcPr>
          <w:p>
            <w:pPr>
              <w:spacing w:line="240" w:lineRule="auto"/>
              <w:ind w:firstLine="0" w:firstLineChars="0"/>
              <w:jc w:val="center"/>
              <w:rPr>
                <w:color w:val="auto"/>
                <w:sz w:val="21"/>
                <w:szCs w:val="21"/>
              </w:rPr>
            </w:pPr>
            <w:r>
              <w:rPr>
                <w:color w:val="auto"/>
                <w:sz w:val="21"/>
                <w:szCs w:val="21"/>
              </w:rPr>
              <w:t>合计</w:t>
            </w:r>
          </w:p>
        </w:tc>
        <w:tc>
          <w:tcPr>
            <w:tcW w:w="2038" w:type="dxa"/>
            <w:vAlign w:val="center"/>
          </w:tcPr>
          <w:p>
            <w:pPr>
              <w:spacing w:line="240" w:lineRule="auto"/>
              <w:ind w:firstLine="0" w:firstLineChars="0"/>
              <w:jc w:val="center"/>
              <w:rPr>
                <w:color w:val="auto"/>
                <w:sz w:val="21"/>
                <w:szCs w:val="21"/>
              </w:rPr>
            </w:pPr>
            <w:r>
              <w:rPr>
                <w:rFonts w:hint="eastAsia"/>
                <w:color w:val="auto"/>
                <w:sz w:val="21"/>
                <w:szCs w:val="21"/>
              </w:rPr>
              <w:t>35534.1</w:t>
            </w:r>
          </w:p>
        </w:tc>
        <w:tc>
          <w:tcPr>
            <w:tcW w:w="2712" w:type="dxa"/>
            <w:vAlign w:val="center"/>
          </w:tcPr>
          <w:p>
            <w:pPr>
              <w:spacing w:line="240" w:lineRule="auto"/>
              <w:ind w:firstLine="0" w:firstLineChars="0"/>
              <w:jc w:val="center"/>
              <w:rPr>
                <w:color w:val="auto"/>
                <w:sz w:val="21"/>
                <w:szCs w:val="21"/>
              </w:rPr>
            </w:pPr>
            <w:r>
              <w:rPr>
                <w:rFonts w:hint="eastAsia"/>
                <w:color w:val="auto"/>
                <w:sz w:val="21"/>
                <w:szCs w:val="21"/>
              </w:rPr>
              <w:t>46098.38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57" w:type="dxa"/>
            <w:left w:w="108" w:type="dxa"/>
            <w:bottom w:w="57" w:type="dxa"/>
            <w:right w:w="108" w:type="dxa"/>
          </w:tblCellMar>
        </w:tblPrEx>
        <w:trPr>
          <w:trHeight w:val="28" w:hRule="atLeast"/>
        </w:trPr>
        <w:tc>
          <w:tcPr>
            <w:tcW w:w="550" w:type="pct"/>
            <w:vMerge w:val="restart"/>
            <w:vAlign w:val="center"/>
          </w:tcPr>
          <w:p>
            <w:pPr>
              <w:spacing w:line="240" w:lineRule="auto"/>
              <w:ind w:firstLine="0" w:firstLineChars="0"/>
              <w:jc w:val="center"/>
              <w:rPr>
                <w:color w:val="auto"/>
                <w:sz w:val="21"/>
                <w:szCs w:val="21"/>
              </w:rPr>
            </w:pPr>
            <w:r>
              <w:rPr>
                <w:color w:val="auto"/>
                <w:sz w:val="21"/>
                <w:szCs w:val="21"/>
              </w:rPr>
              <w:t>排水</w:t>
            </w:r>
          </w:p>
        </w:tc>
        <w:tc>
          <w:tcPr>
            <w:tcW w:w="1794" w:type="pct"/>
            <w:vAlign w:val="center"/>
          </w:tcPr>
          <w:p>
            <w:pPr>
              <w:spacing w:line="240" w:lineRule="auto"/>
              <w:ind w:firstLine="0" w:firstLineChars="0"/>
              <w:jc w:val="center"/>
              <w:rPr>
                <w:color w:val="auto"/>
                <w:sz w:val="21"/>
                <w:szCs w:val="21"/>
              </w:rPr>
            </w:pPr>
            <w:r>
              <w:rPr>
                <w:color w:val="auto"/>
                <w:sz w:val="21"/>
                <w:szCs w:val="21"/>
              </w:rPr>
              <w:t>猪尿</w:t>
            </w:r>
          </w:p>
        </w:tc>
        <w:tc>
          <w:tcPr>
            <w:tcW w:w="1139" w:type="pct"/>
            <w:vAlign w:val="center"/>
          </w:tcPr>
          <w:p>
            <w:pPr>
              <w:spacing w:line="240" w:lineRule="auto"/>
              <w:ind w:firstLine="0" w:firstLineChars="0"/>
              <w:jc w:val="center"/>
              <w:rPr>
                <w:color w:val="auto"/>
                <w:sz w:val="21"/>
                <w:szCs w:val="21"/>
              </w:rPr>
            </w:pPr>
            <w:r>
              <w:rPr>
                <w:rFonts w:hint="eastAsia"/>
                <w:color w:val="auto"/>
                <w:sz w:val="21"/>
                <w:szCs w:val="21"/>
              </w:rPr>
              <w:t>18634.28</w:t>
            </w:r>
          </w:p>
        </w:tc>
        <w:tc>
          <w:tcPr>
            <w:tcW w:w="1516" w:type="pct"/>
            <w:vAlign w:val="center"/>
          </w:tcPr>
          <w:p>
            <w:pPr>
              <w:spacing w:line="240" w:lineRule="auto"/>
              <w:ind w:firstLine="0" w:firstLineChars="0"/>
              <w:jc w:val="center"/>
              <w:rPr>
                <w:color w:val="auto"/>
                <w:sz w:val="21"/>
                <w:szCs w:val="21"/>
              </w:rPr>
            </w:pPr>
            <w:r>
              <w:rPr>
                <w:rFonts w:hint="eastAsia"/>
                <w:color w:val="auto"/>
                <w:sz w:val="21"/>
                <w:szCs w:val="21"/>
              </w:rPr>
              <w:t>22215.06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57" w:type="dxa"/>
            <w:left w:w="108" w:type="dxa"/>
            <w:bottom w:w="57" w:type="dxa"/>
            <w:right w:w="108" w:type="dxa"/>
          </w:tblCellMar>
        </w:tblPrEx>
        <w:trPr>
          <w:trHeight w:val="28" w:hRule="atLeast"/>
        </w:trPr>
        <w:tc>
          <w:tcPr>
            <w:tcW w:w="550" w:type="pct"/>
            <w:vMerge w:val="continue"/>
            <w:vAlign w:val="center"/>
          </w:tcPr>
          <w:p>
            <w:pPr>
              <w:spacing w:line="240" w:lineRule="auto"/>
              <w:ind w:firstLine="0" w:firstLineChars="0"/>
              <w:jc w:val="center"/>
              <w:rPr>
                <w:color w:val="auto"/>
                <w:sz w:val="21"/>
                <w:szCs w:val="21"/>
              </w:rPr>
            </w:pPr>
          </w:p>
        </w:tc>
        <w:tc>
          <w:tcPr>
            <w:tcW w:w="1794" w:type="pct"/>
            <w:vAlign w:val="center"/>
          </w:tcPr>
          <w:p>
            <w:pPr>
              <w:spacing w:line="240" w:lineRule="auto"/>
              <w:ind w:firstLine="0" w:firstLineChars="0"/>
              <w:jc w:val="center"/>
              <w:rPr>
                <w:color w:val="auto"/>
                <w:sz w:val="21"/>
                <w:szCs w:val="21"/>
              </w:rPr>
            </w:pPr>
            <w:r>
              <w:rPr>
                <w:color w:val="auto"/>
                <w:sz w:val="21"/>
                <w:szCs w:val="21"/>
              </w:rPr>
              <w:t>猪舍冲洗水</w:t>
            </w:r>
          </w:p>
        </w:tc>
        <w:tc>
          <w:tcPr>
            <w:tcW w:w="1139" w:type="pct"/>
            <w:vAlign w:val="center"/>
          </w:tcPr>
          <w:p>
            <w:pPr>
              <w:spacing w:line="240" w:lineRule="auto"/>
              <w:ind w:firstLine="0" w:firstLineChars="0"/>
              <w:jc w:val="center"/>
              <w:rPr>
                <w:color w:val="auto"/>
                <w:sz w:val="21"/>
                <w:szCs w:val="21"/>
              </w:rPr>
            </w:pPr>
            <w:r>
              <w:rPr>
                <w:rFonts w:hint="eastAsia"/>
                <w:color w:val="auto"/>
                <w:sz w:val="21"/>
                <w:szCs w:val="21"/>
              </w:rPr>
              <w:t>433.1</w:t>
            </w:r>
          </w:p>
        </w:tc>
        <w:tc>
          <w:tcPr>
            <w:tcW w:w="1516" w:type="pct"/>
            <w:vAlign w:val="center"/>
          </w:tcPr>
          <w:p>
            <w:pPr>
              <w:spacing w:line="240" w:lineRule="auto"/>
              <w:ind w:firstLine="0" w:firstLineChars="0"/>
              <w:jc w:val="center"/>
              <w:rPr>
                <w:color w:val="auto"/>
                <w:sz w:val="21"/>
                <w:szCs w:val="21"/>
              </w:rPr>
            </w:pPr>
            <w:r>
              <w:rPr>
                <w:rFonts w:hint="eastAsia"/>
                <w:color w:val="auto"/>
                <w:sz w:val="21"/>
                <w:szCs w:val="21"/>
              </w:rPr>
              <w:t>862.65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57" w:type="dxa"/>
            <w:left w:w="108" w:type="dxa"/>
            <w:bottom w:w="57" w:type="dxa"/>
            <w:right w:w="108" w:type="dxa"/>
          </w:tblCellMar>
        </w:tblPrEx>
        <w:trPr>
          <w:trHeight w:val="28" w:hRule="atLeast"/>
        </w:trPr>
        <w:tc>
          <w:tcPr>
            <w:tcW w:w="550" w:type="pct"/>
            <w:vMerge w:val="continue"/>
            <w:vAlign w:val="center"/>
          </w:tcPr>
          <w:p>
            <w:pPr>
              <w:spacing w:line="240" w:lineRule="auto"/>
              <w:ind w:firstLine="0" w:firstLineChars="0"/>
              <w:jc w:val="center"/>
              <w:rPr>
                <w:color w:val="auto"/>
                <w:sz w:val="21"/>
                <w:szCs w:val="21"/>
              </w:rPr>
            </w:pPr>
          </w:p>
        </w:tc>
        <w:tc>
          <w:tcPr>
            <w:tcW w:w="1794" w:type="pct"/>
            <w:vAlign w:val="center"/>
          </w:tcPr>
          <w:p>
            <w:pPr>
              <w:spacing w:line="240" w:lineRule="auto"/>
              <w:ind w:firstLine="0" w:firstLineChars="0"/>
              <w:jc w:val="center"/>
              <w:rPr>
                <w:color w:val="auto"/>
                <w:sz w:val="21"/>
                <w:szCs w:val="21"/>
              </w:rPr>
            </w:pPr>
            <w:r>
              <w:rPr>
                <w:bCs/>
                <w:color w:val="auto"/>
                <w:sz w:val="21"/>
                <w:szCs w:val="21"/>
              </w:rPr>
              <w:t>病死猪高温</w:t>
            </w:r>
            <w:r>
              <w:rPr>
                <w:rFonts w:hint="eastAsia"/>
                <w:bCs/>
                <w:color w:val="auto"/>
                <w:sz w:val="21"/>
                <w:szCs w:val="21"/>
              </w:rPr>
              <w:t>化制</w:t>
            </w:r>
            <w:r>
              <w:rPr>
                <w:bCs/>
                <w:color w:val="auto"/>
                <w:sz w:val="21"/>
                <w:szCs w:val="21"/>
              </w:rPr>
              <w:t>机</w:t>
            </w:r>
            <w:r>
              <w:rPr>
                <w:color w:val="auto"/>
                <w:sz w:val="21"/>
                <w:szCs w:val="21"/>
              </w:rPr>
              <w:t>废水</w:t>
            </w:r>
          </w:p>
        </w:tc>
        <w:tc>
          <w:tcPr>
            <w:tcW w:w="1139" w:type="pct"/>
            <w:vAlign w:val="center"/>
          </w:tcPr>
          <w:p>
            <w:pPr>
              <w:spacing w:line="240" w:lineRule="auto"/>
              <w:ind w:firstLine="0" w:firstLineChars="0"/>
              <w:jc w:val="center"/>
              <w:rPr>
                <w:color w:val="auto"/>
                <w:sz w:val="21"/>
                <w:szCs w:val="21"/>
              </w:rPr>
            </w:pPr>
            <w:r>
              <w:rPr>
                <w:rFonts w:hint="eastAsia"/>
                <w:color w:val="auto"/>
                <w:sz w:val="21"/>
                <w:szCs w:val="21"/>
              </w:rPr>
              <w:t>0.854</w:t>
            </w:r>
          </w:p>
        </w:tc>
        <w:tc>
          <w:tcPr>
            <w:tcW w:w="1516" w:type="pct"/>
            <w:vAlign w:val="center"/>
          </w:tcPr>
          <w:p>
            <w:pPr>
              <w:spacing w:line="240" w:lineRule="auto"/>
              <w:ind w:firstLine="0" w:firstLineChars="0"/>
              <w:jc w:val="center"/>
              <w:rPr>
                <w:color w:val="auto"/>
                <w:sz w:val="21"/>
                <w:szCs w:val="21"/>
              </w:rPr>
            </w:pPr>
            <w:r>
              <w:rPr>
                <w:rFonts w:hint="eastAsia"/>
                <w:color w:val="auto"/>
                <w:sz w:val="21"/>
                <w:szCs w:val="21"/>
              </w:rPr>
              <w:t>1.701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57" w:type="dxa"/>
            <w:left w:w="108" w:type="dxa"/>
            <w:bottom w:w="57" w:type="dxa"/>
            <w:right w:w="108" w:type="dxa"/>
          </w:tblCellMar>
        </w:tblPrEx>
        <w:trPr>
          <w:trHeight w:val="182" w:hRule="atLeast"/>
        </w:trPr>
        <w:tc>
          <w:tcPr>
            <w:tcW w:w="550" w:type="pct"/>
            <w:vMerge w:val="continue"/>
            <w:vAlign w:val="center"/>
          </w:tcPr>
          <w:p>
            <w:pPr>
              <w:spacing w:line="240" w:lineRule="auto"/>
              <w:ind w:firstLine="0" w:firstLineChars="0"/>
              <w:jc w:val="center"/>
              <w:rPr>
                <w:color w:val="auto"/>
                <w:sz w:val="21"/>
                <w:szCs w:val="21"/>
              </w:rPr>
            </w:pPr>
          </w:p>
        </w:tc>
        <w:tc>
          <w:tcPr>
            <w:tcW w:w="1794" w:type="pct"/>
            <w:vAlign w:val="center"/>
          </w:tcPr>
          <w:p>
            <w:pPr>
              <w:spacing w:line="240" w:lineRule="auto"/>
              <w:ind w:firstLine="0" w:firstLineChars="0"/>
              <w:jc w:val="center"/>
              <w:rPr>
                <w:color w:val="auto"/>
                <w:sz w:val="21"/>
                <w:szCs w:val="21"/>
              </w:rPr>
            </w:pPr>
            <w:r>
              <w:rPr>
                <w:color w:val="auto"/>
                <w:sz w:val="21"/>
                <w:szCs w:val="21"/>
              </w:rPr>
              <w:t>生活污水</w:t>
            </w:r>
          </w:p>
        </w:tc>
        <w:tc>
          <w:tcPr>
            <w:tcW w:w="1139" w:type="pct"/>
            <w:vAlign w:val="center"/>
          </w:tcPr>
          <w:p>
            <w:pPr>
              <w:spacing w:line="240" w:lineRule="auto"/>
              <w:ind w:firstLine="0" w:firstLineChars="0"/>
              <w:jc w:val="center"/>
              <w:rPr>
                <w:color w:val="auto"/>
                <w:sz w:val="21"/>
                <w:szCs w:val="21"/>
              </w:rPr>
            </w:pPr>
            <w:r>
              <w:rPr>
                <w:rFonts w:hint="eastAsia"/>
                <w:color w:val="auto"/>
                <w:sz w:val="21"/>
                <w:szCs w:val="21"/>
              </w:rPr>
              <w:t>409.92</w:t>
            </w:r>
          </w:p>
        </w:tc>
        <w:tc>
          <w:tcPr>
            <w:tcW w:w="1516" w:type="pct"/>
            <w:vAlign w:val="center"/>
          </w:tcPr>
          <w:p>
            <w:pPr>
              <w:spacing w:line="240" w:lineRule="auto"/>
              <w:ind w:firstLine="0" w:firstLineChars="0"/>
              <w:jc w:val="center"/>
              <w:rPr>
                <w:color w:val="auto"/>
                <w:sz w:val="21"/>
                <w:szCs w:val="21"/>
              </w:rPr>
            </w:pPr>
            <w:r>
              <w:rPr>
                <w:rFonts w:hint="eastAsia"/>
                <w:color w:val="auto"/>
                <w:sz w:val="21"/>
                <w:szCs w:val="21"/>
              </w:rPr>
              <w:t>816.48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57" w:type="dxa"/>
            <w:left w:w="108" w:type="dxa"/>
            <w:bottom w:w="57" w:type="dxa"/>
            <w:right w:w="108" w:type="dxa"/>
          </w:tblCellMar>
        </w:tblPrEx>
        <w:trPr>
          <w:trHeight w:val="90" w:hRule="atLeast"/>
        </w:trPr>
        <w:tc>
          <w:tcPr>
            <w:tcW w:w="550" w:type="pct"/>
            <w:vMerge w:val="continue"/>
            <w:vAlign w:val="center"/>
          </w:tcPr>
          <w:p>
            <w:pPr>
              <w:spacing w:line="240" w:lineRule="auto"/>
              <w:ind w:firstLine="0" w:firstLineChars="0"/>
              <w:jc w:val="center"/>
              <w:rPr>
                <w:color w:val="auto"/>
                <w:sz w:val="21"/>
                <w:szCs w:val="21"/>
              </w:rPr>
            </w:pPr>
          </w:p>
        </w:tc>
        <w:tc>
          <w:tcPr>
            <w:tcW w:w="1794" w:type="pct"/>
            <w:vAlign w:val="center"/>
          </w:tcPr>
          <w:p>
            <w:pPr>
              <w:spacing w:line="240" w:lineRule="auto"/>
              <w:ind w:firstLine="0" w:firstLineChars="0"/>
              <w:jc w:val="center"/>
              <w:rPr>
                <w:color w:val="auto"/>
                <w:sz w:val="21"/>
                <w:szCs w:val="21"/>
              </w:rPr>
            </w:pPr>
            <w:r>
              <w:rPr>
                <w:rFonts w:hint="eastAsia"/>
                <w:color w:val="auto"/>
                <w:sz w:val="21"/>
                <w:szCs w:val="21"/>
              </w:rPr>
              <w:t>猪粪含水</w:t>
            </w:r>
          </w:p>
        </w:tc>
        <w:tc>
          <w:tcPr>
            <w:tcW w:w="1139" w:type="pct"/>
            <w:vAlign w:val="center"/>
          </w:tcPr>
          <w:p>
            <w:pPr>
              <w:spacing w:line="240" w:lineRule="auto"/>
              <w:ind w:firstLine="0" w:firstLineChars="0"/>
              <w:jc w:val="center"/>
              <w:rPr>
                <w:color w:val="auto"/>
                <w:sz w:val="21"/>
                <w:szCs w:val="21"/>
              </w:rPr>
            </w:pPr>
            <w:r>
              <w:rPr>
                <w:rFonts w:hint="eastAsia"/>
                <w:color w:val="auto"/>
                <w:sz w:val="21"/>
                <w:szCs w:val="21"/>
              </w:rPr>
              <w:t>1124.108</w:t>
            </w:r>
          </w:p>
        </w:tc>
        <w:tc>
          <w:tcPr>
            <w:tcW w:w="1516" w:type="pct"/>
            <w:vAlign w:val="center"/>
          </w:tcPr>
          <w:p>
            <w:pPr>
              <w:spacing w:line="240" w:lineRule="auto"/>
              <w:ind w:firstLine="0" w:firstLineChars="0"/>
              <w:jc w:val="center"/>
              <w:rPr>
                <w:color w:val="auto"/>
                <w:sz w:val="21"/>
                <w:szCs w:val="21"/>
              </w:rPr>
            </w:pPr>
            <w:r>
              <w:rPr>
                <w:rFonts w:hint="eastAsia"/>
                <w:color w:val="auto"/>
                <w:sz w:val="21"/>
                <w:szCs w:val="21"/>
              </w:rPr>
              <w:t>2239.002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57" w:type="dxa"/>
            <w:left w:w="108" w:type="dxa"/>
            <w:bottom w:w="57" w:type="dxa"/>
            <w:right w:w="108" w:type="dxa"/>
          </w:tblCellMar>
        </w:tblPrEx>
        <w:trPr>
          <w:trHeight w:val="164" w:hRule="atLeast"/>
        </w:trPr>
        <w:tc>
          <w:tcPr>
            <w:tcW w:w="550" w:type="pct"/>
            <w:vMerge w:val="continue"/>
            <w:vAlign w:val="center"/>
          </w:tcPr>
          <w:p>
            <w:pPr>
              <w:spacing w:line="240" w:lineRule="auto"/>
              <w:ind w:firstLine="0" w:firstLineChars="0"/>
              <w:jc w:val="center"/>
              <w:rPr>
                <w:color w:val="auto"/>
                <w:sz w:val="21"/>
                <w:szCs w:val="21"/>
              </w:rPr>
            </w:pPr>
          </w:p>
        </w:tc>
        <w:tc>
          <w:tcPr>
            <w:tcW w:w="1794" w:type="pct"/>
            <w:vAlign w:val="center"/>
          </w:tcPr>
          <w:p>
            <w:pPr>
              <w:spacing w:line="240" w:lineRule="auto"/>
              <w:ind w:firstLine="0" w:firstLineChars="0"/>
              <w:jc w:val="center"/>
              <w:rPr>
                <w:color w:val="auto"/>
                <w:sz w:val="21"/>
                <w:szCs w:val="21"/>
              </w:rPr>
            </w:pPr>
            <w:r>
              <w:rPr>
                <w:rFonts w:hint="eastAsia"/>
                <w:color w:val="auto"/>
                <w:sz w:val="21"/>
                <w:szCs w:val="21"/>
              </w:rPr>
              <w:t>除臭装置喷淋排水</w:t>
            </w:r>
          </w:p>
        </w:tc>
        <w:tc>
          <w:tcPr>
            <w:tcW w:w="1139" w:type="pct"/>
            <w:vAlign w:val="center"/>
          </w:tcPr>
          <w:p>
            <w:pPr>
              <w:spacing w:line="240" w:lineRule="auto"/>
              <w:ind w:firstLine="0" w:firstLineChars="0"/>
              <w:jc w:val="center"/>
              <w:rPr>
                <w:color w:val="auto"/>
                <w:sz w:val="21"/>
                <w:szCs w:val="21"/>
              </w:rPr>
            </w:pPr>
            <w:r>
              <w:rPr>
                <w:rFonts w:hint="eastAsia"/>
                <w:color w:val="auto"/>
                <w:sz w:val="21"/>
                <w:szCs w:val="21"/>
              </w:rPr>
              <w:t>61</w:t>
            </w:r>
          </w:p>
        </w:tc>
        <w:tc>
          <w:tcPr>
            <w:tcW w:w="1516" w:type="pct"/>
            <w:vAlign w:val="center"/>
          </w:tcPr>
          <w:p>
            <w:pPr>
              <w:spacing w:line="240" w:lineRule="auto"/>
              <w:ind w:firstLine="0" w:firstLineChars="0"/>
              <w:jc w:val="center"/>
              <w:rPr>
                <w:color w:val="auto"/>
                <w:sz w:val="21"/>
                <w:szCs w:val="21"/>
              </w:rPr>
            </w:pPr>
            <w:r>
              <w:rPr>
                <w:rFonts w:hint="eastAsia"/>
                <w:color w:val="auto"/>
                <w:sz w:val="21"/>
                <w:szCs w:val="21"/>
              </w:rPr>
              <w:t>121.5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57" w:type="dxa"/>
            <w:left w:w="108" w:type="dxa"/>
            <w:bottom w:w="57" w:type="dxa"/>
            <w:right w:w="108" w:type="dxa"/>
          </w:tblCellMar>
        </w:tblPrEx>
        <w:trPr>
          <w:trHeight w:val="28" w:hRule="atLeast"/>
        </w:trPr>
        <w:tc>
          <w:tcPr>
            <w:tcW w:w="550" w:type="pct"/>
            <w:vMerge w:val="continue"/>
            <w:vAlign w:val="center"/>
          </w:tcPr>
          <w:p>
            <w:pPr>
              <w:spacing w:line="240" w:lineRule="auto"/>
              <w:ind w:firstLine="0" w:firstLineChars="0"/>
              <w:jc w:val="center"/>
              <w:rPr>
                <w:color w:val="auto"/>
                <w:sz w:val="21"/>
                <w:szCs w:val="21"/>
              </w:rPr>
            </w:pPr>
          </w:p>
        </w:tc>
        <w:tc>
          <w:tcPr>
            <w:tcW w:w="1794" w:type="pct"/>
            <w:vAlign w:val="center"/>
          </w:tcPr>
          <w:p>
            <w:pPr>
              <w:spacing w:line="240" w:lineRule="auto"/>
              <w:ind w:firstLine="0" w:firstLineChars="0"/>
              <w:jc w:val="center"/>
              <w:rPr>
                <w:color w:val="auto"/>
                <w:sz w:val="21"/>
                <w:szCs w:val="21"/>
              </w:rPr>
            </w:pPr>
            <w:r>
              <w:rPr>
                <w:rFonts w:hint="eastAsia"/>
                <w:color w:val="auto"/>
                <w:sz w:val="21"/>
                <w:szCs w:val="21"/>
              </w:rPr>
              <w:t>合计</w:t>
            </w:r>
          </w:p>
        </w:tc>
        <w:tc>
          <w:tcPr>
            <w:tcW w:w="2038" w:type="dxa"/>
            <w:vAlign w:val="center"/>
          </w:tcPr>
          <w:p>
            <w:pPr>
              <w:spacing w:line="240" w:lineRule="auto"/>
              <w:ind w:firstLine="0" w:firstLineChars="0"/>
              <w:jc w:val="center"/>
              <w:rPr>
                <w:color w:val="auto"/>
                <w:sz w:val="21"/>
                <w:szCs w:val="21"/>
              </w:rPr>
            </w:pPr>
            <w:r>
              <w:rPr>
                <w:rFonts w:hint="eastAsia"/>
                <w:color w:val="auto"/>
                <w:sz w:val="21"/>
                <w:szCs w:val="21"/>
              </w:rPr>
              <w:t>20663.262</w:t>
            </w:r>
          </w:p>
        </w:tc>
        <w:tc>
          <w:tcPr>
            <w:tcW w:w="2712" w:type="dxa"/>
            <w:vAlign w:val="center"/>
          </w:tcPr>
          <w:p>
            <w:pPr>
              <w:spacing w:line="240" w:lineRule="auto"/>
              <w:ind w:firstLine="0" w:firstLineChars="0"/>
              <w:jc w:val="center"/>
              <w:rPr>
                <w:color w:val="auto"/>
                <w:sz w:val="21"/>
                <w:szCs w:val="21"/>
              </w:rPr>
            </w:pPr>
            <w:r>
              <w:rPr>
                <w:rFonts w:hint="eastAsia"/>
                <w:color w:val="auto"/>
                <w:sz w:val="21"/>
                <w:szCs w:val="21"/>
              </w:rPr>
              <w:t>26256.393</w:t>
            </w:r>
          </w:p>
        </w:tc>
      </w:tr>
    </w:tbl>
    <w:p>
      <w:pPr>
        <w:pStyle w:val="39"/>
        <w:ind w:firstLine="480"/>
        <w:rPr>
          <w:color w:val="auto"/>
        </w:rPr>
      </w:pPr>
      <w:r>
        <w:rPr>
          <w:color w:val="auto"/>
        </w:rPr>
        <w:t>3.1.6.3本项目水平衡图</w:t>
      </w:r>
    </w:p>
    <w:p>
      <w:pPr>
        <w:ind w:firstLine="480"/>
        <w:rPr>
          <w:color w:val="auto"/>
        </w:rPr>
        <w:sectPr>
          <w:headerReference r:id="rId8" w:type="default"/>
          <w:pgSz w:w="11906" w:h="16838"/>
          <w:pgMar w:top="1587" w:right="1587" w:bottom="1587" w:left="1587" w:header="851" w:footer="992" w:gutter="0"/>
          <w:cols w:space="720" w:num="1"/>
          <w:docGrid w:linePitch="312" w:charSpace="0"/>
        </w:sectPr>
      </w:pPr>
      <w:r>
        <w:rPr>
          <w:color w:val="auto"/>
        </w:rPr>
        <w:t>本项目夏季、其他季节水平衡情况见图3-1、3-2。</w:t>
      </w:r>
    </w:p>
    <w:p>
      <w:pPr>
        <w:ind w:firstLine="480"/>
        <w:rPr>
          <w:color w:val="auto"/>
        </w:rPr>
      </w:pPr>
    </w:p>
    <w:p>
      <w:pPr>
        <w:ind w:firstLine="0" w:firstLineChars="0"/>
        <w:rPr>
          <w:color w:val="auto"/>
        </w:rPr>
      </w:pPr>
      <w:r>
        <w:rPr>
          <w:color w:val="auto"/>
        </w:rPr>
        <w:drawing>
          <wp:anchor distT="0" distB="0" distL="114300" distR="114300" simplePos="0" relativeHeight="251649024" behindDoc="0" locked="0" layoutInCell="1" allowOverlap="1">
            <wp:simplePos x="0" y="0"/>
            <wp:positionH relativeFrom="column">
              <wp:posOffset>6286500</wp:posOffset>
            </wp:positionH>
            <wp:positionV relativeFrom="paragraph">
              <wp:posOffset>4000500</wp:posOffset>
            </wp:positionV>
            <wp:extent cx="714375" cy="400050"/>
            <wp:effectExtent l="0" t="0" r="9525" b="0"/>
            <wp:wrapNone/>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32"/>
                    <a:stretch>
                      <a:fillRect/>
                    </a:stretch>
                  </pic:blipFill>
                  <pic:spPr>
                    <a:xfrm>
                      <a:off x="0" y="0"/>
                      <a:ext cx="714375" cy="400050"/>
                    </a:xfrm>
                    <a:prstGeom prst="rect">
                      <a:avLst/>
                    </a:prstGeom>
                    <a:noFill/>
                    <a:ln>
                      <a:noFill/>
                    </a:ln>
                  </pic:spPr>
                </pic:pic>
              </a:graphicData>
            </a:graphic>
          </wp:anchor>
        </w:drawing>
      </w:r>
      <w:r>
        <w:rPr>
          <w:color w:val="auto"/>
        </w:rPr>
        <w:drawing>
          <wp:inline distT="0" distB="0" distL="114300" distR="114300">
            <wp:extent cx="8674100" cy="4993640"/>
            <wp:effectExtent l="0" t="0" r="12700" b="16510"/>
            <wp:docPr id="2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
                    <pic:cNvPicPr>
                      <a:picLocks noChangeAspect="1"/>
                    </pic:cNvPicPr>
                  </pic:nvPicPr>
                  <pic:blipFill>
                    <a:blip r:embed="rId33"/>
                    <a:stretch>
                      <a:fillRect/>
                    </a:stretch>
                  </pic:blipFill>
                  <pic:spPr>
                    <a:xfrm>
                      <a:off x="0" y="0"/>
                      <a:ext cx="8674100" cy="4993640"/>
                    </a:xfrm>
                    <a:prstGeom prst="rect">
                      <a:avLst/>
                    </a:prstGeom>
                    <a:noFill/>
                    <a:ln>
                      <a:noFill/>
                    </a:ln>
                  </pic:spPr>
                </pic:pic>
              </a:graphicData>
            </a:graphic>
          </wp:inline>
        </w:drawing>
      </w:r>
    </w:p>
    <w:p>
      <w:pPr>
        <w:kinsoku w:val="0"/>
        <w:overflowPunct w:val="0"/>
        <w:spacing w:line="500" w:lineRule="exact"/>
        <w:ind w:firstLine="482"/>
        <w:jc w:val="center"/>
        <w:rPr>
          <w:b/>
          <w:color w:val="auto"/>
        </w:rPr>
      </w:pPr>
    </w:p>
    <w:p>
      <w:pPr>
        <w:ind w:firstLine="0" w:firstLineChars="0"/>
        <w:rPr>
          <w:color w:val="auto"/>
        </w:rPr>
      </w:pPr>
      <w:r>
        <w:rPr>
          <w:color w:val="auto"/>
        </w:rPr>
        <w:drawing>
          <wp:anchor distT="0" distB="0" distL="114300" distR="114300" simplePos="0" relativeHeight="251650048" behindDoc="0" locked="0" layoutInCell="1" allowOverlap="1">
            <wp:simplePos x="0" y="0"/>
            <wp:positionH relativeFrom="column">
              <wp:posOffset>6286500</wp:posOffset>
            </wp:positionH>
            <wp:positionV relativeFrom="paragraph">
              <wp:posOffset>3935730</wp:posOffset>
            </wp:positionV>
            <wp:extent cx="714375" cy="400050"/>
            <wp:effectExtent l="0" t="0" r="9525" b="0"/>
            <wp:wrapNone/>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pic:cNvPicPr>
                  </pic:nvPicPr>
                  <pic:blipFill>
                    <a:blip r:embed="rId32"/>
                    <a:stretch>
                      <a:fillRect/>
                    </a:stretch>
                  </pic:blipFill>
                  <pic:spPr>
                    <a:xfrm>
                      <a:off x="0" y="0"/>
                      <a:ext cx="714375" cy="400050"/>
                    </a:xfrm>
                    <a:prstGeom prst="rect">
                      <a:avLst/>
                    </a:prstGeom>
                    <a:noFill/>
                    <a:ln>
                      <a:noFill/>
                    </a:ln>
                  </pic:spPr>
                </pic:pic>
              </a:graphicData>
            </a:graphic>
          </wp:anchor>
        </w:drawing>
      </w:r>
      <w:r>
        <w:rPr>
          <w:color w:val="auto"/>
        </w:rPr>
        <w:drawing>
          <wp:inline distT="0" distB="0" distL="114300" distR="114300">
            <wp:extent cx="8666480" cy="4952365"/>
            <wp:effectExtent l="0" t="0" r="1270" b="635"/>
            <wp:docPr id="2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
                    <pic:cNvPicPr>
                      <a:picLocks noChangeAspect="1"/>
                    </pic:cNvPicPr>
                  </pic:nvPicPr>
                  <pic:blipFill>
                    <a:blip r:embed="rId34"/>
                    <a:stretch>
                      <a:fillRect/>
                    </a:stretch>
                  </pic:blipFill>
                  <pic:spPr>
                    <a:xfrm>
                      <a:off x="0" y="0"/>
                      <a:ext cx="8666480" cy="4952365"/>
                    </a:xfrm>
                    <a:prstGeom prst="rect">
                      <a:avLst/>
                    </a:prstGeom>
                    <a:noFill/>
                    <a:ln>
                      <a:noFill/>
                    </a:ln>
                  </pic:spPr>
                </pic:pic>
              </a:graphicData>
            </a:graphic>
          </wp:inline>
        </w:drawing>
      </w:r>
    </w:p>
    <w:p>
      <w:pPr>
        <w:kinsoku w:val="0"/>
        <w:overflowPunct w:val="0"/>
        <w:spacing w:line="500" w:lineRule="exact"/>
        <w:ind w:firstLine="482"/>
        <w:jc w:val="center"/>
        <w:rPr>
          <w:rFonts w:eastAsia="黑体"/>
          <w:b/>
          <w:bCs/>
          <w:color w:val="auto"/>
          <w:u w:val="single"/>
        </w:rPr>
        <w:sectPr>
          <w:headerReference r:id="rId9" w:type="default"/>
          <w:pgSz w:w="16838" w:h="11906" w:orient="landscape"/>
          <w:pgMar w:top="1587" w:right="1587" w:bottom="1587" w:left="1587" w:header="851" w:footer="992" w:gutter="0"/>
          <w:cols w:space="720" w:num="1"/>
          <w:docGrid w:linePitch="312" w:charSpace="0"/>
        </w:sectPr>
      </w:pPr>
    </w:p>
    <w:p>
      <w:pPr>
        <w:pStyle w:val="39"/>
        <w:ind w:firstLine="480"/>
        <w:rPr>
          <w:color w:val="auto"/>
        </w:rPr>
      </w:pPr>
      <w:r>
        <w:rPr>
          <w:color w:val="auto"/>
        </w:rPr>
        <w:t>3.1.6.4供配电情况</w:t>
      </w:r>
    </w:p>
    <w:p>
      <w:pPr>
        <w:ind w:firstLine="480"/>
        <w:rPr>
          <w:color w:val="auto"/>
        </w:rPr>
      </w:pPr>
      <w:r>
        <w:rPr>
          <w:color w:val="auto"/>
        </w:rPr>
        <w:t>根据建设单位提供的资料，项目年用电量为</w:t>
      </w:r>
      <w:r>
        <w:rPr>
          <w:rFonts w:hint="eastAsia"/>
          <w:color w:val="auto"/>
        </w:rPr>
        <w:t>50</w:t>
      </w:r>
      <w:r>
        <w:rPr>
          <w:color w:val="auto"/>
        </w:rPr>
        <w:t>万kWh。项目用电由</w:t>
      </w:r>
      <w:r>
        <w:rPr>
          <w:rFonts w:hint="eastAsia"/>
          <w:color w:val="auto"/>
        </w:rPr>
        <w:t>濮阳县五星乡</w:t>
      </w:r>
      <w:r>
        <w:rPr>
          <w:color w:val="auto"/>
        </w:rPr>
        <w:t>供电所供应。</w:t>
      </w:r>
    </w:p>
    <w:p>
      <w:pPr>
        <w:ind w:firstLine="480"/>
        <w:outlineLvl w:val="3"/>
        <w:rPr>
          <w:color w:val="auto"/>
        </w:rPr>
      </w:pPr>
      <w:r>
        <w:rPr>
          <w:color w:val="auto"/>
        </w:rPr>
        <w:t>3.1.6.5项目取暖情况</w:t>
      </w:r>
    </w:p>
    <w:bookmarkEnd w:id="257"/>
    <w:p>
      <w:pPr>
        <w:ind w:firstLine="480"/>
        <w:rPr>
          <w:color w:val="auto"/>
        </w:rPr>
      </w:pPr>
      <w:bookmarkStart w:id="271" w:name="_Toc311979921"/>
      <w:bookmarkStart w:id="272" w:name="_Toc252554427"/>
      <w:bookmarkStart w:id="273" w:name="_Toc237749129"/>
      <w:bookmarkStart w:id="274" w:name="_Toc252554300"/>
      <w:bookmarkStart w:id="275" w:name="_Toc253231259"/>
      <w:bookmarkStart w:id="276" w:name="_Toc311979807"/>
      <w:bookmarkStart w:id="277" w:name="_Toc239913682"/>
      <w:bookmarkStart w:id="278" w:name="_Toc238894178"/>
      <w:bookmarkStart w:id="279" w:name="_Toc311979853"/>
      <w:bookmarkStart w:id="280" w:name="_Toc252632548"/>
      <w:bookmarkStart w:id="281" w:name="_Toc238488157"/>
      <w:bookmarkStart w:id="282" w:name="_Toc241388312"/>
      <w:bookmarkStart w:id="283" w:name="_Toc269400670"/>
      <w:r>
        <w:rPr>
          <w:rFonts w:hint="eastAsia"/>
          <w:color w:val="auto"/>
        </w:rPr>
        <w:t>（1）猪舍外墙保温</w:t>
      </w:r>
    </w:p>
    <w:p>
      <w:pPr>
        <w:ind w:firstLine="480"/>
        <w:rPr>
          <w:color w:val="auto"/>
        </w:rPr>
      </w:pPr>
      <w:r>
        <w:rPr>
          <w:rFonts w:hint="eastAsia"/>
          <w:color w:val="auto"/>
        </w:rPr>
        <w:t>墙体由挤塑式聚苯乙烯隔热保温板（简称“挤塑板”）来切断单元内外热传递，该材料具有高热阻、低线性、膨胀比低的特点，其结构的闭孔率达到了99%以上，形成真空层，避免空气流动散热，确保其保温性能的持久和稳定。</w:t>
      </w:r>
    </w:p>
    <w:p>
      <w:pPr>
        <w:ind w:firstLine="480"/>
        <w:rPr>
          <w:color w:val="auto"/>
        </w:rPr>
      </w:pPr>
      <w:r>
        <w:rPr>
          <w:rFonts w:hint="eastAsia"/>
          <w:color w:val="auto"/>
        </w:rPr>
        <w:t>（2）通风热交换系统</w:t>
      </w:r>
    </w:p>
    <w:p>
      <w:pPr>
        <w:ind w:firstLine="480"/>
        <w:rPr>
          <w:color w:val="auto"/>
        </w:rPr>
      </w:pPr>
      <w:r>
        <w:rPr>
          <w:rFonts w:hint="eastAsia"/>
          <w:color w:val="auto"/>
        </w:rPr>
        <w:t>热交换系统主要原理：热交换通风系统主要包括进风管、布风管、排风道、变速风机等。其中布风管和进风管相联通安装于猪舍上部，中间为猪群生活的漏缝板，猪舍下部为封闭的排风道，变速风机位于猪舍另一侧排风道中间。当变速风机启动时，从封闭通道抽出猪舍内部污浊高温的空气，室外清新的冷空气经由进风道进入猪舍内。因进风管采用导热性能较好的材料制成，在冷空气进入猪舍内的过程中，可通过进风管壁与猪舍内空气进行充分的热交换，使进入猪舍的新鲜空气温度大大提高，避免了猪群在生长过程中的冷应激作用。</w:t>
      </w:r>
    </w:p>
    <w:p>
      <w:pPr>
        <w:ind w:firstLine="480"/>
        <w:rPr>
          <w:color w:val="auto"/>
        </w:rPr>
      </w:pPr>
      <w:r>
        <w:rPr>
          <w:rFonts w:hint="eastAsia"/>
          <w:color w:val="auto"/>
        </w:rPr>
        <w:t>在对猪舍内外空气进行交换的同时，也进行热量交换，猪舍在热交换的过程中，实施最小通风量，防止过度通风带来不必要的热量损失。运行时，新风从排风获得热量，温度升高，通过换热芯体的全热换热过程，让新风从排风中回收能量，保证在通风时也保持猪舍内部温度，既保证了猪群对新鲜空气的需要，又保证单元内有害气体不超标，同时满足了通风和稳定猪舍温度的需求，节约了能源消耗，降低了饲养成本</w:t>
      </w:r>
      <w:r>
        <w:rPr>
          <w:color w:val="auto"/>
        </w:rPr>
        <w:t>。</w:t>
      </w:r>
    </w:p>
    <w:p>
      <w:pPr>
        <w:ind w:firstLine="480"/>
        <w:outlineLvl w:val="3"/>
        <w:rPr>
          <w:color w:val="auto"/>
        </w:rPr>
      </w:pPr>
      <w:r>
        <w:rPr>
          <w:color w:val="auto"/>
        </w:rPr>
        <w:t>3.1.6.6降温</w:t>
      </w:r>
    </w:p>
    <w:p>
      <w:pPr>
        <w:pStyle w:val="37"/>
        <w:ind w:firstLine="480"/>
        <w:rPr>
          <w:color w:val="auto"/>
        </w:rPr>
      </w:pPr>
      <w:r>
        <w:rPr>
          <w:color w:val="auto"/>
        </w:rPr>
        <w:t>为了降低能耗，提高效率，项目猪舍除采用风机外，还采用</w:t>
      </w:r>
      <w:r>
        <w:rPr>
          <w:rFonts w:hint="eastAsia"/>
          <w:color w:val="auto"/>
        </w:rPr>
        <w:t>喷雾</w:t>
      </w:r>
      <w:r>
        <w:rPr>
          <w:color w:val="auto"/>
        </w:rPr>
        <w:t>降温，在专门的降温水管上装有喷头，水雾喷到猪群身上，通过猪舍内的风机作用，促进蒸发降温。降温通过电脑控制，室温高于30℃时，对猪舍进行</w:t>
      </w:r>
      <w:r>
        <w:rPr>
          <w:rFonts w:hint="eastAsia"/>
          <w:color w:val="auto"/>
        </w:rPr>
        <w:t>喷雾</w:t>
      </w:r>
      <w:r>
        <w:rPr>
          <w:color w:val="auto"/>
        </w:rPr>
        <w:t>降温。</w:t>
      </w:r>
    </w:p>
    <w:p>
      <w:pPr>
        <w:ind w:firstLine="480"/>
        <w:outlineLvl w:val="3"/>
        <w:rPr>
          <w:color w:val="auto"/>
        </w:rPr>
      </w:pPr>
      <w:r>
        <w:rPr>
          <w:color w:val="auto"/>
        </w:rPr>
        <w:t>3.1.6.7通排风情况</w:t>
      </w:r>
    </w:p>
    <w:p>
      <w:pPr>
        <w:pStyle w:val="37"/>
        <w:ind w:firstLine="480"/>
        <w:rPr>
          <w:color w:val="auto"/>
        </w:rPr>
      </w:pPr>
      <w:r>
        <w:rPr>
          <w:color w:val="auto"/>
        </w:rPr>
        <w:t>猪舍通风系统在猪舍屋顶中间部位设排空气口，排空气口上部具有可产生虹吸作用的出风管道，猪舍的两侧设有进风窗。在出风管道的自然虹吸下，猪舍内的热空气被抽吸出去，无需增加抽风装置，降低了运行成本，通风效果好，通过进风窗可控制对流的大小，操作方便。敞开的通风管可正常保持猪舍内的通风，圆形的排空气口设有排气扇，在夏天外界温度较高时，打开排风扇，可向外界抽风，从而保证猪舍内的通风。上进风窗位于猪床上部的墙壁上，从而保证猪床上部猪舍内的空气的对流，下进风窗设在猪床下部墙壁上，从而保证猪床下部猪舍内的空气的对流，及时将猪粪道内的有害气体排出。与现有技术相比，具有结构简单，通风效果好，运行成本低，操作方便的优点。</w:t>
      </w:r>
    </w:p>
    <w:p>
      <w:pPr>
        <w:pStyle w:val="36"/>
        <w:ind w:firstLine="480"/>
        <w:rPr>
          <w:color w:val="auto"/>
        </w:rPr>
      </w:pPr>
      <w:bookmarkStart w:id="284" w:name="_Toc468115359"/>
      <w:r>
        <w:rPr>
          <w:color w:val="auto"/>
        </w:rPr>
        <w:t>3.1.7 平面布置分析</w:t>
      </w:r>
      <w:bookmarkEnd w:id="284"/>
    </w:p>
    <w:bookmarkEnd w:id="271"/>
    <w:bookmarkEnd w:id="272"/>
    <w:bookmarkEnd w:id="273"/>
    <w:bookmarkEnd w:id="274"/>
    <w:bookmarkEnd w:id="275"/>
    <w:bookmarkEnd w:id="276"/>
    <w:bookmarkEnd w:id="277"/>
    <w:bookmarkEnd w:id="278"/>
    <w:bookmarkEnd w:id="279"/>
    <w:bookmarkEnd w:id="280"/>
    <w:bookmarkEnd w:id="281"/>
    <w:bookmarkEnd w:id="282"/>
    <w:bookmarkEnd w:id="283"/>
    <w:p>
      <w:pPr>
        <w:ind w:firstLine="480"/>
        <w:rPr>
          <w:b/>
          <w:bCs/>
          <w:color w:val="auto"/>
          <w:u w:val="single"/>
        </w:rPr>
      </w:pPr>
      <w:r>
        <w:rPr>
          <w:color w:val="auto"/>
        </w:rPr>
        <w:t>项目总占地</w:t>
      </w:r>
      <w:r>
        <w:rPr>
          <w:rFonts w:hint="eastAsia"/>
          <w:color w:val="auto"/>
        </w:rPr>
        <w:t>70.068</w:t>
      </w:r>
      <w:r>
        <w:rPr>
          <w:color w:val="auto"/>
        </w:rPr>
        <w:t>亩（约合</w:t>
      </w:r>
      <w:r>
        <w:rPr>
          <w:rFonts w:hint="eastAsia"/>
          <w:color w:val="auto"/>
        </w:rPr>
        <w:t>46712.233</w:t>
      </w:r>
      <w:r>
        <w:rPr>
          <w:color w:val="auto"/>
        </w:rPr>
        <w:t>m</w:t>
      </w:r>
      <w:r>
        <w:rPr>
          <w:color w:val="auto"/>
          <w:vertAlign w:val="superscript"/>
        </w:rPr>
        <w:t>2</w:t>
      </w:r>
      <w:r>
        <w:rPr>
          <w:color w:val="auto"/>
        </w:rPr>
        <w:t>），主要建设内容分为猪舍、治污区及办公生活区，</w:t>
      </w:r>
      <w:r>
        <w:rPr>
          <w:rFonts w:hint="eastAsia"/>
          <w:color w:val="auto"/>
        </w:rPr>
        <w:t>厂区</w:t>
      </w:r>
      <w:r>
        <w:rPr>
          <w:color w:val="auto"/>
        </w:rPr>
        <w:t>地形较为平坦。</w:t>
      </w:r>
    </w:p>
    <w:p>
      <w:pPr>
        <w:ind w:firstLine="480"/>
        <w:rPr>
          <w:color w:val="auto"/>
        </w:rPr>
      </w:pPr>
      <w:r>
        <w:rPr>
          <w:color w:val="auto"/>
        </w:rPr>
        <w:t>根据企业设计，考虑到周边地形、进出</w:t>
      </w:r>
      <w:r>
        <w:rPr>
          <w:rFonts w:hint="eastAsia"/>
          <w:color w:val="auto"/>
        </w:rPr>
        <w:t>厂区</w:t>
      </w:r>
      <w:r>
        <w:rPr>
          <w:color w:val="auto"/>
        </w:rPr>
        <w:t>道路问题，各区污染治理区道路单独设计，与生产生活区道路分开；为了防疫安全，进出污染治理区、生活区道路要尽可能避开生产区，</w:t>
      </w:r>
      <w:r>
        <w:rPr>
          <w:rFonts w:hint="eastAsia"/>
          <w:color w:val="auto"/>
        </w:rPr>
        <w:t>厂区</w:t>
      </w:r>
      <w:r>
        <w:rPr>
          <w:color w:val="auto"/>
        </w:rPr>
        <w:t>实行养殖区、办公区和沼气工程之间通过绿化带进行分离，办公区位于常年主导风向的侧风向。具体分布如下：</w:t>
      </w:r>
    </w:p>
    <w:p>
      <w:pPr>
        <w:ind w:firstLine="480"/>
        <w:rPr>
          <w:color w:val="auto"/>
        </w:rPr>
      </w:pPr>
      <w:r>
        <w:rPr>
          <w:color w:val="auto"/>
        </w:rPr>
        <w:t>（1）养殖区：根据养殖工艺需要，养殖区共布置</w:t>
      </w:r>
      <w:r>
        <w:rPr>
          <w:rFonts w:hint="eastAsia"/>
          <w:color w:val="auto"/>
        </w:rPr>
        <w:t>保育育肥一体</w:t>
      </w:r>
      <w:r>
        <w:rPr>
          <w:color w:val="auto"/>
        </w:rPr>
        <w:t>舍</w:t>
      </w:r>
      <w:r>
        <w:rPr>
          <w:rFonts w:hint="eastAsia"/>
          <w:color w:val="auto"/>
        </w:rPr>
        <w:t>32</w:t>
      </w:r>
      <w:r>
        <w:rPr>
          <w:color w:val="auto"/>
        </w:rPr>
        <w:t>栋</w:t>
      </w:r>
      <w:r>
        <w:rPr>
          <w:rFonts w:hint="eastAsia"/>
          <w:color w:val="auto"/>
        </w:rPr>
        <w:t>。</w:t>
      </w:r>
    </w:p>
    <w:p>
      <w:pPr>
        <w:ind w:firstLine="480"/>
        <w:rPr>
          <w:color w:val="auto"/>
        </w:rPr>
      </w:pPr>
      <w:r>
        <w:rPr>
          <w:color w:val="auto"/>
        </w:rPr>
        <w:t>（2）污水治理区：考虑到进出</w:t>
      </w:r>
      <w:r>
        <w:rPr>
          <w:rFonts w:hint="eastAsia"/>
          <w:color w:val="auto"/>
        </w:rPr>
        <w:t>厂区</w:t>
      </w:r>
      <w:r>
        <w:rPr>
          <w:color w:val="auto"/>
        </w:rPr>
        <w:t>道路及地势问题，为便于管理，黑膜沼气池位于</w:t>
      </w:r>
      <w:r>
        <w:rPr>
          <w:rFonts w:hint="eastAsia"/>
          <w:color w:val="auto"/>
        </w:rPr>
        <w:t>养殖区东侧</w:t>
      </w:r>
      <w:r>
        <w:rPr>
          <w:color w:val="auto"/>
        </w:rPr>
        <w:t>，各区的污水收集后进入黑膜沼气池生产沼气，黑膜沼气池通过绿化带与养殖区隔开；沼气工程为黑膜沼气池</w:t>
      </w:r>
      <w:r>
        <w:rPr>
          <w:rFonts w:hint="eastAsia"/>
          <w:color w:val="auto"/>
        </w:rPr>
        <w:t>兼做沼液储存池</w:t>
      </w:r>
      <w:r>
        <w:rPr>
          <w:color w:val="auto"/>
        </w:rPr>
        <w:t>。</w:t>
      </w:r>
    </w:p>
    <w:p>
      <w:pPr>
        <w:numPr>
          <w:ilvl w:val="0"/>
          <w:numId w:val="8"/>
        </w:numPr>
        <w:ind w:firstLine="352" w:firstLineChars="147"/>
        <w:rPr>
          <w:color w:val="auto"/>
        </w:rPr>
      </w:pPr>
      <w:r>
        <w:rPr>
          <w:color w:val="auto"/>
        </w:rPr>
        <w:t>办公生活区：占地较小，布置在</w:t>
      </w:r>
      <w:r>
        <w:rPr>
          <w:rFonts w:hint="eastAsia"/>
          <w:color w:val="auto"/>
        </w:rPr>
        <w:t>厂区东南侧</w:t>
      </w:r>
      <w:r>
        <w:rPr>
          <w:color w:val="auto"/>
        </w:rPr>
        <w:t>，与养殖区保持一定距离并通过绿化带隔开。</w:t>
      </w:r>
    </w:p>
    <w:p>
      <w:pPr>
        <w:numPr>
          <w:ilvl w:val="0"/>
          <w:numId w:val="8"/>
        </w:numPr>
        <w:ind w:firstLine="352" w:firstLineChars="147"/>
        <w:rPr>
          <w:color w:val="auto"/>
        </w:rPr>
      </w:pPr>
      <w:r>
        <w:rPr>
          <w:rFonts w:hint="eastAsia"/>
          <w:color w:val="auto"/>
        </w:rPr>
        <w:t>厂区</w:t>
      </w:r>
      <w:r>
        <w:rPr>
          <w:color w:val="auto"/>
        </w:rPr>
        <w:t>内道路规划：根据工艺需要，</w:t>
      </w:r>
      <w:r>
        <w:rPr>
          <w:rFonts w:hint="eastAsia"/>
          <w:color w:val="auto"/>
        </w:rPr>
        <w:t>厂区</w:t>
      </w:r>
      <w:r>
        <w:rPr>
          <w:color w:val="auto"/>
        </w:rPr>
        <w:t>内各功能区均设置物料运输道路，基本满足车间内人员流和货物流需要。为避免交叉影响，考虑到人员进出及物料输送方便，项目在各区养殖区以及办公生活区各设置进出口1个。</w:t>
      </w:r>
    </w:p>
    <w:p>
      <w:pPr>
        <w:pStyle w:val="37"/>
        <w:ind w:firstLine="480"/>
        <w:rPr>
          <w:snapToGrid w:val="0"/>
          <w:color w:val="auto"/>
          <w:kern w:val="0"/>
        </w:rPr>
      </w:pPr>
      <w:r>
        <w:rPr>
          <w:color w:val="auto"/>
        </w:rPr>
        <w:t>同时，</w:t>
      </w:r>
      <w:r>
        <w:rPr>
          <w:rFonts w:hint="eastAsia"/>
          <w:color w:val="auto"/>
        </w:rPr>
        <w:t>厂区</w:t>
      </w:r>
      <w:r>
        <w:rPr>
          <w:color w:val="auto"/>
        </w:rPr>
        <w:t>排水采用雨污分流制，雨水顺着</w:t>
      </w:r>
      <w:r>
        <w:rPr>
          <w:rFonts w:hint="eastAsia"/>
          <w:color w:val="auto"/>
        </w:rPr>
        <w:t>厂区</w:t>
      </w:r>
      <w:r>
        <w:rPr>
          <w:color w:val="auto"/>
        </w:rPr>
        <w:t>内雨水暗地沟明渠流至</w:t>
      </w:r>
      <w:r>
        <w:rPr>
          <w:rFonts w:hint="eastAsia"/>
          <w:color w:val="auto"/>
        </w:rPr>
        <w:t>厂区</w:t>
      </w:r>
      <w:r>
        <w:rPr>
          <w:color w:val="auto"/>
        </w:rPr>
        <w:t>外的农田；污水经管道排入沼气工程进行无害化处理。项目平面布置能满足</w:t>
      </w:r>
      <w:r>
        <w:rPr>
          <w:snapToGrid w:val="0"/>
          <w:color w:val="auto"/>
          <w:kern w:val="0"/>
        </w:rPr>
        <w:t>《</w:t>
      </w:r>
      <w:r>
        <w:rPr>
          <w:color w:val="auto"/>
          <w:kern w:val="0"/>
        </w:rPr>
        <w:t>畜禽养殖业污染防治技术规范</w:t>
      </w:r>
      <w:r>
        <w:rPr>
          <w:snapToGrid w:val="0"/>
          <w:color w:val="auto"/>
          <w:kern w:val="0"/>
        </w:rPr>
        <w:t>》（</w:t>
      </w:r>
      <w:r>
        <w:rPr>
          <w:color w:val="auto"/>
        </w:rPr>
        <w:t>HJ/T81-2001</w:t>
      </w:r>
      <w:r>
        <w:rPr>
          <w:snapToGrid w:val="0"/>
          <w:color w:val="auto"/>
          <w:kern w:val="0"/>
        </w:rPr>
        <w:t>）中的要求。</w:t>
      </w:r>
    </w:p>
    <w:p>
      <w:pPr>
        <w:pStyle w:val="36"/>
        <w:ind w:firstLine="0" w:firstLineChars="0"/>
        <w:rPr>
          <w:color w:val="auto"/>
        </w:rPr>
      </w:pPr>
      <w:r>
        <w:rPr>
          <w:color w:val="auto"/>
        </w:rPr>
        <w:t>3.1.8清洁生产水平分析</w:t>
      </w:r>
    </w:p>
    <w:p>
      <w:pPr>
        <w:pStyle w:val="37"/>
        <w:ind w:firstLine="0" w:firstLineChars="0"/>
        <w:rPr>
          <w:bCs/>
          <w:color w:val="auto"/>
        </w:rPr>
      </w:pPr>
      <w:bookmarkStart w:id="285" w:name="_Toc413677390"/>
      <w:bookmarkStart w:id="286" w:name="_Toc30624"/>
      <w:bookmarkStart w:id="287" w:name="_Toc468115439"/>
      <w:r>
        <w:rPr>
          <w:bCs/>
          <w:color w:val="auto"/>
        </w:rPr>
        <w:t>3.1.8.1清洁生产过程分析</w:t>
      </w:r>
      <w:bookmarkEnd w:id="285"/>
      <w:bookmarkEnd w:id="286"/>
      <w:bookmarkEnd w:id="287"/>
    </w:p>
    <w:p>
      <w:pPr>
        <w:pStyle w:val="37"/>
        <w:ind w:firstLine="480"/>
        <w:rPr>
          <w:bCs/>
          <w:color w:val="auto"/>
        </w:rPr>
      </w:pPr>
      <w:r>
        <w:rPr>
          <w:bCs/>
          <w:color w:val="auto"/>
        </w:rPr>
        <w:t>本项目清洁生产从生产工艺与装备要求、资源能源利用指标、产品指标、污染物产生指标、废物回收利用指标，以及环境管理六个方面着手分析，结合本项目特点，评价针对这几个方面对本工程清洁生产过程进行分析。</w:t>
      </w:r>
    </w:p>
    <w:p>
      <w:pPr>
        <w:pStyle w:val="37"/>
        <w:ind w:firstLine="480"/>
        <w:rPr>
          <w:bCs/>
          <w:color w:val="auto"/>
        </w:rPr>
      </w:pPr>
      <w:r>
        <w:rPr>
          <w:bCs/>
          <w:color w:val="auto"/>
        </w:rPr>
        <w:t>（1）生产工艺与装备要求</w:t>
      </w:r>
    </w:p>
    <w:p>
      <w:pPr>
        <w:pStyle w:val="37"/>
        <w:ind w:firstLine="480"/>
        <w:rPr>
          <w:bCs/>
          <w:color w:val="auto"/>
        </w:rPr>
      </w:pPr>
      <w:r>
        <w:rPr>
          <w:bCs/>
          <w:color w:val="auto"/>
        </w:rPr>
        <w:t>本项目猪舍采用干清粪工艺，喂料目前采用全自动配送上料系统和限位猪槽，饮水系统采用先进的限位饮水器，猪舍通过优化猪舍结构设计、墙体做隔热保温层来切断猪舍内外热传递。</w:t>
      </w:r>
    </w:p>
    <w:p>
      <w:pPr>
        <w:pStyle w:val="37"/>
        <w:ind w:firstLine="480"/>
        <w:rPr>
          <w:bCs/>
          <w:color w:val="auto"/>
        </w:rPr>
      </w:pPr>
      <w:r>
        <w:rPr>
          <w:bCs/>
          <w:color w:val="auto"/>
        </w:rPr>
        <w:t>牧原公司自主研发了多项养殖设备，并取得了专项技术专利。饲养设备包括各类喂料、饮水、猪舍环境控制、电视监控系统等一系列配套的全自动专业设备等，详见表3.1-1</w:t>
      </w:r>
      <w:r>
        <w:rPr>
          <w:rFonts w:hint="eastAsia"/>
          <w:bCs/>
          <w:color w:val="auto"/>
        </w:rPr>
        <w:t>1</w:t>
      </w:r>
      <w:r>
        <w:rPr>
          <w:bCs/>
          <w:color w:val="auto"/>
        </w:rPr>
        <w:t>。</w:t>
      </w:r>
    </w:p>
    <w:p>
      <w:pPr>
        <w:spacing w:after="72" w:afterLines="30" w:line="500" w:lineRule="exact"/>
        <w:ind w:firstLine="482"/>
        <w:jc w:val="left"/>
        <w:rPr>
          <w:b/>
          <w:color w:val="auto"/>
          <w:szCs w:val="21"/>
        </w:rPr>
      </w:pPr>
      <w:r>
        <w:rPr>
          <w:b/>
          <w:color w:val="auto"/>
          <w:szCs w:val="21"/>
        </w:rPr>
        <w:t>表3.1-1</w:t>
      </w:r>
      <w:r>
        <w:rPr>
          <w:rFonts w:hint="eastAsia"/>
          <w:b/>
          <w:color w:val="auto"/>
          <w:szCs w:val="21"/>
        </w:rPr>
        <w:t>1</w:t>
      </w:r>
      <w:r>
        <w:rPr>
          <w:b/>
          <w:color w:val="auto"/>
          <w:szCs w:val="21"/>
        </w:rPr>
        <w:t xml:space="preserve">                   牧原公司实用新型专利</w:t>
      </w:r>
    </w:p>
    <w:tbl>
      <w:tblPr>
        <w:tblStyle w:val="27"/>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51" w:type="dxa"/>
          <w:bottom w:w="0" w:type="dxa"/>
          <w:right w:w="51" w:type="dxa"/>
        </w:tblCellMar>
      </w:tblPr>
      <w:tblGrid>
        <w:gridCol w:w="547"/>
        <w:gridCol w:w="2490"/>
        <w:gridCol w:w="1546"/>
        <w:gridCol w:w="2393"/>
        <w:gridCol w:w="185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286" w:hRule="atLeast"/>
          <w:tblHeader/>
          <w:jc w:val="center"/>
        </w:trPr>
        <w:tc>
          <w:tcPr>
            <w:tcW w:w="310"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编号</w:t>
            </w:r>
          </w:p>
        </w:tc>
        <w:tc>
          <w:tcPr>
            <w:tcW w:w="1409"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名称</w:t>
            </w:r>
          </w:p>
        </w:tc>
        <w:tc>
          <w:tcPr>
            <w:tcW w:w="875"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证书号</w:t>
            </w:r>
          </w:p>
        </w:tc>
        <w:tc>
          <w:tcPr>
            <w:tcW w:w="1354"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专利号</w:t>
            </w:r>
          </w:p>
        </w:tc>
        <w:tc>
          <w:tcPr>
            <w:tcW w:w="1049"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授权公告日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271" w:hRule="atLeast"/>
          <w:jc w:val="center"/>
        </w:trPr>
        <w:tc>
          <w:tcPr>
            <w:tcW w:w="310"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1</w:t>
            </w:r>
          </w:p>
        </w:tc>
        <w:tc>
          <w:tcPr>
            <w:tcW w:w="1409"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保育猪舍</w:t>
            </w:r>
          </w:p>
        </w:tc>
        <w:tc>
          <w:tcPr>
            <w:tcW w:w="875"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第1280383号</w:t>
            </w:r>
          </w:p>
        </w:tc>
        <w:tc>
          <w:tcPr>
            <w:tcW w:w="1354"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ZL2008 2 0221080.3</w:t>
            </w:r>
          </w:p>
        </w:tc>
        <w:tc>
          <w:tcPr>
            <w:tcW w:w="1049"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2009年9月16日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275" w:hRule="atLeast"/>
          <w:jc w:val="center"/>
        </w:trPr>
        <w:tc>
          <w:tcPr>
            <w:tcW w:w="310"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2</w:t>
            </w:r>
          </w:p>
        </w:tc>
        <w:tc>
          <w:tcPr>
            <w:tcW w:w="1409"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猪舍通风系统</w:t>
            </w:r>
          </w:p>
        </w:tc>
        <w:tc>
          <w:tcPr>
            <w:tcW w:w="875"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第1280384号</w:t>
            </w:r>
          </w:p>
        </w:tc>
        <w:tc>
          <w:tcPr>
            <w:tcW w:w="1354"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ZL2008 2 0221077.1</w:t>
            </w:r>
          </w:p>
        </w:tc>
        <w:tc>
          <w:tcPr>
            <w:tcW w:w="1049"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2009年9月16日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281" w:hRule="atLeast"/>
          <w:jc w:val="center"/>
        </w:trPr>
        <w:tc>
          <w:tcPr>
            <w:tcW w:w="310"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3</w:t>
            </w:r>
          </w:p>
        </w:tc>
        <w:tc>
          <w:tcPr>
            <w:tcW w:w="1409"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猪舍采暖保温装置</w:t>
            </w:r>
          </w:p>
        </w:tc>
        <w:tc>
          <w:tcPr>
            <w:tcW w:w="875"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第1280385号</w:t>
            </w:r>
          </w:p>
        </w:tc>
        <w:tc>
          <w:tcPr>
            <w:tcW w:w="1354"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ZL2008 2 0221155.8</w:t>
            </w:r>
          </w:p>
        </w:tc>
        <w:tc>
          <w:tcPr>
            <w:tcW w:w="1049"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2009年9月16日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254" w:hRule="atLeast"/>
          <w:jc w:val="center"/>
        </w:trPr>
        <w:tc>
          <w:tcPr>
            <w:tcW w:w="310"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4</w:t>
            </w:r>
          </w:p>
        </w:tc>
        <w:tc>
          <w:tcPr>
            <w:tcW w:w="1409"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猪用干湿饲喂器</w:t>
            </w:r>
          </w:p>
        </w:tc>
        <w:tc>
          <w:tcPr>
            <w:tcW w:w="875"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第1280386号</w:t>
            </w:r>
          </w:p>
        </w:tc>
        <w:tc>
          <w:tcPr>
            <w:tcW w:w="1354"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ZL2008 2 0221157.7</w:t>
            </w:r>
          </w:p>
        </w:tc>
        <w:tc>
          <w:tcPr>
            <w:tcW w:w="1049"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2009年9月16日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26" w:hRule="atLeast"/>
          <w:jc w:val="center"/>
        </w:trPr>
        <w:tc>
          <w:tcPr>
            <w:tcW w:w="310"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5</w:t>
            </w:r>
          </w:p>
        </w:tc>
        <w:tc>
          <w:tcPr>
            <w:tcW w:w="1409"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猪舍送料系统</w:t>
            </w:r>
          </w:p>
        </w:tc>
        <w:tc>
          <w:tcPr>
            <w:tcW w:w="875"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第1280931号</w:t>
            </w:r>
          </w:p>
        </w:tc>
        <w:tc>
          <w:tcPr>
            <w:tcW w:w="1354"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ZL2008 2 0221158.1</w:t>
            </w:r>
          </w:p>
        </w:tc>
        <w:tc>
          <w:tcPr>
            <w:tcW w:w="1049"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2009年9月16日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32" w:hRule="atLeast"/>
          <w:jc w:val="center"/>
        </w:trPr>
        <w:tc>
          <w:tcPr>
            <w:tcW w:w="310"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6</w:t>
            </w:r>
          </w:p>
        </w:tc>
        <w:tc>
          <w:tcPr>
            <w:tcW w:w="1409"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母猪产房</w:t>
            </w:r>
          </w:p>
        </w:tc>
        <w:tc>
          <w:tcPr>
            <w:tcW w:w="875"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第1291481号</w:t>
            </w:r>
          </w:p>
        </w:tc>
        <w:tc>
          <w:tcPr>
            <w:tcW w:w="1354"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ZL2008 2 0221079.0</w:t>
            </w:r>
          </w:p>
        </w:tc>
        <w:tc>
          <w:tcPr>
            <w:tcW w:w="1049"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2009年10月7日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36" w:hRule="atLeast"/>
          <w:jc w:val="center"/>
        </w:trPr>
        <w:tc>
          <w:tcPr>
            <w:tcW w:w="310"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7</w:t>
            </w:r>
          </w:p>
        </w:tc>
        <w:tc>
          <w:tcPr>
            <w:tcW w:w="1409"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育肥猪舍</w:t>
            </w:r>
          </w:p>
        </w:tc>
        <w:tc>
          <w:tcPr>
            <w:tcW w:w="875"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第1286109号</w:t>
            </w:r>
          </w:p>
        </w:tc>
        <w:tc>
          <w:tcPr>
            <w:tcW w:w="1354"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ZL2008 2 0221078.6</w:t>
            </w:r>
          </w:p>
        </w:tc>
        <w:tc>
          <w:tcPr>
            <w:tcW w:w="1049"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2009年9月23日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24" w:hRule="atLeast"/>
          <w:jc w:val="center"/>
        </w:trPr>
        <w:tc>
          <w:tcPr>
            <w:tcW w:w="310"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8</w:t>
            </w:r>
          </w:p>
        </w:tc>
        <w:tc>
          <w:tcPr>
            <w:tcW w:w="1409"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猪舍液态饲喂装置</w:t>
            </w:r>
          </w:p>
        </w:tc>
        <w:tc>
          <w:tcPr>
            <w:tcW w:w="875"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第1519130号</w:t>
            </w:r>
          </w:p>
        </w:tc>
        <w:tc>
          <w:tcPr>
            <w:tcW w:w="1354"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ZL2009 2 0</w:t>
            </w:r>
            <w:r>
              <w:rPr>
                <w:rFonts w:hint="eastAsia"/>
                <w:bCs/>
                <w:color w:val="auto"/>
                <w:sz w:val="21"/>
                <w:szCs w:val="21"/>
              </w:rPr>
              <w:t>167</w:t>
            </w:r>
            <w:r>
              <w:rPr>
                <w:bCs/>
                <w:color w:val="auto"/>
                <w:sz w:val="21"/>
                <w:szCs w:val="21"/>
              </w:rPr>
              <w:t>839.6</w:t>
            </w:r>
          </w:p>
        </w:tc>
        <w:tc>
          <w:tcPr>
            <w:tcW w:w="1049"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2010年9月1日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30" w:hRule="atLeast"/>
          <w:jc w:val="center"/>
        </w:trPr>
        <w:tc>
          <w:tcPr>
            <w:tcW w:w="310"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9</w:t>
            </w:r>
          </w:p>
        </w:tc>
        <w:tc>
          <w:tcPr>
            <w:tcW w:w="1409"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猪舍的通风窗口</w:t>
            </w:r>
          </w:p>
        </w:tc>
        <w:tc>
          <w:tcPr>
            <w:tcW w:w="875"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第1503015号</w:t>
            </w:r>
          </w:p>
        </w:tc>
        <w:tc>
          <w:tcPr>
            <w:tcW w:w="1354"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ZL2009 2 0224159.6</w:t>
            </w:r>
          </w:p>
        </w:tc>
        <w:tc>
          <w:tcPr>
            <w:tcW w:w="1049"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2010年8月11日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50" w:hRule="atLeast"/>
          <w:jc w:val="center"/>
        </w:trPr>
        <w:tc>
          <w:tcPr>
            <w:tcW w:w="310"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10</w:t>
            </w:r>
          </w:p>
        </w:tc>
        <w:tc>
          <w:tcPr>
            <w:tcW w:w="1409"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高架网床式猪舍</w:t>
            </w:r>
          </w:p>
        </w:tc>
        <w:tc>
          <w:tcPr>
            <w:tcW w:w="875"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第1494996号</w:t>
            </w:r>
          </w:p>
        </w:tc>
        <w:tc>
          <w:tcPr>
            <w:tcW w:w="1354"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ZL2009 2 0224051.7</w:t>
            </w:r>
          </w:p>
        </w:tc>
        <w:tc>
          <w:tcPr>
            <w:tcW w:w="1049"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2010年8月4日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21" w:hRule="atLeast"/>
          <w:jc w:val="center"/>
        </w:trPr>
        <w:tc>
          <w:tcPr>
            <w:tcW w:w="310"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11</w:t>
            </w:r>
          </w:p>
        </w:tc>
        <w:tc>
          <w:tcPr>
            <w:tcW w:w="1409"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限位猪槽</w:t>
            </w:r>
          </w:p>
        </w:tc>
        <w:tc>
          <w:tcPr>
            <w:tcW w:w="875"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第1496857号</w:t>
            </w:r>
          </w:p>
        </w:tc>
        <w:tc>
          <w:tcPr>
            <w:tcW w:w="1354"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ZL2009 2 0</w:t>
            </w:r>
            <w:r>
              <w:rPr>
                <w:rFonts w:hint="eastAsia"/>
                <w:bCs/>
                <w:color w:val="auto"/>
                <w:sz w:val="21"/>
                <w:szCs w:val="21"/>
              </w:rPr>
              <w:t>167</w:t>
            </w:r>
            <w:r>
              <w:rPr>
                <w:bCs/>
                <w:color w:val="auto"/>
                <w:sz w:val="21"/>
                <w:szCs w:val="21"/>
              </w:rPr>
              <w:t>840.9</w:t>
            </w:r>
          </w:p>
        </w:tc>
        <w:tc>
          <w:tcPr>
            <w:tcW w:w="1049"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2010年8月4日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28" w:hRule="atLeast"/>
          <w:jc w:val="center"/>
        </w:trPr>
        <w:tc>
          <w:tcPr>
            <w:tcW w:w="310"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12</w:t>
            </w:r>
          </w:p>
        </w:tc>
        <w:tc>
          <w:tcPr>
            <w:tcW w:w="1409"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猪舍液态饲喂系统</w:t>
            </w:r>
          </w:p>
        </w:tc>
        <w:tc>
          <w:tcPr>
            <w:tcW w:w="875"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第1503014号</w:t>
            </w:r>
          </w:p>
        </w:tc>
        <w:tc>
          <w:tcPr>
            <w:tcW w:w="1354"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ZL2009 2 0224158.1</w:t>
            </w:r>
          </w:p>
        </w:tc>
        <w:tc>
          <w:tcPr>
            <w:tcW w:w="1049"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2010年8月11日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14" w:hRule="atLeast"/>
          <w:jc w:val="center"/>
        </w:trPr>
        <w:tc>
          <w:tcPr>
            <w:tcW w:w="310"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13</w:t>
            </w:r>
          </w:p>
        </w:tc>
        <w:tc>
          <w:tcPr>
            <w:tcW w:w="1409"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猪舍用漏缝地板</w:t>
            </w:r>
          </w:p>
        </w:tc>
        <w:tc>
          <w:tcPr>
            <w:tcW w:w="875"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第1503011号</w:t>
            </w:r>
          </w:p>
        </w:tc>
        <w:tc>
          <w:tcPr>
            <w:tcW w:w="1354"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ZL2009 2 0</w:t>
            </w:r>
            <w:r>
              <w:rPr>
                <w:rFonts w:hint="eastAsia"/>
                <w:bCs/>
                <w:color w:val="auto"/>
                <w:sz w:val="21"/>
                <w:szCs w:val="21"/>
              </w:rPr>
              <w:t>167</w:t>
            </w:r>
            <w:r>
              <w:rPr>
                <w:bCs/>
                <w:color w:val="auto"/>
                <w:sz w:val="21"/>
                <w:szCs w:val="21"/>
              </w:rPr>
              <w:t>841.3</w:t>
            </w:r>
          </w:p>
        </w:tc>
        <w:tc>
          <w:tcPr>
            <w:tcW w:w="1049"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2010年8月11日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20" w:hRule="atLeast"/>
          <w:jc w:val="center"/>
        </w:trPr>
        <w:tc>
          <w:tcPr>
            <w:tcW w:w="310"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14</w:t>
            </w:r>
          </w:p>
        </w:tc>
        <w:tc>
          <w:tcPr>
            <w:tcW w:w="1409"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自动编制蛇形钢筋网床</w:t>
            </w:r>
          </w:p>
        </w:tc>
        <w:tc>
          <w:tcPr>
            <w:tcW w:w="875"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第1499874号</w:t>
            </w:r>
          </w:p>
        </w:tc>
        <w:tc>
          <w:tcPr>
            <w:tcW w:w="1354"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ZL2009 2 0224050.2</w:t>
            </w:r>
          </w:p>
        </w:tc>
        <w:tc>
          <w:tcPr>
            <w:tcW w:w="1049"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2010年8月11日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06" w:hRule="atLeast"/>
          <w:jc w:val="center"/>
        </w:trPr>
        <w:tc>
          <w:tcPr>
            <w:tcW w:w="310"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15</w:t>
            </w:r>
          </w:p>
        </w:tc>
        <w:tc>
          <w:tcPr>
            <w:tcW w:w="1409"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一种铁皮猪舍房顶</w:t>
            </w:r>
          </w:p>
        </w:tc>
        <w:tc>
          <w:tcPr>
            <w:tcW w:w="875"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第1499878号</w:t>
            </w:r>
          </w:p>
        </w:tc>
        <w:tc>
          <w:tcPr>
            <w:tcW w:w="1354"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ZL2009 2 0224160.9</w:t>
            </w:r>
          </w:p>
        </w:tc>
        <w:tc>
          <w:tcPr>
            <w:tcW w:w="1049"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2010年8月11日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30" w:hRule="atLeast"/>
          <w:jc w:val="center"/>
        </w:trPr>
        <w:tc>
          <w:tcPr>
            <w:tcW w:w="310"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16</w:t>
            </w:r>
          </w:p>
        </w:tc>
        <w:tc>
          <w:tcPr>
            <w:tcW w:w="1409"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增加猪舍空气湿度的设备</w:t>
            </w:r>
          </w:p>
        </w:tc>
        <w:tc>
          <w:tcPr>
            <w:tcW w:w="875"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第1557290号</w:t>
            </w:r>
          </w:p>
        </w:tc>
        <w:tc>
          <w:tcPr>
            <w:tcW w:w="1354"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ZL2009 2 0</w:t>
            </w:r>
            <w:r>
              <w:rPr>
                <w:rFonts w:hint="eastAsia"/>
                <w:bCs/>
                <w:color w:val="auto"/>
                <w:sz w:val="21"/>
                <w:szCs w:val="21"/>
              </w:rPr>
              <w:t>167</w:t>
            </w:r>
            <w:r>
              <w:rPr>
                <w:bCs/>
                <w:color w:val="auto"/>
                <w:sz w:val="21"/>
                <w:szCs w:val="21"/>
              </w:rPr>
              <w:t>838.1</w:t>
            </w:r>
          </w:p>
        </w:tc>
        <w:tc>
          <w:tcPr>
            <w:tcW w:w="1049"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2010年10月6日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34" w:hRule="atLeast"/>
          <w:jc w:val="center"/>
        </w:trPr>
        <w:tc>
          <w:tcPr>
            <w:tcW w:w="310"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17</w:t>
            </w:r>
          </w:p>
        </w:tc>
        <w:tc>
          <w:tcPr>
            <w:tcW w:w="1409"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输精被袋</w:t>
            </w:r>
          </w:p>
        </w:tc>
        <w:tc>
          <w:tcPr>
            <w:tcW w:w="875"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第1555380号</w:t>
            </w:r>
          </w:p>
        </w:tc>
        <w:tc>
          <w:tcPr>
            <w:tcW w:w="1354"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ZL2010 2 0113315.4</w:t>
            </w:r>
          </w:p>
        </w:tc>
        <w:tc>
          <w:tcPr>
            <w:tcW w:w="1049"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2010年10月6日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260" w:hRule="atLeast"/>
          <w:jc w:val="center"/>
        </w:trPr>
        <w:tc>
          <w:tcPr>
            <w:tcW w:w="310"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18</w:t>
            </w:r>
          </w:p>
        </w:tc>
        <w:tc>
          <w:tcPr>
            <w:tcW w:w="1409"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路基的防渗水结构</w:t>
            </w:r>
          </w:p>
        </w:tc>
        <w:tc>
          <w:tcPr>
            <w:tcW w:w="875"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第1620796号</w:t>
            </w:r>
          </w:p>
        </w:tc>
        <w:tc>
          <w:tcPr>
            <w:tcW w:w="1354"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ZL 2010 2 0113349.3</w:t>
            </w:r>
          </w:p>
        </w:tc>
        <w:tc>
          <w:tcPr>
            <w:tcW w:w="1049"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2010年12月8日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432" w:hRule="atLeast"/>
          <w:jc w:val="center"/>
        </w:trPr>
        <w:tc>
          <w:tcPr>
            <w:tcW w:w="310"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19</w:t>
            </w:r>
          </w:p>
        </w:tc>
        <w:tc>
          <w:tcPr>
            <w:tcW w:w="1409"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一种畜禽舍环境采集分析控制系统</w:t>
            </w:r>
          </w:p>
        </w:tc>
        <w:tc>
          <w:tcPr>
            <w:tcW w:w="875"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第2480418号</w:t>
            </w:r>
          </w:p>
        </w:tc>
        <w:tc>
          <w:tcPr>
            <w:tcW w:w="1354"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ZL 2012 2 0216499.6</w:t>
            </w:r>
          </w:p>
        </w:tc>
        <w:tc>
          <w:tcPr>
            <w:tcW w:w="1049" w:type="pct"/>
            <w:vAlign w:val="center"/>
          </w:tcPr>
          <w:p>
            <w:pPr>
              <w:autoSpaceDN w:val="0"/>
              <w:spacing w:line="240" w:lineRule="auto"/>
              <w:ind w:firstLine="0" w:firstLineChars="0"/>
              <w:jc w:val="center"/>
              <w:textAlignment w:val="center"/>
              <w:rPr>
                <w:bCs/>
                <w:color w:val="auto"/>
                <w:sz w:val="21"/>
                <w:szCs w:val="21"/>
              </w:rPr>
            </w:pPr>
            <w:r>
              <w:rPr>
                <w:bCs/>
                <w:color w:val="auto"/>
                <w:sz w:val="21"/>
                <w:szCs w:val="21"/>
              </w:rPr>
              <w:t>2012年10月31日</w:t>
            </w:r>
          </w:p>
        </w:tc>
      </w:tr>
    </w:tbl>
    <w:p>
      <w:pPr>
        <w:pStyle w:val="37"/>
        <w:ind w:firstLine="480"/>
        <w:rPr>
          <w:bCs/>
          <w:color w:val="auto"/>
        </w:rPr>
      </w:pPr>
      <w:r>
        <w:rPr>
          <w:bCs/>
          <w:color w:val="auto"/>
        </w:rPr>
        <w:t>本项目通过选择清洁生产工艺，控制厂内用水量，节约资源，减少污染物的排放，在生产工艺和设备水平上处于国内领先水平。具体见表3.1-1</w:t>
      </w:r>
      <w:r>
        <w:rPr>
          <w:rFonts w:hint="eastAsia"/>
          <w:bCs/>
          <w:color w:val="auto"/>
        </w:rPr>
        <w:t>2</w:t>
      </w:r>
      <w:r>
        <w:rPr>
          <w:bCs/>
          <w:color w:val="auto"/>
        </w:rPr>
        <w:t>。</w:t>
      </w:r>
    </w:p>
    <w:p>
      <w:pPr>
        <w:spacing w:after="72" w:afterLines="30" w:line="500" w:lineRule="exact"/>
        <w:ind w:firstLine="482"/>
        <w:jc w:val="left"/>
        <w:rPr>
          <w:b/>
          <w:color w:val="auto"/>
          <w:szCs w:val="21"/>
        </w:rPr>
      </w:pPr>
      <w:r>
        <w:rPr>
          <w:b/>
          <w:color w:val="auto"/>
          <w:szCs w:val="21"/>
        </w:rPr>
        <w:t>表3.1-1</w:t>
      </w:r>
      <w:r>
        <w:rPr>
          <w:rFonts w:hint="eastAsia"/>
          <w:b/>
          <w:color w:val="auto"/>
          <w:szCs w:val="21"/>
        </w:rPr>
        <w:t>2</w:t>
      </w:r>
      <w:r>
        <w:rPr>
          <w:b/>
          <w:color w:val="auto"/>
          <w:szCs w:val="21"/>
        </w:rPr>
        <w:t xml:space="preserve">             本项目生产工艺与装备先进性分析</w:t>
      </w:r>
    </w:p>
    <w:tbl>
      <w:tblPr>
        <w:tblStyle w:val="27"/>
        <w:tblW w:w="0" w:type="auto"/>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585"/>
        <w:gridCol w:w="1364"/>
        <w:gridCol w:w="3405"/>
        <w:gridCol w:w="340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27" w:hRule="atLeast"/>
          <w:tblHeader/>
        </w:trPr>
        <w:tc>
          <w:tcPr>
            <w:tcW w:w="585" w:type="dxa"/>
            <w:tcMar>
              <w:top w:w="57" w:type="dxa"/>
              <w:left w:w="57" w:type="dxa"/>
              <w:bottom w:w="57" w:type="dxa"/>
              <w:right w:w="57" w:type="dxa"/>
            </w:tcMar>
            <w:vAlign w:val="center"/>
          </w:tcPr>
          <w:p>
            <w:pPr>
              <w:spacing w:line="240" w:lineRule="auto"/>
              <w:ind w:firstLine="0" w:firstLineChars="0"/>
              <w:jc w:val="center"/>
              <w:rPr>
                <w:bCs/>
                <w:snapToGrid w:val="0"/>
                <w:color w:val="auto"/>
                <w:sz w:val="21"/>
                <w:szCs w:val="21"/>
              </w:rPr>
            </w:pPr>
            <w:r>
              <w:rPr>
                <w:bCs/>
                <w:snapToGrid w:val="0"/>
                <w:color w:val="auto"/>
                <w:sz w:val="21"/>
                <w:szCs w:val="21"/>
              </w:rPr>
              <w:t>序号</w:t>
            </w:r>
          </w:p>
        </w:tc>
        <w:tc>
          <w:tcPr>
            <w:tcW w:w="1364" w:type="dxa"/>
            <w:tcMar>
              <w:top w:w="57" w:type="dxa"/>
              <w:left w:w="57" w:type="dxa"/>
              <w:bottom w:w="57" w:type="dxa"/>
              <w:right w:w="57" w:type="dxa"/>
            </w:tcMar>
            <w:vAlign w:val="center"/>
          </w:tcPr>
          <w:p>
            <w:pPr>
              <w:spacing w:line="240" w:lineRule="auto"/>
              <w:ind w:firstLine="0" w:firstLineChars="0"/>
              <w:jc w:val="center"/>
              <w:rPr>
                <w:bCs/>
                <w:snapToGrid w:val="0"/>
                <w:color w:val="auto"/>
                <w:sz w:val="21"/>
                <w:szCs w:val="21"/>
              </w:rPr>
            </w:pPr>
            <w:r>
              <w:rPr>
                <w:bCs/>
                <w:snapToGrid w:val="0"/>
                <w:color w:val="auto"/>
                <w:sz w:val="21"/>
                <w:szCs w:val="21"/>
              </w:rPr>
              <w:t>相关系统</w:t>
            </w:r>
          </w:p>
        </w:tc>
        <w:tc>
          <w:tcPr>
            <w:tcW w:w="3405" w:type="dxa"/>
            <w:tcMar>
              <w:top w:w="57" w:type="dxa"/>
              <w:left w:w="57" w:type="dxa"/>
              <w:bottom w:w="57" w:type="dxa"/>
              <w:right w:w="57" w:type="dxa"/>
            </w:tcMar>
            <w:vAlign w:val="center"/>
          </w:tcPr>
          <w:p>
            <w:pPr>
              <w:spacing w:line="240" w:lineRule="auto"/>
              <w:ind w:firstLine="0" w:firstLineChars="0"/>
              <w:jc w:val="center"/>
              <w:rPr>
                <w:bCs/>
                <w:snapToGrid w:val="0"/>
                <w:color w:val="auto"/>
                <w:sz w:val="21"/>
                <w:szCs w:val="21"/>
              </w:rPr>
            </w:pPr>
            <w:r>
              <w:rPr>
                <w:bCs/>
                <w:snapToGrid w:val="0"/>
                <w:color w:val="auto"/>
                <w:sz w:val="21"/>
                <w:szCs w:val="21"/>
              </w:rPr>
              <w:t>本项目所用工艺</w:t>
            </w:r>
          </w:p>
        </w:tc>
        <w:tc>
          <w:tcPr>
            <w:tcW w:w="3406" w:type="dxa"/>
            <w:tcMar>
              <w:top w:w="57" w:type="dxa"/>
              <w:left w:w="57" w:type="dxa"/>
              <w:bottom w:w="57" w:type="dxa"/>
              <w:right w:w="57" w:type="dxa"/>
            </w:tcMar>
            <w:vAlign w:val="center"/>
          </w:tcPr>
          <w:p>
            <w:pPr>
              <w:spacing w:line="240" w:lineRule="auto"/>
              <w:ind w:firstLine="0" w:firstLineChars="0"/>
              <w:jc w:val="center"/>
              <w:rPr>
                <w:bCs/>
                <w:snapToGrid w:val="0"/>
                <w:color w:val="auto"/>
                <w:sz w:val="21"/>
                <w:szCs w:val="21"/>
              </w:rPr>
            </w:pPr>
            <w:r>
              <w:rPr>
                <w:bCs/>
                <w:snapToGrid w:val="0"/>
                <w:color w:val="auto"/>
                <w:sz w:val="21"/>
                <w:szCs w:val="21"/>
              </w:rPr>
              <w:t>本项目工艺/设备先进性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585" w:type="dxa"/>
            <w:tcMar>
              <w:top w:w="57" w:type="dxa"/>
              <w:left w:w="57" w:type="dxa"/>
              <w:bottom w:w="57" w:type="dxa"/>
              <w:right w:w="57" w:type="dxa"/>
            </w:tcMar>
            <w:vAlign w:val="center"/>
          </w:tcPr>
          <w:p>
            <w:pPr>
              <w:spacing w:line="240" w:lineRule="auto"/>
              <w:ind w:firstLine="0" w:firstLineChars="0"/>
              <w:jc w:val="center"/>
              <w:rPr>
                <w:bCs/>
                <w:snapToGrid w:val="0"/>
                <w:color w:val="auto"/>
                <w:sz w:val="21"/>
                <w:szCs w:val="21"/>
              </w:rPr>
            </w:pPr>
            <w:r>
              <w:rPr>
                <w:bCs/>
                <w:snapToGrid w:val="0"/>
                <w:color w:val="auto"/>
                <w:sz w:val="21"/>
                <w:szCs w:val="21"/>
              </w:rPr>
              <w:t>1</w:t>
            </w:r>
          </w:p>
        </w:tc>
        <w:tc>
          <w:tcPr>
            <w:tcW w:w="1364" w:type="dxa"/>
            <w:tcMar>
              <w:top w:w="57" w:type="dxa"/>
              <w:left w:w="57" w:type="dxa"/>
              <w:bottom w:w="57" w:type="dxa"/>
              <w:right w:w="57" w:type="dxa"/>
            </w:tcMar>
            <w:vAlign w:val="center"/>
          </w:tcPr>
          <w:p>
            <w:pPr>
              <w:spacing w:line="240" w:lineRule="auto"/>
              <w:ind w:firstLine="0" w:firstLineChars="0"/>
              <w:jc w:val="center"/>
              <w:rPr>
                <w:bCs/>
                <w:snapToGrid w:val="0"/>
                <w:color w:val="auto"/>
                <w:sz w:val="21"/>
                <w:szCs w:val="21"/>
              </w:rPr>
            </w:pPr>
            <w:r>
              <w:rPr>
                <w:bCs/>
                <w:snapToGrid w:val="0"/>
                <w:color w:val="auto"/>
                <w:sz w:val="21"/>
                <w:szCs w:val="21"/>
              </w:rPr>
              <w:t>上料系统</w:t>
            </w:r>
          </w:p>
        </w:tc>
        <w:tc>
          <w:tcPr>
            <w:tcW w:w="3405" w:type="dxa"/>
            <w:tcMar>
              <w:top w:w="57" w:type="dxa"/>
              <w:left w:w="57" w:type="dxa"/>
              <w:bottom w:w="57" w:type="dxa"/>
              <w:right w:w="57" w:type="dxa"/>
            </w:tcMar>
            <w:vAlign w:val="center"/>
          </w:tcPr>
          <w:p>
            <w:pPr>
              <w:spacing w:line="240" w:lineRule="auto"/>
              <w:ind w:firstLine="0" w:firstLineChars="0"/>
              <w:rPr>
                <w:bCs/>
                <w:color w:val="auto"/>
                <w:sz w:val="21"/>
                <w:szCs w:val="21"/>
              </w:rPr>
            </w:pPr>
            <w:r>
              <w:rPr>
                <w:bCs/>
                <w:color w:val="auto"/>
                <w:sz w:val="21"/>
                <w:szCs w:val="21"/>
              </w:rPr>
              <w:t>用全自动配送上料系统，机械化操作，定时定量供应饲料。</w:t>
            </w:r>
          </w:p>
        </w:tc>
        <w:tc>
          <w:tcPr>
            <w:tcW w:w="3406" w:type="dxa"/>
            <w:tcMar>
              <w:top w:w="57" w:type="dxa"/>
              <w:left w:w="57" w:type="dxa"/>
              <w:bottom w:w="57" w:type="dxa"/>
              <w:right w:w="57" w:type="dxa"/>
            </w:tcMar>
            <w:vAlign w:val="center"/>
          </w:tcPr>
          <w:p>
            <w:pPr>
              <w:spacing w:line="240" w:lineRule="auto"/>
              <w:ind w:firstLine="0" w:firstLineChars="0"/>
              <w:rPr>
                <w:bCs/>
                <w:color w:val="auto"/>
                <w:sz w:val="21"/>
                <w:szCs w:val="21"/>
              </w:rPr>
            </w:pPr>
            <w:r>
              <w:rPr>
                <w:bCs/>
                <w:color w:val="auto"/>
                <w:sz w:val="21"/>
                <w:szCs w:val="21"/>
              </w:rPr>
              <w:t>全自动配送上料系统在保证生猪饮食需求的同时，减少浪费，节约人力和饲料用量，降低生产成本。</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585" w:type="dxa"/>
            <w:tcMar>
              <w:top w:w="57" w:type="dxa"/>
              <w:left w:w="57" w:type="dxa"/>
              <w:bottom w:w="57" w:type="dxa"/>
              <w:right w:w="57" w:type="dxa"/>
            </w:tcMar>
            <w:vAlign w:val="center"/>
          </w:tcPr>
          <w:p>
            <w:pPr>
              <w:spacing w:line="240" w:lineRule="auto"/>
              <w:ind w:firstLine="0" w:firstLineChars="0"/>
              <w:jc w:val="center"/>
              <w:rPr>
                <w:bCs/>
                <w:snapToGrid w:val="0"/>
                <w:color w:val="auto"/>
                <w:sz w:val="21"/>
                <w:szCs w:val="21"/>
              </w:rPr>
            </w:pPr>
            <w:r>
              <w:rPr>
                <w:bCs/>
                <w:snapToGrid w:val="0"/>
                <w:color w:val="auto"/>
                <w:sz w:val="21"/>
                <w:szCs w:val="21"/>
              </w:rPr>
              <w:t>2</w:t>
            </w:r>
          </w:p>
        </w:tc>
        <w:tc>
          <w:tcPr>
            <w:tcW w:w="1364" w:type="dxa"/>
            <w:tcMar>
              <w:top w:w="57" w:type="dxa"/>
              <w:left w:w="57" w:type="dxa"/>
              <w:bottom w:w="57" w:type="dxa"/>
              <w:right w:w="57" w:type="dxa"/>
            </w:tcMar>
            <w:vAlign w:val="center"/>
          </w:tcPr>
          <w:p>
            <w:pPr>
              <w:spacing w:line="240" w:lineRule="auto"/>
              <w:ind w:firstLine="0" w:firstLineChars="0"/>
              <w:jc w:val="center"/>
              <w:rPr>
                <w:bCs/>
                <w:snapToGrid w:val="0"/>
                <w:color w:val="auto"/>
                <w:sz w:val="21"/>
                <w:szCs w:val="21"/>
              </w:rPr>
            </w:pPr>
            <w:r>
              <w:rPr>
                <w:bCs/>
                <w:snapToGrid w:val="0"/>
                <w:color w:val="auto"/>
                <w:sz w:val="21"/>
                <w:szCs w:val="21"/>
              </w:rPr>
              <w:t>饮水系统</w:t>
            </w:r>
          </w:p>
        </w:tc>
        <w:tc>
          <w:tcPr>
            <w:tcW w:w="3405" w:type="dxa"/>
            <w:tcMar>
              <w:top w:w="57" w:type="dxa"/>
              <w:left w:w="57" w:type="dxa"/>
              <w:bottom w:w="57" w:type="dxa"/>
              <w:right w:w="57" w:type="dxa"/>
            </w:tcMar>
            <w:vAlign w:val="center"/>
          </w:tcPr>
          <w:p>
            <w:pPr>
              <w:spacing w:line="240" w:lineRule="auto"/>
              <w:ind w:firstLine="0" w:firstLineChars="0"/>
              <w:rPr>
                <w:bCs/>
                <w:color w:val="auto"/>
                <w:sz w:val="21"/>
                <w:szCs w:val="21"/>
              </w:rPr>
            </w:pPr>
            <w:r>
              <w:rPr>
                <w:bCs/>
                <w:color w:val="auto"/>
                <w:sz w:val="21"/>
                <w:szCs w:val="21"/>
              </w:rPr>
              <w:t>采用先进的限位式饮水器，生猪需饮水时，饮水器与空气接触，内部压力大于外部压力，水自动地从管内流出直至液面高度在2cm时饮水器自动停止供水。</w:t>
            </w:r>
          </w:p>
        </w:tc>
        <w:tc>
          <w:tcPr>
            <w:tcW w:w="3406" w:type="dxa"/>
            <w:tcMar>
              <w:top w:w="57" w:type="dxa"/>
              <w:left w:w="57" w:type="dxa"/>
              <w:bottom w:w="57" w:type="dxa"/>
              <w:right w:w="57" w:type="dxa"/>
            </w:tcMar>
            <w:vAlign w:val="center"/>
          </w:tcPr>
          <w:p>
            <w:pPr>
              <w:spacing w:line="240" w:lineRule="auto"/>
              <w:ind w:firstLine="0" w:firstLineChars="0"/>
              <w:rPr>
                <w:bCs/>
                <w:color w:val="auto"/>
                <w:sz w:val="21"/>
                <w:szCs w:val="21"/>
              </w:rPr>
            </w:pPr>
            <w:r>
              <w:rPr>
                <w:bCs/>
                <w:color w:val="auto"/>
                <w:sz w:val="21"/>
                <w:szCs w:val="21"/>
              </w:rPr>
              <w:t>限位式饮水器在保证生猪随时饮用新鲜水的同时，避免不必要的浪费，节约水资源，更适合大规模集约化养殖。</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585" w:type="dxa"/>
            <w:tcMar>
              <w:top w:w="57" w:type="dxa"/>
              <w:left w:w="57" w:type="dxa"/>
              <w:bottom w:w="57" w:type="dxa"/>
              <w:right w:w="57" w:type="dxa"/>
            </w:tcMar>
            <w:vAlign w:val="center"/>
          </w:tcPr>
          <w:p>
            <w:pPr>
              <w:spacing w:line="240" w:lineRule="auto"/>
              <w:ind w:firstLine="0" w:firstLineChars="0"/>
              <w:jc w:val="center"/>
              <w:rPr>
                <w:bCs/>
                <w:snapToGrid w:val="0"/>
                <w:color w:val="auto"/>
                <w:sz w:val="21"/>
                <w:szCs w:val="21"/>
              </w:rPr>
            </w:pPr>
            <w:r>
              <w:rPr>
                <w:bCs/>
                <w:snapToGrid w:val="0"/>
                <w:color w:val="auto"/>
                <w:sz w:val="21"/>
                <w:szCs w:val="21"/>
              </w:rPr>
              <w:t>3</w:t>
            </w:r>
          </w:p>
        </w:tc>
        <w:tc>
          <w:tcPr>
            <w:tcW w:w="1364" w:type="dxa"/>
            <w:tcMar>
              <w:top w:w="57" w:type="dxa"/>
              <w:left w:w="57" w:type="dxa"/>
              <w:bottom w:w="57" w:type="dxa"/>
              <w:right w:w="57" w:type="dxa"/>
            </w:tcMar>
            <w:vAlign w:val="center"/>
          </w:tcPr>
          <w:p>
            <w:pPr>
              <w:spacing w:line="240" w:lineRule="auto"/>
              <w:ind w:firstLine="0" w:firstLineChars="0"/>
              <w:jc w:val="center"/>
              <w:rPr>
                <w:bCs/>
                <w:snapToGrid w:val="0"/>
                <w:color w:val="auto"/>
                <w:sz w:val="21"/>
                <w:szCs w:val="21"/>
              </w:rPr>
            </w:pPr>
            <w:r>
              <w:rPr>
                <w:bCs/>
                <w:snapToGrid w:val="0"/>
                <w:color w:val="auto"/>
                <w:sz w:val="21"/>
                <w:szCs w:val="21"/>
              </w:rPr>
              <w:t>控温系统</w:t>
            </w:r>
          </w:p>
        </w:tc>
        <w:tc>
          <w:tcPr>
            <w:tcW w:w="3405" w:type="dxa"/>
            <w:tcMar>
              <w:top w:w="57" w:type="dxa"/>
              <w:left w:w="57" w:type="dxa"/>
              <w:bottom w:w="57" w:type="dxa"/>
              <w:right w:w="57" w:type="dxa"/>
            </w:tcMar>
            <w:vAlign w:val="center"/>
          </w:tcPr>
          <w:p>
            <w:pPr>
              <w:spacing w:line="240" w:lineRule="auto"/>
              <w:ind w:firstLine="0" w:firstLineChars="0"/>
              <w:rPr>
                <w:bCs/>
                <w:color w:val="auto"/>
                <w:sz w:val="21"/>
                <w:szCs w:val="21"/>
              </w:rPr>
            </w:pPr>
            <w:r>
              <w:rPr>
                <w:bCs/>
                <w:color w:val="auto"/>
                <w:sz w:val="21"/>
                <w:szCs w:val="21"/>
              </w:rPr>
              <w:t>项目通过优化猪舍结构设计、墙体做隔热保温层来切断猪舍内外热传递。同时，猪舍冬季通风换气时，通过热交换系统对进、出风实行热交换；夏季使用电脑自动控制喷淋降温，使猪舍内温度保持在猪适宜的温度范围内。</w:t>
            </w:r>
          </w:p>
        </w:tc>
        <w:tc>
          <w:tcPr>
            <w:tcW w:w="3406" w:type="dxa"/>
            <w:tcMar>
              <w:top w:w="57" w:type="dxa"/>
              <w:left w:w="57" w:type="dxa"/>
              <w:bottom w:w="57" w:type="dxa"/>
              <w:right w:w="57" w:type="dxa"/>
            </w:tcMar>
            <w:vAlign w:val="center"/>
          </w:tcPr>
          <w:p>
            <w:pPr>
              <w:spacing w:line="240" w:lineRule="auto"/>
              <w:ind w:firstLine="0" w:firstLineChars="0"/>
              <w:rPr>
                <w:bCs/>
                <w:color w:val="auto"/>
                <w:sz w:val="21"/>
                <w:szCs w:val="21"/>
              </w:rPr>
            </w:pPr>
            <w:r>
              <w:rPr>
                <w:bCs/>
                <w:color w:val="auto"/>
                <w:sz w:val="21"/>
                <w:szCs w:val="21"/>
              </w:rPr>
              <w:t>本项目墙体外铺挤塑式聚苯乙烯隔热保温板（冬季有很好的阻热作用）+猪舍内热交换器（冬季有效利用热量，较少热量损失）+风机（夏季有很好的通风作用）+电脑控温，可有效起到控温作用，保持猪舍内温度相对稳定，有利于生猪保持健康。</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585" w:type="dxa"/>
            <w:tcMar>
              <w:top w:w="57" w:type="dxa"/>
              <w:left w:w="57" w:type="dxa"/>
              <w:bottom w:w="57" w:type="dxa"/>
              <w:right w:w="57" w:type="dxa"/>
            </w:tcMar>
            <w:vAlign w:val="center"/>
          </w:tcPr>
          <w:p>
            <w:pPr>
              <w:tabs>
                <w:tab w:val="left" w:pos="2709"/>
              </w:tabs>
              <w:spacing w:line="240" w:lineRule="auto"/>
              <w:ind w:firstLine="0" w:firstLineChars="0"/>
              <w:jc w:val="center"/>
              <w:rPr>
                <w:bCs/>
                <w:snapToGrid w:val="0"/>
                <w:color w:val="auto"/>
                <w:sz w:val="21"/>
                <w:szCs w:val="21"/>
              </w:rPr>
            </w:pPr>
            <w:r>
              <w:rPr>
                <w:bCs/>
                <w:color w:val="auto"/>
                <w:sz w:val="21"/>
                <w:szCs w:val="21"/>
              </w:rPr>
              <w:t>4</w:t>
            </w:r>
          </w:p>
        </w:tc>
        <w:tc>
          <w:tcPr>
            <w:tcW w:w="1364" w:type="dxa"/>
            <w:tcMar>
              <w:top w:w="57" w:type="dxa"/>
              <w:left w:w="57" w:type="dxa"/>
              <w:bottom w:w="57" w:type="dxa"/>
              <w:right w:w="57" w:type="dxa"/>
            </w:tcMar>
            <w:vAlign w:val="center"/>
          </w:tcPr>
          <w:p>
            <w:pPr>
              <w:tabs>
                <w:tab w:val="left" w:pos="2709"/>
              </w:tabs>
              <w:spacing w:line="240" w:lineRule="auto"/>
              <w:ind w:firstLine="0" w:firstLineChars="0"/>
              <w:jc w:val="center"/>
              <w:rPr>
                <w:bCs/>
                <w:color w:val="auto"/>
                <w:sz w:val="21"/>
                <w:szCs w:val="21"/>
              </w:rPr>
            </w:pPr>
            <w:r>
              <w:rPr>
                <w:bCs/>
                <w:color w:val="auto"/>
                <w:sz w:val="21"/>
                <w:szCs w:val="21"/>
              </w:rPr>
              <w:t>清粪</w:t>
            </w:r>
          </w:p>
          <w:p>
            <w:pPr>
              <w:tabs>
                <w:tab w:val="left" w:pos="2709"/>
              </w:tabs>
              <w:spacing w:line="240" w:lineRule="auto"/>
              <w:ind w:firstLine="0" w:firstLineChars="0"/>
              <w:jc w:val="center"/>
              <w:rPr>
                <w:bCs/>
                <w:snapToGrid w:val="0"/>
                <w:color w:val="auto"/>
                <w:sz w:val="21"/>
                <w:szCs w:val="21"/>
              </w:rPr>
            </w:pPr>
            <w:r>
              <w:rPr>
                <w:bCs/>
                <w:color w:val="auto"/>
                <w:sz w:val="21"/>
                <w:szCs w:val="21"/>
              </w:rPr>
              <w:t>工艺</w:t>
            </w:r>
          </w:p>
        </w:tc>
        <w:tc>
          <w:tcPr>
            <w:tcW w:w="3405" w:type="dxa"/>
            <w:tcMar>
              <w:top w:w="57" w:type="dxa"/>
              <w:left w:w="57" w:type="dxa"/>
              <w:bottom w:w="57" w:type="dxa"/>
              <w:right w:w="57" w:type="dxa"/>
            </w:tcMar>
            <w:vAlign w:val="center"/>
          </w:tcPr>
          <w:p>
            <w:pPr>
              <w:spacing w:line="240" w:lineRule="auto"/>
              <w:ind w:firstLine="0" w:firstLineChars="0"/>
              <w:rPr>
                <w:bCs/>
                <w:color w:val="auto"/>
                <w:sz w:val="21"/>
                <w:szCs w:val="21"/>
              </w:rPr>
            </w:pPr>
            <w:r>
              <w:rPr>
                <w:bCs/>
                <w:color w:val="auto"/>
                <w:sz w:val="21"/>
                <w:szCs w:val="21"/>
              </w:rPr>
              <w:t>采用干清粪工艺：猪舍内产生的猪粪由于猪的踩踏及重力作用离开猪舍进入猪舍底部的粪污储存池，当猪进行转栏时，排空粪污储存池，粪污通过排污管道进入干湿固液分离阶段，固液分离后的干物质制在</w:t>
            </w:r>
            <w:r>
              <w:rPr>
                <w:rFonts w:hint="eastAsia"/>
                <w:bCs/>
                <w:color w:val="auto"/>
                <w:sz w:val="21"/>
                <w:szCs w:val="21"/>
              </w:rPr>
              <w:t>固粪处理区发酵</w:t>
            </w:r>
            <w:r>
              <w:rPr>
                <w:bCs/>
                <w:color w:val="auto"/>
                <w:sz w:val="21"/>
                <w:szCs w:val="21"/>
              </w:rPr>
              <w:t>后制有机肥</w:t>
            </w:r>
            <w:r>
              <w:rPr>
                <w:rFonts w:hint="eastAsia"/>
                <w:bCs/>
                <w:color w:val="auto"/>
                <w:sz w:val="21"/>
                <w:szCs w:val="21"/>
              </w:rPr>
              <w:t>基料</w:t>
            </w:r>
            <w:r>
              <w:rPr>
                <w:bCs/>
                <w:color w:val="auto"/>
                <w:sz w:val="21"/>
                <w:szCs w:val="21"/>
              </w:rPr>
              <w:t>，液体经黑膜沼气池处理后，用于农田施肥，粪尿均实现综合利用</w:t>
            </w:r>
          </w:p>
        </w:tc>
        <w:tc>
          <w:tcPr>
            <w:tcW w:w="3406" w:type="dxa"/>
            <w:tcMar>
              <w:top w:w="57" w:type="dxa"/>
              <w:left w:w="57" w:type="dxa"/>
              <w:bottom w:w="57" w:type="dxa"/>
              <w:right w:w="57" w:type="dxa"/>
            </w:tcMar>
            <w:vAlign w:val="center"/>
          </w:tcPr>
          <w:p>
            <w:pPr>
              <w:spacing w:line="240" w:lineRule="auto"/>
              <w:ind w:firstLine="0" w:firstLineChars="0"/>
              <w:rPr>
                <w:bCs/>
                <w:color w:val="auto"/>
                <w:sz w:val="21"/>
                <w:szCs w:val="21"/>
              </w:rPr>
            </w:pPr>
            <w:r>
              <w:rPr>
                <w:bCs/>
                <w:color w:val="auto"/>
                <w:sz w:val="21"/>
                <w:szCs w:val="21"/>
              </w:rPr>
              <w:t>本项目养殖模式实现了干清粪，符合技术规范要求；适合进行大规模集约化养殖；实现了机械化操作，减少了劳动强度和人力资源消耗；固液分离效果良好；能耗少，占地面小。</w:t>
            </w:r>
          </w:p>
        </w:tc>
      </w:tr>
    </w:tbl>
    <w:p>
      <w:pPr>
        <w:pStyle w:val="37"/>
        <w:ind w:firstLine="480"/>
        <w:rPr>
          <w:bCs/>
          <w:color w:val="auto"/>
        </w:rPr>
      </w:pPr>
      <w:r>
        <w:rPr>
          <w:bCs/>
          <w:color w:val="auto"/>
        </w:rPr>
        <w:t>（2）资源能源利用指标</w:t>
      </w:r>
    </w:p>
    <w:p>
      <w:pPr>
        <w:pStyle w:val="37"/>
        <w:ind w:firstLine="480"/>
        <w:rPr>
          <w:bCs/>
          <w:color w:val="auto"/>
        </w:rPr>
      </w:pPr>
      <w:r>
        <w:rPr>
          <w:bCs/>
          <w:color w:val="auto"/>
        </w:rPr>
        <w:t>①饲料的利用</w:t>
      </w:r>
    </w:p>
    <w:p>
      <w:pPr>
        <w:pStyle w:val="37"/>
        <w:ind w:firstLine="480"/>
        <w:rPr>
          <w:bCs/>
          <w:color w:val="auto"/>
        </w:rPr>
      </w:pPr>
      <w:r>
        <w:rPr>
          <w:bCs/>
          <w:color w:val="auto"/>
        </w:rPr>
        <w:t>原材料的清洁生产指标主要从原材料的毒性、生态影响、可再生性、能源强度以及可回收利用这五个方面建立指标。生猪养殖所用饲料为玉米、豆粕、麸皮以及预混料，作为养殖项目，这些是必须消耗的，从清洁生产角度分析，其最终表征为饲料配比（即消耗量的多少、利用率的高低）、猪的料肉比、生长速度、出栏周期等方面。</w:t>
      </w:r>
    </w:p>
    <w:p>
      <w:pPr>
        <w:pStyle w:val="37"/>
        <w:ind w:firstLine="480"/>
        <w:rPr>
          <w:bCs/>
          <w:color w:val="auto"/>
        </w:rPr>
      </w:pPr>
      <w:r>
        <w:rPr>
          <w:bCs/>
          <w:color w:val="auto"/>
        </w:rPr>
        <w:t>合理选择适合自己场内养殖品种的饲料以及饲料配制比例，直接关联着饲料利用率和转化率的高低。项目喂养饲料由其他养殖厂统一供给，饲料内不含兴奋剂、镇静剂和各种违禁药品，各种饲料添加剂均不超标，符合《饲料卫生标准》（GB13078-2001）和《饲料和饲料添加剂管理条例》中的相关规定，保证了饲料的清洁性、营养型和安全性，避免了由原料带来的危害和损失，属清洁原料。</w:t>
      </w:r>
    </w:p>
    <w:p>
      <w:pPr>
        <w:pStyle w:val="37"/>
        <w:ind w:firstLine="480"/>
        <w:rPr>
          <w:bCs/>
          <w:color w:val="auto"/>
        </w:rPr>
      </w:pPr>
      <w:r>
        <w:rPr>
          <w:bCs/>
          <w:color w:val="auto"/>
        </w:rPr>
        <w:t>本工程各猪舍配套设置料基，公司结合项目特点，进行合理饲料配比。本项目主要以</w:t>
      </w:r>
      <w:r>
        <w:rPr>
          <w:rFonts w:hint="eastAsia"/>
          <w:bCs/>
          <w:color w:val="auto"/>
        </w:rPr>
        <w:t>育成猪</w:t>
      </w:r>
      <w:r>
        <w:rPr>
          <w:bCs/>
          <w:color w:val="auto"/>
        </w:rPr>
        <w:t>饲养为主，结合</w:t>
      </w:r>
      <w:r>
        <w:rPr>
          <w:rFonts w:hint="eastAsia"/>
          <w:bCs/>
          <w:color w:val="auto"/>
        </w:rPr>
        <w:t>育成猪</w:t>
      </w:r>
      <w:r>
        <w:rPr>
          <w:bCs/>
          <w:color w:val="auto"/>
        </w:rPr>
        <w:t>各阶段的生长特征，采用现代化自动饲养技术，合理分栏、调整饲料配比，提高饲料利用率，并能减少臭气产生量。</w:t>
      </w:r>
    </w:p>
    <w:p>
      <w:pPr>
        <w:pStyle w:val="37"/>
        <w:ind w:firstLine="480"/>
        <w:rPr>
          <w:bCs/>
          <w:color w:val="auto"/>
        </w:rPr>
      </w:pPr>
      <w:r>
        <w:rPr>
          <w:bCs/>
          <w:color w:val="auto"/>
        </w:rPr>
        <w:t>②水资源的利用</w:t>
      </w:r>
    </w:p>
    <w:p>
      <w:pPr>
        <w:pStyle w:val="37"/>
        <w:ind w:firstLine="480"/>
        <w:rPr>
          <w:bCs/>
          <w:color w:val="auto"/>
        </w:rPr>
      </w:pPr>
      <w:r>
        <w:rPr>
          <w:rFonts w:hint="eastAsia"/>
          <w:bCs/>
          <w:color w:val="auto"/>
        </w:rPr>
        <w:t>濮阳县牧原农牧有限公司为牧原</w:t>
      </w:r>
      <w:r>
        <w:rPr>
          <w:bCs/>
          <w:color w:val="auto"/>
        </w:rPr>
        <w:t>食品股份有限公司</w:t>
      </w:r>
      <w:r>
        <w:rPr>
          <w:rFonts w:hint="eastAsia"/>
          <w:bCs/>
          <w:color w:val="auto"/>
        </w:rPr>
        <w:t>子公司，</w:t>
      </w:r>
      <w:r>
        <w:rPr>
          <w:bCs/>
          <w:color w:val="auto"/>
        </w:rPr>
        <w:t>牧原食品股份有限公司自1992年建厂至今一直致力于节能减排、清洁生产、综合利用方面的研究，多次改进生产及治污措施，研制成功了多项节水、节能、减排的生产设备及治污方式，从源头控制水资源的利用。</w:t>
      </w:r>
    </w:p>
    <w:p>
      <w:pPr>
        <w:pStyle w:val="37"/>
        <w:ind w:firstLine="480"/>
        <w:rPr>
          <w:bCs/>
          <w:color w:val="auto"/>
        </w:rPr>
      </w:pPr>
      <w:r>
        <w:rPr>
          <w:bCs/>
          <w:color w:val="auto"/>
        </w:rPr>
        <w:t>本项目所采用的全漏缝地板（已取得专利技术，专利号：ZL2009 2 0224050.2），自身设计节约了原材料，根据不同阶段猪群设计漏缝地板缝宽，有效保护了不同阶段猪群的猪蹄，同时更保证了猪群排放的粪便全部落入粪道，确保了猪舍的干净卫生，不需每天清洗，只在转栏后，对猪舍漏缝板进行高压冲洗消毒，可最大程度减少猪舍冲洗用水。</w:t>
      </w:r>
    </w:p>
    <w:p>
      <w:pPr>
        <w:pStyle w:val="37"/>
        <w:ind w:firstLine="480"/>
        <w:rPr>
          <w:bCs/>
          <w:color w:val="auto"/>
        </w:rPr>
      </w:pPr>
      <w:r>
        <w:rPr>
          <w:bCs/>
          <w:color w:val="auto"/>
        </w:rPr>
        <w:t>本项目养殖过程中采用限位饮水器，有效减少了猪玩水及猪嘴漏水的浪费，并在日常工作中加强管理，定时定量结合重奖重罚，以杜绝设备滴漏造成的浪费。夏季降温采用电脑控制喷淋水量，猪转栏时利用高压水枪配合过氧乙酸溶液冲洗消毒，最大限度的从源头减少了水资源的使用量，提高了资源利用率，符合清洁生产要求。</w:t>
      </w:r>
    </w:p>
    <w:p>
      <w:pPr>
        <w:pStyle w:val="37"/>
        <w:ind w:firstLine="480"/>
        <w:rPr>
          <w:bCs/>
          <w:color w:val="auto"/>
        </w:rPr>
      </w:pPr>
      <w:r>
        <w:rPr>
          <w:bCs/>
          <w:color w:val="auto"/>
        </w:rPr>
        <w:t>此外，公司还采取电脑控制猪舍降温用水，根据牧原公司统计数据显示：通过电脑控制，降温用水量比传统方式减少了大约71%的用水量；使用自主研发的自动化饲喂系统，有效降低饲料搅拌过程用水量和饲料输送过程水分损耗</w:t>
      </w:r>
      <w:r>
        <w:rPr>
          <w:rFonts w:hint="eastAsia"/>
          <w:bCs/>
          <w:color w:val="auto"/>
        </w:rPr>
        <w:t>，</w:t>
      </w:r>
      <w:r>
        <w:rPr>
          <w:bCs/>
          <w:color w:val="auto"/>
        </w:rPr>
        <w:t>实行绩效管理，定量控制用水量。</w:t>
      </w:r>
    </w:p>
    <w:p>
      <w:pPr>
        <w:pStyle w:val="37"/>
        <w:ind w:firstLine="480"/>
        <w:rPr>
          <w:bCs/>
          <w:color w:val="auto"/>
        </w:rPr>
      </w:pPr>
      <w:r>
        <w:rPr>
          <w:bCs/>
          <w:color w:val="auto"/>
        </w:rPr>
        <w:t>综上，牧原公司对饲喂、清洁、降温等养殖过程中的各个环节均采取了节水措施，其节水效果远远高于全国同行业平均水平。</w:t>
      </w:r>
    </w:p>
    <w:p>
      <w:pPr>
        <w:pStyle w:val="37"/>
        <w:ind w:firstLine="480"/>
        <w:rPr>
          <w:bCs/>
          <w:color w:val="auto"/>
        </w:rPr>
      </w:pPr>
      <w:r>
        <w:rPr>
          <w:bCs/>
          <w:color w:val="auto"/>
        </w:rPr>
        <w:t>（3）产品指标</w:t>
      </w:r>
    </w:p>
    <w:p>
      <w:pPr>
        <w:pStyle w:val="37"/>
        <w:ind w:firstLine="480"/>
        <w:rPr>
          <w:bCs/>
          <w:color w:val="auto"/>
        </w:rPr>
      </w:pPr>
      <w:r>
        <w:rPr>
          <w:bCs/>
          <w:color w:val="auto"/>
        </w:rPr>
        <w:t>在我国，化肥的推广对农业增产增收起到了关键作用，然而，由于过量施用化学肥料，有机肥不足，致使农田生态环境和土壤理化性状等受到不同程度的破坏，在一定程度上影响了农产品的品质。我国农业产品要与西方国家和世界其它国家农产品进行竞争，其首要前提就是要推广施用“绿色无公害”肥料。以本项目产生的猪粪在堆肥发酵区制有机肥</w:t>
      </w:r>
      <w:r>
        <w:rPr>
          <w:rFonts w:hint="eastAsia"/>
          <w:bCs/>
          <w:color w:val="auto"/>
        </w:rPr>
        <w:t>基料</w:t>
      </w:r>
      <w:r>
        <w:rPr>
          <w:bCs/>
          <w:color w:val="auto"/>
        </w:rPr>
        <w:t>，不但实现了本项目猪粪的无害化处理，同时也实现了粪便废物的回收利用，同时猪粪生产的有机肥是发展绿色农业、生态农业、环保农业、高效农业的最理想的肥料，是当前和今后肥料生产的发展方向，使用该肥，可显著提高各种植物产品的品质，达到无公害、绿色、有机食品和产品的要求，符合清洁生产要求。</w:t>
      </w:r>
    </w:p>
    <w:p>
      <w:pPr>
        <w:pStyle w:val="37"/>
        <w:ind w:firstLine="480"/>
        <w:rPr>
          <w:bCs/>
          <w:color w:val="auto"/>
        </w:rPr>
      </w:pPr>
      <w:r>
        <w:rPr>
          <w:bCs/>
          <w:color w:val="auto"/>
        </w:rPr>
        <w:t>（4）污染物产生指标</w:t>
      </w:r>
    </w:p>
    <w:p>
      <w:pPr>
        <w:pStyle w:val="37"/>
        <w:ind w:firstLine="480"/>
        <w:rPr>
          <w:bCs/>
          <w:color w:val="auto"/>
        </w:rPr>
      </w:pPr>
      <w:r>
        <w:rPr>
          <w:bCs/>
          <w:color w:val="auto"/>
        </w:rPr>
        <w:t>项目污染物产生情况及防治措施见表3.1-1</w:t>
      </w:r>
      <w:r>
        <w:rPr>
          <w:rFonts w:hint="eastAsia"/>
          <w:bCs/>
          <w:color w:val="auto"/>
        </w:rPr>
        <w:t>3</w:t>
      </w:r>
      <w:r>
        <w:rPr>
          <w:bCs/>
          <w:color w:val="auto"/>
        </w:rPr>
        <w:t>。</w:t>
      </w:r>
    </w:p>
    <w:p>
      <w:pPr>
        <w:spacing w:line="500" w:lineRule="exact"/>
        <w:ind w:firstLine="482"/>
        <w:jc w:val="left"/>
        <w:rPr>
          <w:b/>
          <w:color w:val="auto"/>
          <w:szCs w:val="21"/>
          <w:u w:val="single"/>
        </w:rPr>
      </w:pPr>
      <w:r>
        <w:rPr>
          <w:b/>
          <w:color w:val="auto"/>
          <w:szCs w:val="21"/>
        </w:rPr>
        <w:t>表3.1-1</w:t>
      </w:r>
      <w:r>
        <w:rPr>
          <w:rFonts w:hint="eastAsia"/>
          <w:b/>
          <w:color w:val="auto"/>
          <w:szCs w:val="21"/>
        </w:rPr>
        <w:t>3</w:t>
      </w:r>
      <w:r>
        <w:rPr>
          <w:b/>
          <w:color w:val="auto"/>
          <w:szCs w:val="21"/>
        </w:rPr>
        <w:t xml:space="preserve">               主要污染物产生情况一览表</w:t>
      </w:r>
    </w:p>
    <w:tbl>
      <w:tblPr>
        <w:tblStyle w:val="27"/>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96"/>
        <w:gridCol w:w="2016"/>
        <w:gridCol w:w="2065"/>
        <w:gridCol w:w="300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966" w:type="pct"/>
            <w:tcMar>
              <w:left w:w="28" w:type="dxa"/>
              <w:right w:w="28" w:type="dxa"/>
            </w:tcMar>
            <w:vAlign w:val="center"/>
          </w:tcPr>
          <w:p>
            <w:pPr>
              <w:spacing w:line="240" w:lineRule="auto"/>
              <w:ind w:firstLine="0" w:firstLineChars="0"/>
              <w:jc w:val="center"/>
              <w:rPr>
                <w:bCs/>
                <w:color w:val="auto"/>
                <w:sz w:val="21"/>
                <w:szCs w:val="21"/>
              </w:rPr>
            </w:pPr>
            <w:r>
              <w:rPr>
                <w:bCs/>
                <w:color w:val="auto"/>
                <w:sz w:val="21"/>
                <w:szCs w:val="21"/>
              </w:rPr>
              <w:t>工艺</w:t>
            </w:r>
          </w:p>
        </w:tc>
        <w:tc>
          <w:tcPr>
            <w:tcW w:w="1147" w:type="pct"/>
            <w:tcMar>
              <w:left w:w="28" w:type="dxa"/>
              <w:right w:w="28" w:type="dxa"/>
            </w:tcMar>
            <w:vAlign w:val="center"/>
          </w:tcPr>
          <w:p>
            <w:pPr>
              <w:spacing w:line="240" w:lineRule="auto"/>
              <w:ind w:firstLine="0" w:firstLineChars="0"/>
              <w:jc w:val="center"/>
              <w:rPr>
                <w:bCs/>
                <w:color w:val="auto"/>
                <w:sz w:val="21"/>
                <w:szCs w:val="21"/>
              </w:rPr>
            </w:pPr>
            <w:r>
              <w:rPr>
                <w:bCs/>
                <w:color w:val="auto"/>
                <w:sz w:val="21"/>
                <w:szCs w:val="21"/>
              </w:rPr>
              <w:t>工段</w:t>
            </w:r>
          </w:p>
        </w:tc>
        <w:tc>
          <w:tcPr>
            <w:tcW w:w="1175" w:type="pct"/>
            <w:tcMar>
              <w:left w:w="28" w:type="dxa"/>
              <w:right w:w="28" w:type="dxa"/>
            </w:tcMar>
            <w:vAlign w:val="center"/>
          </w:tcPr>
          <w:p>
            <w:pPr>
              <w:spacing w:line="240" w:lineRule="auto"/>
              <w:ind w:firstLine="0" w:firstLineChars="0"/>
              <w:jc w:val="center"/>
              <w:rPr>
                <w:bCs/>
                <w:color w:val="auto"/>
                <w:sz w:val="21"/>
                <w:szCs w:val="21"/>
              </w:rPr>
            </w:pPr>
            <w:r>
              <w:rPr>
                <w:bCs/>
                <w:color w:val="auto"/>
                <w:sz w:val="21"/>
                <w:szCs w:val="21"/>
              </w:rPr>
              <w:t>主要污染物</w:t>
            </w:r>
          </w:p>
        </w:tc>
        <w:tc>
          <w:tcPr>
            <w:tcW w:w="1711" w:type="pct"/>
            <w:tcMar>
              <w:left w:w="28" w:type="dxa"/>
              <w:right w:w="28" w:type="dxa"/>
            </w:tcMar>
            <w:vAlign w:val="center"/>
          </w:tcPr>
          <w:p>
            <w:pPr>
              <w:spacing w:line="240" w:lineRule="auto"/>
              <w:ind w:firstLine="0" w:firstLineChars="0"/>
              <w:jc w:val="center"/>
              <w:rPr>
                <w:bCs/>
                <w:color w:val="auto"/>
                <w:sz w:val="21"/>
                <w:szCs w:val="21"/>
              </w:rPr>
            </w:pPr>
            <w:r>
              <w:rPr>
                <w:bCs/>
                <w:color w:val="auto"/>
                <w:sz w:val="21"/>
                <w:szCs w:val="21"/>
              </w:rPr>
              <w:t>处理措施</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0" w:hRule="atLeast"/>
          <w:jc w:val="center"/>
        </w:trPr>
        <w:tc>
          <w:tcPr>
            <w:tcW w:w="966" w:type="pct"/>
            <w:vMerge w:val="restart"/>
            <w:tcMar>
              <w:left w:w="28" w:type="dxa"/>
              <w:right w:w="28" w:type="dxa"/>
            </w:tcMar>
            <w:vAlign w:val="center"/>
          </w:tcPr>
          <w:p>
            <w:pPr>
              <w:spacing w:line="240" w:lineRule="auto"/>
              <w:ind w:firstLine="0" w:firstLineChars="0"/>
              <w:jc w:val="center"/>
              <w:rPr>
                <w:bCs/>
                <w:color w:val="auto"/>
                <w:sz w:val="21"/>
                <w:szCs w:val="21"/>
              </w:rPr>
            </w:pPr>
            <w:r>
              <w:rPr>
                <w:bCs/>
                <w:color w:val="auto"/>
                <w:sz w:val="21"/>
                <w:szCs w:val="21"/>
              </w:rPr>
              <w:t>生猪养殖</w:t>
            </w:r>
          </w:p>
        </w:tc>
        <w:tc>
          <w:tcPr>
            <w:tcW w:w="1147" w:type="pct"/>
            <w:tcMar>
              <w:left w:w="28" w:type="dxa"/>
              <w:right w:w="28" w:type="dxa"/>
            </w:tcMar>
            <w:vAlign w:val="center"/>
          </w:tcPr>
          <w:p>
            <w:pPr>
              <w:spacing w:line="240" w:lineRule="auto"/>
              <w:ind w:firstLine="0" w:firstLineChars="0"/>
              <w:jc w:val="center"/>
              <w:rPr>
                <w:bCs/>
                <w:color w:val="auto"/>
                <w:sz w:val="21"/>
                <w:szCs w:val="21"/>
              </w:rPr>
            </w:pPr>
            <w:r>
              <w:rPr>
                <w:bCs/>
                <w:color w:val="auto"/>
                <w:sz w:val="21"/>
                <w:szCs w:val="21"/>
              </w:rPr>
              <w:t>所有工段</w:t>
            </w:r>
          </w:p>
        </w:tc>
        <w:tc>
          <w:tcPr>
            <w:tcW w:w="1175" w:type="pct"/>
            <w:tcMar>
              <w:left w:w="28" w:type="dxa"/>
              <w:right w:w="28" w:type="dxa"/>
            </w:tcMar>
            <w:vAlign w:val="center"/>
          </w:tcPr>
          <w:p>
            <w:pPr>
              <w:spacing w:line="240" w:lineRule="auto"/>
              <w:ind w:firstLine="0" w:firstLineChars="0"/>
              <w:jc w:val="center"/>
              <w:rPr>
                <w:bCs/>
                <w:color w:val="auto"/>
                <w:sz w:val="21"/>
                <w:szCs w:val="21"/>
              </w:rPr>
            </w:pPr>
            <w:r>
              <w:rPr>
                <w:bCs/>
                <w:color w:val="auto"/>
                <w:sz w:val="21"/>
                <w:szCs w:val="21"/>
              </w:rPr>
              <w:t>噪声</w:t>
            </w:r>
          </w:p>
        </w:tc>
        <w:tc>
          <w:tcPr>
            <w:tcW w:w="1711" w:type="pct"/>
            <w:tcMar>
              <w:left w:w="28" w:type="dxa"/>
              <w:right w:w="28" w:type="dxa"/>
            </w:tcMar>
            <w:vAlign w:val="center"/>
          </w:tcPr>
          <w:p>
            <w:pPr>
              <w:spacing w:line="240" w:lineRule="auto"/>
              <w:ind w:firstLine="0" w:firstLineChars="0"/>
              <w:jc w:val="center"/>
              <w:rPr>
                <w:bCs/>
                <w:color w:val="auto"/>
                <w:sz w:val="21"/>
                <w:szCs w:val="21"/>
              </w:rPr>
            </w:pPr>
            <w:r>
              <w:rPr>
                <w:bCs/>
                <w:color w:val="auto"/>
                <w:sz w:val="21"/>
                <w:szCs w:val="21"/>
              </w:rPr>
              <w:t>建设围墙</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8" w:hRule="atLeast"/>
          <w:jc w:val="center"/>
        </w:trPr>
        <w:tc>
          <w:tcPr>
            <w:tcW w:w="966" w:type="pct"/>
            <w:vMerge w:val="continue"/>
            <w:tcMar>
              <w:left w:w="28" w:type="dxa"/>
              <w:right w:w="28" w:type="dxa"/>
            </w:tcMar>
            <w:vAlign w:val="center"/>
          </w:tcPr>
          <w:p>
            <w:pPr>
              <w:spacing w:line="240" w:lineRule="auto"/>
              <w:ind w:firstLine="0" w:firstLineChars="0"/>
              <w:jc w:val="center"/>
              <w:rPr>
                <w:bCs/>
                <w:color w:val="auto"/>
                <w:sz w:val="21"/>
                <w:szCs w:val="21"/>
              </w:rPr>
            </w:pPr>
          </w:p>
        </w:tc>
        <w:tc>
          <w:tcPr>
            <w:tcW w:w="1147" w:type="pct"/>
            <w:tcMar>
              <w:left w:w="28" w:type="dxa"/>
              <w:right w:w="28" w:type="dxa"/>
            </w:tcMar>
            <w:vAlign w:val="center"/>
          </w:tcPr>
          <w:p>
            <w:pPr>
              <w:spacing w:line="240" w:lineRule="auto"/>
              <w:ind w:firstLine="0" w:firstLineChars="0"/>
              <w:jc w:val="center"/>
              <w:rPr>
                <w:bCs/>
                <w:color w:val="auto"/>
                <w:sz w:val="21"/>
                <w:szCs w:val="21"/>
              </w:rPr>
            </w:pPr>
            <w:r>
              <w:rPr>
                <w:bCs/>
                <w:color w:val="auto"/>
                <w:sz w:val="21"/>
                <w:szCs w:val="21"/>
              </w:rPr>
              <w:t>所有工段</w:t>
            </w:r>
          </w:p>
        </w:tc>
        <w:tc>
          <w:tcPr>
            <w:tcW w:w="1175" w:type="pct"/>
            <w:tcMar>
              <w:left w:w="28" w:type="dxa"/>
              <w:right w:w="28" w:type="dxa"/>
            </w:tcMar>
            <w:vAlign w:val="center"/>
          </w:tcPr>
          <w:p>
            <w:pPr>
              <w:spacing w:line="240" w:lineRule="auto"/>
              <w:ind w:firstLine="0" w:firstLineChars="0"/>
              <w:jc w:val="center"/>
              <w:rPr>
                <w:bCs/>
                <w:color w:val="auto"/>
                <w:sz w:val="21"/>
                <w:szCs w:val="21"/>
              </w:rPr>
            </w:pPr>
            <w:r>
              <w:rPr>
                <w:bCs/>
                <w:color w:val="auto"/>
                <w:sz w:val="21"/>
                <w:szCs w:val="21"/>
              </w:rPr>
              <w:t>粪便、尿液、恶臭</w:t>
            </w:r>
          </w:p>
        </w:tc>
        <w:tc>
          <w:tcPr>
            <w:tcW w:w="1711" w:type="pct"/>
            <w:tcMar>
              <w:left w:w="28" w:type="dxa"/>
              <w:right w:w="28" w:type="dxa"/>
            </w:tcMar>
            <w:vAlign w:val="center"/>
          </w:tcPr>
          <w:p>
            <w:pPr>
              <w:spacing w:line="240" w:lineRule="auto"/>
              <w:ind w:firstLine="0" w:firstLineChars="0"/>
              <w:jc w:val="center"/>
              <w:rPr>
                <w:bCs/>
                <w:color w:val="auto"/>
                <w:sz w:val="21"/>
                <w:szCs w:val="21"/>
              </w:rPr>
            </w:pPr>
            <w:r>
              <w:rPr>
                <w:bCs/>
                <w:color w:val="auto"/>
                <w:sz w:val="21"/>
                <w:szCs w:val="21"/>
              </w:rPr>
              <w:t>综合利用与污染治理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6" w:type="pct"/>
            <w:vMerge w:val="restart"/>
            <w:tcMar>
              <w:left w:w="28" w:type="dxa"/>
              <w:right w:w="28" w:type="dxa"/>
            </w:tcMar>
            <w:vAlign w:val="center"/>
          </w:tcPr>
          <w:p>
            <w:pPr>
              <w:spacing w:line="240" w:lineRule="auto"/>
              <w:ind w:firstLine="0" w:firstLineChars="0"/>
              <w:jc w:val="center"/>
              <w:rPr>
                <w:bCs/>
                <w:color w:val="auto"/>
                <w:sz w:val="21"/>
                <w:szCs w:val="21"/>
              </w:rPr>
            </w:pPr>
            <w:r>
              <w:rPr>
                <w:bCs/>
                <w:color w:val="auto"/>
                <w:sz w:val="21"/>
                <w:szCs w:val="21"/>
              </w:rPr>
              <w:t>污染治理与综合利用</w:t>
            </w:r>
          </w:p>
        </w:tc>
        <w:tc>
          <w:tcPr>
            <w:tcW w:w="1147" w:type="pct"/>
            <w:tcMar>
              <w:left w:w="28" w:type="dxa"/>
              <w:right w:w="28" w:type="dxa"/>
            </w:tcMar>
            <w:vAlign w:val="center"/>
          </w:tcPr>
          <w:p>
            <w:pPr>
              <w:spacing w:line="240" w:lineRule="auto"/>
              <w:ind w:firstLine="0" w:firstLineChars="0"/>
              <w:jc w:val="center"/>
              <w:rPr>
                <w:bCs/>
                <w:color w:val="auto"/>
                <w:sz w:val="21"/>
                <w:szCs w:val="21"/>
              </w:rPr>
            </w:pPr>
            <w:r>
              <w:rPr>
                <w:bCs/>
                <w:color w:val="auto"/>
                <w:sz w:val="21"/>
                <w:szCs w:val="21"/>
              </w:rPr>
              <w:t>厌氧发酵系统</w:t>
            </w:r>
          </w:p>
        </w:tc>
        <w:tc>
          <w:tcPr>
            <w:tcW w:w="1175" w:type="pct"/>
            <w:tcMar>
              <w:left w:w="28" w:type="dxa"/>
              <w:right w:w="28" w:type="dxa"/>
            </w:tcMar>
            <w:vAlign w:val="center"/>
          </w:tcPr>
          <w:p>
            <w:pPr>
              <w:spacing w:line="240" w:lineRule="auto"/>
              <w:ind w:firstLine="0" w:firstLineChars="0"/>
              <w:jc w:val="center"/>
              <w:rPr>
                <w:bCs/>
                <w:color w:val="auto"/>
                <w:sz w:val="21"/>
                <w:szCs w:val="21"/>
              </w:rPr>
            </w:pPr>
            <w:r>
              <w:rPr>
                <w:bCs/>
                <w:color w:val="auto"/>
                <w:sz w:val="21"/>
                <w:szCs w:val="21"/>
              </w:rPr>
              <w:t>沼液</w:t>
            </w:r>
          </w:p>
        </w:tc>
        <w:tc>
          <w:tcPr>
            <w:tcW w:w="1711" w:type="pct"/>
            <w:tcMar>
              <w:left w:w="28" w:type="dxa"/>
              <w:right w:w="28" w:type="dxa"/>
            </w:tcMar>
            <w:vAlign w:val="center"/>
          </w:tcPr>
          <w:p>
            <w:pPr>
              <w:spacing w:line="240" w:lineRule="auto"/>
              <w:ind w:firstLine="0" w:firstLineChars="0"/>
              <w:jc w:val="center"/>
              <w:rPr>
                <w:bCs/>
                <w:color w:val="auto"/>
                <w:sz w:val="21"/>
                <w:szCs w:val="21"/>
              </w:rPr>
            </w:pPr>
            <w:r>
              <w:rPr>
                <w:bCs/>
                <w:color w:val="auto"/>
                <w:sz w:val="21"/>
                <w:szCs w:val="21"/>
              </w:rPr>
              <w:t>综合利用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4" w:hRule="atLeast"/>
          <w:jc w:val="center"/>
        </w:trPr>
        <w:tc>
          <w:tcPr>
            <w:tcW w:w="966" w:type="pct"/>
            <w:vMerge w:val="continue"/>
            <w:tcMar>
              <w:left w:w="28" w:type="dxa"/>
              <w:right w:w="28" w:type="dxa"/>
            </w:tcMar>
            <w:vAlign w:val="center"/>
          </w:tcPr>
          <w:p>
            <w:pPr>
              <w:spacing w:line="240" w:lineRule="auto"/>
              <w:ind w:firstLine="0" w:firstLineChars="0"/>
              <w:jc w:val="center"/>
              <w:rPr>
                <w:bCs/>
                <w:color w:val="auto"/>
                <w:sz w:val="21"/>
                <w:szCs w:val="21"/>
              </w:rPr>
            </w:pPr>
          </w:p>
        </w:tc>
        <w:tc>
          <w:tcPr>
            <w:tcW w:w="1147" w:type="pct"/>
            <w:tcMar>
              <w:left w:w="28" w:type="dxa"/>
              <w:right w:w="28" w:type="dxa"/>
            </w:tcMar>
            <w:vAlign w:val="center"/>
          </w:tcPr>
          <w:p>
            <w:pPr>
              <w:spacing w:line="240" w:lineRule="auto"/>
              <w:ind w:firstLine="0" w:firstLineChars="0"/>
              <w:jc w:val="center"/>
              <w:rPr>
                <w:bCs/>
                <w:color w:val="auto"/>
                <w:sz w:val="21"/>
                <w:szCs w:val="21"/>
              </w:rPr>
            </w:pPr>
            <w:r>
              <w:rPr>
                <w:bCs/>
                <w:color w:val="auto"/>
                <w:sz w:val="21"/>
                <w:szCs w:val="21"/>
              </w:rPr>
              <w:t>所有工段</w:t>
            </w:r>
          </w:p>
        </w:tc>
        <w:tc>
          <w:tcPr>
            <w:tcW w:w="1175" w:type="pct"/>
            <w:tcMar>
              <w:left w:w="28" w:type="dxa"/>
              <w:right w:w="28" w:type="dxa"/>
            </w:tcMar>
            <w:vAlign w:val="center"/>
          </w:tcPr>
          <w:p>
            <w:pPr>
              <w:spacing w:line="240" w:lineRule="auto"/>
              <w:ind w:firstLine="0" w:firstLineChars="0"/>
              <w:jc w:val="center"/>
              <w:rPr>
                <w:bCs/>
                <w:color w:val="auto"/>
                <w:sz w:val="21"/>
                <w:szCs w:val="21"/>
              </w:rPr>
            </w:pPr>
            <w:r>
              <w:rPr>
                <w:bCs/>
                <w:color w:val="auto"/>
                <w:sz w:val="21"/>
                <w:szCs w:val="21"/>
              </w:rPr>
              <w:t>噪声</w:t>
            </w:r>
          </w:p>
        </w:tc>
        <w:tc>
          <w:tcPr>
            <w:tcW w:w="1711" w:type="pct"/>
            <w:tcMar>
              <w:left w:w="28" w:type="dxa"/>
              <w:right w:w="28" w:type="dxa"/>
            </w:tcMar>
            <w:vAlign w:val="center"/>
          </w:tcPr>
          <w:p>
            <w:pPr>
              <w:spacing w:line="240" w:lineRule="auto"/>
              <w:ind w:firstLine="0" w:firstLineChars="0"/>
              <w:jc w:val="center"/>
              <w:rPr>
                <w:bCs/>
                <w:color w:val="auto"/>
                <w:sz w:val="21"/>
                <w:szCs w:val="21"/>
              </w:rPr>
            </w:pPr>
            <w:r>
              <w:rPr>
                <w:bCs/>
                <w:color w:val="auto"/>
                <w:sz w:val="21"/>
                <w:szCs w:val="21"/>
              </w:rPr>
              <w:t>基础减振密闭隔声、绿化带降噪</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4" w:hRule="atLeast"/>
          <w:jc w:val="center"/>
        </w:trPr>
        <w:tc>
          <w:tcPr>
            <w:tcW w:w="966" w:type="pct"/>
            <w:vMerge w:val="continue"/>
            <w:tcMar>
              <w:left w:w="28" w:type="dxa"/>
              <w:right w:w="28" w:type="dxa"/>
            </w:tcMar>
            <w:vAlign w:val="center"/>
          </w:tcPr>
          <w:p>
            <w:pPr>
              <w:spacing w:line="240" w:lineRule="auto"/>
              <w:ind w:firstLine="0" w:firstLineChars="0"/>
              <w:jc w:val="center"/>
              <w:rPr>
                <w:bCs/>
                <w:color w:val="auto"/>
                <w:sz w:val="21"/>
                <w:szCs w:val="21"/>
              </w:rPr>
            </w:pPr>
          </w:p>
        </w:tc>
        <w:tc>
          <w:tcPr>
            <w:tcW w:w="1147" w:type="pct"/>
            <w:tcMar>
              <w:left w:w="28" w:type="dxa"/>
              <w:right w:w="28" w:type="dxa"/>
            </w:tcMar>
            <w:vAlign w:val="center"/>
          </w:tcPr>
          <w:p>
            <w:pPr>
              <w:spacing w:line="240" w:lineRule="auto"/>
              <w:ind w:firstLine="0" w:firstLineChars="0"/>
              <w:jc w:val="center"/>
              <w:rPr>
                <w:bCs/>
                <w:color w:val="auto"/>
                <w:sz w:val="21"/>
                <w:szCs w:val="21"/>
              </w:rPr>
            </w:pPr>
            <w:r>
              <w:rPr>
                <w:bCs/>
                <w:color w:val="auto"/>
                <w:sz w:val="21"/>
                <w:szCs w:val="21"/>
              </w:rPr>
              <w:t>养殖</w:t>
            </w:r>
          </w:p>
        </w:tc>
        <w:tc>
          <w:tcPr>
            <w:tcW w:w="1175" w:type="pct"/>
            <w:tcMar>
              <w:left w:w="28" w:type="dxa"/>
              <w:right w:w="28" w:type="dxa"/>
            </w:tcMar>
            <w:vAlign w:val="center"/>
          </w:tcPr>
          <w:p>
            <w:pPr>
              <w:spacing w:line="240" w:lineRule="auto"/>
              <w:ind w:firstLine="0" w:firstLineChars="0"/>
              <w:jc w:val="center"/>
              <w:rPr>
                <w:bCs/>
                <w:color w:val="auto"/>
                <w:sz w:val="21"/>
                <w:szCs w:val="21"/>
              </w:rPr>
            </w:pPr>
            <w:r>
              <w:rPr>
                <w:bCs/>
                <w:color w:val="auto"/>
                <w:sz w:val="21"/>
                <w:szCs w:val="21"/>
              </w:rPr>
              <w:t>病死猪</w:t>
            </w:r>
          </w:p>
        </w:tc>
        <w:tc>
          <w:tcPr>
            <w:tcW w:w="1711" w:type="pct"/>
            <w:tcMar>
              <w:left w:w="28" w:type="dxa"/>
              <w:right w:w="28" w:type="dxa"/>
            </w:tcMar>
            <w:vAlign w:val="center"/>
          </w:tcPr>
          <w:p>
            <w:pPr>
              <w:spacing w:line="240" w:lineRule="auto"/>
              <w:ind w:firstLine="0" w:firstLineChars="0"/>
              <w:jc w:val="center"/>
              <w:rPr>
                <w:bCs/>
                <w:color w:val="auto"/>
                <w:sz w:val="21"/>
                <w:szCs w:val="21"/>
              </w:rPr>
            </w:pPr>
            <w:r>
              <w:rPr>
                <w:bCs/>
                <w:color w:val="auto"/>
                <w:sz w:val="21"/>
                <w:szCs w:val="21"/>
              </w:rPr>
              <w:t>在厂区内无害化处理后</w:t>
            </w:r>
            <w:r>
              <w:rPr>
                <w:rFonts w:hint="eastAsia"/>
                <w:bCs/>
                <w:color w:val="auto"/>
                <w:sz w:val="21"/>
                <w:szCs w:val="21"/>
              </w:rPr>
              <w:t>制作有机肥基料</w:t>
            </w:r>
          </w:p>
        </w:tc>
      </w:tr>
    </w:tbl>
    <w:p>
      <w:pPr>
        <w:pStyle w:val="37"/>
        <w:ind w:firstLine="480"/>
        <w:rPr>
          <w:bCs/>
          <w:color w:val="auto"/>
        </w:rPr>
      </w:pPr>
      <w:r>
        <w:rPr>
          <w:bCs/>
          <w:color w:val="auto"/>
        </w:rPr>
        <w:t>①废水资源化利用</w:t>
      </w:r>
    </w:p>
    <w:p>
      <w:pPr>
        <w:pStyle w:val="37"/>
        <w:ind w:firstLine="480"/>
        <w:rPr>
          <w:bCs/>
          <w:color w:val="auto"/>
        </w:rPr>
      </w:pPr>
      <w:r>
        <w:rPr>
          <w:bCs/>
          <w:color w:val="auto"/>
        </w:rPr>
        <w:t>正常情况下项目产生的养殖废水经厌氧发酵处理后沼液全部作为农肥用于农田，农闲季节及雨季由</w:t>
      </w:r>
      <w:r>
        <w:rPr>
          <w:rFonts w:hint="eastAsia"/>
          <w:bCs/>
          <w:color w:val="auto"/>
        </w:rPr>
        <w:t>黑膜沼气池</w:t>
      </w:r>
      <w:r>
        <w:rPr>
          <w:bCs/>
          <w:color w:val="auto"/>
        </w:rPr>
        <w:t>暂时贮存，最大限度的满足资源再利用，不外排。厌氧发酵产生的沼气进行脱水、脱硫等净化处理。沼气宜作为燃料直接利用，本次工程厌氧处理系统产生的沼气用于食堂用气</w:t>
      </w:r>
      <w:r>
        <w:rPr>
          <w:rFonts w:hint="eastAsia"/>
          <w:bCs/>
          <w:color w:val="auto"/>
        </w:rPr>
        <w:t>，多余沼气采用火炬燃烧放空</w:t>
      </w:r>
      <w:r>
        <w:rPr>
          <w:bCs/>
          <w:color w:val="auto"/>
        </w:rPr>
        <w:t>。</w:t>
      </w:r>
    </w:p>
    <w:p>
      <w:pPr>
        <w:pStyle w:val="37"/>
        <w:ind w:firstLine="480"/>
        <w:rPr>
          <w:bCs/>
          <w:color w:val="auto"/>
        </w:rPr>
      </w:pPr>
      <w:r>
        <w:rPr>
          <w:bCs/>
          <w:color w:val="auto"/>
        </w:rPr>
        <w:t>②废气排放达标</w:t>
      </w:r>
    </w:p>
    <w:p>
      <w:pPr>
        <w:pStyle w:val="37"/>
        <w:ind w:firstLine="480"/>
        <w:rPr>
          <w:bCs/>
          <w:color w:val="auto"/>
        </w:rPr>
      </w:pPr>
      <w:r>
        <w:rPr>
          <w:bCs/>
          <w:color w:val="auto"/>
        </w:rPr>
        <w:t>项目废气排放主要为恶臭气体。臭气主要来自养殖区、固粪处理区、污水处理</w:t>
      </w:r>
      <w:r>
        <w:rPr>
          <w:rFonts w:hint="eastAsia"/>
          <w:bCs/>
          <w:color w:val="auto"/>
        </w:rPr>
        <w:t>区</w:t>
      </w:r>
      <w:r>
        <w:rPr>
          <w:bCs/>
          <w:color w:val="auto"/>
        </w:rPr>
        <w:t>等，通过及时冲圈、喷洒除臭剂</w:t>
      </w:r>
      <w:r>
        <w:rPr>
          <w:rFonts w:hint="eastAsia"/>
          <w:bCs/>
          <w:color w:val="auto"/>
        </w:rPr>
        <w:t>、周边绿化</w:t>
      </w:r>
      <w:r>
        <w:rPr>
          <w:bCs/>
          <w:color w:val="auto"/>
        </w:rPr>
        <w:t>等措施保证</w:t>
      </w:r>
      <w:r>
        <w:rPr>
          <w:rFonts w:hint="eastAsia"/>
          <w:bCs/>
          <w:color w:val="auto"/>
        </w:rPr>
        <w:t>厂界</w:t>
      </w:r>
      <w:r>
        <w:rPr>
          <w:bCs/>
          <w:color w:val="auto"/>
        </w:rPr>
        <w:t>臭气排放达标。NH</w:t>
      </w:r>
      <w:r>
        <w:rPr>
          <w:bCs/>
          <w:color w:val="auto"/>
          <w:vertAlign w:val="subscript"/>
        </w:rPr>
        <w:t>3</w:t>
      </w:r>
      <w:r>
        <w:rPr>
          <w:bCs/>
          <w:color w:val="auto"/>
        </w:rPr>
        <w:t>和H</w:t>
      </w:r>
      <w:r>
        <w:rPr>
          <w:bCs/>
          <w:color w:val="auto"/>
          <w:vertAlign w:val="subscript"/>
        </w:rPr>
        <w:t>2</w:t>
      </w:r>
      <w:r>
        <w:rPr>
          <w:bCs/>
          <w:color w:val="auto"/>
        </w:rPr>
        <w:t>S执行《恶臭污染物排放标准》</w:t>
      </w:r>
      <w:r>
        <w:rPr>
          <w:rFonts w:hint="eastAsia"/>
          <w:bCs/>
          <w:color w:val="auto"/>
        </w:rPr>
        <w:t>（GB14554-93）</w:t>
      </w:r>
      <w:r>
        <w:rPr>
          <w:bCs/>
          <w:color w:val="auto"/>
        </w:rPr>
        <w:t>，臭气浓度执行《畜禽养殖业污染物排放标准》。</w:t>
      </w:r>
    </w:p>
    <w:p>
      <w:pPr>
        <w:pStyle w:val="37"/>
        <w:ind w:firstLine="480"/>
        <w:rPr>
          <w:bCs/>
          <w:color w:val="auto"/>
        </w:rPr>
      </w:pPr>
      <w:r>
        <w:rPr>
          <w:bCs/>
          <w:color w:val="auto"/>
        </w:rPr>
        <w:t>③噪声达标排放</w:t>
      </w:r>
    </w:p>
    <w:p>
      <w:pPr>
        <w:pStyle w:val="37"/>
        <w:ind w:firstLine="480"/>
        <w:rPr>
          <w:bCs/>
          <w:color w:val="auto"/>
        </w:rPr>
      </w:pPr>
      <w:r>
        <w:rPr>
          <w:bCs/>
          <w:color w:val="auto"/>
        </w:rPr>
        <w:t>项目营运期间猪舍风机运转、污水处理设施设备运转产生的噪声，通过采取设备基础减振、场房密闭隔声等措施，再经</w:t>
      </w:r>
      <w:r>
        <w:rPr>
          <w:rFonts w:hint="eastAsia"/>
          <w:bCs/>
          <w:color w:val="auto"/>
        </w:rPr>
        <w:t>厂界</w:t>
      </w:r>
      <w:r>
        <w:rPr>
          <w:bCs/>
          <w:color w:val="auto"/>
        </w:rPr>
        <w:t>距离衰减后，可以在</w:t>
      </w:r>
      <w:r>
        <w:rPr>
          <w:rFonts w:hint="eastAsia"/>
          <w:bCs/>
          <w:color w:val="auto"/>
        </w:rPr>
        <w:t>厂界</w:t>
      </w:r>
      <w:r>
        <w:rPr>
          <w:bCs/>
          <w:color w:val="auto"/>
        </w:rPr>
        <w:t>噪声达标排放。</w:t>
      </w:r>
    </w:p>
    <w:p>
      <w:pPr>
        <w:pStyle w:val="37"/>
        <w:ind w:firstLine="480"/>
        <w:rPr>
          <w:bCs/>
          <w:color w:val="auto"/>
        </w:rPr>
      </w:pPr>
      <w:r>
        <w:rPr>
          <w:bCs/>
          <w:color w:val="auto"/>
        </w:rPr>
        <w:t>④固体废物资源化利用</w:t>
      </w:r>
    </w:p>
    <w:p>
      <w:pPr>
        <w:pStyle w:val="37"/>
        <w:ind w:firstLine="480"/>
        <w:rPr>
          <w:bCs/>
          <w:color w:val="auto"/>
        </w:rPr>
      </w:pPr>
      <w:r>
        <w:rPr>
          <w:bCs/>
          <w:color w:val="auto"/>
        </w:rPr>
        <w:t>本项目猪粪既是固废同时也是极佳的农肥，通过</w:t>
      </w:r>
      <w:r>
        <w:rPr>
          <w:rFonts w:hint="eastAsia"/>
          <w:bCs/>
          <w:color w:val="auto"/>
        </w:rPr>
        <w:t>厂区固粪处理区</w:t>
      </w:r>
      <w:r>
        <w:rPr>
          <w:bCs/>
          <w:color w:val="auto"/>
        </w:rPr>
        <w:t>处理后转化为有机农肥还田利用，并进一步替代化肥使用量；病死猪高温化制处理后的残渣作为原料，外售于有机肥料厂。固废进行了资源化利用，具有良好的生态环境效益和社会效益。</w:t>
      </w:r>
    </w:p>
    <w:p>
      <w:pPr>
        <w:pStyle w:val="37"/>
        <w:ind w:firstLine="480"/>
        <w:rPr>
          <w:bCs/>
          <w:color w:val="auto"/>
        </w:rPr>
      </w:pPr>
      <w:r>
        <w:rPr>
          <w:bCs/>
          <w:color w:val="auto"/>
        </w:rPr>
        <w:t>⑤猪舍内部热循环</w:t>
      </w:r>
    </w:p>
    <w:p>
      <w:pPr>
        <w:pStyle w:val="37"/>
        <w:ind w:firstLine="480"/>
        <w:rPr>
          <w:bCs/>
          <w:color w:val="auto"/>
        </w:rPr>
      </w:pPr>
      <w:r>
        <w:rPr>
          <w:bCs/>
          <w:color w:val="auto"/>
        </w:rPr>
        <w:t>本项目不设取暖锅炉，冬季猪舍取暖采用内部热循环系统，在抽走猪舍内污浊高温空气的同时，使新鲜空气进入猪舍，利用猪自身的体表散热，通过热交换使新鲜空气温度大大提高，并通过布风管均匀进入猪舍内，既满足了猪群对新鲜空气的需求，又防止了过度通风带来不必要的热量损失。</w:t>
      </w:r>
    </w:p>
    <w:p>
      <w:pPr>
        <w:pStyle w:val="37"/>
        <w:ind w:firstLine="480"/>
        <w:rPr>
          <w:bCs/>
          <w:color w:val="auto"/>
        </w:rPr>
      </w:pPr>
      <w:r>
        <w:rPr>
          <w:bCs/>
          <w:color w:val="auto"/>
        </w:rPr>
        <w:t>（5）废物回收利用指标</w:t>
      </w:r>
    </w:p>
    <w:p>
      <w:pPr>
        <w:pStyle w:val="37"/>
        <w:ind w:firstLine="480"/>
        <w:rPr>
          <w:bCs/>
          <w:color w:val="auto"/>
        </w:rPr>
      </w:pPr>
      <w:r>
        <w:rPr>
          <w:bCs/>
          <w:color w:val="auto"/>
        </w:rPr>
        <w:t>本项目固液分离机产生的猪粪固形物在固粪处理区进行堆肥发酵，制成有机肥</w:t>
      </w:r>
      <w:r>
        <w:rPr>
          <w:rFonts w:hint="eastAsia"/>
          <w:bCs/>
          <w:color w:val="auto"/>
        </w:rPr>
        <w:t>基料</w:t>
      </w:r>
      <w:r>
        <w:rPr>
          <w:bCs/>
          <w:color w:val="auto"/>
        </w:rPr>
        <w:t>外售，产生的医疗废物定期交由有资质单位进行处置；废脱硫剂由厂家回收，生活垃圾送环卫部门统一处理</w:t>
      </w:r>
      <w:r>
        <w:rPr>
          <w:rFonts w:hint="eastAsia"/>
          <w:bCs/>
          <w:color w:val="auto"/>
        </w:rPr>
        <w:t>、废导热油交由有资质单位处理、沼渣再经固液分离后进行堆肥发酵</w:t>
      </w:r>
      <w:r>
        <w:rPr>
          <w:bCs/>
          <w:color w:val="auto"/>
        </w:rPr>
        <w:t>。</w:t>
      </w:r>
    </w:p>
    <w:p>
      <w:pPr>
        <w:pStyle w:val="37"/>
        <w:ind w:firstLine="480"/>
        <w:rPr>
          <w:bCs/>
          <w:color w:val="auto"/>
        </w:rPr>
      </w:pPr>
      <w:r>
        <w:rPr>
          <w:bCs/>
          <w:color w:val="auto"/>
        </w:rPr>
        <w:t>综上所述，本项目产生的固废均能得到合理利用和有效处置，满足清洁生产废物回收利用评价指标要求。</w:t>
      </w:r>
    </w:p>
    <w:p>
      <w:pPr>
        <w:pStyle w:val="37"/>
        <w:ind w:firstLine="480"/>
        <w:rPr>
          <w:bCs/>
          <w:color w:val="auto"/>
        </w:rPr>
      </w:pPr>
      <w:r>
        <w:rPr>
          <w:bCs/>
          <w:color w:val="auto"/>
        </w:rPr>
        <w:t>（6）环境管理要求</w:t>
      </w:r>
    </w:p>
    <w:p>
      <w:pPr>
        <w:pStyle w:val="37"/>
        <w:ind w:firstLine="480"/>
        <w:rPr>
          <w:bCs/>
          <w:color w:val="auto"/>
        </w:rPr>
      </w:pPr>
      <w:r>
        <w:rPr>
          <w:bCs/>
          <w:color w:val="auto"/>
        </w:rPr>
        <w:t>①生产管理</w:t>
      </w:r>
    </w:p>
    <w:p>
      <w:pPr>
        <w:pStyle w:val="37"/>
        <w:ind w:firstLine="480"/>
        <w:rPr>
          <w:bCs/>
          <w:color w:val="auto"/>
        </w:rPr>
      </w:pPr>
      <w:r>
        <w:rPr>
          <w:bCs/>
          <w:color w:val="auto"/>
        </w:rPr>
        <w:t>项目生猪管理采用编号建档方法，每头猪有自己的唯一编号，建立猪系谱，记录其出生时间、出生特征、成年体形、疫苗注射、繁育次数情况等，根据不同的生长阶段给予特定的饲料配比，根据体形特征在培育下一代时做到最好的品种改良，管理较完善。养殖场实行全进全出，合理分栏，节约原料及场地空间。</w:t>
      </w:r>
    </w:p>
    <w:p>
      <w:pPr>
        <w:pStyle w:val="37"/>
        <w:ind w:firstLine="480"/>
        <w:rPr>
          <w:bCs/>
          <w:color w:val="auto"/>
        </w:rPr>
      </w:pPr>
      <w:r>
        <w:rPr>
          <w:bCs/>
          <w:color w:val="auto"/>
        </w:rPr>
        <w:t>②防疫措施的严格性</w:t>
      </w:r>
    </w:p>
    <w:p>
      <w:pPr>
        <w:pStyle w:val="37"/>
        <w:ind w:firstLine="480"/>
        <w:rPr>
          <w:bCs/>
          <w:color w:val="auto"/>
        </w:rPr>
      </w:pPr>
      <w:r>
        <w:rPr>
          <w:bCs/>
          <w:color w:val="auto"/>
        </w:rPr>
        <w:t>严格执行科学的卫生防疫措施，有效预防和控制传染病的发生。</w:t>
      </w:r>
    </w:p>
    <w:p>
      <w:pPr>
        <w:pStyle w:val="37"/>
        <w:ind w:firstLine="480"/>
        <w:rPr>
          <w:bCs/>
          <w:color w:val="auto"/>
        </w:rPr>
      </w:pPr>
      <w:r>
        <w:rPr>
          <w:bCs/>
          <w:color w:val="auto"/>
        </w:rPr>
        <w:t>A.慎重引种。猪场在初期引入种猪时，要严格按照防疫要求，在隔离舍观察40天左右，确保种猪源的无害性；</w:t>
      </w:r>
    </w:p>
    <w:p>
      <w:pPr>
        <w:pStyle w:val="37"/>
        <w:ind w:firstLine="480"/>
        <w:rPr>
          <w:bCs/>
          <w:color w:val="auto"/>
        </w:rPr>
      </w:pPr>
      <w:r>
        <w:rPr>
          <w:bCs/>
          <w:color w:val="auto"/>
        </w:rPr>
        <w:t>B.猪场布局合理，生产、生活区严格分开，生产区周围设立防护设施，非生产人员不得随意进入生产区；</w:t>
      </w:r>
    </w:p>
    <w:p>
      <w:pPr>
        <w:pStyle w:val="37"/>
        <w:ind w:firstLine="480"/>
        <w:rPr>
          <w:bCs/>
          <w:color w:val="auto"/>
        </w:rPr>
      </w:pPr>
      <w:r>
        <w:rPr>
          <w:bCs/>
          <w:color w:val="auto"/>
        </w:rPr>
        <w:t>C.猪场内设病猪隔离舍，对病猪进行隔离观察诊治；对死亡的生猪，实施集中焚烧实现无害化处理，严格进行消毒措施。</w:t>
      </w:r>
    </w:p>
    <w:p>
      <w:pPr>
        <w:pStyle w:val="37"/>
        <w:ind w:firstLine="480"/>
        <w:rPr>
          <w:bCs/>
          <w:color w:val="auto"/>
        </w:rPr>
      </w:pPr>
      <w:r>
        <w:rPr>
          <w:bCs/>
          <w:color w:val="auto"/>
        </w:rPr>
        <w:t>D.对进出养殖场的运输车辆进行严格消毒。</w:t>
      </w:r>
    </w:p>
    <w:p>
      <w:pPr>
        <w:pStyle w:val="37"/>
        <w:ind w:firstLine="480"/>
        <w:rPr>
          <w:bCs/>
          <w:color w:val="auto"/>
        </w:rPr>
      </w:pPr>
      <w:r>
        <w:rPr>
          <w:bCs/>
          <w:color w:val="auto"/>
        </w:rPr>
        <w:t>经以上分析，结合公司拟运营情况以及工程污染物综合利用措施情况分析，本工程清洁生产水平可达到国内清洁生产先进水平。</w:t>
      </w:r>
    </w:p>
    <w:p>
      <w:pPr>
        <w:pStyle w:val="37"/>
        <w:ind w:firstLine="480"/>
        <w:rPr>
          <w:bCs/>
          <w:color w:val="auto"/>
        </w:rPr>
      </w:pPr>
      <w:r>
        <w:rPr>
          <w:bCs/>
          <w:color w:val="auto"/>
        </w:rPr>
        <w:t>3.1.8.2指标对比及评价</w:t>
      </w:r>
    </w:p>
    <w:p>
      <w:pPr>
        <w:pStyle w:val="37"/>
        <w:ind w:firstLine="480"/>
        <w:rPr>
          <w:bCs/>
          <w:color w:val="auto"/>
        </w:rPr>
      </w:pPr>
      <w:r>
        <w:rPr>
          <w:bCs/>
          <w:color w:val="auto"/>
        </w:rPr>
        <w:t>虽然国家尚未制定畜禽养殖类企业的清洁生产标准，但国家对畜禽养殖业干清粪工艺最大排水量有指标，评价仅在此给出工程经过清洁生产后的部分清洁生产指标，并与畜禽养殖业干清粪工艺最大排水量指标对比，见下表。</w:t>
      </w:r>
    </w:p>
    <w:p>
      <w:pPr>
        <w:ind w:firstLine="482"/>
        <w:jc w:val="left"/>
        <w:rPr>
          <w:b/>
          <w:color w:val="auto"/>
          <w:szCs w:val="21"/>
        </w:rPr>
      </w:pPr>
      <w:r>
        <w:rPr>
          <w:b/>
          <w:color w:val="auto"/>
          <w:szCs w:val="21"/>
        </w:rPr>
        <w:t>表3.1-1</w:t>
      </w:r>
      <w:r>
        <w:rPr>
          <w:rFonts w:hint="eastAsia"/>
          <w:b/>
          <w:color w:val="auto"/>
          <w:szCs w:val="21"/>
        </w:rPr>
        <w:t>4</w:t>
      </w:r>
      <w:r>
        <w:rPr>
          <w:b/>
          <w:color w:val="auto"/>
          <w:szCs w:val="21"/>
        </w:rPr>
        <w:t xml:space="preserve">    本项目与同行业（集约化畜禽养殖业）生产技术指标对比分析</w:t>
      </w:r>
    </w:p>
    <w:tbl>
      <w:tblPr>
        <w:tblStyle w:val="27"/>
        <w:tblW w:w="4998"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07"/>
        <w:gridCol w:w="1820"/>
        <w:gridCol w:w="2378"/>
        <w:gridCol w:w="323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42" w:type="pct"/>
            <w:vAlign w:val="center"/>
          </w:tcPr>
          <w:p>
            <w:pPr>
              <w:spacing w:line="240" w:lineRule="auto"/>
              <w:ind w:firstLine="0" w:firstLineChars="0"/>
              <w:jc w:val="center"/>
              <w:textAlignment w:val="center"/>
              <w:rPr>
                <w:bCs/>
                <w:snapToGrid w:val="0"/>
                <w:color w:val="auto"/>
                <w:sz w:val="21"/>
                <w:szCs w:val="21"/>
              </w:rPr>
            </w:pPr>
            <w:r>
              <w:rPr>
                <w:bCs/>
                <w:snapToGrid w:val="0"/>
                <w:color w:val="auto"/>
                <w:sz w:val="21"/>
                <w:szCs w:val="21"/>
              </w:rPr>
              <w:t>项目</w:t>
            </w:r>
          </w:p>
        </w:tc>
        <w:tc>
          <w:tcPr>
            <w:tcW w:w="1017" w:type="pct"/>
            <w:vAlign w:val="center"/>
          </w:tcPr>
          <w:p>
            <w:pPr>
              <w:spacing w:line="240" w:lineRule="auto"/>
              <w:ind w:firstLine="0" w:firstLineChars="0"/>
              <w:jc w:val="center"/>
              <w:textAlignment w:val="center"/>
              <w:rPr>
                <w:bCs/>
                <w:snapToGrid w:val="0"/>
                <w:color w:val="auto"/>
                <w:sz w:val="21"/>
                <w:szCs w:val="21"/>
              </w:rPr>
            </w:pPr>
            <w:r>
              <w:rPr>
                <w:bCs/>
                <w:snapToGrid w:val="0"/>
                <w:color w:val="auto"/>
                <w:sz w:val="21"/>
                <w:szCs w:val="21"/>
              </w:rPr>
              <w:t>单位</w:t>
            </w:r>
          </w:p>
        </w:tc>
        <w:tc>
          <w:tcPr>
            <w:tcW w:w="1329" w:type="pct"/>
            <w:vAlign w:val="center"/>
          </w:tcPr>
          <w:p>
            <w:pPr>
              <w:widowControl/>
              <w:spacing w:line="240" w:lineRule="auto"/>
              <w:ind w:firstLine="0" w:firstLineChars="0"/>
              <w:jc w:val="center"/>
              <w:textAlignment w:val="center"/>
              <w:rPr>
                <w:bCs/>
                <w:snapToGrid w:val="0"/>
                <w:color w:val="auto"/>
                <w:sz w:val="21"/>
                <w:szCs w:val="21"/>
              </w:rPr>
            </w:pPr>
            <w:r>
              <w:rPr>
                <w:bCs/>
                <w:snapToGrid w:val="0"/>
                <w:color w:val="auto"/>
                <w:sz w:val="21"/>
                <w:szCs w:val="21"/>
              </w:rPr>
              <w:t>本项目指标</w:t>
            </w:r>
          </w:p>
        </w:tc>
        <w:tc>
          <w:tcPr>
            <w:tcW w:w="1810" w:type="pct"/>
            <w:vAlign w:val="center"/>
          </w:tcPr>
          <w:p>
            <w:pPr>
              <w:widowControl/>
              <w:spacing w:line="240" w:lineRule="auto"/>
              <w:ind w:firstLine="0" w:firstLineChars="0"/>
              <w:jc w:val="center"/>
              <w:textAlignment w:val="center"/>
              <w:rPr>
                <w:bCs/>
                <w:snapToGrid w:val="0"/>
                <w:color w:val="auto"/>
                <w:sz w:val="21"/>
                <w:szCs w:val="21"/>
              </w:rPr>
            </w:pPr>
            <w:r>
              <w:rPr>
                <w:bCs/>
                <w:snapToGrid w:val="0"/>
                <w:color w:val="auto"/>
                <w:sz w:val="21"/>
                <w:szCs w:val="21"/>
              </w:rPr>
              <w:t>集约化畜禽养殖业干清粪工艺最高允许排水量</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7" w:hRule="atLeast"/>
        </w:trPr>
        <w:tc>
          <w:tcPr>
            <w:tcW w:w="842" w:type="pct"/>
            <w:vAlign w:val="center"/>
          </w:tcPr>
          <w:p>
            <w:pPr>
              <w:spacing w:line="240" w:lineRule="auto"/>
              <w:ind w:firstLine="0" w:firstLineChars="0"/>
              <w:jc w:val="center"/>
              <w:textAlignment w:val="center"/>
              <w:rPr>
                <w:bCs/>
                <w:snapToGrid w:val="0"/>
                <w:color w:val="auto"/>
                <w:sz w:val="21"/>
                <w:szCs w:val="21"/>
              </w:rPr>
            </w:pPr>
            <w:r>
              <w:rPr>
                <w:bCs/>
                <w:snapToGrid w:val="0"/>
                <w:color w:val="auto"/>
                <w:sz w:val="21"/>
                <w:szCs w:val="21"/>
              </w:rPr>
              <w:t>夏季</w:t>
            </w:r>
          </w:p>
        </w:tc>
        <w:tc>
          <w:tcPr>
            <w:tcW w:w="1017" w:type="pct"/>
            <w:vAlign w:val="center"/>
          </w:tcPr>
          <w:p>
            <w:pPr>
              <w:spacing w:line="240" w:lineRule="auto"/>
              <w:ind w:firstLine="0" w:firstLineChars="0"/>
              <w:jc w:val="center"/>
              <w:textAlignment w:val="center"/>
              <w:rPr>
                <w:bCs/>
                <w:snapToGrid w:val="0"/>
                <w:color w:val="auto"/>
                <w:sz w:val="21"/>
                <w:szCs w:val="21"/>
              </w:rPr>
            </w:pPr>
            <w:r>
              <w:rPr>
                <w:bCs/>
                <w:snapToGrid w:val="0"/>
                <w:color w:val="auto"/>
                <w:sz w:val="21"/>
                <w:szCs w:val="21"/>
              </w:rPr>
              <w:t>m</w:t>
            </w:r>
            <w:r>
              <w:rPr>
                <w:bCs/>
                <w:snapToGrid w:val="0"/>
                <w:color w:val="auto"/>
                <w:sz w:val="21"/>
                <w:szCs w:val="21"/>
                <w:vertAlign w:val="superscript"/>
              </w:rPr>
              <w:t>3</w:t>
            </w:r>
            <w:r>
              <w:rPr>
                <w:bCs/>
                <w:snapToGrid w:val="0"/>
                <w:color w:val="auto"/>
                <w:sz w:val="21"/>
                <w:szCs w:val="21"/>
              </w:rPr>
              <w:t>/百头·d</w:t>
            </w:r>
          </w:p>
        </w:tc>
        <w:tc>
          <w:tcPr>
            <w:tcW w:w="1329" w:type="pct"/>
            <w:vAlign w:val="center"/>
          </w:tcPr>
          <w:p>
            <w:pPr>
              <w:spacing w:line="240" w:lineRule="auto"/>
              <w:ind w:firstLine="0" w:firstLineChars="0"/>
              <w:jc w:val="center"/>
              <w:textAlignment w:val="center"/>
              <w:rPr>
                <w:bCs/>
                <w:snapToGrid w:val="0"/>
                <w:color w:val="auto"/>
                <w:sz w:val="21"/>
                <w:szCs w:val="21"/>
              </w:rPr>
            </w:pPr>
            <w:r>
              <w:rPr>
                <w:bCs/>
                <w:snapToGrid w:val="0"/>
                <w:color w:val="auto"/>
                <w:sz w:val="21"/>
                <w:szCs w:val="21"/>
              </w:rPr>
              <w:t>0.50</w:t>
            </w:r>
          </w:p>
        </w:tc>
        <w:tc>
          <w:tcPr>
            <w:tcW w:w="1810" w:type="pct"/>
            <w:vAlign w:val="center"/>
          </w:tcPr>
          <w:p>
            <w:pPr>
              <w:spacing w:line="240" w:lineRule="auto"/>
              <w:ind w:firstLine="0" w:firstLineChars="0"/>
              <w:jc w:val="center"/>
              <w:textAlignment w:val="center"/>
              <w:rPr>
                <w:bCs/>
                <w:snapToGrid w:val="0"/>
                <w:color w:val="auto"/>
                <w:sz w:val="21"/>
                <w:szCs w:val="21"/>
              </w:rPr>
            </w:pPr>
            <w:r>
              <w:rPr>
                <w:bCs/>
                <w:snapToGrid w:val="0"/>
                <w:color w:val="auto"/>
                <w:sz w:val="21"/>
                <w:szCs w:val="21"/>
              </w:rPr>
              <w:t>1.8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842" w:type="pct"/>
            <w:vAlign w:val="center"/>
          </w:tcPr>
          <w:p>
            <w:pPr>
              <w:spacing w:line="240" w:lineRule="auto"/>
              <w:ind w:firstLine="0" w:firstLineChars="0"/>
              <w:jc w:val="center"/>
              <w:textAlignment w:val="center"/>
              <w:rPr>
                <w:bCs/>
                <w:snapToGrid w:val="0"/>
                <w:color w:val="auto"/>
                <w:sz w:val="21"/>
                <w:szCs w:val="21"/>
              </w:rPr>
            </w:pPr>
            <w:r>
              <w:rPr>
                <w:bCs/>
                <w:snapToGrid w:val="0"/>
                <w:color w:val="auto"/>
                <w:sz w:val="21"/>
                <w:szCs w:val="21"/>
              </w:rPr>
              <w:t>冬季</w:t>
            </w:r>
          </w:p>
        </w:tc>
        <w:tc>
          <w:tcPr>
            <w:tcW w:w="1017" w:type="pct"/>
            <w:vAlign w:val="center"/>
          </w:tcPr>
          <w:p>
            <w:pPr>
              <w:spacing w:line="240" w:lineRule="auto"/>
              <w:ind w:firstLine="0" w:firstLineChars="0"/>
              <w:jc w:val="center"/>
              <w:textAlignment w:val="center"/>
              <w:rPr>
                <w:bCs/>
                <w:color w:val="auto"/>
                <w:sz w:val="21"/>
                <w:szCs w:val="21"/>
              </w:rPr>
            </w:pPr>
            <w:r>
              <w:rPr>
                <w:bCs/>
                <w:snapToGrid w:val="0"/>
                <w:color w:val="auto"/>
                <w:sz w:val="21"/>
                <w:szCs w:val="21"/>
              </w:rPr>
              <w:t>m</w:t>
            </w:r>
            <w:r>
              <w:rPr>
                <w:bCs/>
                <w:snapToGrid w:val="0"/>
                <w:color w:val="auto"/>
                <w:sz w:val="21"/>
                <w:szCs w:val="21"/>
                <w:vertAlign w:val="superscript"/>
              </w:rPr>
              <w:t>3</w:t>
            </w:r>
            <w:r>
              <w:rPr>
                <w:bCs/>
                <w:snapToGrid w:val="0"/>
                <w:color w:val="auto"/>
                <w:sz w:val="21"/>
                <w:szCs w:val="21"/>
              </w:rPr>
              <w:t>/百头·d</w:t>
            </w:r>
          </w:p>
        </w:tc>
        <w:tc>
          <w:tcPr>
            <w:tcW w:w="1329" w:type="pct"/>
            <w:vAlign w:val="center"/>
          </w:tcPr>
          <w:p>
            <w:pPr>
              <w:spacing w:line="240" w:lineRule="auto"/>
              <w:ind w:firstLine="0" w:firstLineChars="0"/>
              <w:jc w:val="center"/>
              <w:textAlignment w:val="center"/>
              <w:rPr>
                <w:bCs/>
                <w:snapToGrid w:val="0"/>
                <w:color w:val="auto"/>
                <w:sz w:val="21"/>
                <w:szCs w:val="21"/>
              </w:rPr>
            </w:pPr>
            <w:r>
              <w:rPr>
                <w:bCs/>
                <w:snapToGrid w:val="0"/>
                <w:color w:val="auto"/>
                <w:sz w:val="21"/>
                <w:szCs w:val="21"/>
              </w:rPr>
              <w:t>0.33</w:t>
            </w:r>
          </w:p>
        </w:tc>
        <w:tc>
          <w:tcPr>
            <w:tcW w:w="1810" w:type="pct"/>
            <w:vAlign w:val="center"/>
          </w:tcPr>
          <w:p>
            <w:pPr>
              <w:spacing w:line="240" w:lineRule="auto"/>
              <w:ind w:firstLine="0" w:firstLineChars="0"/>
              <w:jc w:val="center"/>
              <w:textAlignment w:val="center"/>
              <w:rPr>
                <w:bCs/>
                <w:snapToGrid w:val="0"/>
                <w:color w:val="auto"/>
                <w:sz w:val="21"/>
                <w:szCs w:val="21"/>
              </w:rPr>
            </w:pPr>
            <w:r>
              <w:rPr>
                <w:bCs/>
                <w:snapToGrid w:val="0"/>
                <w:color w:val="auto"/>
                <w:sz w:val="21"/>
                <w:szCs w:val="21"/>
              </w:rPr>
              <w:t>1.2</w:t>
            </w:r>
          </w:p>
        </w:tc>
      </w:tr>
    </w:tbl>
    <w:p>
      <w:pPr>
        <w:pStyle w:val="37"/>
        <w:ind w:firstLine="480"/>
        <w:rPr>
          <w:bCs/>
          <w:color w:val="auto"/>
        </w:rPr>
      </w:pPr>
      <w:r>
        <w:rPr>
          <w:bCs/>
          <w:color w:val="auto"/>
        </w:rPr>
        <w:t>由以上分析，工程采取清洁生产后，夏季每天百头猪废水排放量0.50m</w:t>
      </w:r>
      <w:r>
        <w:rPr>
          <w:bCs/>
          <w:color w:val="auto"/>
          <w:vertAlign w:val="superscript"/>
        </w:rPr>
        <w:t>3</w:t>
      </w:r>
      <w:r>
        <w:rPr>
          <w:bCs/>
          <w:color w:val="auto"/>
        </w:rPr>
        <w:t>，冬季每天百头猪废水排放量0.33m</w:t>
      </w:r>
      <w:r>
        <w:rPr>
          <w:bCs/>
          <w:color w:val="auto"/>
          <w:vertAlign w:val="superscript"/>
        </w:rPr>
        <w:t>3</w:t>
      </w:r>
      <w:r>
        <w:rPr>
          <w:bCs/>
          <w:color w:val="auto"/>
        </w:rPr>
        <w:t>，低于集约化畜禽养殖业干清粪工艺最高允许排水量。</w:t>
      </w:r>
    </w:p>
    <w:p>
      <w:pPr>
        <w:pStyle w:val="37"/>
        <w:ind w:firstLine="480"/>
        <w:rPr>
          <w:bCs/>
          <w:color w:val="auto"/>
        </w:rPr>
      </w:pPr>
      <w:r>
        <w:rPr>
          <w:bCs/>
          <w:color w:val="auto"/>
        </w:rPr>
        <w:t>3.1.8.3清洁生产水平分析</w:t>
      </w:r>
    </w:p>
    <w:p>
      <w:pPr>
        <w:pStyle w:val="37"/>
        <w:ind w:firstLine="480"/>
        <w:rPr>
          <w:bCs/>
          <w:color w:val="auto"/>
        </w:rPr>
      </w:pPr>
      <w:bookmarkStart w:id="288" w:name="_Toc485579833"/>
      <w:bookmarkStart w:id="289" w:name="_Toc468115362"/>
      <w:bookmarkStart w:id="290" w:name="_Toc25484"/>
      <w:bookmarkStart w:id="291" w:name="_Toc443924634"/>
      <w:bookmarkStart w:id="292" w:name="_Toc326"/>
      <w:r>
        <w:rPr>
          <w:rFonts w:hint="eastAsia"/>
          <w:bCs/>
          <w:color w:val="auto"/>
        </w:rPr>
        <w:t>目前我国尚未制定养猪行业清洁生产标准及相应的指标体系，本次评价通过对比中外合资企业郏县正大农牧发展有限公司养殖场和牧原食品股份有限公司早期养殖场的基本情况，确定本项目的清洁生产水平。郏县正大农牧发展有限公司是正大畜牧投资（北京）有限公司与郏县产业集聚区投资发展有限公司共同出资成立的中外合资企业，正大集团是泰籍华人创办的知名跨国企业，正大集团业务遍及</w:t>
      </w:r>
      <w:r>
        <w:rPr>
          <w:bCs/>
          <w:color w:val="auto"/>
        </w:rPr>
        <w:t>20</w:t>
      </w:r>
      <w:r>
        <w:rPr>
          <w:rFonts w:hint="eastAsia"/>
          <w:bCs/>
          <w:color w:val="auto"/>
        </w:rPr>
        <w:t>多个国家和地区，下属</w:t>
      </w:r>
      <w:r>
        <w:rPr>
          <w:bCs/>
          <w:color w:val="auto"/>
        </w:rPr>
        <w:t>400</w:t>
      </w:r>
      <w:r>
        <w:rPr>
          <w:rFonts w:hint="eastAsia"/>
          <w:bCs/>
          <w:color w:val="auto"/>
        </w:rPr>
        <w:t>多家子公司。正大集团在生猪养殖过程中遵循循环经济发展战略、秉持着生态环保理念，积极推进畜禽养殖清洁生产和有机生态农业的发展。其清洁生产水平可代表国内先进水平</w:t>
      </w:r>
      <w:r>
        <w:rPr>
          <w:bCs/>
          <w:color w:val="auto"/>
        </w:rPr>
        <w:t>。本项目清洁生产指标和国内先进企业指标对比情况具体见表3.1-1</w:t>
      </w:r>
      <w:r>
        <w:rPr>
          <w:rFonts w:hint="eastAsia"/>
          <w:bCs/>
          <w:color w:val="auto"/>
        </w:rPr>
        <w:t>5</w:t>
      </w:r>
      <w:r>
        <w:rPr>
          <w:bCs/>
          <w:color w:val="auto"/>
        </w:rPr>
        <w:t>。</w:t>
      </w:r>
    </w:p>
    <w:p>
      <w:pPr>
        <w:spacing w:after="72" w:afterLines="30"/>
        <w:ind w:firstLine="482"/>
        <w:jc w:val="left"/>
        <w:rPr>
          <w:b/>
          <w:color w:val="auto"/>
          <w:szCs w:val="21"/>
        </w:rPr>
      </w:pPr>
      <w:r>
        <w:rPr>
          <w:b/>
          <w:color w:val="auto"/>
          <w:szCs w:val="21"/>
        </w:rPr>
        <w:t>表3.1-1</w:t>
      </w:r>
      <w:r>
        <w:rPr>
          <w:rFonts w:hint="eastAsia"/>
          <w:b/>
          <w:color w:val="auto"/>
          <w:szCs w:val="21"/>
        </w:rPr>
        <w:t>5</w:t>
      </w:r>
      <w:r>
        <w:rPr>
          <w:b/>
          <w:color w:val="auto"/>
          <w:szCs w:val="21"/>
        </w:rPr>
        <w:t xml:space="preserve">             本项目与同行业生产技术指标对比分析</w:t>
      </w:r>
    </w:p>
    <w:tbl>
      <w:tblPr>
        <w:tblStyle w:val="27"/>
        <w:tblW w:w="4998"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15"/>
        <w:gridCol w:w="2955"/>
        <w:gridCol w:w="2298"/>
        <w:gridCol w:w="213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851" w:type="pct"/>
            <w:tcMar>
              <w:top w:w="57" w:type="dxa"/>
              <w:left w:w="85" w:type="dxa"/>
              <w:bottom w:w="57" w:type="dxa"/>
              <w:right w:w="85" w:type="dxa"/>
            </w:tcMar>
            <w:vAlign w:val="center"/>
          </w:tcPr>
          <w:p>
            <w:pPr>
              <w:spacing w:line="240" w:lineRule="auto"/>
              <w:ind w:firstLine="0" w:firstLineChars="0"/>
              <w:jc w:val="center"/>
              <w:textAlignment w:val="center"/>
              <w:rPr>
                <w:bCs/>
                <w:snapToGrid w:val="0"/>
                <w:color w:val="auto"/>
                <w:sz w:val="21"/>
                <w:szCs w:val="21"/>
              </w:rPr>
            </w:pPr>
            <w:r>
              <w:rPr>
                <w:bCs/>
                <w:snapToGrid w:val="0"/>
                <w:color w:val="auto"/>
                <w:sz w:val="21"/>
                <w:szCs w:val="21"/>
              </w:rPr>
              <w:t>项目</w:t>
            </w:r>
          </w:p>
        </w:tc>
        <w:tc>
          <w:tcPr>
            <w:tcW w:w="1660" w:type="pct"/>
            <w:tcMar>
              <w:top w:w="57" w:type="dxa"/>
              <w:left w:w="85" w:type="dxa"/>
              <w:bottom w:w="57" w:type="dxa"/>
              <w:right w:w="85" w:type="dxa"/>
            </w:tcMar>
            <w:vAlign w:val="center"/>
          </w:tcPr>
          <w:p>
            <w:pPr>
              <w:spacing w:line="240" w:lineRule="auto"/>
              <w:ind w:firstLine="0" w:firstLineChars="0"/>
              <w:jc w:val="center"/>
              <w:textAlignment w:val="center"/>
              <w:rPr>
                <w:bCs/>
                <w:snapToGrid w:val="0"/>
                <w:color w:val="auto"/>
                <w:sz w:val="21"/>
                <w:szCs w:val="21"/>
              </w:rPr>
            </w:pPr>
            <w:r>
              <w:rPr>
                <w:bCs/>
                <w:snapToGrid w:val="0"/>
                <w:color w:val="auto"/>
                <w:sz w:val="21"/>
                <w:szCs w:val="21"/>
              </w:rPr>
              <w:t>本项目</w:t>
            </w:r>
          </w:p>
        </w:tc>
        <w:tc>
          <w:tcPr>
            <w:tcW w:w="1291" w:type="pct"/>
            <w:tcMar>
              <w:top w:w="57" w:type="dxa"/>
              <w:left w:w="85" w:type="dxa"/>
              <w:bottom w:w="57" w:type="dxa"/>
              <w:right w:w="85" w:type="dxa"/>
            </w:tcMar>
            <w:vAlign w:val="center"/>
          </w:tcPr>
          <w:p>
            <w:pPr>
              <w:widowControl/>
              <w:spacing w:line="240" w:lineRule="auto"/>
              <w:ind w:firstLine="0" w:firstLineChars="0"/>
              <w:jc w:val="center"/>
              <w:textAlignment w:val="center"/>
              <w:rPr>
                <w:bCs/>
                <w:snapToGrid w:val="0"/>
                <w:color w:val="auto"/>
                <w:sz w:val="21"/>
                <w:szCs w:val="21"/>
              </w:rPr>
            </w:pPr>
            <w:r>
              <w:rPr>
                <w:bCs/>
                <w:snapToGrid w:val="0"/>
                <w:color w:val="auto"/>
                <w:sz w:val="21"/>
                <w:szCs w:val="21"/>
              </w:rPr>
              <w:t>牧原食品股份有限公司猪场（早期）</w:t>
            </w:r>
          </w:p>
        </w:tc>
        <w:tc>
          <w:tcPr>
            <w:tcW w:w="1196" w:type="pct"/>
            <w:tcMar>
              <w:top w:w="57" w:type="dxa"/>
              <w:left w:w="85" w:type="dxa"/>
              <w:bottom w:w="57" w:type="dxa"/>
              <w:right w:w="85" w:type="dxa"/>
            </w:tcMar>
            <w:vAlign w:val="center"/>
          </w:tcPr>
          <w:p>
            <w:pPr>
              <w:widowControl/>
              <w:spacing w:line="240" w:lineRule="auto"/>
              <w:ind w:firstLine="0" w:firstLineChars="0"/>
              <w:jc w:val="center"/>
              <w:textAlignment w:val="center"/>
              <w:rPr>
                <w:bCs/>
                <w:color w:val="auto"/>
                <w:sz w:val="21"/>
                <w:szCs w:val="21"/>
              </w:rPr>
            </w:pPr>
            <w:r>
              <w:rPr>
                <w:rFonts w:hint="eastAsia"/>
                <w:bCs/>
                <w:snapToGrid w:val="0"/>
                <w:color w:val="auto"/>
                <w:sz w:val="21"/>
                <w:szCs w:val="21"/>
              </w:rPr>
              <w:t>郏县正大农牧发展有限公司</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21" w:hRule="atLeast"/>
        </w:trPr>
        <w:tc>
          <w:tcPr>
            <w:tcW w:w="851" w:type="pct"/>
            <w:tcMar>
              <w:top w:w="57" w:type="dxa"/>
              <w:left w:w="85" w:type="dxa"/>
              <w:bottom w:w="57" w:type="dxa"/>
              <w:right w:w="85" w:type="dxa"/>
            </w:tcMar>
            <w:vAlign w:val="center"/>
          </w:tcPr>
          <w:p>
            <w:pPr>
              <w:spacing w:line="240" w:lineRule="auto"/>
              <w:ind w:firstLine="0" w:firstLineChars="0"/>
              <w:jc w:val="center"/>
              <w:textAlignment w:val="center"/>
              <w:rPr>
                <w:bCs/>
                <w:snapToGrid w:val="0"/>
                <w:color w:val="auto"/>
                <w:sz w:val="21"/>
                <w:szCs w:val="21"/>
              </w:rPr>
            </w:pPr>
            <w:r>
              <w:rPr>
                <w:bCs/>
                <w:snapToGrid w:val="0"/>
                <w:color w:val="auto"/>
                <w:sz w:val="21"/>
                <w:szCs w:val="21"/>
              </w:rPr>
              <w:t>清粪工艺</w:t>
            </w:r>
          </w:p>
        </w:tc>
        <w:tc>
          <w:tcPr>
            <w:tcW w:w="1660" w:type="pct"/>
            <w:tcMar>
              <w:top w:w="57" w:type="dxa"/>
              <w:left w:w="85" w:type="dxa"/>
              <w:bottom w:w="57" w:type="dxa"/>
              <w:right w:w="85" w:type="dxa"/>
            </w:tcMar>
            <w:vAlign w:val="center"/>
          </w:tcPr>
          <w:p>
            <w:pPr>
              <w:spacing w:line="240" w:lineRule="auto"/>
              <w:ind w:firstLine="0" w:firstLineChars="0"/>
              <w:jc w:val="center"/>
              <w:textAlignment w:val="center"/>
              <w:rPr>
                <w:bCs/>
                <w:snapToGrid w:val="0"/>
                <w:color w:val="auto"/>
                <w:sz w:val="21"/>
                <w:szCs w:val="21"/>
              </w:rPr>
            </w:pPr>
            <w:r>
              <w:rPr>
                <w:bCs/>
                <w:snapToGrid w:val="0"/>
                <w:color w:val="auto"/>
                <w:sz w:val="21"/>
                <w:szCs w:val="21"/>
              </w:rPr>
              <w:t>干清粪工艺，用水量较小、劳动强度小</w:t>
            </w:r>
          </w:p>
        </w:tc>
        <w:tc>
          <w:tcPr>
            <w:tcW w:w="1291" w:type="pct"/>
            <w:tcMar>
              <w:top w:w="57" w:type="dxa"/>
              <w:left w:w="85" w:type="dxa"/>
              <w:bottom w:w="57" w:type="dxa"/>
              <w:right w:w="85" w:type="dxa"/>
            </w:tcMar>
            <w:vAlign w:val="center"/>
          </w:tcPr>
          <w:p>
            <w:pPr>
              <w:spacing w:line="240" w:lineRule="auto"/>
              <w:ind w:firstLine="0" w:firstLineChars="0"/>
              <w:jc w:val="center"/>
              <w:textAlignment w:val="center"/>
              <w:rPr>
                <w:bCs/>
                <w:snapToGrid w:val="0"/>
                <w:color w:val="auto"/>
                <w:sz w:val="21"/>
                <w:szCs w:val="21"/>
              </w:rPr>
            </w:pPr>
            <w:r>
              <w:rPr>
                <w:bCs/>
                <w:snapToGrid w:val="0"/>
                <w:color w:val="auto"/>
                <w:sz w:val="21"/>
                <w:szCs w:val="21"/>
              </w:rPr>
              <w:t>漏缝板</w:t>
            </w:r>
            <w:r>
              <w:rPr>
                <w:rFonts w:hint="eastAsia"/>
                <w:bCs/>
                <w:snapToGrid w:val="0"/>
                <w:color w:val="auto"/>
                <w:sz w:val="21"/>
                <w:szCs w:val="21"/>
              </w:rPr>
              <w:t>板工艺</w:t>
            </w:r>
            <w:r>
              <w:rPr>
                <w:bCs/>
                <w:snapToGrid w:val="0"/>
                <w:color w:val="auto"/>
                <w:sz w:val="21"/>
                <w:szCs w:val="21"/>
              </w:rPr>
              <w:t>，用水量较小、劳动强度较小</w:t>
            </w:r>
          </w:p>
        </w:tc>
        <w:tc>
          <w:tcPr>
            <w:tcW w:w="1196" w:type="pct"/>
            <w:tcMar>
              <w:top w:w="57" w:type="dxa"/>
              <w:left w:w="85" w:type="dxa"/>
              <w:bottom w:w="57" w:type="dxa"/>
              <w:right w:w="85" w:type="dxa"/>
            </w:tcMar>
            <w:vAlign w:val="center"/>
          </w:tcPr>
          <w:p>
            <w:pPr>
              <w:spacing w:line="240" w:lineRule="auto"/>
              <w:ind w:firstLine="0" w:firstLineChars="0"/>
              <w:jc w:val="center"/>
              <w:textAlignment w:val="center"/>
              <w:rPr>
                <w:bCs/>
                <w:color w:val="auto"/>
                <w:sz w:val="21"/>
                <w:szCs w:val="21"/>
              </w:rPr>
            </w:pPr>
            <w:r>
              <w:rPr>
                <w:bCs/>
                <w:snapToGrid w:val="0"/>
                <w:color w:val="auto"/>
                <w:sz w:val="21"/>
                <w:szCs w:val="21"/>
              </w:rPr>
              <w:t>漏缝板+机械清粪工艺，用水量较小、劳动强度较小</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92" w:hRule="atLeast"/>
        </w:trPr>
        <w:tc>
          <w:tcPr>
            <w:tcW w:w="851" w:type="pct"/>
            <w:tcMar>
              <w:top w:w="57" w:type="dxa"/>
              <w:left w:w="85" w:type="dxa"/>
              <w:bottom w:w="57" w:type="dxa"/>
              <w:right w:w="85" w:type="dxa"/>
            </w:tcMar>
            <w:vAlign w:val="center"/>
          </w:tcPr>
          <w:p>
            <w:pPr>
              <w:spacing w:line="240" w:lineRule="auto"/>
              <w:ind w:firstLine="0" w:firstLineChars="0"/>
              <w:jc w:val="center"/>
              <w:textAlignment w:val="center"/>
              <w:rPr>
                <w:bCs/>
                <w:snapToGrid w:val="0"/>
                <w:color w:val="auto"/>
                <w:sz w:val="21"/>
                <w:szCs w:val="21"/>
              </w:rPr>
            </w:pPr>
            <w:r>
              <w:rPr>
                <w:bCs/>
                <w:snapToGrid w:val="0"/>
                <w:color w:val="auto"/>
                <w:sz w:val="21"/>
                <w:szCs w:val="21"/>
              </w:rPr>
              <w:t>节水设施</w:t>
            </w:r>
          </w:p>
        </w:tc>
        <w:tc>
          <w:tcPr>
            <w:tcW w:w="1660" w:type="pct"/>
            <w:tcMar>
              <w:top w:w="57" w:type="dxa"/>
              <w:left w:w="85" w:type="dxa"/>
              <w:bottom w:w="57" w:type="dxa"/>
              <w:right w:w="85" w:type="dxa"/>
            </w:tcMar>
            <w:vAlign w:val="center"/>
          </w:tcPr>
          <w:p>
            <w:pPr>
              <w:spacing w:line="240" w:lineRule="auto"/>
              <w:ind w:firstLine="0" w:firstLineChars="0"/>
              <w:jc w:val="center"/>
              <w:textAlignment w:val="center"/>
              <w:rPr>
                <w:bCs/>
                <w:snapToGrid w:val="0"/>
                <w:color w:val="auto"/>
                <w:sz w:val="21"/>
                <w:szCs w:val="21"/>
              </w:rPr>
            </w:pPr>
            <w:r>
              <w:rPr>
                <w:bCs/>
                <w:snapToGrid w:val="0"/>
                <w:color w:val="auto"/>
                <w:sz w:val="21"/>
                <w:szCs w:val="21"/>
              </w:rPr>
              <w:t>全漏缝地板，猪舍墙体保温，全热交换器控温，只在转栏时用高压水枪冲洗猪舍、限位式饮水器、电脑自动控制喷淋降温、安装水表、绩效管理</w:t>
            </w:r>
          </w:p>
        </w:tc>
        <w:tc>
          <w:tcPr>
            <w:tcW w:w="1291" w:type="pct"/>
            <w:tcMar>
              <w:top w:w="57" w:type="dxa"/>
              <w:left w:w="85" w:type="dxa"/>
              <w:bottom w:w="57" w:type="dxa"/>
              <w:right w:w="85" w:type="dxa"/>
            </w:tcMar>
            <w:vAlign w:val="center"/>
          </w:tcPr>
          <w:p>
            <w:pPr>
              <w:spacing w:line="240" w:lineRule="auto"/>
              <w:ind w:firstLine="0" w:firstLineChars="0"/>
              <w:jc w:val="center"/>
              <w:textAlignment w:val="center"/>
              <w:rPr>
                <w:bCs/>
                <w:snapToGrid w:val="0"/>
                <w:color w:val="auto"/>
                <w:sz w:val="21"/>
                <w:szCs w:val="21"/>
              </w:rPr>
            </w:pPr>
            <w:r>
              <w:rPr>
                <w:bCs/>
                <w:snapToGrid w:val="0"/>
                <w:color w:val="auto"/>
                <w:sz w:val="21"/>
                <w:szCs w:val="21"/>
              </w:rPr>
              <w:t>全漏缝地板，限位猪槽及</w:t>
            </w:r>
            <w:r>
              <w:rPr>
                <w:rFonts w:hint="eastAsia"/>
                <w:bCs/>
                <w:snapToGrid w:val="0"/>
                <w:color w:val="auto"/>
                <w:sz w:val="21"/>
                <w:szCs w:val="21"/>
              </w:rPr>
              <w:t>喷淋</w:t>
            </w:r>
            <w:r>
              <w:rPr>
                <w:bCs/>
                <w:snapToGrid w:val="0"/>
                <w:color w:val="auto"/>
                <w:sz w:val="21"/>
                <w:szCs w:val="21"/>
              </w:rPr>
              <w:t>降温、只在转栏时用一般水枪冲洗猪舍、碗式饮水器、安装水表、绩效管理</w:t>
            </w:r>
          </w:p>
        </w:tc>
        <w:tc>
          <w:tcPr>
            <w:tcW w:w="1196" w:type="pct"/>
            <w:tcMar>
              <w:top w:w="57" w:type="dxa"/>
              <w:left w:w="85" w:type="dxa"/>
              <w:bottom w:w="57" w:type="dxa"/>
              <w:right w:w="85" w:type="dxa"/>
            </w:tcMar>
            <w:vAlign w:val="center"/>
          </w:tcPr>
          <w:p>
            <w:pPr>
              <w:spacing w:line="240" w:lineRule="auto"/>
              <w:ind w:firstLine="0" w:firstLineChars="0"/>
              <w:jc w:val="center"/>
              <w:textAlignment w:val="center"/>
              <w:rPr>
                <w:bCs/>
                <w:color w:val="auto"/>
                <w:sz w:val="21"/>
                <w:szCs w:val="21"/>
              </w:rPr>
            </w:pPr>
            <w:r>
              <w:rPr>
                <w:bCs/>
                <w:snapToGrid w:val="0"/>
                <w:color w:val="auto"/>
                <w:sz w:val="21"/>
                <w:szCs w:val="21"/>
              </w:rPr>
              <w:t>全自动给料给水系统、猪舍小环境自动控制系统</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3" w:hRule="atLeast"/>
        </w:trPr>
        <w:tc>
          <w:tcPr>
            <w:tcW w:w="851" w:type="pct"/>
            <w:tcMar>
              <w:top w:w="57" w:type="dxa"/>
              <w:left w:w="85" w:type="dxa"/>
              <w:bottom w:w="57" w:type="dxa"/>
              <w:right w:w="85" w:type="dxa"/>
            </w:tcMar>
            <w:vAlign w:val="center"/>
          </w:tcPr>
          <w:p>
            <w:pPr>
              <w:spacing w:line="240" w:lineRule="auto"/>
              <w:ind w:firstLine="0" w:firstLineChars="0"/>
              <w:jc w:val="center"/>
              <w:textAlignment w:val="center"/>
              <w:rPr>
                <w:bCs/>
                <w:snapToGrid w:val="0"/>
                <w:color w:val="auto"/>
                <w:sz w:val="21"/>
                <w:szCs w:val="21"/>
              </w:rPr>
            </w:pPr>
            <w:r>
              <w:rPr>
                <w:bCs/>
                <w:snapToGrid w:val="0"/>
                <w:color w:val="auto"/>
                <w:sz w:val="21"/>
                <w:szCs w:val="21"/>
              </w:rPr>
              <w:t>废水处理工艺</w:t>
            </w:r>
          </w:p>
        </w:tc>
        <w:tc>
          <w:tcPr>
            <w:tcW w:w="1660" w:type="pct"/>
            <w:tcMar>
              <w:top w:w="57" w:type="dxa"/>
              <w:left w:w="85" w:type="dxa"/>
              <w:bottom w:w="57" w:type="dxa"/>
              <w:right w:w="85" w:type="dxa"/>
            </w:tcMar>
            <w:vAlign w:val="center"/>
          </w:tcPr>
          <w:p>
            <w:pPr>
              <w:spacing w:line="240" w:lineRule="auto"/>
              <w:ind w:firstLine="0" w:firstLineChars="0"/>
              <w:jc w:val="center"/>
              <w:textAlignment w:val="center"/>
              <w:rPr>
                <w:bCs/>
                <w:color w:val="auto"/>
                <w:sz w:val="21"/>
                <w:szCs w:val="21"/>
              </w:rPr>
            </w:pPr>
            <w:r>
              <w:rPr>
                <w:bCs/>
                <w:color w:val="auto"/>
                <w:sz w:val="21"/>
                <w:szCs w:val="21"/>
              </w:rPr>
              <w:t>采用黑膜</w:t>
            </w:r>
            <w:r>
              <w:rPr>
                <w:rFonts w:hint="eastAsia"/>
                <w:bCs/>
                <w:color w:val="auto"/>
                <w:sz w:val="21"/>
                <w:szCs w:val="21"/>
              </w:rPr>
              <w:t>沼气池</w:t>
            </w:r>
            <w:r>
              <w:rPr>
                <w:bCs/>
                <w:color w:val="auto"/>
                <w:sz w:val="21"/>
                <w:szCs w:val="21"/>
              </w:rPr>
              <w:t>厌氧发酵工艺，进水COD1000-100000mg/l均可、出水稳定、可持续发酵；进水不易堵塞、沼气收集工艺简单、能耗低</w:t>
            </w:r>
          </w:p>
        </w:tc>
        <w:tc>
          <w:tcPr>
            <w:tcW w:w="1291" w:type="pct"/>
            <w:tcMar>
              <w:top w:w="57" w:type="dxa"/>
              <w:left w:w="85" w:type="dxa"/>
              <w:bottom w:w="57" w:type="dxa"/>
              <w:right w:w="85" w:type="dxa"/>
            </w:tcMar>
            <w:vAlign w:val="center"/>
          </w:tcPr>
          <w:p>
            <w:pPr>
              <w:spacing w:line="240" w:lineRule="auto"/>
              <w:ind w:firstLine="0" w:firstLineChars="0"/>
              <w:jc w:val="center"/>
              <w:textAlignment w:val="center"/>
              <w:rPr>
                <w:bCs/>
                <w:color w:val="auto"/>
                <w:sz w:val="21"/>
                <w:szCs w:val="21"/>
              </w:rPr>
            </w:pPr>
            <w:r>
              <w:rPr>
                <w:bCs/>
                <w:color w:val="auto"/>
                <w:sz w:val="21"/>
                <w:szCs w:val="21"/>
              </w:rPr>
              <w:t>废水采用“UASB”处理工艺，进水COD≥1500mg/l、出水不太稳定、冬季发酵停止、集气过程较复杂、发酵过程会产生臭气</w:t>
            </w:r>
          </w:p>
        </w:tc>
        <w:tc>
          <w:tcPr>
            <w:tcW w:w="1196" w:type="pct"/>
            <w:tcMar>
              <w:top w:w="57" w:type="dxa"/>
              <w:left w:w="85" w:type="dxa"/>
              <w:bottom w:w="57" w:type="dxa"/>
              <w:right w:w="85" w:type="dxa"/>
            </w:tcMar>
            <w:vAlign w:val="center"/>
          </w:tcPr>
          <w:p>
            <w:pPr>
              <w:spacing w:line="240" w:lineRule="auto"/>
              <w:ind w:firstLine="0" w:firstLineChars="0"/>
              <w:jc w:val="center"/>
              <w:textAlignment w:val="center"/>
              <w:rPr>
                <w:bCs/>
                <w:color w:val="auto"/>
                <w:sz w:val="21"/>
                <w:szCs w:val="21"/>
              </w:rPr>
            </w:pPr>
            <w:r>
              <w:rPr>
                <w:bCs/>
                <w:color w:val="auto"/>
                <w:sz w:val="21"/>
                <w:szCs w:val="21"/>
              </w:rPr>
              <w:t>采用黑膜</w:t>
            </w:r>
            <w:r>
              <w:rPr>
                <w:rFonts w:hint="eastAsia"/>
                <w:bCs/>
                <w:color w:val="auto"/>
                <w:sz w:val="21"/>
                <w:szCs w:val="21"/>
              </w:rPr>
              <w:t>沼气池</w:t>
            </w:r>
            <w:r>
              <w:rPr>
                <w:bCs/>
                <w:color w:val="auto"/>
                <w:sz w:val="21"/>
                <w:szCs w:val="21"/>
              </w:rPr>
              <w:t>厌氧发酵工艺，进水COD1000-100000mg/l均可、出水稳定、可持续发酵；进水不易堵塞、沼气收集工艺简单、能耗低</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3" w:hRule="atLeast"/>
        </w:trPr>
        <w:tc>
          <w:tcPr>
            <w:tcW w:w="851" w:type="pct"/>
            <w:tcMar>
              <w:top w:w="57" w:type="dxa"/>
              <w:left w:w="85" w:type="dxa"/>
              <w:bottom w:w="57" w:type="dxa"/>
              <w:right w:w="85" w:type="dxa"/>
            </w:tcMar>
            <w:vAlign w:val="center"/>
          </w:tcPr>
          <w:p>
            <w:pPr>
              <w:spacing w:line="240" w:lineRule="auto"/>
              <w:ind w:firstLine="0" w:firstLineChars="0"/>
              <w:jc w:val="center"/>
              <w:textAlignment w:val="center"/>
              <w:rPr>
                <w:bCs/>
                <w:snapToGrid w:val="0"/>
                <w:color w:val="auto"/>
                <w:sz w:val="21"/>
                <w:szCs w:val="21"/>
              </w:rPr>
            </w:pPr>
            <w:r>
              <w:rPr>
                <w:bCs/>
                <w:snapToGrid w:val="0"/>
                <w:color w:val="auto"/>
                <w:sz w:val="21"/>
                <w:szCs w:val="21"/>
              </w:rPr>
              <w:t>废物回收利用</w:t>
            </w:r>
          </w:p>
        </w:tc>
        <w:tc>
          <w:tcPr>
            <w:tcW w:w="1660" w:type="pct"/>
            <w:tcMar>
              <w:top w:w="57" w:type="dxa"/>
              <w:left w:w="85" w:type="dxa"/>
              <w:bottom w:w="57" w:type="dxa"/>
              <w:right w:w="85" w:type="dxa"/>
            </w:tcMar>
            <w:vAlign w:val="center"/>
          </w:tcPr>
          <w:p>
            <w:pPr>
              <w:spacing w:line="240" w:lineRule="auto"/>
              <w:ind w:firstLine="0" w:firstLineChars="0"/>
              <w:jc w:val="center"/>
              <w:textAlignment w:val="center"/>
              <w:rPr>
                <w:bCs/>
                <w:color w:val="auto"/>
                <w:sz w:val="21"/>
                <w:szCs w:val="21"/>
              </w:rPr>
            </w:pPr>
            <w:r>
              <w:rPr>
                <w:bCs/>
                <w:color w:val="auto"/>
                <w:sz w:val="21"/>
                <w:szCs w:val="21"/>
              </w:rPr>
              <w:t>沼液全部用于农田施肥</w:t>
            </w:r>
          </w:p>
        </w:tc>
        <w:tc>
          <w:tcPr>
            <w:tcW w:w="1291" w:type="pct"/>
            <w:tcMar>
              <w:top w:w="57" w:type="dxa"/>
              <w:left w:w="85" w:type="dxa"/>
              <w:bottom w:w="57" w:type="dxa"/>
              <w:right w:w="85" w:type="dxa"/>
            </w:tcMar>
            <w:vAlign w:val="center"/>
          </w:tcPr>
          <w:p>
            <w:pPr>
              <w:spacing w:line="240" w:lineRule="auto"/>
              <w:ind w:firstLine="0" w:firstLineChars="0"/>
              <w:jc w:val="center"/>
              <w:textAlignment w:val="center"/>
              <w:rPr>
                <w:bCs/>
                <w:color w:val="auto"/>
                <w:sz w:val="21"/>
                <w:szCs w:val="21"/>
              </w:rPr>
            </w:pPr>
            <w:r>
              <w:rPr>
                <w:bCs/>
                <w:color w:val="auto"/>
                <w:sz w:val="21"/>
                <w:szCs w:val="21"/>
              </w:rPr>
              <w:t>沼液用于农田施肥</w:t>
            </w:r>
          </w:p>
        </w:tc>
        <w:tc>
          <w:tcPr>
            <w:tcW w:w="1196" w:type="pct"/>
            <w:tcMar>
              <w:top w:w="57" w:type="dxa"/>
              <w:left w:w="85" w:type="dxa"/>
              <w:bottom w:w="57" w:type="dxa"/>
              <w:right w:w="85" w:type="dxa"/>
            </w:tcMar>
            <w:vAlign w:val="center"/>
          </w:tcPr>
          <w:p>
            <w:pPr>
              <w:spacing w:line="240" w:lineRule="auto"/>
              <w:ind w:firstLine="0" w:firstLineChars="0"/>
              <w:jc w:val="center"/>
              <w:textAlignment w:val="center"/>
              <w:rPr>
                <w:bCs/>
                <w:color w:val="auto"/>
                <w:sz w:val="21"/>
                <w:szCs w:val="21"/>
              </w:rPr>
            </w:pPr>
            <w:r>
              <w:rPr>
                <w:bCs/>
                <w:color w:val="auto"/>
                <w:sz w:val="21"/>
                <w:szCs w:val="21"/>
              </w:rPr>
              <w:t>沼液用于农田施肥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72" w:hRule="atLeast"/>
        </w:trPr>
        <w:tc>
          <w:tcPr>
            <w:tcW w:w="851" w:type="pct"/>
            <w:tcMar>
              <w:top w:w="57" w:type="dxa"/>
              <w:left w:w="85" w:type="dxa"/>
              <w:bottom w:w="57" w:type="dxa"/>
              <w:right w:w="85" w:type="dxa"/>
            </w:tcMar>
            <w:vAlign w:val="center"/>
          </w:tcPr>
          <w:p>
            <w:pPr>
              <w:spacing w:line="240" w:lineRule="auto"/>
              <w:ind w:firstLine="0" w:firstLineChars="0"/>
              <w:jc w:val="center"/>
              <w:textAlignment w:val="center"/>
              <w:rPr>
                <w:bCs/>
                <w:snapToGrid w:val="0"/>
                <w:color w:val="auto"/>
                <w:sz w:val="21"/>
                <w:szCs w:val="21"/>
              </w:rPr>
            </w:pPr>
            <w:r>
              <w:rPr>
                <w:bCs/>
                <w:snapToGrid w:val="0"/>
                <w:color w:val="auto"/>
                <w:sz w:val="21"/>
                <w:szCs w:val="21"/>
              </w:rPr>
              <w:t>原辅材料供应</w:t>
            </w:r>
          </w:p>
        </w:tc>
        <w:tc>
          <w:tcPr>
            <w:tcW w:w="1660" w:type="pct"/>
            <w:tcMar>
              <w:top w:w="57" w:type="dxa"/>
              <w:left w:w="85" w:type="dxa"/>
              <w:bottom w:w="57" w:type="dxa"/>
              <w:right w:w="85" w:type="dxa"/>
            </w:tcMar>
            <w:vAlign w:val="center"/>
          </w:tcPr>
          <w:p>
            <w:pPr>
              <w:spacing w:line="240" w:lineRule="auto"/>
              <w:ind w:firstLine="0" w:firstLineChars="0"/>
              <w:jc w:val="center"/>
              <w:textAlignment w:val="center"/>
              <w:rPr>
                <w:bCs/>
                <w:color w:val="auto"/>
                <w:sz w:val="21"/>
                <w:szCs w:val="21"/>
              </w:rPr>
            </w:pPr>
            <w:r>
              <w:rPr>
                <w:bCs/>
                <w:color w:val="auto"/>
                <w:sz w:val="21"/>
                <w:szCs w:val="21"/>
              </w:rPr>
              <w:t>饲料来自牧原公司配套饲料厂，饲料设计合理</w:t>
            </w:r>
          </w:p>
        </w:tc>
        <w:tc>
          <w:tcPr>
            <w:tcW w:w="1291" w:type="pct"/>
            <w:tcMar>
              <w:top w:w="57" w:type="dxa"/>
              <w:left w:w="85" w:type="dxa"/>
              <w:bottom w:w="57" w:type="dxa"/>
              <w:right w:w="85" w:type="dxa"/>
            </w:tcMar>
            <w:vAlign w:val="center"/>
          </w:tcPr>
          <w:p>
            <w:pPr>
              <w:spacing w:line="240" w:lineRule="auto"/>
              <w:ind w:firstLine="0" w:firstLineChars="0"/>
              <w:jc w:val="center"/>
              <w:textAlignment w:val="center"/>
              <w:rPr>
                <w:bCs/>
                <w:color w:val="auto"/>
                <w:sz w:val="21"/>
                <w:szCs w:val="21"/>
              </w:rPr>
            </w:pPr>
            <w:r>
              <w:rPr>
                <w:bCs/>
                <w:color w:val="auto"/>
                <w:sz w:val="21"/>
                <w:szCs w:val="21"/>
              </w:rPr>
              <w:t>饲料来自牧原牧原公司配套饲料厂，饲料设计合理</w:t>
            </w:r>
          </w:p>
        </w:tc>
        <w:tc>
          <w:tcPr>
            <w:tcW w:w="1196" w:type="pct"/>
            <w:tcMar>
              <w:top w:w="57" w:type="dxa"/>
              <w:left w:w="85" w:type="dxa"/>
              <w:bottom w:w="57" w:type="dxa"/>
              <w:right w:w="85" w:type="dxa"/>
            </w:tcMar>
            <w:vAlign w:val="center"/>
          </w:tcPr>
          <w:p>
            <w:pPr>
              <w:spacing w:line="240" w:lineRule="auto"/>
              <w:ind w:firstLine="0" w:firstLineChars="0"/>
              <w:jc w:val="center"/>
              <w:textAlignment w:val="center"/>
              <w:rPr>
                <w:bCs/>
                <w:color w:val="auto"/>
                <w:sz w:val="21"/>
                <w:szCs w:val="21"/>
              </w:rPr>
            </w:pPr>
            <w:r>
              <w:rPr>
                <w:bCs/>
                <w:snapToGrid w:val="0"/>
                <w:color w:val="auto"/>
                <w:sz w:val="21"/>
                <w:szCs w:val="21"/>
              </w:rPr>
              <w:t>集团公司按照猪种统一供应，饲料设计合理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4" w:hRule="atLeast"/>
        </w:trPr>
        <w:tc>
          <w:tcPr>
            <w:tcW w:w="851" w:type="pct"/>
            <w:tcMar>
              <w:top w:w="57" w:type="dxa"/>
              <w:left w:w="85" w:type="dxa"/>
              <w:bottom w:w="57" w:type="dxa"/>
              <w:right w:w="85" w:type="dxa"/>
            </w:tcMar>
            <w:vAlign w:val="center"/>
          </w:tcPr>
          <w:p>
            <w:pPr>
              <w:spacing w:line="240" w:lineRule="auto"/>
              <w:ind w:firstLine="0" w:firstLineChars="0"/>
              <w:jc w:val="center"/>
              <w:textAlignment w:val="center"/>
              <w:rPr>
                <w:bCs/>
                <w:snapToGrid w:val="0"/>
                <w:color w:val="auto"/>
                <w:sz w:val="21"/>
                <w:szCs w:val="21"/>
              </w:rPr>
            </w:pPr>
            <w:r>
              <w:rPr>
                <w:bCs/>
                <w:snapToGrid w:val="0"/>
                <w:color w:val="auto"/>
                <w:sz w:val="21"/>
                <w:szCs w:val="21"/>
              </w:rPr>
              <w:t>猪粪利用措施</w:t>
            </w:r>
          </w:p>
        </w:tc>
        <w:tc>
          <w:tcPr>
            <w:tcW w:w="1660" w:type="pct"/>
            <w:tcMar>
              <w:top w:w="57" w:type="dxa"/>
              <w:left w:w="85" w:type="dxa"/>
              <w:bottom w:w="57" w:type="dxa"/>
              <w:right w:w="85" w:type="dxa"/>
            </w:tcMar>
            <w:vAlign w:val="center"/>
          </w:tcPr>
          <w:p>
            <w:pPr>
              <w:spacing w:line="240" w:lineRule="auto"/>
              <w:ind w:firstLine="0" w:firstLineChars="0"/>
              <w:jc w:val="center"/>
              <w:textAlignment w:val="center"/>
              <w:rPr>
                <w:bCs/>
                <w:color w:val="auto"/>
                <w:sz w:val="21"/>
                <w:szCs w:val="21"/>
              </w:rPr>
            </w:pPr>
            <w:r>
              <w:rPr>
                <w:bCs/>
                <w:snapToGrid w:val="0"/>
                <w:color w:val="auto"/>
                <w:sz w:val="21"/>
                <w:szCs w:val="21"/>
              </w:rPr>
              <w:t>高温发酵制备有机肥、回收利用率高</w:t>
            </w:r>
          </w:p>
        </w:tc>
        <w:tc>
          <w:tcPr>
            <w:tcW w:w="1291" w:type="pct"/>
            <w:tcMar>
              <w:top w:w="57" w:type="dxa"/>
              <w:left w:w="85" w:type="dxa"/>
              <w:bottom w:w="57" w:type="dxa"/>
              <w:right w:w="85" w:type="dxa"/>
            </w:tcMar>
            <w:vAlign w:val="center"/>
          </w:tcPr>
          <w:p>
            <w:pPr>
              <w:spacing w:line="240" w:lineRule="auto"/>
              <w:ind w:firstLine="0" w:firstLineChars="0"/>
              <w:jc w:val="center"/>
              <w:textAlignment w:val="center"/>
              <w:rPr>
                <w:bCs/>
                <w:snapToGrid w:val="0"/>
                <w:color w:val="auto"/>
                <w:sz w:val="21"/>
                <w:szCs w:val="21"/>
              </w:rPr>
            </w:pPr>
            <w:r>
              <w:rPr>
                <w:bCs/>
                <w:snapToGrid w:val="0"/>
                <w:color w:val="auto"/>
                <w:sz w:val="21"/>
                <w:szCs w:val="21"/>
              </w:rPr>
              <w:t>高温发酵制备生物肥、回收利用率高</w:t>
            </w:r>
          </w:p>
        </w:tc>
        <w:tc>
          <w:tcPr>
            <w:tcW w:w="1196" w:type="pct"/>
            <w:tcMar>
              <w:top w:w="57" w:type="dxa"/>
              <w:left w:w="85" w:type="dxa"/>
              <w:bottom w:w="57" w:type="dxa"/>
              <w:right w:w="85" w:type="dxa"/>
            </w:tcMar>
            <w:vAlign w:val="center"/>
          </w:tcPr>
          <w:p>
            <w:pPr>
              <w:spacing w:line="240" w:lineRule="auto"/>
              <w:ind w:firstLine="0" w:firstLineChars="0"/>
              <w:jc w:val="center"/>
              <w:textAlignment w:val="center"/>
              <w:rPr>
                <w:bCs/>
                <w:color w:val="auto"/>
                <w:sz w:val="21"/>
                <w:szCs w:val="21"/>
              </w:rPr>
            </w:pPr>
            <w:r>
              <w:rPr>
                <w:bCs/>
                <w:snapToGrid w:val="0"/>
                <w:color w:val="auto"/>
                <w:sz w:val="21"/>
                <w:szCs w:val="21"/>
              </w:rPr>
              <w:t>高温发酵制备生物肥、回收利用率高</w:t>
            </w:r>
          </w:p>
        </w:tc>
      </w:tr>
    </w:tbl>
    <w:p>
      <w:pPr>
        <w:pStyle w:val="37"/>
        <w:ind w:firstLine="480"/>
        <w:rPr>
          <w:bCs/>
          <w:color w:val="auto"/>
        </w:rPr>
      </w:pPr>
      <w:r>
        <w:rPr>
          <w:bCs/>
          <w:color w:val="auto"/>
        </w:rPr>
        <w:t>由上表可知，与</w:t>
      </w:r>
      <w:r>
        <w:rPr>
          <w:rFonts w:hint="eastAsia"/>
          <w:bCs/>
          <w:color w:val="auto"/>
        </w:rPr>
        <w:t>郏县正大农牧发展有限公司</w:t>
      </w:r>
      <w:r>
        <w:rPr>
          <w:bCs/>
          <w:color w:val="auto"/>
        </w:rPr>
        <w:t>和牧原食品股份有限公司早期建设的猪场相比，本项目新鲜水消耗量和废水产生量较少，从清粪工艺、堆肥工艺、设备、废物回收利用等方面分析，本项目清洁生产水平可达到国内同类行业清洁生产先进水平。</w:t>
      </w:r>
    </w:p>
    <w:p>
      <w:pPr>
        <w:pStyle w:val="32"/>
        <w:spacing w:line="360" w:lineRule="auto"/>
        <w:rPr>
          <w:color w:val="auto"/>
        </w:rPr>
      </w:pPr>
      <w:r>
        <w:rPr>
          <w:color w:val="auto"/>
        </w:rPr>
        <w:t>3.2项目工艺流程</w:t>
      </w:r>
      <w:bookmarkEnd w:id="288"/>
      <w:bookmarkEnd w:id="289"/>
      <w:bookmarkEnd w:id="290"/>
      <w:bookmarkEnd w:id="291"/>
      <w:bookmarkEnd w:id="292"/>
    </w:p>
    <w:p>
      <w:pPr>
        <w:ind w:firstLine="480"/>
        <w:rPr>
          <w:color w:val="auto"/>
        </w:rPr>
      </w:pPr>
      <w:r>
        <w:rPr>
          <w:color w:val="auto"/>
        </w:rPr>
        <w:t>该养殖场采用集约化养殖方式饲养</w:t>
      </w:r>
      <w:r>
        <w:rPr>
          <w:rFonts w:hint="eastAsia"/>
          <w:color w:val="auto"/>
        </w:rPr>
        <w:t>育肥</w:t>
      </w:r>
      <w:r>
        <w:rPr>
          <w:color w:val="auto"/>
        </w:rPr>
        <w:t>猪，采用干清粪工艺。</w:t>
      </w:r>
    </w:p>
    <w:p>
      <w:pPr>
        <w:pStyle w:val="36"/>
        <w:ind w:firstLine="480"/>
        <w:rPr>
          <w:color w:val="auto"/>
        </w:rPr>
      </w:pPr>
      <w:bookmarkStart w:id="293" w:name="_Toc468115363"/>
      <w:r>
        <w:rPr>
          <w:color w:val="auto"/>
        </w:rPr>
        <w:t>3.2.1养殖工艺流程</w:t>
      </w:r>
      <w:bookmarkEnd w:id="293"/>
    </w:p>
    <w:p>
      <w:pPr>
        <w:topLinePunct/>
        <w:ind w:firstLine="480"/>
        <w:rPr>
          <w:color w:val="auto"/>
        </w:rPr>
      </w:pPr>
      <w:r>
        <w:rPr>
          <w:color w:val="auto"/>
        </w:rPr>
        <w:t>本项目采用集约化养殖方式饲养育</w:t>
      </w:r>
      <w:r>
        <w:rPr>
          <w:rFonts w:hint="eastAsia"/>
          <w:color w:val="auto"/>
        </w:rPr>
        <w:t>肥</w:t>
      </w:r>
      <w:r>
        <w:rPr>
          <w:color w:val="auto"/>
        </w:rPr>
        <w:t>猪，按照现代化养猪要求设计养殖工艺流程，实行流水生产工艺，即把猪群按照生产过程专业化的要求划分为配种妊娠阶段</w:t>
      </w:r>
      <w:r>
        <w:rPr>
          <w:rFonts w:hint="eastAsia"/>
          <w:color w:val="auto"/>
        </w:rPr>
        <w:t>、</w:t>
      </w:r>
      <w:r>
        <w:rPr>
          <w:color w:val="auto"/>
        </w:rPr>
        <w:t>分娩哺乳阶段、仔猪保育阶段、生长育成阶段。拟建项目不包括配种妊娠阶段、分娩哺乳阶段，仔猪由牧原其他场统一配送，本项目主要工序为仔猪保育、育成。养殖过程工艺流程及产污环节见图3-3。</w:t>
      </w:r>
    </w:p>
    <w:p>
      <w:pPr>
        <w:pStyle w:val="41"/>
        <w:spacing w:before="0" w:after="0"/>
        <w:jc w:val="both"/>
        <w:rPr>
          <w:rFonts w:ascii="Times New Roman" w:hAnsi="Times New Roman" w:cs="Times New Roman"/>
          <w:color w:val="auto"/>
        </w:rPr>
      </w:pPr>
      <w:r>
        <w:rPr>
          <w:color w:val="auto"/>
        </w:rPr>
        <w:pict>
          <v:shape id="_x0000_s1049" o:spid="_x0000_s1049" o:spt="202" type="#_x0000_t202" style="position:absolute;left:0pt;margin-left:130.2pt;margin-top:68.35pt;height:21.75pt;width:39.7pt;z-index:251665408;mso-width-relative:page;mso-height-relative:page;" stroked="f" coordsize="21600,21600" o:gfxdata="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OZT+Y/WAAAACwEAAA8AAAAAAAAAAQAgAAAAIgAAAGRy&#10;cy9kb3ducmV2LnhtbFBLAQIUABQAAAAIAIdO4kCuiq1eQAIAAE4EAAAOAAAAAAAAAAEAIAAAACUB&#10;AABkcnMvZTJvRG9jLnhtbFBLBQYAAAAABgAGAFkBAADXBQAAAAA=&#10;">
            <v:path/>
            <v:fill focussize="0,0"/>
            <v:stroke on="f" weight="0.5pt" joinstyle="miter"/>
            <v:imagedata o:title=""/>
            <o:lock v:ext="edit"/>
            <v:textbox>
              <w:txbxContent>
                <w:p>
                  <w:pPr>
                    <w:ind w:firstLine="0" w:firstLineChars="0"/>
                    <w:rPr>
                      <w:sz w:val="22"/>
                      <w:szCs w:val="22"/>
                    </w:rPr>
                  </w:pPr>
                  <w:r>
                    <w:rPr>
                      <w:sz w:val="22"/>
                      <w:szCs w:val="22"/>
                    </w:rPr>
                    <w:t>4</w:t>
                  </w:r>
                  <w:r>
                    <w:rPr>
                      <w:rFonts w:hint="eastAsia"/>
                      <w:sz w:val="22"/>
                      <w:szCs w:val="22"/>
                    </w:rPr>
                    <w:t>6</w:t>
                  </w:r>
                  <w:r>
                    <w:rPr>
                      <w:sz w:val="22"/>
                      <w:szCs w:val="22"/>
                    </w:rPr>
                    <w:t>天</w:t>
                  </w:r>
                </w:p>
              </w:txbxContent>
            </v:textbox>
          </v:shape>
        </w:pict>
      </w:r>
      <w:r>
        <w:rPr>
          <w:color w:val="auto"/>
        </w:rPr>
        <w:pict>
          <v:shape id="_x0000_s1048" o:spid="_x0000_s1048" o:spt="202" type="#_x0000_t202" style="position:absolute;left:0pt;margin-left:239.3pt;margin-top:69.25pt;height:21.75pt;width:47.1pt;z-index:251666432;mso-width-relative:page;mso-height-relative:page;" stroked="f" coordsize="21600,21600" o:gfxdata="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Hz8tLtYAAAALAQAADwAAAAAAAAABACAAAAAiAAAAZHJzL2Rvd25yZXYueG1s&#10;UEsBAhQAFAAAAAgAh07iQKX1wrUzAgAAQgQAAA4AAAAAAAAAAQAgAAAAJQEAAGRycy9lMm9Eb2Mu&#10;eG1sUEsFBgAAAAAGAAYAWQEAAMoFAAAAAA==&#10;">
            <v:path/>
            <v:fill focussize="0,0"/>
            <v:stroke on="f" weight="0.5pt" joinstyle="miter"/>
            <v:imagedata o:title=""/>
            <o:lock v:ext="edit"/>
            <v:textbox>
              <w:txbxContent>
                <w:p>
                  <w:pPr>
                    <w:ind w:firstLine="0" w:firstLineChars="0"/>
                    <w:rPr>
                      <w:sz w:val="22"/>
                      <w:szCs w:val="22"/>
                    </w:rPr>
                  </w:pPr>
                  <w:r>
                    <w:rPr>
                      <w:rFonts w:hint="eastAsia"/>
                      <w:sz w:val="22"/>
                      <w:szCs w:val="22"/>
                    </w:rPr>
                    <w:t>100</w:t>
                  </w:r>
                  <w:r>
                    <w:rPr>
                      <w:sz w:val="22"/>
                      <w:szCs w:val="22"/>
                    </w:rPr>
                    <w:t>天</w:t>
                  </w:r>
                </w:p>
              </w:txbxContent>
            </v:textbox>
          </v:shape>
        </w:pict>
      </w:r>
      <w:r>
        <w:rPr>
          <w:rFonts w:hint="eastAsia" w:ascii="Times New Roman" w:hAnsi="Times New Roman" w:cs="Times New Roman"/>
          <w:color w:val="auto"/>
        </w:rPr>
        <w:drawing>
          <wp:inline distT="0" distB="0" distL="114300" distR="114300">
            <wp:extent cx="5297805" cy="2651125"/>
            <wp:effectExtent l="0" t="0" r="17145" b="15875"/>
            <wp:docPr id="6" name="图片 6" descr="15770718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1577071830(1)"/>
                    <pic:cNvPicPr>
                      <a:picLocks noChangeAspect="1"/>
                    </pic:cNvPicPr>
                  </pic:nvPicPr>
                  <pic:blipFill>
                    <a:blip r:embed="rId35" cstate="print"/>
                    <a:stretch>
                      <a:fillRect/>
                    </a:stretch>
                  </pic:blipFill>
                  <pic:spPr>
                    <a:xfrm>
                      <a:off x="0" y="0"/>
                      <a:ext cx="5297805" cy="2651125"/>
                    </a:xfrm>
                    <a:prstGeom prst="rect">
                      <a:avLst/>
                    </a:prstGeom>
                  </pic:spPr>
                </pic:pic>
              </a:graphicData>
            </a:graphic>
          </wp:inline>
        </w:drawing>
      </w:r>
    </w:p>
    <w:p>
      <w:pPr>
        <w:kinsoku w:val="0"/>
        <w:overflowPunct w:val="0"/>
        <w:spacing w:line="500" w:lineRule="exact"/>
        <w:ind w:firstLine="480"/>
        <w:jc w:val="center"/>
        <w:rPr>
          <w:rFonts w:eastAsia="黑体"/>
          <w:color w:val="auto"/>
        </w:rPr>
      </w:pPr>
      <w:r>
        <w:rPr>
          <w:rFonts w:eastAsia="黑体"/>
          <w:color w:val="auto"/>
        </w:rPr>
        <w:t>图3-3      养殖过程工艺流程</w:t>
      </w:r>
    </w:p>
    <w:p>
      <w:pPr>
        <w:ind w:firstLine="480"/>
        <w:outlineLvl w:val="3"/>
        <w:rPr>
          <w:color w:val="auto"/>
        </w:rPr>
      </w:pPr>
      <w:r>
        <w:rPr>
          <w:color w:val="auto"/>
        </w:rPr>
        <w:t>3.2.1.1  工艺说明</w:t>
      </w:r>
    </w:p>
    <w:p>
      <w:pPr>
        <w:topLinePunct/>
        <w:ind w:firstLine="480"/>
        <w:rPr>
          <w:color w:val="auto"/>
        </w:rPr>
      </w:pPr>
      <w:r>
        <w:rPr>
          <w:color w:val="auto"/>
        </w:rPr>
        <w:t>本项目仔猪由牧原</w:t>
      </w:r>
      <w:r>
        <w:rPr>
          <w:rFonts w:hint="eastAsia"/>
          <w:color w:val="auto"/>
        </w:rPr>
        <w:t>濮阳县</w:t>
      </w:r>
      <w:r>
        <w:rPr>
          <w:color w:val="auto"/>
        </w:rPr>
        <w:t>内种猪场统一提供配送，本项目设置保育育肥</w:t>
      </w:r>
      <w:r>
        <w:rPr>
          <w:rFonts w:hint="eastAsia"/>
          <w:color w:val="auto"/>
        </w:rPr>
        <w:t>一体舍</w:t>
      </w:r>
      <w:r>
        <w:rPr>
          <w:color w:val="auto"/>
        </w:rPr>
        <w:t>，仔猪在猪舍经</w:t>
      </w:r>
      <w:r>
        <w:rPr>
          <w:rFonts w:hint="eastAsia"/>
          <w:color w:val="auto"/>
        </w:rPr>
        <w:t>46</w:t>
      </w:r>
      <w:r>
        <w:rPr>
          <w:color w:val="auto"/>
        </w:rPr>
        <w:t>天的保育饲养和</w:t>
      </w:r>
      <w:r>
        <w:rPr>
          <w:rFonts w:hint="eastAsia"/>
          <w:color w:val="auto"/>
        </w:rPr>
        <w:t>100</w:t>
      </w:r>
      <w:r>
        <w:rPr>
          <w:color w:val="auto"/>
        </w:rPr>
        <w:t>天左右的育肥饲养，长成至约100kg即为育肥猪。</w:t>
      </w:r>
    </w:p>
    <w:p>
      <w:pPr>
        <w:topLinePunct/>
        <w:ind w:firstLine="480"/>
        <w:rPr>
          <w:color w:val="auto"/>
        </w:rPr>
      </w:pPr>
      <w:r>
        <w:rPr>
          <w:color w:val="auto"/>
        </w:rPr>
        <w:t>项目按现代化养猪要求设计生产工艺流程，实行流水生产工艺，即把猪群按生产过程专业化的要求划分为保育阶段和育肥阶段。</w:t>
      </w:r>
    </w:p>
    <w:p>
      <w:pPr>
        <w:topLinePunct/>
        <w:ind w:firstLine="480"/>
        <w:rPr>
          <w:color w:val="auto"/>
        </w:rPr>
      </w:pPr>
      <w:r>
        <w:rPr>
          <w:color w:val="auto"/>
        </w:rPr>
        <w:t>（1）仔猪保育阶段</w:t>
      </w:r>
    </w:p>
    <w:p>
      <w:pPr>
        <w:topLinePunct/>
        <w:ind w:firstLine="480"/>
        <w:rPr>
          <w:color w:val="auto"/>
        </w:rPr>
      </w:pPr>
      <w:r>
        <w:rPr>
          <w:color w:val="auto"/>
        </w:rPr>
        <w:t>本项目引进断奶仔猪进行饲养。这一阶段，仔猪与母猪不在一起，营养来源由吃奶供给转变为仔猪独立采食饲料。这种环境的变化，对仔猪是一个应激。因此，保育阶段的主要任务是创造条件，减少应激，缩短适应期，保持快速生长，防止拉痢掉膘。</w:t>
      </w:r>
    </w:p>
    <w:p>
      <w:pPr>
        <w:topLinePunct/>
        <w:ind w:firstLine="480"/>
        <w:rPr>
          <w:color w:val="auto"/>
        </w:rPr>
      </w:pPr>
      <w:r>
        <w:rPr>
          <w:color w:val="auto"/>
        </w:rPr>
        <w:t>保育的适宜温度和相对湿度控制在20～22℃和65％～70％，并注意良好的通风换气，保持圈舍清洁、干燥，饮水充足。进入保育阶段的幼猪，7～10日内应保持原来的乳猪饲料，并严格控制采食量，由自由采食改为日喂4-5餐，投料量为自由采食的70％。以后逐渐过渡到仔猪料。3～5周龄断奶的仔猪，如不控制采食量，便容易诱发胃肠炎，造成增重减慢，甚至拉稀死亡。保育阶段应安排驱虫、防疫注射工作。</w:t>
      </w:r>
    </w:p>
    <w:p>
      <w:pPr>
        <w:topLinePunct/>
        <w:ind w:firstLine="480"/>
        <w:rPr>
          <w:color w:val="auto"/>
        </w:rPr>
      </w:pPr>
      <w:r>
        <w:rPr>
          <w:color w:val="auto"/>
        </w:rPr>
        <w:t>（2）生长育肥阶段</w:t>
      </w:r>
    </w:p>
    <w:p>
      <w:pPr>
        <w:topLinePunct/>
        <w:ind w:firstLine="480"/>
        <w:rPr>
          <w:color w:val="auto"/>
        </w:rPr>
      </w:pPr>
      <w:r>
        <w:rPr>
          <w:color w:val="auto"/>
        </w:rPr>
        <w:t>育肥阶段，猪舍内应保持清洁、干燥、通风良好、饮水充足，温度控制在18～</w:t>
      </w:r>
    </w:p>
    <w:p>
      <w:pPr>
        <w:topLinePunct/>
        <w:ind w:firstLine="0" w:firstLineChars="0"/>
        <w:rPr>
          <w:color w:val="auto"/>
        </w:rPr>
      </w:pPr>
      <w:r>
        <w:rPr>
          <w:color w:val="auto"/>
        </w:rPr>
        <w:t>22℃，夏季注意防暑降温。原圈猪按体重大小、性别、强弱分群，每群大小应视圈舍大小而定。</w:t>
      </w:r>
    </w:p>
    <w:p>
      <w:pPr>
        <w:topLinePunct/>
        <w:ind w:firstLine="480"/>
        <w:rPr>
          <w:color w:val="auto"/>
        </w:rPr>
      </w:pPr>
      <w:r>
        <w:rPr>
          <w:color w:val="auto"/>
        </w:rPr>
        <w:t>每月要定期称重，以检查饲喂效果。经常检查猪群的采食、发育等情况，及时调整饲料配方，发现疫病及时报告，采取有效措施进行治疗和处理。</w:t>
      </w:r>
    </w:p>
    <w:p>
      <w:pPr>
        <w:ind w:firstLine="480"/>
        <w:outlineLvl w:val="3"/>
        <w:rPr>
          <w:color w:val="auto"/>
        </w:rPr>
      </w:pPr>
      <w:r>
        <w:rPr>
          <w:color w:val="auto"/>
        </w:rPr>
        <w:t>3.2.1.2  养殖设备工艺</w:t>
      </w:r>
    </w:p>
    <w:p>
      <w:pPr>
        <w:widowControl/>
        <w:ind w:firstLine="480"/>
        <w:rPr>
          <w:color w:val="auto"/>
        </w:rPr>
      </w:pPr>
      <w:r>
        <w:rPr>
          <w:color w:val="auto"/>
        </w:rPr>
        <w:fldChar w:fldCharType="begin"/>
      </w:r>
      <w:r>
        <w:rPr>
          <w:color w:val="auto"/>
        </w:rPr>
        <w:instrText xml:space="preserve"> = 1 \* GB3 </w:instrText>
      </w:r>
      <w:r>
        <w:rPr>
          <w:color w:val="auto"/>
        </w:rPr>
        <w:fldChar w:fldCharType="separate"/>
      </w:r>
      <w:r>
        <w:rPr>
          <w:color w:val="auto"/>
        </w:rPr>
        <w:t>①</w:t>
      </w:r>
      <w:r>
        <w:rPr>
          <w:color w:val="auto"/>
        </w:rPr>
        <w:fldChar w:fldCharType="end"/>
      </w:r>
      <w:r>
        <w:rPr>
          <w:color w:val="auto"/>
        </w:rPr>
        <w:t>供料系统</w:t>
      </w:r>
    </w:p>
    <w:p>
      <w:pPr>
        <w:widowControl/>
        <w:ind w:firstLine="480"/>
        <w:rPr>
          <w:color w:val="auto"/>
        </w:rPr>
      </w:pPr>
      <w:r>
        <w:rPr>
          <w:color w:val="auto"/>
        </w:rPr>
        <w:t>饲料暂由牧原食品股份有限公司其他养殖场的饲料加工车间提供，猪场采用全自动配送上料系统，定时定量供应饲料，保证生猪饮食需求，同时减少浪费，节约人力和饲料用量，降低生产成本。</w:t>
      </w:r>
    </w:p>
    <w:p>
      <w:pPr>
        <w:ind w:firstLine="480"/>
        <w:rPr>
          <w:color w:val="auto"/>
        </w:rPr>
      </w:pPr>
      <w:r>
        <w:rPr>
          <w:color w:val="auto"/>
        </w:rPr>
        <w:fldChar w:fldCharType="begin"/>
      </w:r>
      <w:r>
        <w:rPr>
          <w:color w:val="auto"/>
        </w:rPr>
        <w:instrText xml:space="preserve"> = 2 \* GB3 </w:instrText>
      </w:r>
      <w:r>
        <w:rPr>
          <w:color w:val="auto"/>
        </w:rPr>
        <w:fldChar w:fldCharType="separate"/>
      </w:r>
      <w:r>
        <w:rPr>
          <w:color w:val="auto"/>
        </w:rPr>
        <w:t>②</w:t>
      </w:r>
      <w:r>
        <w:rPr>
          <w:color w:val="auto"/>
        </w:rPr>
        <w:fldChar w:fldCharType="end"/>
      </w:r>
      <w:r>
        <w:rPr>
          <w:color w:val="auto"/>
        </w:rPr>
        <w:t>饮水系统工艺说明</w:t>
      </w:r>
    </w:p>
    <w:p>
      <w:pPr>
        <w:ind w:firstLine="480"/>
        <w:rPr>
          <w:color w:val="auto"/>
        </w:rPr>
      </w:pPr>
      <w:r>
        <w:rPr>
          <w:color w:val="auto"/>
        </w:rPr>
        <w:t>项目采用先进的限位饮水器，限位饮水器的底部槽体液面始终维持在2cm的液面高度，在此液面高度时，饮水器与外界空气形成负压，当生猪喝水时，饮水器与空气接触，内部压力大于外部压力，水自动从管内流出至液面高度在2cm时饮水器自动停止供水。能保证生猪随时饮用新鲜水，同时避免不必要的浪费，节约水资源。</w:t>
      </w:r>
    </w:p>
    <w:p>
      <w:pPr>
        <w:ind w:firstLine="480"/>
        <w:rPr>
          <w:color w:val="auto"/>
        </w:rPr>
      </w:pPr>
      <w:r>
        <w:rPr>
          <w:color w:val="auto"/>
        </w:rPr>
        <w:fldChar w:fldCharType="begin"/>
      </w:r>
      <w:r>
        <w:rPr>
          <w:color w:val="auto"/>
        </w:rPr>
        <w:instrText xml:space="preserve"> = 3 \* GB3 </w:instrText>
      </w:r>
      <w:r>
        <w:rPr>
          <w:color w:val="auto"/>
        </w:rPr>
        <w:fldChar w:fldCharType="separate"/>
      </w:r>
      <w:r>
        <w:rPr>
          <w:color w:val="auto"/>
        </w:rPr>
        <w:t>③</w:t>
      </w:r>
      <w:r>
        <w:rPr>
          <w:color w:val="auto"/>
        </w:rPr>
        <w:fldChar w:fldCharType="end"/>
      </w:r>
      <w:r>
        <w:rPr>
          <w:color w:val="auto"/>
        </w:rPr>
        <w:t>控温系统工艺说明</w:t>
      </w:r>
    </w:p>
    <w:p>
      <w:pPr>
        <w:widowControl/>
        <w:ind w:firstLine="480"/>
        <w:jc w:val="left"/>
        <w:rPr>
          <w:bCs/>
          <w:color w:val="auto"/>
          <w:szCs w:val="28"/>
        </w:rPr>
      </w:pPr>
      <w:r>
        <w:rPr>
          <w:bCs/>
          <w:color w:val="auto"/>
          <w:szCs w:val="28"/>
        </w:rPr>
        <w:t>项目通过优化猪舍结构设计、墙体做隔热保温层来切断单元内外热传递。同时，猪舍冬季通风换气时，通过热交换系统对进、出风实行热交换，使单元内温度保持在猪适宜的温度范围内。具体措施如下：</w:t>
      </w:r>
    </w:p>
    <w:p>
      <w:pPr>
        <w:widowControl/>
        <w:ind w:firstLine="480"/>
        <w:jc w:val="left"/>
        <w:rPr>
          <w:bCs/>
          <w:color w:val="auto"/>
          <w:szCs w:val="28"/>
        </w:rPr>
      </w:pPr>
      <w:r>
        <w:rPr>
          <w:bCs/>
          <w:color w:val="auto"/>
          <w:szCs w:val="28"/>
        </w:rPr>
        <w:t>猪舍结构：墙体外铺挤塑式聚苯乙烯隔热保温板（冬季有很好的阻热作用）+猪舍内热交换器（冬季有效利用热量，较少热量损失）+风机（夏季有很好的通风作用）。</w:t>
      </w:r>
    </w:p>
    <w:p>
      <w:pPr>
        <w:widowControl/>
        <w:ind w:firstLine="480"/>
        <w:jc w:val="left"/>
        <w:rPr>
          <w:color w:val="auto"/>
        </w:rPr>
      </w:pPr>
      <w:r>
        <w:rPr>
          <w:color w:val="auto"/>
        </w:rPr>
        <w:t>墙体由挤塑式聚苯乙烯隔热保温板（简称“挤塑板”）来切断单元内外热传递，该材料具有高热阻、低线性、膨胀比低的特点，其结构的闭孔率达到了99%以上，形成真空层，避免空气流动散热，确保其保温性能的持久和稳定。</w:t>
      </w:r>
    </w:p>
    <w:p>
      <w:pPr>
        <w:widowControl/>
        <w:ind w:firstLine="480"/>
        <w:jc w:val="left"/>
        <w:rPr>
          <w:color w:val="auto"/>
        </w:rPr>
      </w:pPr>
      <w:r>
        <w:rPr>
          <w:color w:val="auto"/>
        </w:rPr>
        <w:t>全热交换器主要原理：热交换通风系统主要包括进风管、布风管、排风道、变速风机等。其中布风管和进风管相联通安装于猪舍上部，中间为猪群生活的漏缝板，猪舍下部为封闭的排风道，变速风机位于猪舍另一侧排风道中间。当变速风机启动时，从封闭通道抽出猪舍内部污浊高温的空气，室外清新的冷空气经由进风道进入猪舍内。因进风管采用导热性能较好的材料制成，在冷空气进入猪舍内的过程中，可通过进风管壁与猪舍内空气进行充分的热交换，使进入猪舍的新鲜空气温度大大提高，避免了猪群在生长过程中的冷应激作用。</w:t>
      </w:r>
    </w:p>
    <w:p>
      <w:pPr>
        <w:widowControl/>
        <w:ind w:firstLine="480"/>
        <w:jc w:val="left"/>
        <w:rPr>
          <w:color w:val="auto"/>
        </w:rPr>
      </w:pPr>
      <w:r>
        <w:rPr>
          <w:color w:val="auto"/>
        </w:rPr>
        <w:t>在对猪舍内外空气进行交换的同时，也进行热量交换，猪舍在热交换的过程中，实施最小通风量，防止过度通风带来不必要的热量损失。运行时，新风从排风获得热量，温度升高，通过换热芯体的全热换热过程，让新风从排风中回收能量，保证在通风时也保持猪舍内部温度，既保证了猪群对新鲜空气的需要，又保证单元内有害气体不超标，同时满足了通风和稳定猪舍温度的需求，节约了能源消耗，降低了饲养成本。</w:t>
      </w:r>
    </w:p>
    <w:p>
      <w:pPr>
        <w:widowControl/>
        <w:ind w:firstLine="480"/>
        <w:jc w:val="left"/>
        <w:rPr>
          <w:color w:val="auto"/>
        </w:rPr>
      </w:pPr>
      <w:r>
        <w:rPr>
          <w:color w:val="auto"/>
        </w:rPr>
        <w:t>冬季保温：主要是通过猪舍墙体保温材料与外部断绝热交换，猪舍内部通风通过全热交换器进行，实施最小通风量，既保证猪需要的氧气量，又保证单元内有害气体不超标，防止过度通风降低单元温度。</w:t>
      </w:r>
    </w:p>
    <w:p>
      <w:pPr>
        <w:tabs>
          <w:tab w:val="left" w:pos="624"/>
        </w:tabs>
        <w:ind w:firstLine="480"/>
        <w:jc w:val="left"/>
        <w:rPr>
          <w:color w:val="auto"/>
        </w:rPr>
      </w:pPr>
      <w:r>
        <w:rPr>
          <w:color w:val="auto"/>
        </w:rPr>
        <w:t>为确保冬季猪舍内部温度满足要求，可在猪舍内部备用电暖风设备。</w:t>
      </w:r>
    </w:p>
    <w:p>
      <w:pPr>
        <w:tabs>
          <w:tab w:val="left" w:pos="624"/>
        </w:tabs>
        <w:ind w:firstLine="480"/>
        <w:jc w:val="left"/>
        <w:rPr>
          <w:color w:val="auto"/>
        </w:rPr>
      </w:pPr>
      <w:r>
        <w:rPr>
          <w:color w:val="auto"/>
        </w:rPr>
        <w:t>根据牧原公司在已有几个</w:t>
      </w:r>
      <w:r>
        <w:rPr>
          <w:rFonts w:hint="eastAsia"/>
          <w:color w:val="auto"/>
        </w:rPr>
        <w:t>厂区</w:t>
      </w:r>
      <w:r>
        <w:rPr>
          <w:color w:val="auto"/>
        </w:rPr>
        <w:t>的试验结果，0℃左右的空气可被升温10~15℃左右。公司已经在部分</w:t>
      </w:r>
      <w:r>
        <w:rPr>
          <w:rFonts w:hint="eastAsia"/>
          <w:color w:val="auto"/>
        </w:rPr>
        <w:t>厂区</w:t>
      </w:r>
      <w:r>
        <w:rPr>
          <w:color w:val="auto"/>
        </w:rPr>
        <w:t>进行了改造使用，效果比试验预测期还要好。另外，热交换主要在单元装猪的第一个月猪群还未长大时进行使用，当猪群成长一个月左右，仅依靠猪群自身散热即可达到对温度的需求，最后甚至还要打开侧窗进行散热。</w:t>
      </w:r>
    </w:p>
    <w:p>
      <w:pPr>
        <w:ind w:firstLine="480"/>
        <w:rPr>
          <w:color w:val="auto"/>
        </w:rPr>
      </w:pPr>
      <w:r>
        <w:rPr>
          <w:color w:val="auto"/>
        </w:rPr>
        <w:t>夏季降温：采用喷</w:t>
      </w:r>
      <w:r>
        <w:rPr>
          <w:rFonts w:hint="eastAsia"/>
          <w:color w:val="auto"/>
        </w:rPr>
        <w:t>雾</w:t>
      </w:r>
      <w:r>
        <w:rPr>
          <w:color w:val="auto"/>
        </w:rPr>
        <w:t>降温。喷</w:t>
      </w:r>
      <w:r>
        <w:rPr>
          <w:rFonts w:hint="eastAsia"/>
          <w:color w:val="auto"/>
        </w:rPr>
        <w:t>雾</w:t>
      </w:r>
      <w:r>
        <w:rPr>
          <w:color w:val="auto"/>
        </w:rPr>
        <w:t>降温：喷淋</w:t>
      </w:r>
      <w:r>
        <w:rPr>
          <w:rFonts w:hint="eastAsia"/>
          <w:color w:val="auto"/>
        </w:rPr>
        <w:t>3</w:t>
      </w:r>
      <w:r>
        <w:rPr>
          <w:color w:val="auto"/>
        </w:rPr>
        <w:t>0天。降温水由电脑控制喷淋时间，喷雾不形成径流，降温过程不产生废水。喷淋情况为</w:t>
      </w:r>
      <w:r>
        <w:rPr>
          <w:rFonts w:hint="eastAsia"/>
          <w:color w:val="auto"/>
        </w:rPr>
        <w:t>：0.198m</w:t>
      </w:r>
      <w:r>
        <w:rPr>
          <w:rFonts w:hint="eastAsia"/>
          <w:color w:val="auto"/>
          <w:vertAlign w:val="superscript"/>
        </w:rPr>
        <w:t>3</w:t>
      </w:r>
      <w:r>
        <w:rPr>
          <w:rFonts w:hint="eastAsia"/>
          <w:color w:val="auto"/>
        </w:rPr>
        <w:t>/（栋·d）</w:t>
      </w:r>
      <w:r>
        <w:rPr>
          <w:color w:val="auto"/>
        </w:rPr>
        <w:t>。</w:t>
      </w:r>
    </w:p>
    <w:p>
      <w:pPr>
        <w:widowControl/>
        <w:ind w:firstLine="470" w:firstLineChars="196"/>
        <w:jc w:val="left"/>
        <w:rPr>
          <w:color w:val="auto"/>
        </w:rPr>
      </w:pPr>
      <w:r>
        <w:rPr>
          <w:color w:val="auto"/>
        </w:rPr>
        <w:fldChar w:fldCharType="begin"/>
      </w:r>
      <w:r>
        <w:rPr>
          <w:color w:val="auto"/>
        </w:rPr>
        <w:instrText xml:space="preserve"> = 4 \* GB3 </w:instrText>
      </w:r>
      <w:r>
        <w:rPr>
          <w:color w:val="auto"/>
        </w:rPr>
        <w:fldChar w:fldCharType="separate"/>
      </w:r>
      <w:r>
        <w:rPr>
          <w:color w:val="auto"/>
        </w:rPr>
        <w:t>④</w:t>
      </w:r>
      <w:r>
        <w:rPr>
          <w:color w:val="auto"/>
        </w:rPr>
        <w:fldChar w:fldCharType="end"/>
      </w:r>
      <w:r>
        <w:rPr>
          <w:color w:val="auto"/>
        </w:rPr>
        <w:t>漏缝地板粪污处理</w:t>
      </w:r>
    </w:p>
    <w:p>
      <w:pPr>
        <w:ind w:firstLine="480"/>
        <w:rPr>
          <w:color w:val="auto"/>
        </w:rPr>
      </w:pPr>
      <w:r>
        <w:rPr>
          <w:color w:val="auto"/>
        </w:rPr>
        <w:t>猪舍采用漏缝地板，漏缝地板下设储存池，粪尿在储存池中储存后到治污区，通过固液分离机对粪污进行干湿分离，猪粪用于生产有机肥，废水进入污水处理区处理。</w:t>
      </w:r>
    </w:p>
    <w:p>
      <w:pPr>
        <w:ind w:firstLine="480"/>
        <w:rPr>
          <w:color w:val="auto"/>
        </w:rPr>
      </w:pPr>
      <w:r>
        <w:rPr>
          <w:color w:val="auto"/>
        </w:rPr>
        <w:fldChar w:fldCharType="begin"/>
      </w:r>
      <w:r>
        <w:rPr>
          <w:color w:val="auto"/>
        </w:rPr>
        <w:instrText xml:space="preserve"> = 5 \* GB3 </w:instrText>
      </w:r>
      <w:r>
        <w:rPr>
          <w:color w:val="auto"/>
        </w:rPr>
        <w:fldChar w:fldCharType="separate"/>
      </w:r>
      <w:r>
        <w:rPr>
          <w:color w:val="auto"/>
        </w:rPr>
        <w:t>⑤</w:t>
      </w:r>
      <w:r>
        <w:rPr>
          <w:color w:val="auto"/>
        </w:rPr>
        <w:fldChar w:fldCharType="end"/>
      </w:r>
      <w:r>
        <w:rPr>
          <w:color w:val="auto"/>
        </w:rPr>
        <w:t>卫生防疫</w:t>
      </w:r>
    </w:p>
    <w:p>
      <w:pPr>
        <w:ind w:firstLine="480"/>
        <w:rPr>
          <w:color w:val="auto"/>
        </w:rPr>
      </w:pPr>
      <w:r>
        <w:rPr>
          <w:color w:val="auto"/>
        </w:rPr>
        <w:t>在猪出栏后，通过高压水枪喷淋烧碱水或石灰石对猪舍进行消毒处理，发生特别疫情时用高锰酸钾消毒液进行消毒处理。</w:t>
      </w:r>
    </w:p>
    <w:p>
      <w:pPr>
        <w:ind w:firstLine="480"/>
        <w:rPr>
          <w:color w:val="auto"/>
        </w:rPr>
      </w:pPr>
      <w:r>
        <w:rPr>
          <w:color w:val="auto"/>
        </w:rPr>
        <w:t>场内部养殖区、</w:t>
      </w:r>
      <w:bookmarkStart w:id="294" w:name="_Toc468115364"/>
      <w:r>
        <w:rPr>
          <w:color w:val="auto"/>
        </w:rPr>
        <w:t>生活管理区建设实体隔离墙；</w:t>
      </w:r>
      <w:r>
        <w:rPr>
          <w:rFonts w:hint="eastAsia"/>
          <w:color w:val="auto"/>
        </w:rPr>
        <w:t>厂区</w:t>
      </w:r>
      <w:r>
        <w:rPr>
          <w:color w:val="auto"/>
        </w:rPr>
        <w:t>、生产</w:t>
      </w:r>
      <w:r>
        <w:rPr>
          <w:rFonts w:hint="eastAsia"/>
          <w:color w:val="auto"/>
        </w:rPr>
        <w:t>厂区</w:t>
      </w:r>
      <w:r>
        <w:rPr>
          <w:color w:val="auto"/>
        </w:rPr>
        <w:t>大门口建设消毒池。</w:t>
      </w:r>
    </w:p>
    <w:p>
      <w:pPr>
        <w:pStyle w:val="36"/>
        <w:ind w:firstLine="480"/>
        <w:rPr>
          <w:color w:val="auto"/>
        </w:rPr>
      </w:pPr>
      <w:r>
        <w:rPr>
          <w:color w:val="auto"/>
        </w:rPr>
        <w:t>3.2.2养殖模式与清粪工艺</w:t>
      </w:r>
      <w:bookmarkEnd w:id="294"/>
    </w:p>
    <w:p>
      <w:pPr>
        <w:ind w:firstLine="480"/>
        <w:outlineLvl w:val="3"/>
        <w:rPr>
          <w:color w:val="auto"/>
        </w:rPr>
      </w:pPr>
      <w:r>
        <w:rPr>
          <w:color w:val="auto"/>
        </w:rPr>
        <w:t>3.2.2.1  猪场养殖模式</w:t>
      </w:r>
    </w:p>
    <w:p>
      <w:pPr>
        <w:ind w:firstLine="480"/>
        <w:rPr>
          <w:color w:val="auto"/>
        </w:rPr>
      </w:pPr>
      <w:r>
        <w:rPr>
          <w:color w:val="auto"/>
        </w:rPr>
        <w:t>猪舍的设计养殖模式与清粪工艺、养殖规模、饲养方式、劳动效率、卫生防疫及养殖成本都有着密切的关系。通过考察及查阅相关资料得知，目前国内已建猪场并存的模式有农舍式、通仓式、生态垫料和高架床等。</w:t>
      </w:r>
    </w:p>
    <w:p>
      <w:pPr>
        <w:ind w:firstLine="480"/>
        <w:rPr>
          <w:color w:val="auto"/>
        </w:rPr>
      </w:pPr>
      <w:r>
        <w:rPr>
          <w:color w:val="auto"/>
        </w:rPr>
        <w:t>A、农舍式</w:t>
      </w:r>
    </w:p>
    <w:p>
      <w:pPr>
        <w:ind w:firstLine="480"/>
        <w:rPr>
          <w:color w:val="auto"/>
        </w:rPr>
      </w:pPr>
      <w:r>
        <w:rPr>
          <w:color w:val="auto"/>
        </w:rPr>
        <w:t>农舍式基本上由传统的农家猪舍改造集合而成，每个养猪单元内划分休息区、喂食饮水区、排粪区。排粪区内的尿液至收集槽内汇集，猪粪由人工清除后运出，以水冲洗残渣，属于干清粪模式。</w:t>
      </w:r>
    </w:p>
    <w:p>
      <w:pPr>
        <w:ind w:firstLine="480"/>
        <w:rPr>
          <w:color w:val="auto"/>
        </w:rPr>
      </w:pPr>
      <w:r>
        <w:rPr>
          <w:color w:val="auto"/>
        </w:rPr>
        <w:t>优点：该模式符合《畜禽养殖业污染防治技术规范》（HJ/T81-2001）中4.3款“新建、改建、扩建的畜禽养殖场应采取干清粪工艺，采取有效措施及时、单独清出，不可与尿、污水混合排出，并将产生的粪渣及时运至贮存或处理场所，实现日产日清”的要求。粪便与尿液分离彻底，废水污染物浓度低，便于污水的后续处理。</w:t>
      </w:r>
    </w:p>
    <w:p>
      <w:pPr>
        <w:ind w:firstLine="480"/>
        <w:rPr>
          <w:color w:val="auto"/>
        </w:rPr>
      </w:pPr>
      <w:r>
        <w:rPr>
          <w:color w:val="auto"/>
        </w:rPr>
        <w:t>缺点：该模式存在以下问题：a、难以实现机械化操作，平均一名饲养员只能饲养300头生猪，劳动力需求大；b、猪舍占地面积大，相应的增加了冲洗面积，冲洗水量和废水产生量大；c、单位面积经济产出低，不适于集约化经营。</w:t>
      </w:r>
    </w:p>
    <w:p>
      <w:pPr>
        <w:ind w:firstLine="480"/>
        <w:rPr>
          <w:color w:val="auto"/>
        </w:rPr>
      </w:pPr>
      <w:r>
        <w:rPr>
          <w:color w:val="auto"/>
        </w:rPr>
        <w:t>B、通仓式</w:t>
      </w:r>
    </w:p>
    <w:p>
      <w:pPr>
        <w:ind w:firstLine="480"/>
        <w:rPr>
          <w:color w:val="auto"/>
        </w:rPr>
      </w:pPr>
      <w:r>
        <w:rPr>
          <w:color w:val="auto"/>
        </w:rPr>
        <w:t>通仓式为20世纪80年代由西方引进的水冲粪模式改造而来，圈舍呈条排式设计，净道和脏道于圈舍两端贯穿，净道上料、脏道清粪。</w:t>
      </w:r>
    </w:p>
    <w:p>
      <w:pPr>
        <w:ind w:firstLine="480"/>
        <w:rPr>
          <w:color w:val="auto"/>
        </w:rPr>
      </w:pPr>
      <w:r>
        <w:rPr>
          <w:color w:val="auto"/>
        </w:rPr>
        <w:t>优点：可保持猪舍内的环境清洁，利于动物健康。劳动强度小，劳动效率高。</w:t>
      </w:r>
    </w:p>
    <w:p>
      <w:pPr>
        <w:ind w:firstLine="480"/>
        <w:rPr>
          <w:color w:val="auto"/>
        </w:rPr>
      </w:pPr>
      <w:r>
        <w:rPr>
          <w:color w:val="auto"/>
        </w:rPr>
        <w:t>缺点：耗水量大，废水污染物浓度高，固液分离后，大部分可溶性有机质及微量元素等留在污水中，分离出的固体物养分含量低，肥料利用价值较小，另外污水处理基建投资大，动力消耗及运行成本均较高。</w:t>
      </w:r>
    </w:p>
    <w:p>
      <w:pPr>
        <w:ind w:firstLine="480"/>
        <w:rPr>
          <w:color w:val="auto"/>
        </w:rPr>
      </w:pPr>
      <w:r>
        <w:rPr>
          <w:color w:val="auto"/>
        </w:rPr>
        <w:t>C、生态垫料</w:t>
      </w:r>
    </w:p>
    <w:p>
      <w:pPr>
        <w:ind w:firstLine="480"/>
        <w:rPr>
          <w:color w:val="auto"/>
        </w:rPr>
      </w:pPr>
      <w:r>
        <w:rPr>
          <w:color w:val="auto"/>
        </w:rPr>
        <w:t>发酵床为日本、台湾等地区广泛采用的养殖工艺，由福建、山东等地引入。具体工艺是粪尿排至舍内预铺设垫料上，再利用生猪的拱翻习性作为机器加工，使猪粪、尿和垫料充分混合，通过发酵床的分解发酵，使猪粪、尿中的有机物质得到充分的分解和转化，植物以尚未消化的猪粪为食饵，繁殖滋生。随着猪粪尿的处理，臭味也就没有了。而同时繁殖生长的大量植物又向生猪提供了无机物营养和菌体蛋白质被猪食用，从而相辅相成将猪舍垫料发酵床演变成微生态饲料加工厂，达到无臭、无味、无害化的目的，是一种无污染、无排放的、无臭气的新型环保</w:t>
      </w:r>
      <w:r>
        <w:rPr>
          <w:color w:val="auto"/>
        </w:rPr>
        <w:fldChar w:fldCharType="begin"/>
      </w:r>
      <w:r>
        <w:rPr>
          <w:color w:val="auto"/>
        </w:rPr>
        <w:instrText xml:space="preserve"> HYPERLINK "http://baike.baidu.com/view/3923967.htm" </w:instrText>
      </w:r>
      <w:r>
        <w:rPr>
          <w:color w:val="auto"/>
        </w:rPr>
        <w:fldChar w:fldCharType="separate"/>
      </w:r>
      <w:r>
        <w:rPr>
          <w:color w:val="auto"/>
        </w:rPr>
        <w:t>生态养猪技术</w:t>
      </w:r>
      <w:r>
        <w:rPr>
          <w:color w:val="auto"/>
        </w:rPr>
        <w:fldChar w:fldCharType="end"/>
      </w:r>
      <w:r>
        <w:rPr>
          <w:color w:val="auto"/>
        </w:rPr>
        <w:t>。其特点是粪污固性化，利于资源化处理利用，排污周期长，养殖期无需人工清粪。</w:t>
      </w:r>
    </w:p>
    <w:p>
      <w:pPr>
        <w:ind w:firstLine="480"/>
        <w:rPr>
          <w:color w:val="auto"/>
        </w:rPr>
      </w:pPr>
      <w:r>
        <w:rPr>
          <w:color w:val="auto"/>
        </w:rPr>
        <w:t>优点：基建投资小；冬季猪舍不需加温，节约资源能源；粪污资源化利用程度高；无需人工清粪。</w:t>
      </w:r>
    </w:p>
    <w:p>
      <w:pPr>
        <w:ind w:firstLine="480"/>
        <w:rPr>
          <w:color w:val="auto"/>
        </w:rPr>
      </w:pPr>
      <w:r>
        <w:rPr>
          <w:color w:val="auto"/>
        </w:rPr>
        <w:t>缺点：垫料菌种投资大；生猪料肉比低，生长周期长，饲料投入大；猪粪在垫料上需要翻料埋粪，劳动强度大；夏季温度高，需做降温处理，冬季不宜冲水，垫料干燥，猪舍内粉尘量大，易引发呼吸道疾病。</w:t>
      </w:r>
    </w:p>
    <w:p>
      <w:pPr>
        <w:ind w:firstLine="480"/>
        <w:rPr>
          <w:color w:val="auto"/>
        </w:rPr>
      </w:pPr>
      <w:r>
        <w:rPr>
          <w:color w:val="auto"/>
        </w:rPr>
        <w:t>D、高架床</w:t>
      </w:r>
      <w:r>
        <w:rPr>
          <w:color w:val="auto"/>
        </w:rPr>
        <w:tab/>
      </w:r>
    </w:p>
    <w:p>
      <w:pPr>
        <w:ind w:firstLine="480"/>
        <w:rPr>
          <w:color w:val="auto"/>
        </w:rPr>
      </w:pPr>
      <w:r>
        <w:rPr>
          <w:color w:val="auto"/>
        </w:rPr>
        <w:t>高架床属欧美等西方国家推广和普遍采用的先进养殖模式，猪舍设计为高架网床漏缝板，下部设集粪池，猪粪和尿液经漏缝板下泄至集粪池内，池中预加水作水封，单池排贮周期为2~3个月，待猪出栏时，将贮粪池冲水，尿、粪混合物一次排出贮池。</w:t>
      </w:r>
    </w:p>
    <w:p>
      <w:pPr>
        <w:ind w:firstLine="480"/>
        <w:rPr>
          <w:color w:val="auto"/>
        </w:rPr>
      </w:pPr>
      <w:r>
        <w:rPr>
          <w:color w:val="auto"/>
        </w:rPr>
        <w:t>优点：基建投资小；粪污无需人工清理，清理周期长；猪舍平时无需冲洗，用水量和排水量小。</w:t>
      </w:r>
    </w:p>
    <w:p>
      <w:pPr>
        <w:ind w:firstLine="480"/>
        <w:rPr>
          <w:color w:val="auto"/>
        </w:rPr>
      </w:pPr>
      <w:r>
        <w:rPr>
          <w:color w:val="auto"/>
        </w:rPr>
        <w:t>缺点：粪污经长时间浸泡，污染物浓度高，固液分离难度大，增加后续污水处理成本。</w:t>
      </w:r>
    </w:p>
    <w:p>
      <w:pPr>
        <w:ind w:firstLine="480"/>
        <w:outlineLvl w:val="3"/>
        <w:rPr>
          <w:color w:val="auto"/>
        </w:rPr>
      </w:pPr>
      <w:r>
        <w:rPr>
          <w:color w:val="auto"/>
        </w:rPr>
        <w:t>3.2.2.2  项目设计养殖模式与清粪模式</w:t>
      </w:r>
    </w:p>
    <w:p>
      <w:pPr>
        <w:ind w:firstLine="480"/>
        <w:rPr>
          <w:color w:val="auto"/>
        </w:rPr>
      </w:pPr>
      <w:r>
        <w:rPr>
          <w:color w:val="auto"/>
        </w:rPr>
        <w:t>通过对比目前国内主要的养殖模式和清粪模式，牧原食品股份有限公司在高架网床的基础上，进行了一定的技术改造，采用干清粪工艺作为公司养殖清粪模式，该模式已在牧原食品股份有限公司其他养殖场得到了广泛应用。</w:t>
      </w:r>
    </w:p>
    <w:p>
      <w:pPr>
        <w:ind w:firstLine="480"/>
        <w:rPr>
          <w:bCs/>
          <w:color w:val="auto"/>
        </w:rPr>
      </w:pPr>
      <w:r>
        <w:rPr>
          <w:bCs/>
          <w:color w:val="auto"/>
        </w:rPr>
        <w:t>本项目采用干清粪工艺：猪生活在漏缝地板上，猪舍内产生的猪粪由于猪的踩踏及重力作用离开猪舍进入猪舍底部的粪污储存池，储存池底部有5‰的坡度，粪污管道将猪舍漏缝地板下的粪污储存池分成几个区段，每个区段粪污储存池最低端安装一个接头，接头处配备一个排粪塞，以保证液体粪污能存留在猪舍粪污储存池中。当储存池液位达到规定液位后及时清理，当排空粪污储存池时，工人将排粪塞子用钩子提起来，随着排污塞子的打开，猪粪尿开始陆续从一个个小单元粪污储存池流入排污管道，然后进入污水处理站干湿（固液）分离工段。为减少猪粪恶臭的产生，针对清粪工艺采取以下措施：（1）当储存池液位达到规定液位后及时清理，环评建议猪粪做到日产日清，不在猪舍内存储，减少恶臭气体的无组织排放；（2）转栏时对猪舍及储存池用高压水枪进行冲洗。</w:t>
      </w:r>
    </w:p>
    <w:p>
      <w:pPr>
        <w:ind w:firstLine="480"/>
        <w:rPr>
          <w:bCs/>
          <w:color w:val="auto"/>
        </w:rPr>
      </w:pPr>
      <w:r>
        <w:rPr>
          <w:bCs/>
          <w:color w:val="auto"/>
        </w:rPr>
        <w:t>猪粪尿通过两相流泵将猪粪尿抽送至固液分离机，分离后的固态猪粪送至</w:t>
      </w:r>
      <w:r>
        <w:rPr>
          <w:rFonts w:hint="eastAsia"/>
          <w:bCs/>
          <w:color w:val="auto"/>
        </w:rPr>
        <w:t>固粪处理区</w:t>
      </w:r>
      <w:r>
        <w:rPr>
          <w:bCs/>
          <w:color w:val="auto"/>
        </w:rPr>
        <w:t>；液体进入黑膜沼气池进行厌氧发酵。</w:t>
      </w:r>
    </w:p>
    <w:p>
      <w:pPr>
        <w:pStyle w:val="10"/>
        <w:ind w:firstLine="480"/>
        <w:rPr>
          <w:bCs/>
          <w:color w:val="auto"/>
        </w:rPr>
      </w:pPr>
      <w:r>
        <w:rPr>
          <w:rFonts w:hint="eastAsia"/>
          <w:color w:val="auto"/>
        </w:rPr>
        <w:t>猪舍底部粪污贮存池防渗为混凝土防渗</w:t>
      </w:r>
      <w:r>
        <w:rPr>
          <w:color w:val="auto"/>
        </w:rPr>
        <w:t>，</w:t>
      </w:r>
      <w:r>
        <w:rPr>
          <w:rFonts w:hint="eastAsia"/>
          <w:color w:val="auto"/>
        </w:rPr>
        <w:t>猪舍底部的粪污贮存池将粪污排出后全部进入固液分离机，</w:t>
      </w:r>
      <w:r>
        <w:rPr>
          <w:bCs/>
          <w:color w:val="auto"/>
        </w:rPr>
        <w:t>固态猪粪</w:t>
      </w:r>
      <w:r>
        <w:rPr>
          <w:rFonts w:hint="eastAsia"/>
          <w:color w:val="auto"/>
        </w:rPr>
        <w:t>进入固废处理区堆肥发酵，液体</w:t>
      </w:r>
      <w:r>
        <w:rPr>
          <w:bCs/>
          <w:color w:val="auto"/>
        </w:rPr>
        <w:t>进行厌氧发酵，发酵后作为有机肥</w:t>
      </w:r>
      <w:r>
        <w:rPr>
          <w:rFonts w:hint="eastAsia"/>
          <w:bCs/>
          <w:color w:val="auto"/>
        </w:rPr>
        <w:t>基料</w:t>
      </w:r>
      <w:r>
        <w:rPr>
          <w:bCs/>
          <w:color w:val="auto"/>
        </w:rPr>
        <w:t>外售。</w:t>
      </w:r>
    </w:p>
    <w:p>
      <w:pPr>
        <w:ind w:firstLine="480"/>
        <w:rPr>
          <w:color w:val="auto"/>
        </w:rPr>
      </w:pPr>
      <w:r>
        <w:rPr>
          <w:color w:val="auto"/>
        </w:rPr>
        <w:t>圈舍冲洗仅在转栏时进行，废水产生量少；粪污在存栏周期内在圈舍内储存不排外，经过充分的水解酸化，舍内恶臭气体浓度明显降低；同时粪污离开圈舍即进行干湿分离，废水经厌氧发酵处理后做农肥施用于农田，固形物则经过堆肥发酵作为有机肥</w:t>
      </w:r>
      <w:r>
        <w:rPr>
          <w:rFonts w:hint="eastAsia"/>
          <w:color w:val="auto"/>
        </w:rPr>
        <w:t>基料</w:t>
      </w:r>
      <w:r>
        <w:rPr>
          <w:color w:val="auto"/>
        </w:rPr>
        <w:t>外售，实现了粪污的资源化利用。</w:t>
      </w:r>
    </w:p>
    <w:p>
      <w:pPr>
        <w:kinsoku w:val="0"/>
        <w:overflowPunct w:val="0"/>
        <w:ind w:firstLine="0" w:firstLineChars="0"/>
        <w:jc w:val="center"/>
        <w:rPr>
          <w:rFonts w:eastAsia="黑体"/>
          <w:color w:val="auto"/>
        </w:rPr>
      </w:pPr>
      <w:r>
        <w:rPr>
          <w:color w:val="auto"/>
        </w:rPr>
        <w:drawing>
          <wp:inline distT="0" distB="0" distL="114300" distR="114300">
            <wp:extent cx="4988560" cy="3424555"/>
            <wp:effectExtent l="7620" t="7620" r="13970" b="15875"/>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36"/>
                    <a:stretch>
                      <a:fillRect/>
                    </a:stretch>
                  </pic:blipFill>
                  <pic:spPr>
                    <a:xfrm>
                      <a:off x="0" y="0"/>
                      <a:ext cx="4988560" cy="3424555"/>
                    </a:xfrm>
                    <a:prstGeom prst="rect">
                      <a:avLst/>
                    </a:prstGeom>
                    <a:noFill/>
                    <a:ln w="3175" cmpd="sng">
                      <a:solidFill>
                        <a:schemeClr val="tx1"/>
                      </a:solidFill>
                      <a:prstDash val="solid"/>
                    </a:ln>
                  </pic:spPr>
                </pic:pic>
              </a:graphicData>
            </a:graphic>
          </wp:inline>
        </w:drawing>
      </w:r>
    </w:p>
    <w:p>
      <w:pPr>
        <w:kinsoku w:val="0"/>
        <w:overflowPunct w:val="0"/>
        <w:ind w:firstLine="480"/>
        <w:jc w:val="center"/>
        <w:rPr>
          <w:rFonts w:eastAsia="黑体"/>
          <w:color w:val="auto"/>
        </w:rPr>
      </w:pPr>
      <w:r>
        <w:rPr>
          <w:rFonts w:eastAsia="黑体"/>
          <w:color w:val="auto"/>
        </w:rPr>
        <w:t>图3-4    本项目清粪工艺示意图</w:t>
      </w:r>
    </w:p>
    <w:p>
      <w:pPr>
        <w:ind w:firstLine="480"/>
        <w:rPr>
          <w:bCs/>
          <w:color w:val="auto"/>
        </w:rPr>
      </w:pPr>
      <w:r>
        <w:rPr>
          <w:bCs/>
          <w:color w:val="auto"/>
        </w:rPr>
        <w:t>根据《畜禽养殖业污染防治技术政策》（环发［2012］151号）有关规定，不适合敷设垫料的畜禽养殖圈、舍，宜采用漏缝地板和粪、尿分离排放的圈舍结构，有利于畜禽粪污的固液分离与干式清除。本项目采用干清粪工艺，符合《畜禽养殖业污染防治技术政策》（环发［2012］151号）要求。</w:t>
      </w:r>
    </w:p>
    <w:p>
      <w:pPr>
        <w:ind w:firstLine="480"/>
        <w:rPr>
          <w:color w:val="auto"/>
        </w:rPr>
      </w:pPr>
      <w:r>
        <w:rPr>
          <w:bCs/>
          <w:color w:val="auto"/>
        </w:rPr>
        <w:t>环保部办公厅“关于牧原食品股份有限公司部分养殖场清粪工艺问题的复函”（环办函【2015】425号）明确指出：“牧原食品股份有限公司部分养殖场所采用的清粪工艺不将清水用于圈舍粪尿日常清理，粪尿产生即依靠重力离开猪舍进入储存池，大大减少了粪污产生量，并实现粪尿及时清理；粪污离开储存池即进行干湿分离和无害化处理并全部实现综合利用，没有混合排出。我部认为该清粪工艺具备干清粪工艺基本特征，符合相关技术规范的要求。</w:t>
      </w:r>
    </w:p>
    <w:p>
      <w:pPr>
        <w:ind w:firstLine="480"/>
        <w:rPr>
          <w:color w:val="auto"/>
        </w:rPr>
      </w:pPr>
      <w:r>
        <w:rPr>
          <w:color w:val="auto"/>
        </w:rPr>
        <w:t>与目前国内采用的集中常用的养殖模式对比，本项目所用干清粪模式具有以下优点：①养殖模式实现了干清粪，符合技术规范要求；②适合进行大规模集约化养殖；③减少了劳动强度和人力资源消耗；④采用立体设计结构，生猪饲养、粪污清理和废水收集垂直进行，减少了占地面积。</w:t>
      </w:r>
    </w:p>
    <w:p>
      <w:pPr>
        <w:ind w:firstLine="480"/>
        <w:rPr>
          <w:color w:val="auto"/>
        </w:rPr>
      </w:pPr>
      <w:r>
        <w:rPr>
          <w:color w:val="auto"/>
        </w:rPr>
        <w:t>本项目采用干清粪工艺，符合《畜禽养殖业污染防治技术政策》（环发［2012］151号）要求，且与其他模式相比具有明显优势和先进性。综合对比分析，项目选取模式可行。</w:t>
      </w:r>
    </w:p>
    <w:p>
      <w:pPr>
        <w:pStyle w:val="36"/>
        <w:ind w:firstLine="480"/>
        <w:rPr>
          <w:color w:val="auto"/>
        </w:rPr>
      </w:pPr>
      <w:bookmarkStart w:id="295" w:name="_Toc388881908"/>
      <w:bookmarkStart w:id="296" w:name="_Toc406847407"/>
      <w:bookmarkStart w:id="297" w:name="_Toc468115365"/>
      <w:bookmarkStart w:id="298" w:name="_Toc407001400"/>
      <w:bookmarkStart w:id="299" w:name="_Toc413166127"/>
      <w:r>
        <w:rPr>
          <w:color w:val="auto"/>
        </w:rPr>
        <w:t>3.2.3污染物处理工艺</w:t>
      </w:r>
      <w:bookmarkEnd w:id="295"/>
      <w:bookmarkEnd w:id="296"/>
      <w:bookmarkEnd w:id="297"/>
      <w:bookmarkEnd w:id="298"/>
      <w:bookmarkEnd w:id="299"/>
    </w:p>
    <w:p>
      <w:pPr>
        <w:ind w:firstLine="480"/>
        <w:outlineLvl w:val="3"/>
        <w:rPr>
          <w:color w:val="auto"/>
        </w:rPr>
      </w:pPr>
      <w:r>
        <w:rPr>
          <w:color w:val="auto"/>
        </w:rPr>
        <w:t>3.2.3.1 粪污水处理工艺流程</w:t>
      </w:r>
    </w:p>
    <w:p>
      <w:pPr>
        <w:ind w:firstLine="480"/>
        <w:rPr>
          <w:color w:val="auto"/>
        </w:rPr>
      </w:pPr>
      <w:r>
        <w:rPr>
          <w:bCs/>
          <w:color w:val="auto"/>
        </w:rPr>
        <w:t>本项目采用干清粪工艺：猪生活在漏缝地板上，猪舍内产生的猪粪由于猪的踩踏及重力作用离开猪舍进入猪舍底部的粪污储存池，储存池底部有5‰的坡度，粪污管道将猪舍漏缝地板下的粪污储存池分成几个区段，每个区段粪污储存池最低端安装一个接头，接头处配备一个排粪塞，以保证液体粪污能存留在猪舍粪污储存池中。当储存池液位达到规定液位后及时清理，当排空粪污储存池时，工人将排粪塞子用钩子提起来，随着排污塞子的打开，</w:t>
      </w:r>
      <w:r>
        <w:rPr>
          <w:color w:val="auto"/>
        </w:rPr>
        <w:t>猪粪尿通过虹吸原理从粪污储存池通过两相流泵将猪粪尿抽送至固液分离机，分离后的固态猪粪送至固粪处理区；液体进入黑膜沼气池进行厌氧发酵。</w:t>
      </w:r>
    </w:p>
    <w:p>
      <w:pPr>
        <w:ind w:firstLine="480"/>
        <w:rPr>
          <w:color w:val="auto"/>
        </w:rPr>
      </w:pPr>
      <w:r>
        <w:rPr>
          <w:color w:val="auto"/>
        </w:rPr>
        <w:t>固液分离机是使固态猪粪先通过过滤振动筛滤除一部分水分，然后再通过螺旋挤压原理将猪粪中的水分进一步去除，经固液分离机分离出来的粪便的含水率在6</w:t>
      </w:r>
      <w:r>
        <w:rPr>
          <w:rFonts w:hint="eastAsia"/>
          <w:color w:val="auto"/>
        </w:rPr>
        <w:t>5</w:t>
      </w:r>
      <w:r>
        <w:rPr>
          <w:color w:val="auto"/>
        </w:rPr>
        <w:t>%左右。</w:t>
      </w:r>
    </w:p>
    <w:p>
      <w:pPr>
        <w:ind w:firstLine="480"/>
        <w:rPr>
          <w:color w:val="auto"/>
        </w:rPr>
      </w:pPr>
      <w:r>
        <w:rPr>
          <w:color w:val="auto"/>
        </w:rPr>
        <w:t>黑膜沼气池底链接有排沼泥管道（管道上有花孔），排泥管道通过与沼气池旁边设置的排泥泵连接，排放污泥时，通过利用排泥泵装置中的真空罐抽成真空，由于虹吸原理沼气池底部的沼渣就被从黑膜沼气池底边抽出来，排出的沼渣</w:t>
      </w:r>
      <w:r>
        <w:rPr>
          <w:rFonts w:hint="eastAsia"/>
          <w:color w:val="auto"/>
        </w:rPr>
        <w:t>再次经固液分离后进入黑膜发酵</w:t>
      </w:r>
      <w:r>
        <w:rPr>
          <w:color w:val="auto"/>
        </w:rPr>
        <w:t>。</w:t>
      </w:r>
    </w:p>
    <w:p>
      <w:pPr>
        <w:topLinePunct/>
        <w:ind w:firstLine="480"/>
        <w:rPr>
          <w:color w:val="auto"/>
        </w:rPr>
      </w:pPr>
      <w:r>
        <w:rPr>
          <w:rFonts w:hint="eastAsia"/>
          <w:color w:val="auto"/>
        </w:rPr>
        <w:t>固粪处理</w:t>
      </w:r>
      <w:r>
        <w:rPr>
          <w:color w:val="auto"/>
        </w:rPr>
        <w:t>区防渗从下往上依次为：素土夯实+</w:t>
      </w:r>
      <w:r>
        <w:rPr>
          <w:rFonts w:hint="eastAsia"/>
          <w:color w:val="auto"/>
        </w:rPr>
        <w:t>混凝土</w:t>
      </w:r>
      <w:r>
        <w:rPr>
          <w:color w:val="auto"/>
        </w:rPr>
        <w:t>，猪粪进行好氧条垛堆肥，堆肥后作为有机肥</w:t>
      </w:r>
      <w:r>
        <w:rPr>
          <w:rFonts w:hint="eastAsia"/>
          <w:color w:val="auto"/>
        </w:rPr>
        <w:t>基料</w:t>
      </w:r>
      <w:r>
        <w:rPr>
          <w:color w:val="auto"/>
        </w:rPr>
        <w:t>后外售。本项目粪污水处理工艺见图3-5。</w:t>
      </w:r>
    </w:p>
    <w:p>
      <w:pPr>
        <w:topLinePunct/>
        <w:ind w:firstLine="0" w:firstLineChars="0"/>
        <w:jc w:val="center"/>
        <w:rPr>
          <w:color w:val="auto"/>
        </w:rPr>
      </w:pPr>
      <w:r>
        <w:rPr>
          <w:color w:val="auto"/>
        </w:rPr>
        <w:drawing>
          <wp:inline distT="0" distB="0" distL="114300" distR="114300">
            <wp:extent cx="5468620" cy="4137025"/>
            <wp:effectExtent l="9525" t="9525" r="27305" b="25400"/>
            <wp:docPr id="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pic:cNvPicPr>
                      <a:picLocks noChangeAspect="1"/>
                    </pic:cNvPicPr>
                  </pic:nvPicPr>
                  <pic:blipFill>
                    <a:blip r:embed="rId37"/>
                    <a:stretch>
                      <a:fillRect/>
                    </a:stretch>
                  </pic:blipFill>
                  <pic:spPr>
                    <a:xfrm>
                      <a:off x="0" y="0"/>
                      <a:ext cx="5468620" cy="4137025"/>
                    </a:xfrm>
                    <a:prstGeom prst="rect">
                      <a:avLst/>
                    </a:prstGeom>
                    <a:noFill/>
                    <a:ln w="3175">
                      <a:solidFill>
                        <a:schemeClr val="tx1"/>
                      </a:solidFill>
                    </a:ln>
                  </pic:spPr>
                </pic:pic>
              </a:graphicData>
            </a:graphic>
          </wp:inline>
        </w:drawing>
      </w:r>
    </w:p>
    <w:p>
      <w:pPr>
        <w:kinsoku w:val="0"/>
        <w:overflowPunct w:val="0"/>
        <w:spacing w:line="500" w:lineRule="exact"/>
        <w:ind w:firstLine="480"/>
        <w:jc w:val="center"/>
        <w:rPr>
          <w:rFonts w:eastAsia="黑体"/>
          <w:color w:val="auto"/>
        </w:rPr>
      </w:pPr>
      <w:r>
        <w:rPr>
          <w:rFonts w:eastAsia="黑体"/>
          <w:color w:val="auto"/>
        </w:rPr>
        <w:t>图3-5  项目粪污水处理工艺流程图</w:t>
      </w:r>
    </w:p>
    <w:p>
      <w:pPr>
        <w:tabs>
          <w:tab w:val="left" w:pos="624"/>
        </w:tabs>
        <w:ind w:firstLine="482"/>
        <w:rPr>
          <w:color w:val="auto"/>
        </w:rPr>
      </w:pPr>
      <w:r>
        <w:rPr>
          <w:b/>
          <w:color w:val="auto"/>
        </w:rPr>
        <w:t>工艺简述：</w:t>
      </w:r>
    </w:p>
    <w:p>
      <w:pPr>
        <w:tabs>
          <w:tab w:val="left" w:pos="624"/>
        </w:tabs>
        <w:ind w:firstLine="480"/>
        <w:rPr>
          <w:color w:val="auto"/>
        </w:rPr>
      </w:pPr>
      <w:r>
        <w:rPr>
          <w:color w:val="auto"/>
        </w:rPr>
        <w:t>在选用粪污处理工艺时，根据养殖场的养殖种类、养殖规模、粪污收集方式、当地的自然地理环境条件、排放去向等因素确定工艺路线及处理目标，本工程设计结合《畜禽养殖业污染治理工程技术规范》（HJ497-2009）中要求对污水进行处理。</w:t>
      </w:r>
    </w:p>
    <w:p>
      <w:pPr>
        <w:tabs>
          <w:tab w:val="left" w:pos="624"/>
        </w:tabs>
        <w:ind w:firstLine="480"/>
        <w:rPr>
          <w:color w:val="auto"/>
        </w:rPr>
      </w:pPr>
      <w:r>
        <w:rPr>
          <w:color w:val="auto"/>
        </w:rPr>
        <w:t>本项目粪污处理系统的核心技术是“黑膜沼气池”，粪便污水经固液分离后进入黑膜沼气池，在沼气池内进行厌氧发酵，经厌氧发酵去除大部分有机物，设计发酵周期为3</w:t>
      </w:r>
      <w:r>
        <w:rPr>
          <w:rFonts w:hint="eastAsia"/>
          <w:color w:val="auto"/>
        </w:rPr>
        <w:t>0</w:t>
      </w:r>
      <w:r>
        <w:rPr>
          <w:color w:val="auto"/>
        </w:rPr>
        <w:t>天，发酵后的沼渣</w:t>
      </w:r>
      <w:r>
        <w:rPr>
          <w:rFonts w:hint="eastAsia"/>
          <w:color w:val="auto"/>
        </w:rPr>
        <w:t>再次经固液分离后液体进入黑膜发酵</w:t>
      </w:r>
      <w:r>
        <w:rPr>
          <w:color w:val="auto"/>
        </w:rPr>
        <w:t>，发酵后的沼液用作农肥使用。厌氧发酵产生的沼气经净化后，用于伙房灶台</w:t>
      </w:r>
      <w:r>
        <w:rPr>
          <w:rFonts w:hint="eastAsia"/>
          <w:color w:val="auto"/>
        </w:rPr>
        <w:t>，</w:t>
      </w:r>
      <w:r>
        <w:rPr>
          <w:color w:val="auto"/>
        </w:rPr>
        <w:t>多余部分</w:t>
      </w:r>
      <w:r>
        <w:rPr>
          <w:rFonts w:hint="eastAsia"/>
          <w:color w:val="auto"/>
        </w:rPr>
        <w:t>火炬</w:t>
      </w:r>
      <w:r>
        <w:rPr>
          <w:color w:val="auto"/>
        </w:rPr>
        <w:t>燃烧</w:t>
      </w:r>
      <w:r>
        <w:rPr>
          <w:rFonts w:hint="eastAsia"/>
          <w:color w:val="auto"/>
        </w:rPr>
        <w:t>放空</w:t>
      </w:r>
      <w:r>
        <w:rPr>
          <w:color w:val="auto"/>
        </w:rPr>
        <w:t>。</w:t>
      </w:r>
    </w:p>
    <w:p>
      <w:pPr>
        <w:ind w:firstLine="480"/>
        <w:outlineLvl w:val="3"/>
        <w:rPr>
          <w:color w:val="auto"/>
        </w:rPr>
      </w:pPr>
      <w:r>
        <w:rPr>
          <w:color w:val="auto"/>
        </w:rPr>
        <w:t>3.2.3.2 沼气利用工程</w:t>
      </w:r>
    </w:p>
    <w:p>
      <w:pPr>
        <w:autoSpaceDE w:val="0"/>
        <w:autoSpaceDN w:val="0"/>
        <w:ind w:firstLine="480"/>
        <w:rPr>
          <w:color w:val="auto"/>
        </w:rPr>
      </w:pPr>
      <w:r>
        <w:rPr>
          <w:color w:val="auto"/>
        </w:rPr>
        <w:t>根据《畜禽养殖业污染防治技术政策》（环发[2010]151号）中有关内容，厌氧发酵产生的沼气应进行收集，并根据利用途径进行脱硫净化处理。沼气宜作为燃料直接利用。沼气在使用前需要进行脱硫处理，沼气利用前所采取的措施如图3-6。</w:t>
      </w:r>
    </w:p>
    <w:p>
      <w:pPr>
        <w:autoSpaceDE w:val="0"/>
        <w:autoSpaceDN w:val="0"/>
        <w:spacing w:line="240" w:lineRule="auto"/>
        <w:ind w:firstLine="0" w:firstLineChars="0"/>
        <w:rPr>
          <w:color w:val="auto"/>
        </w:rPr>
      </w:pPr>
      <w:r>
        <w:rPr>
          <w:color w:val="auto"/>
        </w:rPr>
        <w:drawing>
          <wp:inline distT="0" distB="0" distL="114300" distR="114300">
            <wp:extent cx="5539105" cy="1843405"/>
            <wp:effectExtent l="9525" t="9525" r="13970" b="13970"/>
            <wp:docPr id="40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5"/>
                    <pic:cNvPicPr>
                      <a:picLocks noChangeAspect="1"/>
                    </pic:cNvPicPr>
                  </pic:nvPicPr>
                  <pic:blipFill>
                    <a:blip r:embed="rId38" cstate="print"/>
                    <a:stretch>
                      <a:fillRect/>
                    </a:stretch>
                  </pic:blipFill>
                  <pic:spPr>
                    <a:xfrm>
                      <a:off x="0" y="0"/>
                      <a:ext cx="5539105" cy="1843405"/>
                    </a:xfrm>
                    <a:prstGeom prst="rect">
                      <a:avLst/>
                    </a:prstGeom>
                    <a:noFill/>
                    <a:ln w="6350">
                      <a:solidFill>
                        <a:schemeClr val="tx1"/>
                      </a:solidFill>
                    </a:ln>
                  </pic:spPr>
                </pic:pic>
              </a:graphicData>
            </a:graphic>
          </wp:inline>
        </w:drawing>
      </w:r>
    </w:p>
    <w:p>
      <w:pPr>
        <w:kinsoku w:val="0"/>
        <w:overflowPunct w:val="0"/>
        <w:ind w:firstLine="480"/>
        <w:jc w:val="center"/>
        <w:rPr>
          <w:rFonts w:eastAsia="黑体"/>
          <w:color w:val="auto"/>
        </w:rPr>
      </w:pPr>
      <w:r>
        <w:rPr>
          <w:rFonts w:eastAsia="黑体"/>
          <w:color w:val="auto"/>
        </w:rPr>
        <w:t>图3-6     沼气利用流程及产污环节图</w:t>
      </w:r>
    </w:p>
    <w:p>
      <w:pPr>
        <w:ind w:firstLine="480"/>
        <w:rPr>
          <w:color w:val="auto"/>
        </w:rPr>
      </w:pPr>
      <w:r>
        <w:rPr>
          <w:color w:val="auto"/>
        </w:rPr>
        <w:t>沼气是高湿度气体，根据沼气技术培训资料及大理州农科院《沼气的主要成分及用途》，沼气中H</w:t>
      </w:r>
      <w:r>
        <w:rPr>
          <w:color w:val="auto"/>
          <w:vertAlign w:val="subscript"/>
        </w:rPr>
        <w:t>2</w:t>
      </w:r>
      <w:r>
        <w:rPr>
          <w:color w:val="auto"/>
        </w:rPr>
        <w:t>S平均含量为0.034%，需要进行脱水脱硫处理，以防止对沼气输送管道的腐蚀影响。经采用专用沼气脱硫剂脱硫后，硫去除率可达到95%以上，经核算沼气净化后H</w:t>
      </w:r>
      <w:r>
        <w:rPr>
          <w:color w:val="auto"/>
          <w:vertAlign w:val="subscript"/>
        </w:rPr>
        <w:t>2</w:t>
      </w:r>
      <w:r>
        <w:rPr>
          <w:color w:val="auto"/>
        </w:rPr>
        <w:t>S含量不高于20mg/m</w:t>
      </w:r>
      <w:r>
        <w:rPr>
          <w:color w:val="auto"/>
          <w:vertAlign w:val="superscript"/>
        </w:rPr>
        <w:t>3</w:t>
      </w:r>
      <w:r>
        <w:rPr>
          <w:color w:val="auto"/>
        </w:rPr>
        <w:t>。沼气经过脱硫装置脱硫，其目的是净化沼气。净化后的沼气进入后续沼气利用系统。</w:t>
      </w:r>
    </w:p>
    <w:p>
      <w:pPr>
        <w:ind w:firstLine="480"/>
        <w:rPr>
          <w:color w:val="auto"/>
        </w:rPr>
      </w:pPr>
      <w:r>
        <w:rPr>
          <w:color w:val="auto"/>
        </w:rPr>
        <w:t>本项目脱硫剂为氧化铁，采用常温Fe</w:t>
      </w:r>
      <w:r>
        <w:rPr>
          <w:color w:val="auto"/>
          <w:vertAlign w:val="subscript"/>
        </w:rPr>
        <w:t>2</w:t>
      </w:r>
      <w:r>
        <w:rPr>
          <w:color w:val="auto"/>
        </w:rPr>
        <w:t>O</w:t>
      </w:r>
      <w:r>
        <w:rPr>
          <w:color w:val="auto"/>
          <w:vertAlign w:val="subscript"/>
        </w:rPr>
        <w:t>3</w:t>
      </w:r>
      <w:r>
        <w:rPr>
          <w:color w:val="auto"/>
        </w:rPr>
        <w:t>干式脱硫法，它是将Fe</w:t>
      </w:r>
      <w:r>
        <w:rPr>
          <w:color w:val="auto"/>
          <w:vertAlign w:val="subscript"/>
        </w:rPr>
        <w:t>2</w:t>
      </w:r>
      <w:r>
        <w:rPr>
          <w:color w:val="auto"/>
        </w:rPr>
        <w:t>O</w:t>
      </w:r>
      <w:r>
        <w:rPr>
          <w:color w:val="auto"/>
          <w:vertAlign w:val="subscript"/>
        </w:rPr>
        <w:t>3</w:t>
      </w:r>
      <w:r>
        <w:rPr>
          <w:color w:val="auto"/>
        </w:rPr>
        <w:t>屑（或粉）和木屑混合制成脱硫剂，以湿态（含水40%左右）填充于脱硫装置内。Fe</w:t>
      </w:r>
      <w:r>
        <w:rPr>
          <w:color w:val="auto"/>
          <w:vertAlign w:val="subscript"/>
        </w:rPr>
        <w:t>2</w:t>
      </w:r>
      <w:r>
        <w:rPr>
          <w:color w:val="auto"/>
        </w:rPr>
        <w:t>O</w:t>
      </w:r>
      <w:r>
        <w:rPr>
          <w:color w:val="auto"/>
          <w:vertAlign w:val="subscript"/>
        </w:rPr>
        <w:t>3</w:t>
      </w:r>
      <w:r>
        <w:rPr>
          <w:color w:val="auto"/>
        </w:rPr>
        <w:t>脱硫剂为条状多孔结构固体，对H</w:t>
      </w:r>
      <w:r>
        <w:rPr>
          <w:color w:val="auto"/>
          <w:vertAlign w:val="subscript"/>
        </w:rPr>
        <w:t>2</w:t>
      </w:r>
      <w:r>
        <w:rPr>
          <w:color w:val="auto"/>
        </w:rPr>
        <w:t>S能进行快速的不可逆化学吸附，数秒内可将H</w:t>
      </w:r>
      <w:r>
        <w:rPr>
          <w:color w:val="auto"/>
          <w:vertAlign w:val="subscript"/>
        </w:rPr>
        <w:t>2</w:t>
      </w:r>
      <w:r>
        <w:rPr>
          <w:color w:val="auto"/>
        </w:rPr>
        <w:t>S脱除到 1×10</w:t>
      </w:r>
      <w:r>
        <w:rPr>
          <w:color w:val="auto"/>
          <w:vertAlign w:val="superscript"/>
        </w:rPr>
        <w:t>- 6</w:t>
      </w:r>
      <w:r>
        <w:rPr>
          <w:color w:val="auto"/>
        </w:rPr>
        <w:t>以下。当沼气通过时，经如下反应，达到脱硫目的：</w:t>
      </w:r>
    </w:p>
    <w:p>
      <w:pPr>
        <w:ind w:firstLine="480"/>
        <w:rPr>
          <w:color w:val="auto"/>
        </w:rPr>
      </w:pPr>
      <w:r>
        <w:rPr>
          <w:color w:val="auto"/>
        </w:rPr>
        <w:pict>
          <v:shape id="_x0000_s1028" o:spid="_x0000_s1028" o:spt="32" type="#_x0000_t32" style="position:absolute;left:0pt;margin-left:121.2pt;margin-top:7.85pt;height:0.05pt;width:19.9pt;z-index:251652096;mso-width-relative:page;mso-height-relative:page;" filled="f" coordsize="21600,21600" o:gfxdata="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KiVm7bZAAAACQEAAA8AAAAAAAAAAQAgAAAAIgAAAGRycy9kb3ducmV2LnhtbFBLAQIUABQAAAAI&#10;AIdO4kAhqXrV7AEAAKcDAAAOAAAAAAAAAAEAIAAAACgBAABkcnMvZTJvRG9jLnhtbFBLBQYAAAAA&#10;BgAGAFkBAACGBQAAAAA=&#10;">
            <v:path arrowok="t"/>
            <v:fill on="f" focussize="0,0"/>
            <v:stroke endarrow="block"/>
            <v:imagedata o:title=""/>
            <o:lock v:ext="edit"/>
          </v:shape>
        </w:pict>
      </w:r>
      <w:r>
        <w:rPr>
          <w:color w:val="auto"/>
        </w:rPr>
        <w:t>Fe</w:t>
      </w:r>
      <w:r>
        <w:rPr>
          <w:color w:val="auto"/>
          <w:vertAlign w:val="subscript"/>
        </w:rPr>
        <w:t>2</w:t>
      </w:r>
      <w:r>
        <w:rPr>
          <w:color w:val="auto"/>
        </w:rPr>
        <w:t>O</w:t>
      </w:r>
      <w:r>
        <w:rPr>
          <w:color w:val="auto"/>
          <w:vertAlign w:val="subscript"/>
        </w:rPr>
        <w:t>3</w:t>
      </w:r>
      <w:r>
        <w:rPr>
          <w:color w:val="auto"/>
        </w:rPr>
        <w:t>·H</w:t>
      </w:r>
      <w:r>
        <w:rPr>
          <w:color w:val="auto"/>
          <w:vertAlign w:val="subscript"/>
        </w:rPr>
        <w:t>2</w:t>
      </w:r>
      <w:r>
        <w:rPr>
          <w:color w:val="auto"/>
        </w:rPr>
        <w:t>O + 3H</w:t>
      </w:r>
      <w:r>
        <w:rPr>
          <w:color w:val="auto"/>
          <w:vertAlign w:val="subscript"/>
        </w:rPr>
        <w:t>2</w:t>
      </w:r>
      <w:r>
        <w:rPr>
          <w:color w:val="auto"/>
        </w:rPr>
        <w:t>S     Fe</w:t>
      </w:r>
      <w:r>
        <w:rPr>
          <w:color w:val="auto"/>
          <w:vertAlign w:val="subscript"/>
        </w:rPr>
        <w:t>2</w:t>
      </w:r>
      <w:r>
        <w:rPr>
          <w:color w:val="auto"/>
        </w:rPr>
        <w:t xml:space="preserve">S </w:t>
      </w:r>
      <w:r>
        <w:rPr>
          <w:color w:val="auto"/>
          <w:vertAlign w:val="subscript"/>
        </w:rPr>
        <w:t>3</w:t>
      </w:r>
      <w:r>
        <w:rPr>
          <w:color w:val="auto"/>
        </w:rPr>
        <w:t>·H</w:t>
      </w:r>
      <w:r>
        <w:rPr>
          <w:color w:val="auto"/>
          <w:vertAlign w:val="subscript"/>
        </w:rPr>
        <w:t>2</w:t>
      </w:r>
      <w:r>
        <w:rPr>
          <w:color w:val="auto"/>
        </w:rPr>
        <w:t>O + 3H</w:t>
      </w:r>
      <w:r>
        <w:rPr>
          <w:color w:val="auto"/>
          <w:vertAlign w:val="subscript"/>
        </w:rPr>
        <w:t>2</w:t>
      </w:r>
      <w:r>
        <w:rPr>
          <w:color w:val="auto"/>
        </w:rPr>
        <w:t>O</w:t>
      </w:r>
    </w:p>
    <w:p>
      <w:pPr>
        <w:ind w:firstLine="480"/>
        <w:rPr>
          <w:color w:val="auto"/>
        </w:rPr>
      </w:pPr>
      <w:r>
        <w:rPr>
          <w:color w:val="auto"/>
        </w:rPr>
        <w:pict>
          <v:shape id="_x0000_s1029" o:spid="_x0000_s1029" o:spt="32" type="#_x0000_t32" style="position:absolute;left:0pt;margin-left:119.95pt;margin-top:7.85pt;height:0.05pt;width:19.9pt;z-index:251653120;mso-width-relative:page;mso-height-relative:page;" filled="f" coordsize="21600,21600" o:gfxdata="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TTEFZdkAAAAJAQAADwAAAAAAAAABACAAAAAiAAAAZHJzL2Rvd25yZXYueG1sUEsBAhQAFAAAAAgA&#10;h07iQHXXU+rrAQAApwMAAA4AAAAAAAAAAQAgAAAAKAEAAGRycy9lMm9Eb2MueG1sUEsFBgAAAAAG&#10;AAYAWQEAAIUFAAAAAA==&#10;">
            <v:path arrowok="t"/>
            <v:fill on="f" focussize="0,0"/>
            <v:stroke endarrow="block"/>
            <v:imagedata o:title=""/>
            <o:lock v:ext="edit"/>
          </v:shape>
        </w:pict>
      </w:r>
      <w:r>
        <w:rPr>
          <w:color w:val="auto"/>
        </w:rPr>
        <w:t>Fe</w:t>
      </w:r>
      <w:r>
        <w:rPr>
          <w:color w:val="auto"/>
          <w:vertAlign w:val="subscript"/>
        </w:rPr>
        <w:t>2</w:t>
      </w:r>
      <w:r>
        <w:rPr>
          <w:color w:val="auto"/>
        </w:rPr>
        <w:t>O</w:t>
      </w:r>
      <w:r>
        <w:rPr>
          <w:color w:val="auto"/>
          <w:vertAlign w:val="subscript"/>
        </w:rPr>
        <w:t>3</w:t>
      </w:r>
      <w:r>
        <w:rPr>
          <w:color w:val="auto"/>
        </w:rPr>
        <w:t>·H</w:t>
      </w:r>
      <w:r>
        <w:rPr>
          <w:color w:val="auto"/>
          <w:vertAlign w:val="subscript"/>
        </w:rPr>
        <w:t>2</w:t>
      </w:r>
      <w:r>
        <w:rPr>
          <w:color w:val="auto"/>
        </w:rPr>
        <w:t>O + 3H</w:t>
      </w:r>
      <w:r>
        <w:rPr>
          <w:color w:val="auto"/>
          <w:vertAlign w:val="subscript"/>
        </w:rPr>
        <w:t>2</w:t>
      </w:r>
      <w:r>
        <w:rPr>
          <w:color w:val="auto"/>
        </w:rPr>
        <w:t>S     2FeS + S + 4H</w:t>
      </w:r>
      <w:r>
        <w:rPr>
          <w:color w:val="auto"/>
          <w:vertAlign w:val="subscript"/>
        </w:rPr>
        <w:t>2</w:t>
      </w:r>
      <w:r>
        <w:rPr>
          <w:color w:val="auto"/>
        </w:rPr>
        <w:t>O</w:t>
      </w:r>
    </w:p>
    <w:p>
      <w:pPr>
        <w:ind w:firstLine="480"/>
        <w:rPr>
          <w:color w:val="auto"/>
        </w:rPr>
      </w:pPr>
      <w:r>
        <w:rPr>
          <w:color w:val="auto"/>
        </w:rPr>
        <w:t>脱硫剂工作一定时间后，其活性会逐渐下降，脱硫效果逐渐变差。当脱硫装置出口沼气中H</w:t>
      </w:r>
      <w:r>
        <w:rPr>
          <w:color w:val="auto"/>
          <w:vertAlign w:val="subscript"/>
        </w:rPr>
        <w:t>2</w:t>
      </w:r>
      <w:r>
        <w:rPr>
          <w:color w:val="auto"/>
        </w:rPr>
        <w:t>S的含量超过20mg·m</w:t>
      </w:r>
      <w:r>
        <w:rPr>
          <w:color w:val="auto"/>
          <w:vertAlign w:val="superscript"/>
        </w:rPr>
        <w:t>-3</w:t>
      </w:r>
      <w:r>
        <w:rPr>
          <w:color w:val="auto"/>
        </w:rPr>
        <w:t>时，就需要对脱硫剂进行处理。当脱硫剂中硫未达到30%时，脱硫剂可进行再生；若脱硫剂硫容超过30%时，就要更新脱硫剂。</w:t>
      </w:r>
    </w:p>
    <w:p>
      <w:pPr>
        <w:ind w:firstLine="480"/>
        <w:rPr>
          <w:color w:val="auto"/>
        </w:rPr>
      </w:pPr>
      <w:r>
        <w:rPr>
          <w:color w:val="auto"/>
        </w:rPr>
        <w:t>同时经类比同规模养殖场污水处理设施竣工环保验收监测，经采用专用沼气脱硫剂脱硫后，硫去除率可达到9</w:t>
      </w:r>
      <w:r>
        <w:rPr>
          <w:rFonts w:hint="eastAsia"/>
          <w:color w:val="auto"/>
        </w:rPr>
        <w:t>0</w:t>
      </w:r>
      <w:r>
        <w:rPr>
          <w:color w:val="auto"/>
        </w:rPr>
        <w:t>%以上，经核算沼气净化后H</w:t>
      </w:r>
      <w:r>
        <w:rPr>
          <w:color w:val="auto"/>
          <w:vertAlign w:val="subscript"/>
        </w:rPr>
        <w:t>2</w:t>
      </w:r>
      <w:r>
        <w:rPr>
          <w:color w:val="auto"/>
        </w:rPr>
        <w:t>S含量不高于20mg/m</w:t>
      </w:r>
      <w:r>
        <w:rPr>
          <w:color w:val="auto"/>
          <w:vertAlign w:val="superscript"/>
        </w:rPr>
        <w:t>3</w:t>
      </w:r>
      <w:r>
        <w:rPr>
          <w:color w:val="auto"/>
        </w:rPr>
        <w:t>。一般储气装置设计时，采取有防腐措施，经脱硫处理后的沼气不会对储气装置产生大的腐蚀影响，即其因腐蚀导致沼气泄露的可能性很小。</w:t>
      </w:r>
    </w:p>
    <w:p>
      <w:pPr>
        <w:ind w:firstLine="480"/>
        <w:rPr>
          <w:color w:val="auto"/>
        </w:rPr>
      </w:pPr>
      <w:r>
        <w:rPr>
          <w:rFonts w:hint="eastAsia"/>
          <w:color w:val="auto"/>
        </w:rPr>
        <w:t>经脱水、脱硫后的沼气其主要成分为甲烷，可直接点燃作为燃料使用。本项目沼气池及暂存池产生的沼气经统一收集，沼气经脱水、脱硫处理后由加压泵加压，由管道输送到生活区食堂，用于食堂燃料。</w:t>
      </w:r>
    </w:p>
    <w:p>
      <w:pPr>
        <w:ind w:firstLine="480"/>
        <w:rPr>
          <w:rFonts w:ascii="Arial" w:hAnsi="Arial" w:cs="Arial"/>
          <w:color w:val="auto"/>
          <w:sz w:val="17"/>
          <w:szCs w:val="17"/>
          <w:shd w:val="clear" w:color="auto" w:fill="FFFFFF"/>
        </w:rPr>
      </w:pPr>
      <w:r>
        <w:rPr>
          <w:rFonts w:hint="eastAsia"/>
          <w:color w:val="auto"/>
        </w:rPr>
        <w:t>为了避免沼气直接排放对环境空气造成影响，本项目沼气燃烧配备3m高火炬燃烧器一个，经预处理后多余的沼气经火炬燃烧器燃烧后排放。火炬是将可燃性气体完全燃烧后直接排放的燃烧设备。沼气火炬主要由</w:t>
      </w:r>
      <w:r>
        <w:rPr>
          <w:color w:val="auto"/>
        </w:rPr>
        <w:t>燃烧室、引射器喷嘴、支撑结构、点火及火焰监测系统、阻火器、控制柜等主要部件组成。</w:t>
      </w:r>
      <w:r>
        <w:rPr>
          <w:rFonts w:hint="eastAsia"/>
          <w:color w:val="auto"/>
        </w:rPr>
        <w:t>火炬沼气流量范围为30</w:t>
      </w:r>
      <w:r>
        <w:rPr>
          <w:color w:val="auto"/>
        </w:rPr>
        <w:t>-200Nm³/h</w:t>
      </w:r>
      <w:r>
        <w:rPr>
          <w:rFonts w:hint="eastAsia"/>
          <w:color w:val="auto"/>
        </w:rPr>
        <w:t>，设计沼气压力为15-120mbar。</w:t>
      </w:r>
    </w:p>
    <w:p>
      <w:pPr>
        <w:ind w:firstLine="480"/>
        <w:rPr>
          <w:color w:val="auto"/>
        </w:rPr>
      </w:pPr>
      <w:r>
        <w:rPr>
          <w:color w:val="auto"/>
        </w:rPr>
        <w:t>（3）沼气产生量</w:t>
      </w:r>
    </w:p>
    <w:p>
      <w:pPr>
        <w:ind w:firstLine="480"/>
        <w:rPr>
          <w:color w:val="auto"/>
        </w:rPr>
      </w:pPr>
      <w:r>
        <w:rPr>
          <w:color w:val="auto"/>
        </w:rPr>
        <w:t>本项目运营期进入黑膜沼气池污水量为</w:t>
      </w:r>
      <w:r>
        <w:rPr>
          <w:rFonts w:hint="eastAsia"/>
          <w:color w:val="auto"/>
        </w:rPr>
        <w:t>46919.655</w:t>
      </w:r>
      <w:r>
        <w:rPr>
          <w:color w:val="auto"/>
        </w:rPr>
        <w:t>m</w:t>
      </w:r>
      <w:r>
        <w:rPr>
          <w:color w:val="auto"/>
          <w:vertAlign w:val="superscript"/>
        </w:rPr>
        <w:t>3</w:t>
      </w:r>
      <w:r>
        <w:rPr>
          <w:color w:val="auto"/>
        </w:rPr>
        <w:t>/a，COD进水浓度为1</w:t>
      </w:r>
      <w:r>
        <w:rPr>
          <w:rFonts w:hint="eastAsia"/>
          <w:color w:val="auto"/>
        </w:rPr>
        <w:t>4</w:t>
      </w:r>
      <w:r>
        <w:rPr>
          <w:color w:val="auto"/>
        </w:rPr>
        <w:t>000mg/L，出水浓度为3000mg/L，COD分解产生沼气量为0.</w:t>
      </w:r>
      <w:r>
        <w:rPr>
          <w:rFonts w:hint="eastAsia"/>
          <w:color w:val="auto"/>
        </w:rPr>
        <w:t>2</w:t>
      </w:r>
      <w:r>
        <w:rPr>
          <w:color w:val="auto"/>
        </w:rPr>
        <w:t>5m</w:t>
      </w:r>
      <w:r>
        <w:rPr>
          <w:color w:val="auto"/>
          <w:vertAlign w:val="superscript"/>
        </w:rPr>
        <w:t>3</w:t>
      </w:r>
      <w:r>
        <w:rPr>
          <w:color w:val="auto"/>
        </w:rPr>
        <w:t>/kg，本项目夏季废水产生量为</w:t>
      </w:r>
      <w:r>
        <w:rPr>
          <w:rFonts w:hint="eastAsia"/>
          <w:color w:val="auto"/>
        </w:rPr>
        <w:t>169.371</w:t>
      </w:r>
      <w:r>
        <w:rPr>
          <w:color w:val="auto"/>
        </w:rPr>
        <w:t>m</w:t>
      </w:r>
      <w:r>
        <w:rPr>
          <w:color w:val="auto"/>
          <w:vertAlign w:val="superscript"/>
        </w:rPr>
        <w:t>3</w:t>
      </w:r>
      <w:r>
        <w:rPr>
          <w:color w:val="auto"/>
        </w:rPr>
        <w:t>/d，其他季节废水产生量为</w:t>
      </w:r>
      <w:r>
        <w:rPr>
          <w:rFonts w:hint="eastAsia"/>
          <w:color w:val="auto"/>
        </w:rPr>
        <w:t>108.051</w:t>
      </w:r>
      <w:r>
        <w:rPr>
          <w:color w:val="auto"/>
        </w:rPr>
        <w:t>m</w:t>
      </w:r>
      <w:r>
        <w:rPr>
          <w:color w:val="auto"/>
          <w:vertAlign w:val="superscript"/>
        </w:rPr>
        <w:t>3</w:t>
      </w:r>
      <w:r>
        <w:rPr>
          <w:color w:val="auto"/>
        </w:rPr>
        <w:t>/d，计算得沼气产生夏季</w:t>
      </w:r>
      <w:r>
        <w:rPr>
          <w:rFonts w:hint="eastAsia"/>
          <w:color w:val="auto"/>
        </w:rPr>
        <w:t>465.77</w:t>
      </w:r>
      <w:r>
        <w:rPr>
          <w:color w:val="auto"/>
        </w:rPr>
        <w:t>m</w:t>
      </w:r>
      <w:r>
        <w:rPr>
          <w:color w:val="auto"/>
          <w:vertAlign w:val="superscript"/>
        </w:rPr>
        <w:t>3</w:t>
      </w:r>
      <w:r>
        <w:rPr>
          <w:color w:val="auto"/>
        </w:rPr>
        <w:t>/d，其他季节平均</w:t>
      </w:r>
      <w:r>
        <w:rPr>
          <w:rFonts w:hint="eastAsia"/>
          <w:color w:val="auto"/>
        </w:rPr>
        <w:t>297.14</w:t>
      </w:r>
      <w:r>
        <w:rPr>
          <w:color w:val="auto"/>
        </w:rPr>
        <w:t>m</w:t>
      </w:r>
      <w:r>
        <w:rPr>
          <w:color w:val="auto"/>
          <w:vertAlign w:val="superscript"/>
        </w:rPr>
        <w:t>3</w:t>
      </w:r>
      <w:r>
        <w:rPr>
          <w:color w:val="auto"/>
        </w:rPr>
        <w:t>/d，则全年全</w:t>
      </w:r>
      <w:r>
        <w:rPr>
          <w:rFonts w:hint="eastAsia"/>
          <w:color w:val="auto"/>
        </w:rPr>
        <w:t>厂</w:t>
      </w:r>
      <w:r>
        <w:rPr>
          <w:color w:val="auto"/>
        </w:rPr>
        <w:t>沼气产生量共计</w:t>
      </w:r>
      <w:r>
        <w:rPr>
          <w:rFonts w:hint="eastAsia"/>
          <w:color w:val="auto"/>
        </w:rPr>
        <w:t>129028.96</w:t>
      </w:r>
      <w:r>
        <w:rPr>
          <w:color w:val="auto"/>
        </w:rPr>
        <w:t>m</w:t>
      </w:r>
      <w:r>
        <w:rPr>
          <w:color w:val="auto"/>
          <w:vertAlign w:val="superscript"/>
        </w:rPr>
        <w:t>3</w:t>
      </w:r>
      <w:r>
        <w:rPr>
          <w:color w:val="auto"/>
        </w:rPr>
        <w:t>。</w:t>
      </w:r>
    </w:p>
    <w:p>
      <w:pPr>
        <w:ind w:firstLine="480"/>
        <w:rPr>
          <w:color w:val="auto"/>
        </w:rPr>
      </w:pPr>
      <w:r>
        <w:rPr>
          <w:color w:val="auto"/>
        </w:rPr>
        <w:t>（4）沼气利用方案</w:t>
      </w:r>
    </w:p>
    <w:p>
      <w:pPr>
        <w:ind w:firstLine="480"/>
        <w:rPr>
          <w:color w:val="auto"/>
        </w:rPr>
      </w:pPr>
      <w:r>
        <w:rPr>
          <w:color w:val="auto"/>
        </w:rPr>
        <w:t>①食堂灶台</w:t>
      </w:r>
    </w:p>
    <w:p>
      <w:pPr>
        <w:ind w:firstLine="480"/>
        <w:rPr>
          <w:color w:val="auto"/>
        </w:rPr>
      </w:pPr>
      <w:r>
        <w:rPr>
          <w:color w:val="auto"/>
        </w:rPr>
        <w:t>根据《给水排水设计手册5</w:t>
      </w:r>
      <w:r>
        <w:rPr>
          <w:rFonts w:hint="eastAsia"/>
          <w:color w:val="auto"/>
        </w:rPr>
        <w:t>：</w:t>
      </w:r>
      <w:r>
        <w:rPr>
          <w:color w:val="auto"/>
        </w:rPr>
        <w:t>城镇排水》（第二版，中国建筑工业出版社），项目职工食堂人均用沼气量按1.5m</w:t>
      </w:r>
      <w:r>
        <w:rPr>
          <w:color w:val="auto"/>
          <w:vertAlign w:val="superscript"/>
        </w:rPr>
        <w:t>3</w:t>
      </w:r>
      <w:r>
        <w:rPr>
          <w:color w:val="auto"/>
        </w:rPr>
        <w:t>/d，项目劳动定员</w:t>
      </w:r>
      <w:r>
        <w:rPr>
          <w:rFonts w:hint="eastAsia"/>
          <w:color w:val="auto"/>
        </w:rPr>
        <w:t>35</w:t>
      </w:r>
      <w:r>
        <w:rPr>
          <w:color w:val="auto"/>
        </w:rPr>
        <w:t>人，项目食堂灶台沼气用量为</w:t>
      </w:r>
      <w:r>
        <w:rPr>
          <w:rFonts w:hint="eastAsia"/>
          <w:color w:val="auto"/>
        </w:rPr>
        <w:t>52.5</w:t>
      </w:r>
      <w:r>
        <w:rPr>
          <w:color w:val="auto"/>
        </w:rPr>
        <w:t>m</w:t>
      </w:r>
      <w:r>
        <w:rPr>
          <w:color w:val="auto"/>
          <w:vertAlign w:val="superscript"/>
        </w:rPr>
        <w:t>3</w:t>
      </w:r>
      <w:r>
        <w:rPr>
          <w:color w:val="auto"/>
        </w:rPr>
        <w:t>/d（</w:t>
      </w:r>
      <w:r>
        <w:rPr>
          <w:rFonts w:hint="eastAsia"/>
          <w:color w:val="auto"/>
        </w:rPr>
        <w:t>19162.5</w:t>
      </w:r>
      <w:r>
        <w:rPr>
          <w:color w:val="auto"/>
        </w:rPr>
        <w:t>m</w:t>
      </w:r>
      <w:r>
        <w:rPr>
          <w:color w:val="auto"/>
          <w:vertAlign w:val="superscript"/>
        </w:rPr>
        <w:t>3</w:t>
      </w:r>
      <w:r>
        <w:rPr>
          <w:color w:val="auto"/>
        </w:rPr>
        <w:t>/a）。</w:t>
      </w:r>
    </w:p>
    <w:p>
      <w:pPr>
        <w:widowControl/>
        <w:ind w:firstLine="480"/>
        <w:jc w:val="left"/>
        <w:rPr>
          <w:color w:val="auto"/>
        </w:rPr>
      </w:pPr>
      <w:r>
        <w:rPr>
          <w:color w:val="auto"/>
        </w:rPr>
        <w:fldChar w:fldCharType="begin"/>
      </w:r>
      <w:r>
        <w:rPr>
          <w:color w:val="auto"/>
        </w:rPr>
        <w:instrText xml:space="preserve"> = 2 \* GB3 \* MERGEFORMAT </w:instrText>
      </w:r>
      <w:r>
        <w:rPr>
          <w:color w:val="auto"/>
        </w:rPr>
        <w:fldChar w:fldCharType="separate"/>
      </w:r>
      <w:r>
        <w:rPr>
          <w:color w:val="auto"/>
        </w:rPr>
        <w:t>②</w:t>
      </w:r>
      <w:r>
        <w:rPr>
          <w:color w:val="auto"/>
        </w:rPr>
        <w:fldChar w:fldCharType="end"/>
      </w:r>
      <w:r>
        <w:rPr>
          <w:rFonts w:hint="eastAsia"/>
          <w:color w:val="auto"/>
        </w:rPr>
        <w:t>火炬燃烧放空</w:t>
      </w:r>
    </w:p>
    <w:p>
      <w:pPr>
        <w:ind w:firstLine="480"/>
        <w:outlineLvl w:val="3"/>
        <w:rPr>
          <w:color w:val="auto"/>
        </w:rPr>
      </w:pPr>
      <w:r>
        <w:rPr>
          <w:color w:val="auto"/>
        </w:rPr>
        <w:t>建设单位拟将剩余沼气</w:t>
      </w:r>
      <w:r>
        <w:rPr>
          <w:rFonts w:hint="eastAsia"/>
          <w:color w:val="auto"/>
        </w:rPr>
        <w:t>采用3m火炬燃烧放空。为了避免沼气直接排放对环境空气造成影响，本项目沼气燃烧配备3</w:t>
      </w:r>
      <w:r>
        <w:rPr>
          <w:color w:val="auto"/>
        </w:rPr>
        <w:t>m</w:t>
      </w:r>
      <w:r>
        <w:rPr>
          <w:rFonts w:hint="eastAsia"/>
          <w:color w:val="auto"/>
        </w:rPr>
        <w:t>高火炬燃烧器一个，经预处理后多余的沼气经火炬燃烧器燃烧后排放。火炬是将可燃性气体完全燃烧后直接排放的燃烧设备。沼气火炬主要由燃烧室、引射器喷嘴、支撑结构、点火及火焰监测系统、阻火器、控制柜等主要部件组成。</w:t>
      </w:r>
    </w:p>
    <w:p>
      <w:pPr>
        <w:ind w:firstLine="480"/>
        <w:outlineLvl w:val="3"/>
        <w:rPr>
          <w:color w:val="auto"/>
        </w:rPr>
      </w:pPr>
      <w:r>
        <w:rPr>
          <w:color w:val="auto"/>
        </w:rPr>
        <w:t>3.2.3.5 沼液利用</w:t>
      </w:r>
    </w:p>
    <w:p>
      <w:pPr>
        <w:widowControl/>
        <w:ind w:firstLine="480"/>
        <w:jc w:val="left"/>
        <w:rPr>
          <w:color w:val="auto"/>
        </w:rPr>
      </w:pPr>
      <w:r>
        <w:rPr>
          <w:rFonts w:hint="eastAsia"/>
          <w:color w:val="auto"/>
        </w:rPr>
        <w:t>本项目产生的</w:t>
      </w:r>
      <w:r>
        <w:rPr>
          <w:color w:val="auto"/>
        </w:rPr>
        <w:t>沼液储存于</w:t>
      </w:r>
      <w:r>
        <w:rPr>
          <w:rFonts w:hint="eastAsia"/>
          <w:color w:val="auto"/>
        </w:rPr>
        <w:t>黑膜沼气池</w:t>
      </w:r>
      <w:r>
        <w:rPr>
          <w:color w:val="auto"/>
        </w:rPr>
        <w:t>，由于其含有丰富的机质、腐殖酸、粗蛋白、氮、磷、钾和多种微量元素等，是缓速兼备的优质</w:t>
      </w:r>
      <w:r>
        <w:rPr>
          <w:rFonts w:hint="eastAsia"/>
          <w:color w:val="auto"/>
        </w:rPr>
        <w:t>农家肥</w:t>
      </w:r>
      <w:r>
        <w:rPr>
          <w:color w:val="auto"/>
        </w:rPr>
        <w:t>，因此，沼液可作为液肥用于农田，实现资源化利用。项目利用</w:t>
      </w:r>
      <w:r>
        <w:rPr>
          <w:rFonts w:hint="eastAsia"/>
          <w:color w:val="auto"/>
        </w:rPr>
        <w:t>厂区</w:t>
      </w:r>
      <w:r>
        <w:rPr>
          <w:color w:val="auto"/>
        </w:rPr>
        <w:t>周围</w:t>
      </w:r>
      <w:r>
        <w:rPr>
          <w:rFonts w:hint="eastAsia"/>
          <w:color w:val="auto"/>
        </w:rPr>
        <w:t>1300</w:t>
      </w:r>
      <w:r>
        <w:rPr>
          <w:color w:val="auto"/>
        </w:rPr>
        <w:t>亩农田作为沼液的消纳地，均与农户签订消纳协议。</w:t>
      </w:r>
    </w:p>
    <w:p>
      <w:pPr>
        <w:ind w:firstLine="480"/>
        <w:outlineLvl w:val="3"/>
        <w:rPr>
          <w:color w:val="auto"/>
        </w:rPr>
      </w:pPr>
      <w:r>
        <w:rPr>
          <w:color w:val="auto"/>
        </w:rPr>
        <w:t>3.2.3.6 病死猪处理工程</w:t>
      </w:r>
    </w:p>
    <w:p>
      <w:pPr>
        <w:widowControl/>
        <w:ind w:firstLine="480"/>
        <w:rPr>
          <w:bCs/>
          <w:iCs/>
          <w:color w:val="auto"/>
        </w:rPr>
      </w:pPr>
      <w:r>
        <w:rPr>
          <w:bCs/>
          <w:iCs/>
          <w:color w:val="auto"/>
        </w:rPr>
        <w:t>病猪进入隔离猪舍进行注射治疗；一旦发现疫猪（疫死猪），第一时间对疫猪及所在猪舍进行隔离，及时将病死猪交进行处理，并对猪舍进行消毒，防止疫情扩散。</w:t>
      </w:r>
    </w:p>
    <w:p>
      <w:pPr>
        <w:ind w:firstLine="480"/>
        <w:rPr>
          <w:color w:val="auto"/>
        </w:rPr>
      </w:pPr>
      <w:r>
        <w:rPr>
          <w:color w:val="auto"/>
        </w:rPr>
        <w:t>根据《畜禽养殖业污染防治技术政策》（环发[2010]151号）中有关内容，畜禽尸体应按照有关卫生防疫规定单独进行妥善处置。染疫畜禽及其排泄物、染疫畜禽产品，病死或者死因不明的畜禽尸体等污染物，应就地进行无害化处理。</w:t>
      </w:r>
    </w:p>
    <w:p>
      <w:pPr>
        <w:ind w:firstLine="480"/>
        <w:rPr>
          <w:color w:val="auto"/>
        </w:rPr>
      </w:pPr>
      <w:r>
        <w:rPr>
          <w:color w:val="auto"/>
        </w:rPr>
        <w:t>根据《畜禽规模养殖污染防治条例》（中华人民共和国国务院令第643号）的有关内容，染疫畜禽以及染疫畜禽排泄物、染疫畜禽产品、病死或者死因不明的畜禽尸体等病害畜禽养殖废弃物，应当按照有关法律、法规和国务院农牧主管部门的规定，进行深埋、化制、焚烧等无害化处理，不得随意处置；国家鼓励和支持对染疫畜禽、病死或者死因不明畜禽尸体进行集中无害化处理，并按照国家有关规定对处理费用、养殖损失给予适当补助。</w:t>
      </w:r>
    </w:p>
    <w:p>
      <w:pPr>
        <w:widowControl/>
        <w:ind w:firstLine="480"/>
        <w:rPr>
          <w:bCs/>
          <w:iCs/>
          <w:color w:val="auto"/>
        </w:rPr>
      </w:pPr>
      <w:r>
        <w:rPr>
          <w:rFonts w:hint="eastAsia"/>
          <w:bCs/>
          <w:iCs/>
          <w:color w:val="auto"/>
        </w:rPr>
        <w:t>本项目拟采用高温化制法对病死动物进行高温高压无害化处理，整个过程不添加任何辅料，该方法为《病死动物无害化处理技术规范》（农医发[2013]34号）中推荐的工艺方法。</w:t>
      </w:r>
    </w:p>
    <w:p>
      <w:pPr>
        <w:widowControl/>
        <w:ind w:firstLine="480"/>
        <w:rPr>
          <w:bCs/>
          <w:iCs/>
          <w:color w:val="auto"/>
        </w:rPr>
      </w:pPr>
      <w:r>
        <w:rPr>
          <w:rFonts w:hint="eastAsia"/>
          <w:bCs/>
          <w:iCs/>
          <w:color w:val="auto"/>
        </w:rPr>
        <w:t>（1）原料破碎</w:t>
      </w:r>
    </w:p>
    <w:p>
      <w:pPr>
        <w:widowControl/>
        <w:ind w:firstLine="480"/>
        <w:rPr>
          <w:bCs/>
          <w:iCs/>
          <w:color w:val="auto"/>
        </w:rPr>
      </w:pPr>
      <w:r>
        <w:rPr>
          <w:rFonts w:hint="eastAsia"/>
          <w:bCs/>
          <w:iCs/>
          <w:color w:val="auto"/>
        </w:rPr>
        <w:t>病死动物集中收集后，经本项目厂区消毒通道消毒后运至本项目无害化处理区。病死猪在呈负压的密闭环境里通过螺旋输送机直接匀速把物料输送至预碎机内，物料在密闭的环境里在绞刀的作用下，破碎成粒径40mm--50mm的肉块。破碎后的物料直接进入不锈钢储料斗，储料斗起到缓冲储存的作用，然后通过管道采用负压液压泵输送的方式直接进入高温化制罐，该过程内全程密闭、远距离、高流程，智能操作无需人员直接接触，避免了病菌二次污染，极大的改善了工作环境。该过程在物料暂存室内会产生一定的无组织恶臭。</w:t>
      </w:r>
    </w:p>
    <w:p>
      <w:pPr>
        <w:widowControl/>
        <w:ind w:firstLine="480"/>
        <w:rPr>
          <w:bCs/>
          <w:iCs/>
          <w:color w:val="auto"/>
        </w:rPr>
      </w:pPr>
      <w:r>
        <w:rPr>
          <w:rFonts w:hint="eastAsia"/>
          <w:bCs/>
          <w:iCs/>
          <w:color w:val="auto"/>
        </w:rPr>
        <w:t>（2）化制烘干</w:t>
      </w:r>
    </w:p>
    <w:p>
      <w:pPr>
        <w:widowControl/>
        <w:ind w:firstLine="480"/>
        <w:rPr>
          <w:bCs/>
          <w:iCs/>
          <w:color w:val="auto"/>
        </w:rPr>
      </w:pPr>
      <w:r>
        <w:rPr>
          <w:rFonts w:hint="eastAsia"/>
          <w:bCs/>
          <w:iCs/>
          <w:color w:val="auto"/>
        </w:rPr>
        <w:t>破碎后的物料装至额定重量后，关闭罐口，通过电加热导热油向U型槽夹层加热（间接加热，不与物料直接接触），在干热的作用下加热升压灭菌，罐内温度达到140℃（0.3Mpa）后，保持压力30分钟（欧美灭菌标准，也可根据不同物料调整压力和温度），然后进入干燥阶段，采用低温真空干燥的方式，物料的含水量降至10-12%，含油脂30%左右。化制烘干完成后，开启卸料电控阀，物料通过螺旋输送机直接进入半成品缓存仓，卸料电控阀确保放料时无蒸汽溢出，无需手工操作。缓存仓对半成品物料进行暂存，并自动匀速搅拌、拱破，过程中的产生的臭气通过负压管道集中收集处理后进入冷凝器，将高温水蒸汽冷凝成水。冷凝后的蒸馏水主要污染成为COD、BOD</w:t>
      </w:r>
      <w:r>
        <w:rPr>
          <w:rFonts w:hint="eastAsia"/>
          <w:bCs/>
          <w:iCs/>
          <w:color w:val="auto"/>
          <w:vertAlign w:val="subscript"/>
        </w:rPr>
        <w:t>5</w:t>
      </w:r>
      <w:r>
        <w:rPr>
          <w:rFonts w:hint="eastAsia"/>
          <w:bCs/>
          <w:iCs/>
          <w:color w:val="auto"/>
        </w:rPr>
        <w:t>、氨氮等，通过密闭管道排入黑膜沼气池处理。固体包装后作为生产有机肥的基料外售。</w:t>
      </w:r>
    </w:p>
    <w:p>
      <w:pPr>
        <w:widowControl/>
        <w:ind w:firstLine="480"/>
        <w:rPr>
          <w:color w:val="auto"/>
        </w:rPr>
      </w:pPr>
      <w:r>
        <w:rPr>
          <w:rFonts w:hint="eastAsia"/>
          <w:bCs/>
          <w:iCs/>
          <w:color w:val="auto"/>
        </w:rPr>
        <w:t>本项目采用间接加热方式通入导热油对化制机加热（1吨/批次），保持化制机内高温高压2.5h～3h后，进行泄压，泄压后物质在化制机内通过间接加热方式进行烘干，烘干后的物料（固态）外售有机肥厂。</w:t>
      </w:r>
    </w:p>
    <w:p>
      <w:pPr>
        <w:ind w:firstLine="482"/>
        <w:outlineLvl w:val="3"/>
        <w:rPr>
          <w:b/>
          <w:bCs/>
          <w:color w:val="auto"/>
        </w:rPr>
      </w:pPr>
      <w:bookmarkStart w:id="300" w:name="_Toc388881910"/>
      <w:r>
        <w:rPr>
          <w:b/>
          <w:bCs/>
          <w:color w:val="auto"/>
        </w:rPr>
        <w:t>3.2.3.7有机肥生产</w:t>
      </w:r>
      <w:bookmarkEnd w:id="300"/>
    </w:p>
    <w:p>
      <w:pPr>
        <w:ind w:firstLine="480"/>
        <w:outlineLvl w:val="4"/>
        <w:rPr>
          <w:color w:val="auto"/>
        </w:rPr>
      </w:pPr>
      <w:r>
        <w:rPr>
          <w:color w:val="auto"/>
        </w:rPr>
        <w:t>（1）堆肥工艺比较</w:t>
      </w:r>
    </w:p>
    <w:p>
      <w:pPr>
        <w:ind w:firstLine="480"/>
        <w:rPr>
          <w:color w:val="auto"/>
        </w:rPr>
      </w:pPr>
      <w:r>
        <w:rPr>
          <w:color w:val="auto"/>
        </w:rPr>
        <w:t>根据堆肥技术的复杂程度以及使用情况，目前我国主要有三大类堆肥系统：条垛式、静态垛式和反应器系统。</w:t>
      </w:r>
    </w:p>
    <w:p>
      <w:pPr>
        <w:ind w:firstLine="480"/>
        <w:rPr>
          <w:color w:val="auto"/>
        </w:rPr>
      </w:pPr>
      <w:r>
        <w:rPr>
          <w:color w:val="auto"/>
        </w:rPr>
        <w:t>条垛式是在露天或棚架下，将混合好的原料堆成条垛状，在好氧条件下进行分解的一种堆肥化方式。条垛式堆肥一次发酵周期为1个月。</w:t>
      </w:r>
    </w:p>
    <w:p>
      <w:pPr>
        <w:ind w:firstLine="480"/>
        <w:rPr>
          <w:color w:val="auto"/>
        </w:rPr>
      </w:pPr>
      <w:r>
        <w:rPr>
          <w:color w:val="auto"/>
        </w:rPr>
        <w:t>静态通风堆系统是条形堆的改进形式。它主要用于湿基质的堆肥，堆肥过程中不进行物料的翻堆，通风使堆体保持好氧状态。</w:t>
      </w:r>
    </w:p>
    <w:p>
      <w:pPr>
        <w:ind w:firstLine="480"/>
        <w:rPr>
          <w:color w:val="auto"/>
        </w:rPr>
      </w:pPr>
      <w:r>
        <w:rPr>
          <w:color w:val="auto"/>
        </w:rPr>
        <w:t>反应器堆肥系统是将物料在部分或全部封闭的发酵装置（如发酵仓、发酵塔等）内，通过控制通气和水分条件，使物料进行生物降解和转化。</w:t>
      </w:r>
    </w:p>
    <w:p>
      <w:pPr>
        <w:ind w:firstLine="480"/>
        <w:rPr>
          <w:color w:val="auto"/>
        </w:rPr>
      </w:pPr>
      <w:r>
        <w:rPr>
          <w:color w:val="auto"/>
        </w:rPr>
        <w:t>各种堆肥系统的优缺点比较：</w:t>
      </w:r>
    </w:p>
    <w:p>
      <w:pPr>
        <w:spacing w:after="72" w:afterLines="30"/>
        <w:ind w:firstLine="482"/>
        <w:jc w:val="left"/>
        <w:rPr>
          <w:b/>
          <w:color w:val="auto"/>
          <w:szCs w:val="21"/>
        </w:rPr>
      </w:pPr>
      <w:r>
        <w:rPr>
          <w:b/>
          <w:color w:val="auto"/>
          <w:szCs w:val="21"/>
        </w:rPr>
        <w:t>表3.2-</w:t>
      </w:r>
      <w:r>
        <w:rPr>
          <w:rFonts w:hint="eastAsia"/>
          <w:b/>
          <w:color w:val="auto"/>
          <w:szCs w:val="21"/>
        </w:rPr>
        <w:t>1</w:t>
      </w:r>
      <w:r>
        <w:rPr>
          <w:b/>
          <w:color w:val="auto"/>
          <w:szCs w:val="21"/>
        </w:rPr>
        <w:t xml:space="preserve">                 各种堆肥系统的优缺点比较表</w:t>
      </w:r>
    </w:p>
    <w:tbl>
      <w:tblPr>
        <w:tblStyle w:val="27"/>
        <w:tblW w:w="4999"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258"/>
        <w:gridCol w:w="1650"/>
        <w:gridCol w:w="2017"/>
        <w:gridCol w:w="202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820" w:type="pct"/>
            <w:vAlign w:val="center"/>
          </w:tcPr>
          <w:p>
            <w:pPr>
              <w:widowControl/>
              <w:spacing w:line="240" w:lineRule="auto"/>
              <w:ind w:firstLine="0" w:firstLineChars="0"/>
              <w:jc w:val="center"/>
              <w:rPr>
                <w:color w:val="auto"/>
                <w:kern w:val="0"/>
                <w:sz w:val="21"/>
                <w:szCs w:val="21"/>
              </w:rPr>
            </w:pPr>
            <w:r>
              <w:rPr>
                <w:color w:val="auto"/>
                <w:kern w:val="0"/>
                <w:sz w:val="21"/>
                <w:szCs w:val="21"/>
              </w:rPr>
              <w:t>堆肥工艺</w:t>
            </w:r>
          </w:p>
        </w:tc>
        <w:tc>
          <w:tcPr>
            <w:tcW w:w="922" w:type="pct"/>
            <w:vAlign w:val="center"/>
          </w:tcPr>
          <w:p>
            <w:pPr>
              <w:widowControl/>
              <w:spacing w:line="240" w:lineRule="auto"/>
              <w:ind w:firstLine="0" w:firstLineChars="0"/>
              <w:jc w:val="center"/>
              <w:rPr>
                <w:color w:val="auto"/>
                <w:kern w:val="0"/>
                <w:sz w:val="21"/>
                <w:szCs w:val="21"/>
              </w:rPr>
            </w:pPr>
            <w:r>
              <w:rPr>
                <w:color w:val="auto"/>
                <w:kern w:val="0"/>
                <w:sz w:val="21"/>
                <w:szCs w:val="21"/>
              </w:rPr>
              <w:t>条垛堆肥</w:t>
            </w:r>
          </w:p>
        </w:tc>
        <w:tc>
          <w:tcPr>
            <w:tcW w:w="1127" w:type="pct"/>
            <w:vAlign w:val="center"/>
          </w:tcPr>
          <w:p>
            <w:pPr>
              <w:widowControl/>
              <w:spacing w:line="240" w:lineRule="auto"/>
              <w:ind w:firstLine="0" w:firstLineChars="0"/>
              <w:jc w:val="center"/>
              <w:rPr>
                <w:color w:val="auto"/>
                <w:kern w:val="0"/>
                <w:sz w:val="21"/>
                <w:szCs w:val="21"/>
              </w:rPr>
            </w:pPr>
            <w:r>
              <w:rPr>
                <w:color w:val="auto"/>
                <w:kern w:val="0"/>
                <w:sz w:val="21"/>
                <w:szCs w:val="21"/>
              </w:rPr>
              <w:t>静态通风堆肥</w:t>
            </w:r>
          </w:p>
        </w:tc>
        <w:tc>
          <w:tcPr>
            <w:tcW w:w="1129" w:type="pct"/>
            <w:vAlign w:val="center"/>
          </w:tcPr>
          <w:p>
            <w:pPr>
              <w:widowControl/>
              <w:spacing w:line="240" w:lineRule="auto"/>
              <w:ind w:firstLine="0" w:firstLineChars="0"/>
              <w:jc w:val="center"/>
              <w:rPr>
                <w:color w:val="auto"/>
                <w:kern w:val="0"/>
                <w:sz w:val="21"/>
                <w:szCs w:val="21"/>
              </w:rPr>
            </w:pPr>
            <w:r>
              <w:rPr>
                <w:color w:val="auto"/>
                <w:kern w:val="0"/>
                <w:sz w:val="21"/>
                <w:szCs w:val="21"/>
              </w:rPr>
              <w:t>反应器堆肥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820" w:type="pct"/>
            <w:vAlign w:val="center"/>
          </w:tcPr>
          <w:p>
            <w:pPr>
              <w:widowControl/>
              <w:spacing w:line="240" w:lineRule="auto"/>
              <w:ind w:firstLine="0" w:firstLineChars="0"/>
              <w:jc w:val="center"/>
              <w:rPr>
                <w:color w:val="auto"/>
                <w:kern w:val="0"/>
                <w:sz w:val="21"/>
                <w:szCs w:val="21"/>
              </w:rPr>
            </w:pPr>
            <w:r>
              <w:rPr>
                <w:color w:val="auto"/>
                <w:kern w:val="0"/>
                <w:sz w:val="21"/>
                <w:szCs w:val="21"/>
              </w:rPr>
              <w:t>投资成本</w:t>
            </w:r>
          </w:p>
        </w:tc>
        <w:tc>
          <w:tcPr>
            <w:tcW w:w="922" w:type="pct"/>
            <w:vAlign w:val="center"/>
          </w:tcPr>
          <w:p>
            <w:pPr>
              <w:widowControl/>
              <w:spacing w:line="240" w:lineRule="auto"/>
              <w:ind w:firstLine="0" w:firstLineChars="0"/>
              <w:jc w:val="center"/>
              <w:rPr>
                <w:color w:val="auto"/>
                <w:kern w:val="0"/>
                <w:sz w:val="21"/>
                <w:szCs w:val="21"/>
              </w:rPr>
            </w:pPr>
            <w:r>
              <w:rPr>
                <w:color w:val="auto"/>
                <w:kern w:val="0"/>
                <w:sz w:val="21"/>
                <w:szCs w:val="21"/>
              </w:rPr>
              <w:t>低</w:t>
            </w:r>
          </w:p>
        </w:tc>
        <w:tc>
          <w:tcPr>
            <w:tcW w:w="1127" w:type="pct"/>
            <w:vAlign w:val="center"/>
          </w:tcPr>
          <w:p>
            <w:pPr>
              <w:widowControl/>
              <w:spacing w:line="240" w:lineRule="auto"/>
              <w:ind w:firstLine="0" w:firstLineChars="0"/>
              <w:jc w:val="center"/>
              <w:rPr>
                <w:color w:val="auto"/>
                <w:kern w:val="0"/>
                <w:sz w:val="21"/>
                <w:szCs w:val="21"/>
              </w:rPr>
            </w:pPr>
            <w:r>
              <w:rPr>
                <w:color w:val="auto"/>
                <w:kern w:val="0"/>
                <w:sz w:val="21"/>
                <w:szCs w:val="21"/>
              </w:rPr>
              <w:t>低</w:t>
            </w:r>
          </w:p>
        </w:tc>
        <w:tc>
          <w:tcPr>
            <w:tcW w:w="1129" w:type="pct"/>
            <w:vAlign w:val="center"/>
          </w:tcPr>
          <w:p>
            <w:pPr>
              <w:widowControl/>
              <w:spacing w:line="240" w:lineRule="auto"/>
              <w:ind w:firstLine="0" w:firstLineChars="0"/>
              <w:jc w:val="center"/>
              <w:rPr>
                <w:color w:val="auto"/>
                <w:kern w:val="0"/>
                <w:sz w:val="21"/>
                <w:szCs w:val="21"/>
              </w:rPr>
            </w:pPr>
            <w:r>
              <w:rPr>
                <w:color w:val="auto"/>
                <w:kern w:val="0"/>
                <w:sz w:val="21"/>
                <w:szCs w:val="21"/>
              </w:rPr>
              <w:t>高</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820" w:type="pct"/>
            <w:vAlign w:val="center"/>
          </w:tcPr>
          <w:p>
            <w:pPr>
              <w:widowControl/>
              <w:spacing w:line="240" w:lineRule="auto"/>
              <w:ind w:firstLine="0" w:firstLineChars="0"/>
              <w:jc w:val="center"/>
              <w:rPr>
                <w:color w:val="auto"/>
                <w:kern w:val="0"/>
                <w:sz w:val="21"/>
                <w:szCs w:val="21"/>
              </w:rPr>
            </w:pPr>
            <w:r>
              <w:rPr>
                <w:color w:val="auto"/>
                <w:kern w:val="0"/>
                <w:sz w:val="21"/>
                <w:szCs w:val="21"/>
              </w:rPr>
              <w:t>运行和维护费用</w:t>
            </w:r>
          </w:p>
        </w:tc>
        <w:tc>
          <w:tcPr>
            <w:tcW w:w="922" w:type="pct"/>
            <w:vAlign w:val="center"/>
          </w:tcPr>
          <w:p>
            <w:pPr>
              <w:widowControl/>
              <w:spacing w:line="240" w:lineRule="auto"/>
              <w:ind w:firstLine="0" w:firstLineChars="0"/>
              <w:jc w:val="center"/>
              <w:rPr>
                <w:color w:val="auto"/>
                <w:kern w:val="0"/>
                <w:sz w:val="21"/>
                <w:szCs w:val="21"/>
              </w:rPr>
            </w:pPr>
            <w:r>
              <w:rPr>
                <w:color w:val="auto"/>
                <w:kern w:val="0"/>
                <w:sz w:val="21"/>
                <w:szCs w:val="21"/>
              </w:rPr>
              <w:t>较低</w:t>
            </w:r>
          </w:p>
        </w:tc>
        <w:tc>
          <w:tcPr>
            <w:tcW w:w="1127" w:type="pct"/>
            <w:vAlign w:val="center"/>
          </w:tcPr>
          <w:p>
            <w:pPr>
              <w:widowControl/>
              <w:spacing w:line="240" w:lineRule="auto"/>
              <w:ind w:firstLine="0" w:firstLineChars="0"/>
              <w:jc w:val="center"/>
              <w:rPr>
                <w:color w:val="auto"/>
                <w:kern w:val="0"/>
                <w:sz w:val="21"/>
                <w:szCs w:val="21"/>
              </w:rPr>
            </w:pPr>
            <w:r>
              <w:rPr>
                <w:color w:val="auto"/>
                <w:kern w:val="0"/>
                <w:sz w:val="21"/>
                <w:szCs w:val="21"/>
              </w:rPr>
              <w:t>低</w:t>
            </w:r>
          </w:p>
        </w:tc>
        <w:tc>
          <w:tcPr>
            <w:tcW w:w="1129" w:type="pct"/>
            <w:vAlign w:val="center"/>
          </w:tcPr>
          <w:p>
            <w:pPr>
              <w:widowControl/>
              <w:spacing w:line="240" w:lineRule="auto"/>
              <w:ind w:firstLine="0" w:firstLineChars="0"/>
              <w:jc w:val="center"/>
              <w:rPr>
                <w:color w:val="auto"/>
                <w:kern w:val="0"/>
                <w:sz w:val="21"/>
                <w:szCs w:val="21"/>
              </w:rPr>
            </w:pPr>
            <w:r>
              <w:rPr>
                <w:color w:val="auto"/>
                <w:kern w:val="0"/>
                <w:sz w:val="21"/>
                <w:szCs w:val="21"/>
              </w:rPr>
              <w:t>低</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820" w:type="pct"/>
            <w:vAlign w:val="center"/>
          </w:tcPr>
          <w:p>
            <w:pPr>
              <w:widowControl/>
              <w:spacing w:line="240" w:lineRule="auto"/>
              <w:ind w:firstLine="0" w:firstLineChars="0"/>
              <w:jc w:val="center"/>
              <w:rPr>
                <w:color w:val="auto"/>
                <w:kern w:val="0"/>
                <w:sz w:val="21"/>
                <w:szCs w:val="21"/>
              </w:rPr>
            </w:pPr>
            <w:r>
              <w:rPr>
                <w:color w:val="auto"/>
                <w:kern w:val="0"/>
                <w:sz w:val="21"/>
                <w:szCs w:val="21"/>
              </w:rPr>
              <w:t>操作难度</w:t>
            </w:r>
          </w:p>
        </w:tc>
        <w:tc>
          <w:tcPr>
            <w:tcW w:w="922" w:type="pct"/>
            <w:vAlign w:val="center"/>
          </w:tcPr>
          <w:p>
            <w:pPr>
              <w:widowControl/>
              <w:spacing w:line="240" w:lineRule="auto"/>
              <w:ind w:firstLine="0" w:firstLineChars="0"/>
              <w:jc w:val="center"/>
              <w:rPr>
                <w:color w:val="auto"/>
                <w:kern w:val="0"/>
                <w:sz w:val="21"/>
                <w:szCs w:val="21"/>
              </w:rPr>
            </w:pPr>
            <w:r>
              <w:rPr>
                <w:color w:val="auto"/>
                <w:kern w:val="0"/>
                <w:sz w:val="21"/>
                <w:szCs w:val="21"/>
              </w:rPr>
              <w:t>低</w:t>
            </w:r>
          </w:p>
        </w:tc>
        <w:tc>
          <w:tcPr>
            <w:tcW w:w="1127" w:type="pct"/>
            <w:vAlign w:val="center"/>
          </w:tcPr>
          <w:p>
            <w:pPr>
              <w:widowControl/>
              <w:spacing w:line="240" w:lineRule="auto"/>
              <w:ind w:firstLine="0" w:firstLineChars="0"/>
              <w:jc w:val="center"/>
              <w:rPr>
                <w:color w:val="auto"/>
                <w:kern w:val="0"/>
                <w:sz w:val="21"/>
                <w:szCs w:val="21"/>
              </w:rPr>
            </w:pPr>
            <w:r>
              <w:rPr>
                <w:color w:val="auto"/>
                <w:kern w:val="0"/>
                <w:sz w:val="21"/>
                <w:szCs w:val="21"/>
              </w:rPr>
              <w:t>较低</w:t>
            </w:r>
          </w:p>
        </w:tc>
        <w:tc>
          <w:tcPr>
            <w:tcW w:w="1129" w:type="pct"/>
            <w:vAlign w:val="center"/>
          </w:tcPr>
          <w:p>
            <w:pPr>
              <w:widowControl/>
              <w:spacing w:line="240" w:lineRule="auto"/>
              <w:ind w:firstLine="0" w:firstLineChars="0"/>
              <w:jc w:val="center"/>
              <w:rPr>
                <w:color w:val="auto"/>
                <w:kern w:val="0"/>
                <w:sz w:val="21"/>
                <w:szCs w:val="21"/>
              </w:rPr>
            </w:pPr>
            <w:r>
              <w:rPr>
                <w:color w:val="auto"/>
                <w:kern w:val="0"/>
                <w:sz w:val="21"/>
                <w:szCs w:val="21"/>
              </w:rPr>
              <w:t>难</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820" w:type="pct"/>
            <w:vAlign w:val="center"/>
          </w:tcPr>
          <w:p>
            <w:pPr>
              <w:widowControl/>
              <w:spacing w:line="240" w:lineRule="auto"/>
              <w:ind w:firstLine="0" w:firstLineChars="0"/>
              <w:jc w:val="center"/>
              <w:rPr>
                <w:color w:val="auto"/>
                <w:kern w:val="0"/>
                <w:sz w:val="21"/>
                <w:szCs w:val="21"/>
              </w:rPr>
            </w:pPr>
            <w:r>
              <w:rPr>
                <w:color w:val="auto"/>
                <w:kern w:val="0"/>
                <w:sz w:val="21"/>
                <w:szCs w:val="21"/>
              </w:rPr>
              <w:t>受气候条件影响大小</w:t>
            </w:r>
          </w:p>
        </w:tc>
        <w:tc>
          <w:tcPr>
            <w:tcW w:w="922" w:type="pct"/>
            <w:vAlign w:val="center"/>
          </w:tcPr>
          <w:p>
            <w:pPr>
              <w:widowControl/>
              <w:spacing w:line="240" w:lineRule="auto"/>
              <w:ind w:firstLine="0" w:firstLineChars="0"/>
              <w:jc w:val="center"/>
              <w:rPr>
                <w:color w:val="auto"/>
                <w:kern w:val="0"/>
                <w:sz w:val="21"/>
                <w:szCs w:val="21"/>
              </w:rPr>
            </w:pPr>
            <w:r>
              <w:rPr>
                <w:color w:val="auto"/>
                <w:kern w:val="0"/>
                <w:sz w:val="21"/>
                <w:szCs w:val="21"/>
              </w:rPr>
              <w:t>大</w:t>
            </w:r>
          </w:p>
        </w:tc>
        <w:tc>
          <w:tcPr>
            <w:tcW w:w="1127" w:type="pct"/>
            <w:vAlign w:val="center"/>
          </w:tcPr>
          <w:p>
            <w:pPr>
              <w:widowControl/>
              <w:spacing w:line="240" w:lineRule="auto"/>
              <w:ind w:firstLine="0" w:firstLineChars="0"/>
              <w:jc w:val="center"/>
              <w:rPr>
                <w:color w:val="auto"/>
                <w:kern w:val="0"/>
                <w:sz w:val="21"/>
                <w:szCs w:val="21"/>
              </w:rPr>
            </w:pPr>
            <w:r>
              <w:rPr>
                <w:color w:val="auto"/>
                <w:kern w:val="0"/>
                <w:sz w:val="21"/>
                <w:szCs w:val="21"/>
              </w:rPr>
              <w:t>较大</w:t>
            </w:r>
          </w:p>
        </w:tc>
        <w:tc>
          <w:tcPr>
            <w:tcW w:w="1129" w:type="pct"/>
            <w:vAlign w:val="center"/>
          </w:tcPr>
          <w:p>
            <w:pPr>
              <w:widowControl/>
              <w:spacing w:line="240" w:lineRule="auto"/>
              <w:ind w:firstLine="0" w:firstLineChars="0"/>
              <w:jc w:val="center"/>
              <w:rPr>
                <w:color w:val="auto"/>
                <w:kern w:val="0"/>
                <w:sz w:val="21"/>
                <w:szCs w:val="21"/>
              </w:rPr>
            </w:pPr>
            <w:r>
              <w:rPr>
                <w:color w:val="auto"/>
                <w:kern w:val="0"/>
                <w:sz w:val="21"/>
                <w:szCs w:val="21"/>
              </w:rPr>
              <w:t>小</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820" w:type="pct"/>
            <w:vAlign w:val="center"/>
          </w:tcPr>
          <w:p>
            <w:pPr>
              <w:widowControl/>
              <w:spacing w:line="240" w:lineRule="auto"/>
              <w:ind w:firstLine="0" w:firstLineChars="0"/>
              <w:jc w:val="center"/>
              <w:rPr>
                <w:color w:val="auto"/>
                <w:kern w:val="0"/>
                <w:sz w:val="21"/>
                <w:szCs w:val="21"/>
              </w:rPr>
            </w:pPr>
            <w:r>
              <w:rPr>
                <w:color w:val="auto"/>
                <w:kern w:val="0"/>
                <w:sz w:val="21"/>
                <w:szCs w:val="21"/>
              </w:rPr>
              <w:t>臭味处理</w:t>
            </w:r>
          </w:p>
        </w:tc>
        <w:tc>
          <w:tcPr>
            <w:tcW w:w="922" w:type="pct"/>
            <w:vAlign w:val="center"/>
          </w:tcPr>
          <w:p>
            <w:pPr>
              <w:widowControl/>
              <w:spacing w:line="240" w:lineRule="auto"/>
              <w:ind w:firstLine="0" w:firstLineChars="0"/>
              <w:jc w:val="center"/>
              <w:rPr>
                <w:color w:val="auto"/>
                <w:kern w:val="0"/>
                <w:sz w:val="21"/>
                <w:szCs w:val="21"/>
              </w:rPr>
            </w:pPr>
            <w:r>
              <w:rPr>
                <w:color w:val="auto"/>
                <w:kern w:val="0"/>
                <w:sz w:val="21"/>
                <w:szCs w:val="21"/>
              </w:rPr>
              <w:t>难</w:t>
            </w:r>
          </w:p>
        </w:tc>
        <w:tc>
          <w:tcPr>
            <w:tcW w:w="1127" w:type="pct"/>
            <w:vAlign w:val="center"/>
          </w:tcPr>
          <w:p>
            <w:pPr>
              <w:widowControl/>
              <w:spacing w:line="240" w:lineRule="auto"/>
              <w:ind w:firstLine="0" w:firstLineChars="0"/>
              <w:jc w:val="center"/>
              <w:rPr>
                <w:color w:val="auto"/>
                <w:kern w:val="0"/>
                <w:sz w:val="21"/>
                <w:szCs w:val="21"/>
              </w:rPr>
            </w:pPr>
            <w:r>
              <w:rPr>
                <w:color w:val="auto"/>
                <w:kern w:val="0"/>
                <w:sz w:val="21"/>
                <w:szCs w:val="21"/>
              </w:rPr>
              <w:t>较易</w:t>
            </w:r>
          </w:p>
        </w:tc>
        <w:tc>
          <w:tcPr>
            <w:tcW w:w="1129" w:type="pct"/>
            <w:vAlign w:val="center"/>
          </w:tcPr>
          <w:p>
            <w:pPr>
              <w:widowControl/>
              <w:spacing w:line="240" w:lineRule="auto"/>
              <w:ind w:firstLine="0" w:firstLineChars="0"/>
              <w:jc w:val="center"/>
              <w:rPr>
                <w:color w:val="auto"/>
                <w:kern w:val="0"/>
                <w:sz w:val="21"/>
                <w:szCs w:val="21"/>
              </w:rPr>
            </w:pPr>
            <w:r>
              <w:rPr>
                <w:color w:val="auto"/>
                <w:kern w:val="0"/>
                <w:sz w:val="21"/>
                <w:szCs w:val="21"/>
              </w:rPr>
              <w:t>易</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820" w:type="pct"/>
            <w:vAlign w:val="center"/>
          </w:tcPr>
          <w:p>
            <w:pPr>
              <w:widowControl/>
              <w:spacing w:line="240" w:lineRule="auto"/>
              <w:ind w:firstLine="0" w:firstLineChars="0"/>
              <w:jc w:val="center"/>
              <w:rPr>
                <w:color w:val="auto"/>
                <w:kern w:val="0"/>
                <w:sz w:val="21"/>
                <w:szCs w:val="21"/>
              </w:rPr>
            </w:pPr>
            <w:r>
              <w:rPr>
                <w:color w:val="auto"/>
                <w:kern w:val="0"/>
                <w:sz w:val="21"/>
                <w:szCs w:val="21"/>
              </w:rPr>
              <w:t>占地面积</w:t>
            </w:r>
          </w:p>
        </w:tc>
        <w:tc>
          <w:tcPr>
            <w:tcW w:w="922" w:type="pct"/>
            <w:vAlign w:val="center"/>
          </w:tcPr>
          <w:p>
            <w:pPr>
              <w:widowControl/>
              <w:spacing w:line="240" w:lineRule="auto"/>
              <w:ind w:firstLine="0" w:firstLineChars="0"/>
              <w:jc w:val="center"/>
              <w:rPr>
                <w:color w:val="auto"/>
                <w:kern w:val="0"/>
                <w:sz w:val="21"/>
                <w:szCs w:val="21"/>
              </w:rPr>
            </w:pPr>
            <w:r>
              <w:rPr>
                <w:color w:val="auto"/>
                <w:kern w:val="0"/>
                <w:sz w:val="21"/>
                <w:szCs w:val="21"/>
              </w:rPr>
              <w:t>大</w:t>
            </w:r>
          </w:p>
        </w:tc>
        <w:tc>
          <w:tcPr>
            <w:tcW w:w="1127" w:type="pct"/>
            <w:vAlign w:val="center"/>
          </w:tcPr>
          <w:p>
            <w:pPr>
              <w:widowControl/>
              <w:spacing w:line="240" w:lineRule="auto"/>
              <w:ind w:firstLine="0" w:firstLineChars="0"/>
              <w:jc w:val="center"/>
              <w:rPr>
                <w:color w:val="auto"/>
                <w:kern w:val="0"/>
                <w:sz w:val="21"/>
                <w:szCs w:val="21"/>
              </w:rPr>
            </w:pPr>
            <w:r>
              <w:rPr>
                <w:color w:val="auto"/>
                <w:kern w:val="0"/>
                <w:sz w:val="21"/>
                <w:szCs w:val="21"/>
              </w:rPr>
              <w:t>中</w:t>
            </w:r>
          </w:p>
        </w:tc>
        <w:tc>
          <w:tcPr>
            <w:tcW w:w="1129" w:type="pct"/>
            <w:vAlign w:val="center"/>
          </w:tcPr>
          <w:p>
            <w:pPr>
              <w:widowControl/>
              <w:spacing w:line="240" w:lineRule="auto"/>
              <w:ind w:firstLine="0" w:firstLineChars="0"/>
              <w:jc w:val="center"/>
              <w:rPr>
                <w:color w:val="auto"/>
                <w:kern w:val="0"/>
                <w:sz w:val="21"/>
                <w:szCs w:val="21"/>
              </w:rPr>
            </w:pPr>
            <w:r>
              <w:rPr>
                <w:color w:val="auto"/>
                <w:kern w:val="0"/>
                <w:sz w:val="21"/>
                <w:szCs w:val="21"/>
              </w:rPr>
              <w:t>小</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820" w:type="pct"/>
            <w:vAlign w:val="center"/>
          </w:tcPr>
          <w:p>
            <w:pPr>
              <w:widowControl/>
              <w:spacing w:line="240" w:lineRule="auto"/>
              <w:ind w:firstLine="0" w:firstLineChars="0"/>
              <w:jc w:val="center"/>
              <w:rPr>
                <w:color w:val="auto"/>
                <w:kern w:val="0"/>
                <w:sz w:val="21"/>
                <w:szCs w:val="21"/>
              </w:rPr>
            </w:pPr>
            <w:r>
              <w:rPr>
                <w:color w:val="auto"/>
                <w:kern w:val="0"/>
                <w:sz w:val="21"/>
                <w:szCs w:val="21"/>
              </w:rPr>
              <w:t>堆肥时间</w:t>
            </w:r>
          </w:p>
        </w:tc>
        <w:tc>
          <w:tcPr>
            <w:tcW w:w="922" w:type="pct"/>
            <w:vAlign w:val="center"/>
          </w:tcPr>
          <w:p>
            <w:pPr>
              <w:widowControl/>
              <w:spacing w:line="240" w:lineRule="auto"/>
              <w:ind w:firstLine="0" w:firstLineChars="0"/>
              <w:jc w:val="center"/>
              <w:rPr>
                <w:color w:val="auto"/>
                <w:kern w:val="0"/>
                <w:sz w:val="21"/>
                <w:szCs w:val="21"/>
              </w:rPr>
            </w:pPr>
            <w:r>
              <w:rPr>
                <w:color w:val="auto"/>
                <w:kern w:val="0"/>
                <w:sz w:val="21"/>
                <w:szCs w:val="21"/>
              </w:rPr>
              <w:t>长</w:t>
            </w:r>
          </w:p>
        </w:tc>
        <w:tc>
          <w:tcPr>
            <w:tcW w:w="1127" w:type="pct"/>
            <w:vAlign w:val="center"/>
          </w:tcPr>
          <w:p>
            <w:pPr>
              <w:widowControl/>
              <w:spacing w:line="240" w:lineRule="auto"/>
              <w:ind w:firstLine="0" w:firstLineChars="0"/>
              <w:jc w:val="center"/>
              <w:rPr>
                <w:color w:val="auto"/>
                <w:kern w:val="0"/>
                <w:sz w:val="21"/>
                <w:szCs w:val="21"/>
              </w:rPr>
            </w:pPr>
            <w:r>
              <w:rPr>
                <w:color w:val="auto"/>
                <w:kern w:val="0"/>
                <w:sz w:val="21"/>
                <w:szCs w:val="21"/>
              </w:rPr>
              <w:t>中</w:t>
            </w:r>
          </w:p>
        </w:tc>
        <w:tc>
          <w:tcPr>
            <w:tcW w:w="1129" w:type="pct"/>
            <w:vAlign w:val="center"/>
          </w:tcPr>
          <w:p>
            <w:pPr>
              <w:widowControl/>
              <w:spacing w:line="240" w:lineRule="auto"/>
              <w:ind w:firstLine="0" w:firstLineChars="0"/>
              <w:jc w:val="center"/>
              <w:rPr>
                <w:color w:val="auto"/>
                <w:kern w:val="0"/>
                <w:sz w:val="21"/>
                <w:szCs w:val="21"/>
              </w:rPr>
            </w:pPr>
            <w:r>
              <w:rPr>
                <w:color w:val="auto"/>
                <w:kern w:val="0"/>
                <w:sz w:val="21"/>
                <w:szCs w:val="21"/>
              </w:rPr>
              <w:t>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820" w:type="pct"/>
            <w:vAlign w:val="center"/>
          </w:tcPr>
          <w:p>
            <w:pPr>
              <w:widowControl/>
              <w:spacing w:line="240" w:lineRule="auto"/>
              <w:ind w:firstLine="0" w:firstLineChars="0"/>
              <w:jc w:val="center"/>
              <w:rPr>
                <w:color w:val="auto"/>
                <w:kern w:val="0"/>
                <w:sz w:val="21"/>
                <w:szCs w:val="21"/>
              </w:rPr>
            </w:pPr>
            <w:r>
              <w:rPr>
                <w:color w:val="auto"/>
                <w:kern w:val="0"/>
                <w:sz w:val="21"/>
                <w:szCs w:val="21"/>
              </w:rPr>
              <w:t>堆肥产品质量</w:t>
            </w:r>
          </w:p>
        </w:tc>
        <w:tc>
          <w:tcPr>
            <w:tcW w:w="922" w:type="pct"/>
            <w:vAlign w:val="center"/>
          </w:tcPr>
          <w:p>
            <w:pPr>
              <w:widowControl/>
              <w:spacing w:line="240" w:lineRule="auto"/>
              <w:ind w:firstLine="0" w:firstLineChars="0"/>
              <w:jc w:val="center"/>
              <w:rPr>
                <w:color w:val="auto"/>
                <w:kern w:val="0"/>
                <w:sz w:val="21"/>
                <w:szCs w:val="21"/>
              </w:rPr>
            </w:pPr>
            <w:r>
              <w:rPr>
                <w:color w:val="auto"/>
                <w:kern w:val="0"/>
                <w:sz w:val="21"/>
                <w:szCs w:val="21"/>
              </w:rPr>
              <w:t>良</w:t>
            </w:r>
          </w:p>
        </w:tc>
        <w:tc>
          <w:tcPr>
            <w:tcW w:w="1127" w:type="pct"/>
            <w:vAlign w:val="center"/>
          </w:tcPr>
          <w:p>
            <w:pPr>
              <w:widowControl/>
              <w:spacing w:line="240" w:lineRule="auto"/>
              <w:ind w:firstLine="0" w:firstLineChars="0"/>
              <w:jc w:val="center"/>
              <w:rPr>
                <w:color w:val="auto"/>
                <w:kern w:val="0"/>
                <w:sz w:val="21"/>
                <w:szCs w:val="21"/>
              </w:rPr>
            </w:pPr>
            <w:r>
              <w:rPr>
                <w:color w:val="auto"/>
                <w:kern w:val="0"/>
                <w:sz w:val="21"/>
                <w:szCs w:val="21"/>
              </w:rPr>
              <w:t>优</w:t>
            </w:r>
          </w:p>
        </w:tc>
        <w:tc>
          <w:tcPr>
            <w:tcW w:w="1129" w:type="pct"/>
            <w:vAlign w:val="center"/>
          </w:tcPr>
          <w:p>
            <w:pPr>
              <w:widowControl/>
              <w:spacing w:line="240" w:lineRule="auto"/>
              <w:ind w:firstLine="0" w:firstLineChars="0"/>
              <w:jc w:val="center"/>
              <w:rPr>
                <w:color w:val="auto"/>
                <w:kern w:val="0"/>
                <w:sz w:val="21"/>
                <w:szCs w:val="21"/>
              </w:rPr>
            </w:pPr>
            <w:r>
              <w:rPr>
                <w:color w:val="auto"/>
                <w:kern w:val="0"/>
                <w:sz w:val="21"/>
                <w:szCs w:val="21"/>
              </w:rPr>
              <w:t>良</w:t>
            </w:r>
          </w:p>
        </w:tc>
      </w:tr>
    </w:tbl>
    <w:p>
      <w:pPr>
        <w:ind w:firstLine="480"/>
        <w:rPr>
          <w:color w:val="auto"/>
          <w:kern w:val="0"/>
        </w:rPr>
      </w:pPr>
      <w:r>
        <w:rPr>
          <w:color w:val="auto"/>
          <w:kern w:val="0"/>
        </w:rPr>
        <w:t>从投资成本、操作难度等方面比较，反应器堆肥成本较高，操作难度大。本项目为畜牧业属第一产业，且项目主体是生猪养殖，有机肥制作只是项目的副产品，从经济可行性上分析，不选用反应器堆肥方式。本项目采用条垛堆肥方式。</w:t>
      </w:r>
    </w:p>
    <w:p>
      <w:pPr>
        <w:ind w:firstLine="480"/>
        <w:outlineLvl w:val="4"/>
        <w:rPr>
          <w:color w:val="auto"/>
        </w:rPr>
      </w:pPr>
      <w:r>
        <w:rPr>
          <w:color w:val="auto"/>
        </w:rPr>
        <w:t>（2）堆肥工艺介绍</w:t>
      </w:r>
    </w:p>
    <w:p>
      <w:pPr>
        <w:ind w:firstLine="480"/>
        <w:rPr>
          <w:bCs/>
          <w:color w:val="auto"/>
        </w:rPr>
      </w:pPr>
      <w:r>
        <w:rPr>
          <w:bCs/>
          <w:color w:val="auto"/>
        </w:rPr>
        <w:t>本项目采用条垛堆肥工艺进行粪污堆肥处理，处理工艺具体如下：</w:t>
      </w:r>
    </w:p>
    <w:p>
      <w:pPr>
        <w:ind w:firstLine="480"/>
        <w:rPr>
          <w:bCs/>
          <w:color w:val="auto"/>
        </w:rPr>
      </w:pPr>
      <w:r>
        <w:rPr>
          <w:bCs/>
          <w:color w:val="auto"/>
        </w:rPr>
        <w:t>①原料预处理</w:t>
      </w:r>
    </w:p>
    <w:p>
      <w:pPr>
        <w:ind w:firstLine="480"/>
        <w:rPr>
          <w:bCs/>
          <w:color w:val="auto"/>
        </w:rPr>
      </w:pPr>
      <w:r>
        <w:rPr>
          <w:bCs/>
          <w:color w:val="auto"/>
        </w:rPr>
        <w:t>固液分离机分离出的猪粪</w:t>
      </w:r>
      <w:r>
        <w:rPr>
          <w:rFonts w:hint="eastAsia"/>
          <w:bCs/>
          <w:color w:val="auto"/>
        </w:rPr>
        <w:t>、沼渣</w:t>
      </w:r>
      <w:r>
        <w:rPr>
          <w:bCs/>
          <w:color w:val="auto"/>
        </w:rPr>
        <w:t>运至固粪处理区按一定的比例添加菌种进行发酵，后续生产的新鲜猪粪和和半成品有机肥（发酵15天左右的猪粪，含水率约为40%左右）按照9：1的比例进行混合，既起到接种的目的，又解决了新鲜猪粪含水率高的问题，避免了渗滤液的产生。</w:t>
      </w:r>
    </w:p>
    <w:p>
      <w:pPr>
        <w:ind w:firstLine="480"/>
        <w:rPr>
          <w:color w:val="auto"/>
        </w:rPr>
      </w:pPr>
      <w:r>
        <w:rPr>
          <w:bCs/>
          <w:color w:val="auto"/>
        </w:rPr>
        <w:t>②</w:t>
      </w:r>
      <w:r>
        <w:rPr>
          <w:color w:val="auto"/>
        </w:rPr>
        <w:t>发酵</w:t>
      </w:r>
    </w:p>
    <w:p>
      <w:pPr>
        <w:ind w:firstLine="480"/>
        <w:rPr>
          <w:color w:val="auto"/>
        </w:rPr>
      </w:pPr>
      <w:r>
        <w:rPr>
          <w:color w:val="auto"/>
        </w:rPr>
        <w:t>本项目发酵为好氧发酵，发酵时间为7-15天。好氧发酵是在有氧气存在的条件下，利用好氧微生物的外酶将物料分解为溶解性有机质，溶解性有机质可以渗入微生物细胞内，微生物通过新陈代谢把一部分溶解性有机质氧化为简单的无机物，为微生物的生命活动提供能量，其余溶解性有机物被转化为营养物质，形成新的细胞体，使微生物不断繁殖，从而促进物料中可被生物降解的有机质向稳定的腐殖质转化。</w:t>
      </w:r>
    </w:p>
    <w:p>
      <w:pPr>
        <w:ind w:firstLine="480"/>
        <w:rPr>
          <w:color w:val="auto"/>
        </w:rPr>
      </w:pPr>
      <w:r>
        <w:rPr>
          <w:color w:val="auto"/>
        </w:rPr>
        <w:t>本项目混合后的物料用铲车在发酵区堆成条垛状，条垛每条宽约1.8m，高1.2-1.6m。每天翻堆一次，使物料充氧充分，可使堆体在1-3天内温度上升至25-45℃，堆体温度达到60-70℃后发酵稳定，物料中纤维素和木质素也开始分解，腐殖质开始形成。堆体温度最高能达到80℃，充分发酵后温度逐步降低。</w:t>
      </w:r>
    </w:p>
    <w:p>
      <w:pPr>
        <w:ind w:firstLine="480"/>
        <w:rPr>
          <w:color w:val="auto"/>
        </w:rPr>
      </w:pPr>
      <w:r>
        <w:rPr>
          <w:color w:val="auto"/>
        </w:rPr>
        <w:t>翻堆的同时可将物料充分混合均匀，经一次发酵后的物料含水率约为40%。</w:t>
      </w:r>
    </w:p>
    <w:p>
      <w:pPr>
        <w:ind w:firstLine="480"/>
        <w:rPr>
          <w:color w:val="auto"/>
        </w:rPr>
      </w:pPr>
      <w:r>
        <w:rPr>
          <w:color w:val="auto"/>
        </w:rPr>
        <w:t>本项目堆肥发酵过程分为4个阶段：</w:t>
      </w:r>
    </w:p>
    <w:p>
      <w:pPr>
        <w:ind w:firstLine="480"/>
        <w:rPr>
          <w:color w:val="auto"/>
        </w:rPr>
      </w:pPr>
      <w:r>
        <w:rPr>
          <w:rFonts w:hint="eastAsia"/>
          <w:color w:val="auto"/>
        </w:rPr>
        <w:t>（1）</w:t>
      </w:r>
      <w:r>
        <w:rPr>
          <w:color w:val="auto"/>
        </w:rPr>
        <w:t>升温阶段</w:t>
      </w:r>
    </w:p>
    <w:p>
      <w:pPr>
        <w:ind w:firstLine="480"/>
        <w:rPr>
          <w:color w:val="auto"/>
        </w:rPr>
      </w:pPr>
      <w:r>
        <w:rPr>
          <w:color w:val="auto"/>
        </w:rPr>
        <w:t>这个过程一般指堆肥过程的初期，在该阶段，堆肥温度逐步从环境温度上升到45℃左右，主导微生物以嗜温性微生物为主，包括细菌、真菌和放线菌，分解底物以糖类和淀粉为主，期间能发现真菌的子实体，也有动物及原生动物参与分解。</w:t>
      </w:r>
    </w:p>
    <w:p>
      <w:pPr>
        <w:ind w:firstLine="480"/>
        <w:rPr>
          <w:color w:val="auto"/>
        </w:rPr>
      </w:pPr>
      <w:r>
        <w:rPr>
          <w:rFonts w:hint="eastAsia"/>
          <w:color w:val="auto"/>
        </w:rPr>
        <w:t>（2）</w:t>
      </w:r>
      <w:r>
        <w:rPr>
          <w:color w:val="auto"/>
        </w:rPr>
        <w:t>高温阶段</w:t>
      </w:r>
    </w:p>
    <w:p>
      <w:pPr>
        <w:ind w:firstLine="480"/>
        <w:rPr>
          <w:color w:val="auto"/>
        </w:rPr>
      </w:pPr>
      <w:r>
        <w:rPr>
          <w:color w:val="auto"/>
        </w:rPr>
        <w:t>堆温升至45℃以上即进入高温阶段，在这一阶段，嗜温微生物受到抑制甚至死亡，而嗜热微生物则上升为主导微生物。堆肥中残留的和新生成的可溶性有机物质继续被氧化分解，复杂的有机物如半纤维素-纤维素和蛋白质也开始被强烈分解。微生物的活动交替出现，通常在50℃左右时最活跃的是嗜热性真菌和放线菌，温度上升到60℃时真菌几乎完全停止活动，仅有嗜热性细菌和放线菌活动，温度升到70℃时大多数嗜热性微生物已不再适应，并大批进入休眠和死亡阶段。</w:t>
      </w:r>
    </w:p>
    <w:p>
      <w:pPr>
        <w:ind w:firstLine="480"/>
        <w:rPr>
          <w:color w:val="auto"/>
        </w:rPr>
      </w:pPr>
      <w:r>
        <w:rPr>
          <w:color w:val="auto"/>
        </w:rPr>
        <w:t>牧原公司采用现代化的工艺生产有机肥，最佳温度为55℃，这是因为大多数微生物在该温度范围内最活跃，最易分解有机物，而病原菌和寄生虫大多数可被杀死。</w:t>
      </w:r>
    </w:p>
    <w:p>
      <w:pPr>
        <w:ind w:firstLine="480"/>
        <w:rPr>
          <w:color w:val="auto"/>
        </w:rPr>
      </w:pPr>
      <w:r>
        <w:rPr>
          <w:rFonts w:hint="eastAsia"/>
          <w:color w:val="auto"/>
        </w:rPr>
        <w:t>（3）</w:t>
      </w:r>
      <w:r>
        <w:rPr>
          <w:color w:val="auto"/>
        </w:rPr>
        <w:t>降温阶段</w:t>
      </w:r>
    </w:p>
    <w:p>
      <w:pPr>
        <w:ind w:firstLine="480"/>
        <w:rPr>
          <w:color w:val="auto"/>
        </w:rPr>
      </w:pPr>
      <w:r>
        <w:rPr>
          <w:color w:val="auto"/>
        </w:rPr>
        <w:t>高温阶段必然造成微生物的死亡和活动减少，自然进入低温阶段。在这一阶段，嗜温性微生物又开始占据优势，对残余较难分解的有机物作进一步的分解，但微生物活性普遍下降，堆体发热量减少，温度开始下降，有机物趋于稳定化，需氧量大大减少，堆肥进入腐熟或后熟阶段。</w:t>
      </w:r>
    </w:p>
    <w:p>
      <w:pPr>
        <w:ind w:firstLine="480"/>
        <w:rPr>
          <w:color w:val="auto"/>
        </w:rPr>
      </w:pPr>
      <w:r>
        <w:rPr>
          <w:rFonts w:hint="eastAsia"/>
          <w:color w:val="auto"/>
        </w:rPr>
        <w:t>（4）</w:t>
      </w:r>
      <w:r>
        <w:rPr>
          <w:color w:val="auto"/>
        </w:rPr>
        <w:t>腐熟保肥阶段</w:t>
      </w:r>
    </w:p>
    <w:p>
      <w:pPr>
        <w:ind w:firstLine="480"/>
        <w:rPr>
          <w:color w:val="auto"/>
        </w:rPr>
      </w:pPr>
      <w:r>
        <w:rPr>
          <w:color w:val="auto"/>
        </w:rPr>
        <w:t>有机物大部分已经分解和稳定，温度下降，为了保持已形成的腐殖质和微量的氮、磷、钾肥等，要使腐熟的肥料保持平衡。堆肥腐熟后，体积缩小，堆温下降至稍高于气温，应将堆体压紧，有机成分处于厌氧条件下，防止出现矿质化，以利于肥力的保存。</w:t>
      </w:r>
    </w:p>
    <w:p>
      <w:pPr>
        <w:ind w:firstLine="480"/>
        <w:rPr>
          <w:color w:val="auto"/>
        </w:rPr>
      </w:pPr>
      <w:r>
        <w:rPr>
          <w:color w:val="auto"/>
        </w:rPr>
        <w:t>发酵后的固体有机肥</w:t>
      </w:r>
      <w:r>
        <w:rPr>
          <w:rFonts w:hint="eastAsia"/>
          <w:color w:val="auto"/>
        </w:rPr>
        <w:t>基料</w:t>
      </w:r>
      <w:r>
        <w:rPr>
          <w:color w:val="auto"/>
        </w:rPr>
        <w:t>作为有机肥半成品外售为其他有机肥料厂。本项目经发酵产生的有机肥半成品，不在</w:t>
      </w:r>
      <w:r>
        <w:rPr>
          <w:rFonts w:hint="eastAsia"/>
          <w:color w:val="auto"/>
        </w:rPr>
        <w:t>厂</w:t>
      </w:r>
      <w:r>
        <w:rPr>
          <w:color w:val="auto"/>
        </w:rPr>
        <w:t>区长期堆存，发酵场兼作临时堆放区，应做到有机肥半成品及时外运销售。</w:t>
      </w:r>
    </w:p>
    <w:p>
      <w:pPr>
        <w:ind w:firstLine="480"/>
        <w:rPr>
          <w:color w:val="auto"/>
        </w:rPr>
      </w:pPr>
      <w:r>
        <w:rPr>
          <w:color w:val="auto"/>
        </w:rPr>
        <w:t>本项目发酵主要是对猪粪进行发酵，有机肥工艺流程及产污环节图如下：</w:t>
      </w:r>
    </w:p>
    <w:p>
      <w:pPr>
        <w:ind w:firstLine="0" w:firstLineChars="0"/>
        <w:rPr>
          <w:color w:val="auto"/>
        </w:rPr>
      </w:pPr>
      <w:r>
        <w:rPr>
          <w:color w:val="auto"/>
        </w:rPr>
        <w:drawing>
          <wp:inline distT="0" distB="0" distL="114300" distR="114300">
            <wp:extent cx="5541010" cy="1564005"/>
            <wp:effectExtent l="9525" t="9525" r="12065" b="26670"/>
            <wp:docPr id="40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6"/>
                    <pic:cNvPicPr>
                      <a:picLocks noChangeAspect="1"/>
                    </pic:cNvPicPr>
                  </pic:nvPicPr>
                  <pic:blipFill>
                    <a:blip r:embed="rId39" cstate="print"/>
                    <a:stretch>
                      <a:fillRect/>
                    </a:stretch>
                  </pic:blipFill>
                  <pic:spPr>
                    <a:xfrm>
                      <a:off x="0" y="0"/>
                      <a:ext cx="5541010" cy="1564005"/>
                    </a:xfrm>
                    <a:prstGeom prst="rect">
                      <a:avLst/>
                    </a:prstGeom>
                    <a:noFill/>
                    <a:ln>
                      <a:solidFill>
                        <a:schemeClr val="tx1"/>
                      </a:solidFill>
                    </a:ln>
                  </pic:spPr>
                </pic:pic>
              </a:graphicData>
            </a:graphic>
          </wp:inline>
        </w:drawing>
      </w:r>
    </w:p>
    <w:p>
      <w:pPr>
        <w:kinsoku w:val="0"/>
        <w:overflowPunct w:val="0"/>
        <w:ind w:firstLine="480"/>
        <w:jc w:val="center"/>
        <w:rPr>
          <w:rFonts w:eastAsia="黑体"/>
          <w:color w:val="auto"/>
        </w:rPr>
      </w:pPr>
      <w:r>
        <w:rPr>
          <w:rFonts w:eastAsia="黑体"/>
          <w:color w:val="auto"/>
        </w:rPr>
        <w:t>图3-</w:t>
      </w:r>
      <w:r>
        <w:rPr>
          <w:rFonts w:hint="eastAsia" w:eastAsia="黑体"/>
          <w:color w:val="auto"/>
        </w:rPr>
        <w:t>8</w:t>
      </w:r>
      <w:r>
        <w:rPr>
          <w:rFonts w:eastAsia="黑体"/>
          <w:color w:val="auto"/>
        </w:rPr>
        <w:t xml:space="preserve">  本项目有机肥工艺流程及产污环节图</w:t>
      </w:r>
    </w:p>
    <w:p>
      <w:pPr>
        <w:ind w:firstLine="480"/>
        <w:rPr>
          <w:color w:val="auto"/>
          <w:highlight w:val="yellow"/>
        </w:rPr>
      </w:pPr>
      <w:r>
        <w:rPr>
          <w:color w:val="auto"/>
        </w:rPr>
        <w:t>根据后续分析，本项目猪粪量为</w:t>
      </w:r>
      <w:r>
        <w:rPr>
          <w:rFonts w:hint="eastAsia"/>
          <w:color w:val="auto"/>
        </w:rPr>
        <w:t>15t</w:t>
      </w:r>
      <w:r>
        <w:rPr>
          <w:color w:val="auto"/>
        </w:rPr>
        <w:t>/d</w:t>
      </w:r>
      <w:r>
        <w:rPr>
          <w:rFonts w:hint="eastAsia"/>
          <w:color w:val="auto"/>
        </w:rPr>
        <w:t>（5475t/a）</w:t>
      </w:r>
      <w:r>
        <w:rPr>
          <w:color w:val="auto"/>
        </w:rPr>
        <w:t>，发酵原料按照一定比例掺入半成品有机肥（第一次使用菌种），有机肥产生量按原料总量的25%计，有机肥</w:t>
      </w:r>
      <w:r>
        <w:rPr>
          <w:rFonts w:hint="eastAsia"/>
          <w:color w:val="auto"/>
        </w:rPr>
        <w:t>基料</w:t>
      </w:r>
      <w:r>
        <w:rPr>
          <w:color w:val="auto"/>
        </w:rPr>
        <w:t>产量约为</w:t>
      </w:r>
      <w:r>
        <w:rPr>
          <w:rFonts w:hint="eastAsia"/>
          <w:color w:val="auto"/>
        </w:rPr>
        <w:t>3.75</w:t>
      </w:r>
      <w:r>
        <w:rPr>
          <w:color w:val="auto"/>
        </w:rPr>
        <w:t>t/d、</w:t>
      </w:r>
      <w:r>
        <w:rPr>
          <w:rFonts w:hint="eastAsia"/>
          <w:color w:val="auto"/>
        </w:rPr>
        <w:t>1368.75</w:t>
      </w:r>
      <w:r>
        <w:rPr>
          <w:color w:val="auto"/>
        </w:rPr>
        <w:t>t/a。</w:t>
      </w:r>
    </w:p>
    <w:p>
      <w:pPr>
        <w:ind w:left="480" w:leftChars="200" w:firstLine="0" w:firstLineChars="0"/>
        <w:rPr>
          <w:color w:val="auto"/>
        </w:rPr>
      </w:pPr>
      <w:r>
        <w:rPr>
          <w:color w:val="auto"/>
        </w:rPr>
        <w:t>（3）</w:t>
      </w:r>
      <w:r>
        <w:rPr>
          <w:rFonts w:hint="eastAsia"/>
          <w:color w:val="auto"/>
        </w:rPr>
        <w:t>固粪处理区</w:t>
      </w:r>
      <w:r>
        <w:rPr>
          <w:color w:val="auto"/>
        </w:rPr>
        <w:t>的设置和布局</w:t>
      </w:r>
      <w:bookmarkStart w:id="301" w:name="_Toc238488158"/>
      <w:bookmarkStart w:id="302" w:name="_Toc241388313"/>
      <w:bookmarkStart w:id="303" w:name="_Toc252554301"/>
      <w:bookmarkStart w:id="304" w:name="_Toc239913683"/>
      <w:bookmarkStart w:id="305" w:name="_Toc238894179"/>
      <w:bookmarkStart w:id="306" w:name="_Toc252554428"/>
      <w:bookmarkStart w:id="307" w:name="_Toc237749132"/>
      <w:bookmarkStart w:id="308" w:name="_Toc485579834"/>
      <w:bookmarkStart w:id="309" w:name="_Toc252632549"/>
      <w:bookmarkStart w:id="310" w:name="_Toc388881911"/>
      <w:bookmarkStart w:id="311" w:name="_Toc311979922"/>
      <w:bookmarkStart w:id="312" w:name="_Toc468115366"/>
      <w:bookmarkStart w:id="313" w:name="_Toc253231260"/>
      <w:bookmarkStart w:id="314" w:name="_Toc406847410"/>
      <w:bookmarkStart w:id="315" w:name="_Toc269400678"/>
      <w:bookmarkStart w:id="316" w:name="_Toc443924635"/>
      <w:bookmarkStart w:id="317" w:name="_Toc407001403"/>
      <w:bookmarkStart w:id="318" w:name="_Toc311979808"/>
      <w:bookmarkStart w:id="319" w:name="_Toc311979854"/>
      <w:bookmarkStart w:id="320" w:name="_Toc413166130"/>
    </w:p>
    <w:p>
      <w:pPr>
        <w:ind w:firstLine="480"/>
        <w:rPr>
          <w:color w:val="auto"/>
        </w:rPr>
      </w:pPr>
      <w:r>
        <w:rPr>
          <w:color w:val="auto"/>
        </w:rPr>
        <w:t>项目猪粪收集后送固粪处理区制有机肥半成品，项目粪污水通过管道统一输送至</w:t>
      </w:r>
      <w:r>
        <w:rPr>
          <w:rFonts w:hint="eastAsia"/>
          <w:color w:val="auto"/>
        </w:rPr>
        <w:t>厂</w:t>
      </w:r>
      <w:r>
        <w:rPr>
          <w:color w:val="auto"/>
        </w:rPr>
        <w:t>区污水站集中处理，在黑膜沼气池</w:t>
      </w:r>
      <w:r>
        <w:rPr>
          <w:rFonts w:hint="eastAsia"/>
          <w:color w:val="auto"/>
        </w:rPr>
        <w:t>东</w:t>
      </w:r>
      <w:r>
        <w:rPr>
          <w:color w:val="auto"/>
        </w:rPr>
        <w:t>侧设置1个固粪处理区。</w:t>
      </w:r>
    </w:p>
    <w:p>
      <w:pPr>
        <w:pStyle w:val="32"/>
        <w:spacing w:line="360" w:lineRule="auto"/>
        <w:rPr>
          <w:color w:val="auto"/>
        </w:rPr>
      </w:pPr>
      <w:bookmarkStart w:id="321" w:name="_Toc15088"/>
      <w:bookmarkStart w:id="322" w:name="_Toc13637"/>
      <w:r>
        <w:rPr>
          <w:color w:val="auto"/>
        </w:rPr>
        <w:t>3.3 主要</w:t>
      </w:r>
      <w:bookmarkEnd w:id="301"/>
      <w:bookmarkEnd w:id="302"/>
      <w:bookmarkEnd w:id="303"/>
      <w:bookmarkEnd w:id="304"/>
      <w:bookmarkEnd w:id="305"/>
      <w:bookmarkEnd w:id="306"/>
      <w:bookmarkEnd w:id="307"/>
      <w:r>
        <w:rPr>
          <w:color w:val="auto"/>
        </w:rPr>
        <w:t>产污环节分析</w:t>
      </w:r>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p>
    <w:p>
      <w:pPr>
        <w:ind w:firstLine="480"/>
        <w:rPr>
          <w:color w:val="auto"/>
        </w:rPr>
      </w:pPr>
      <w:r>
        <w:rPr>
          <w:color w:val="auto"/>
        </w:rPr>
        <w:t>本项目为新建项目，主要的污染源分为施工建设期污染源以及项目正常运营期污染源。</w:t>
      </w:r>
    </w:p>
    <w:p>
      <w:pPr>
        <w:pStyle w:val="36"/>
        <w:ind w:firstLine="480"/>
        <w:rPr>
          <w:color w:val="auto"/>
        </w:rPr>
      </w:pPr>
      <w:bookmarkStart w:id="323" w:name="_Toc311979923"/>
      <w:bookmarkStart w:id="324" w:name="_Toc468115367"/>
      <w:bookmarkStart w:id="325" w:name="_Toc237749133"/>
      <w:bookmarkStart w:id="326" w:name="_Toc413166131"/>
      <w:bookmarkStart w:id="327" w:name="_Toc269400679"/>
      <w:bookmarkStart w:id="328" w:name="_Toc388881912"/>
      <w:bookmarkStart w:id="329" w:name="_Toc311979855"/>
      <w:bookmarkStart w:id="330" w:name="_Toc406847411"/>
      <w:bookmarkStart w:id="331" w:name="_Toc407001404"/>
      <w:bookmarkStart w:id="332" w:name="_Toc311979809"/>
      <w:r>
        <w:rPr>
          <w:color w:val="auto"/>
        </w:rPr>
        <w:t>3.3.1 施工期污染源</w:t>
      </w:r>
      <w:bookmarkEnd w:id="323"/>
      <w:bookmarkEnd w:id="324"/>
      <w:bookmarkEnd w:id="325"/>
      <w:bookmarkEnd w:id="326"/>
      <w:bookmarkEnd w:id="327"/>
      <w:bookmarkEnd w:id="328"/>
      <w:bookmarkEnd w:id="329"/>
      <w:bookmarkEnd w:id="330"/>
      <w:bookmarkEnd w:id="331"/>
      <w:bookmarkEnd w:id="332"/>
    </w:p>
    <w:p>
      <w:pPr>
        <w:ind w:firstLine="480"/>
        <w:outlineLvl w:val="3"/>
        <w:rPr>
          <w:bCs/>
          <w:color w:val="auto"/>
        </w:rPr>
      </w:pPr>
      <w:bookmarkStart w:id="333" w:name="_Toc269400680"/>
      <w:r>
        <w:rPr>
          <w:bCs/>
          <w:color w:val="auto"/>
        </w:rPr>
        <w:t>3.3.1.1 大气污染源</w:t>
      </w:r>
      <w:bookmarkEnd w:id="333"/>
    </w:p>
    <w:p>
      <w:pPr>
        <w:ind w:firstLine="480"/>
        <w:rPr>
          <w:color w:val="auto"/>
        </w:rPr>
      </w:pPr>
      <w:bookmarkStart w:id="334" w:name="_Toc269400681"/>
      <w:r>
        <w:rPr>
          <w:color w:val="auto"/>
        </w:rPr>
        <w:t>施工期大气污染源主要是施工扬尘、道路扬尘。</w:t>
      </w:r>
    </w:p>
    <w:p>
      <w:pPr>
        <w:ind w:firstLine="480"/>
        <w:rPr>
          <w:color w:val="auto"/>
        </w:rPr>
      </w:pPr>
      <w:r>
        <w:rPr>
          <w:color w:val="auto"/>
        </w:rPr>
        <w:t>施工期间对环境空气影响最大的是施工扬尘，来源于各种无组织排放源，其中场地清理、土方挖掘填埋、建筑材料运输等工序的产生量较大，原材料堆存、建筑结构施工、设备安装等产生量较小。由于施工污染源为间歇性源并且扬尘点低，只会在近距离内形成局部污染。施工现场的污染物未经扩散稀释就进入地面呼吸地带，会给现场施工人员的生活和健康带来一定影响。</w:t>
      </w:r>
    </w:p>
    <w:p>
      <w:pPr>
        <w:tabs>
          <w:tab w:val="left" w:pos="0"/>
        </w:tabs>
        <w:ind w:firstLine="480"/>
        <w:rPr>
          <w:color w:val="auto"/>
        </w:rPr>
      </w:pPr>
      <w:r>
        <w:rPr>
          <w:color w:val="auto"/>
        </w:rPr>
        <w:t>施工期扬尘污染防治措施具体如下：</w:t>
      </w:r>
    </w:p>
    <w:p>
      <w:pPr>
        <w:pStyle w:val="38"/>
        <w:spacing w:line="360" w:lineRule="auto"/>
        <w:ind w:firstLine="480"/>
        <w:rPr>
          <w:color w:val="auto"/>
          <w:kern w:val="0"/>
          <w:szCs w:val="20"/>
        </w:rPr>
      </w:pPr>
      <w:r>
        <w:rPr>
          <w:color w:val="auto"/>
          <w:kern w:val="0"/>
          <w:szCs w:val="20"/>
        </w:rPr>
        <w:t>（1）施工工地各种工业料堆及固体废弃物堆场由于堆积、装卸、传送以及风蚀作用等会造成一定的扬尘，故在施工过程中应及时清运，定期洒水，遮盖蓬布等措施进行抑尘，其抑尘效率可达75%，大大减少扬尘污染对大气环境的影响。</w:t>
      </w:r>
    </w:p>
    <w:p>
      <w:pPr>
        <w:pStyle w:val="38"/>
        <w:spacing w:line="360" w:lineRule="auto"/>
        <w:ind w:firstLine="480"/>
        <w:rPr>
          <w:color w:val="auto"/>
          <w:kern w:val="0"/>
          <w:szCs w:val="20"/>
        </w:rPr>
      </w:pPr>
      <w:r>
        <w:rPr>
          <w:color w:val="auto"/>
          <w:kern w:val="0"/>
          <w:szCs w:val="20"/>
        </w:rPr>
        <w:t>（2）当施工过程中遇到干燥、易起尘的工程作业时，应洒水抑尘，尽量缩短起尘操作时间，遇到风力较大天气时应停止作业。</w:t>
      </w:r>
    </w:p>
    <w:p>
      <w:pPr>
        <w:pStyle w:val="38"/>
        <w:spacing w:line="360" w:lineRule="auto"/>
        <w:ind w:firstLine="480"/>
        <w:rPr>
          <w:color w:val="auto"/>
          <w:kern w:val="0"/>
          <w:szCs w:val="20"/>
        </w:rPr>
      </w:pPr>
      <w:r>
        <w:rPr>
          <w:color w:val="auto"/>
          <w:kern w:val="0"/>
          <w:szCs w:val="20"/>
        </w:rPr>
        <w:t>（3）进出工地的运输车辆应尽可能采用密闭车斗，保证物料不遗撒外漏；当车辆无密闭车斗时，装载高度不得超过车辆槽帮上沿，并用蓬布遮盖；运输车辆应严格按照规定的行车路线和时间进行物料的输送。</w:t>
      </w:r>
    </w:p>
    <w:p>
      <w:pPr>
        <w:pStyle w:val="38"/>
        <w:spacing w:line="360" w:lineRule="auto"/>
        <w:ind w:firstLine="480"/>
        <w:rPr>
          <w:color w:val="auto"/>
          <w:kern w:val="0"/>
          <w:szCs w:val="20"/>
        </w:rPr>
      </w:pPr>
      <w:r>
        <w:rPr>
          <w:color w:val="auto"/>
          <w:kern w:val="0"/>
          <w:szCs w:val="20"/>
        </w:rPr>
        <w:t>（4）施工期间的工地内及出口处铺设钢板、水泥混凝土、细石等，并配以洒水、道路清扫等措施保证路面清洁，减少车辆行驶过程的道路扬尘。</w:t>
      </w:r>
    </w:p>
    <w:p>
      <w:pPr>
        <w:pStyle w:val="38"/>
        <w:spacing w:line="360" w:lineRule="auto"/>
        <w:ind w:firstLine="480"/>
        <w:rPr>
          <w:color w:val="auto"/>
          <w:kern w:val="0"/>
          <w:szCs w:val="20"/>
        </w:rPr>
      </w:pPr>
      <w:r>
        <w:rPr>
          <w:color w:val="auto"/>
          <w:kern w:val="0"/>
          <w:szCs w:val="20"/>
        </w:rPr>
        <w:t>（5）禁止施工现场搅拌混凝土，全部采用预拌商品混凝土。临时料场应分别布置在各期工程施工范围内，施工过程中划定固定区域，禁止随意堆放，使用过程中对料场进行及时覆盖，使用完成后对料场进行及时地清理和恢复。</w:t>
      </w:r>
    </w:p>
    <w:p>
      <w:pPr>
        <w:pStyle w:val="38"/>
        <w:spacing w:line="360" w:lineRule="auto"/>
        <w:ind w:firstLine="480"/>
        <w:rPr>
          <w:color w:val="auto"/>
          <w:kern w:val="0"/>
          <w:szCs w:val="20"/>
        </w:rPr>
      </w:pPr>
      <w:r>
        <w:rPr>
          <w:color w:val="auto"/>
          <w:kern w:val="0"/>
          <w:szCs w:val="20"/>
        </w:rPr>
        <w:t>（6）施工出口处置清除车轮泥土的设备，确保车辆不带泥土驶出工地。</w:t>
      </w:r>
    </w:p>
    <w:p>
      <w:pPr>
        <w:pStyle w:val="38"/>
        <w:spacing w:line="360" w:lineRule="auto"/>
        <w:ind w:firstLine="480"/>
        <w:rPr>
          <w:color w:val="auto"/>
          <w:kern w:val="0"/>
          <w:szCs w:val="20"/>
        </w:rPr>
      </w:pPr>
      <w:r>
        <w:rPr>
          <w:color w:val="auto"/>
          <w:kern w:val="0"/>
          <w:szCs w:val="20"/>
        </w:rPr>
        <w:t>（7）施工物料运输车辆必须按照交通部门核准的运输路线和时间运行，本项目建设单位有责任对运输车辆的线路进行监督，不得图便利自行选择其他线路。</w:t>
      </w:r>
    </w:p>
    <w:p>
      <w:pPr>
        <w:ind w:firstLine="480"/>
        <w:outlineLvl w:val="3"/>
        <w:rPr>
          <w:bCs/>
          <w:color w:val="auto"/>
        </w:rPr>
      </w:pPr>
      <w:r>
        <w:rPr>
          <w:bCs/>
          <w:color w:val="auto"/>
        </w:rPr>
        <w:t>3.3.1.2 废水</w:t>
      </w:r>
      <w:bookmarkEnd w:id="334"/>
      <w:r>
        <w:rPr>
          <w:bCs/>
          <w:color w:val="auto"/>
        </w:rPr>
        <w:t>污染源</w:t>
      </w:r>
    </w:p>
    <w:p>
      <w:pPr>
        <w:ind w:firstLine="480"/>
        <w:rPr>
          <w:color w:val="auto"/>
        </w:rPr>
      </w:pPr>
      <w:r>
        <w:rPr>
          <w:color w:val="auto"/>
        </w:rPr>
        <w:t>主要分为生产废水以及施工人员生活污水。</w:t>
      </w:r>
    </w:p>
    <w:p>
      <w:pPr>
        <w:ind w:firstLine="480"/>
        <w:rPr>
          <w:color w:val="auto"/>
        </w:rPr>
      </w:pPr>
      <w:bookmarkStart w:id="335" w:name="_Toc269400682"/>
      <w:r>
        <w:rPr>
          <w:color w:val="auto"/>
        </w:rPr>
        <w:t>施工废水主要包括施工机械冲洗废水和施工阶段产生的泥浆废水，如果施工阶段不进行严格管理，将对施工场地造成一定的影响。评价建议在施工场地内设置沉淀池，使建筑污水经沉淀后上清水用于施工建设和洒水逸尘。</w:t>
      </w:r>
    </w:p>
    <w:p>
      <w:pPr>
        <w:ind w:firstLine="480"/>
        <w:rPr>
          <w:color w:val="auto"/>
        </w:rPr>
      </w:pPr>
      <w:r>
        <w:rPr>
          <w:color w:val="auto"/>
        </w:rPr>
        <w:t>生活污水为施工人员日常生活产生的废水，包括洗漱废水和粪便废水，项目建设共需施工工人50人，施工人员为项目周边村民，施工现场不设施工营地，项目施工期间人员不在施工场地食宿。项目区施工人员用水量按照30L/d人计算，整个施工期共</w:t>
      </w:r>
      <w:r>
        <w:rPr>
          <w:rFonts w:hint="eastAsia"/>
          <w:color w:val="auto"/>
        </w:rPr>
        <w:t>180</w:t>
      </w:r>
      <w:r>
        <w:rPr>
          <w:color w:val="auto"/>
        </w:rPr>
        <w:t>d，总用水量为</w:t>
      </w:r>
      <w:r>
        <w:rPr>
          <w:rFonts w:hint="eastAsia"/>
          <w:color w:val="auto"/>
        </w:rPr>
        <w:t>270</w:t>
      </w:r>
      <w:r>
        <w:rPr>
          <w:color w:val="auto"/>
        </w:rPr>
        <w:t>m</w:t>
      </w:r>
      <w:r>
        <w:rPr>
          <w:color w:val="auto"/>
          <w:vertAlign w:val="superscript"/>
        </w:rPr>
        <w:t>3</w:t>
      </w:r>
      <w:r>
        <w:rPr>
          <w:color w:val="auto"/>
        </w:rPr>
        <w:t>，按照0.8的污水产生系数计算，项目施工期共产生</w:t>
      </w:r>
      <w:r>
        <w:rPr>
          <w:rFonts w:hint="eastAsia"/>
          <w:color w:val="auto"/>
        </w:rPr>
        <w:t>216</w:t>
      </w:r>
      <w:r>
        <w:rPr>
          <w:color w:val="auto"/>
        </w:rPr>
        <w:t>m</w:t>
      </w:r>
      <w:r>
        <w:rPr>
          <w:color w:val="auto"/>
          <w:vertAlign w:val="superscript"/>
        </w:rPr>
        <w:t>3</w:t>
      </w:r>
      <w:r>
        <w:rPr>
          <w:color w:val="auto"/>
        </w:rPr>
        <w:t>的施工期生活污水，</w:t>
      </w:r>
      <w:r>
        <w:rPr>
          <w:rFonts w:hint="eastAsia"/>
          <w:color w:val="auto"/>
        </w:rPr>
        <w:t>厂区</w:t>
      </w:r>
      <w:r>
        <w:rPr>
          <w:color w:val="auto"/>
        </w:rPr>
        <w:t>设置沉淀池和化粪池，人员洗漱用水经沉淀池沉淀后用作抑尘洒水，粪便由周围农户定期清运用作农肥，无废水外排。</w:t>
      </w:r>
    </w:p>
    <w:p>
      <w:pPr>
        <w:ind w:firstLine="480"/>
        <w:outlineLvl w:val="3"/>
        <w:rPr>
          <w:bCs/>
          <w:color w:val="auto"/>
        </w:rPr>
      </w:pPr>
      <w:r>
        <w:rPr>
          <w:bCs/>
          <w:color w:val="auto"/>
        </w:rPr>
        <w:t>3.3.1.3 噪声污染源</w:t>
      </w:r>
      <w:bookmarkEnd w:id="335"/>
    </w:p>
    <w:p>
      <w:pPr>
        <w:pStyle w:val="37"/>
        <w:ind w:firstLine="480"/>
        <w:rPr>
          <w:color w:val="auto"/>
        </w:rPr>
      </w:pPr>
      <w:bookmarkStart w:id="336" w:name="_Toc269400683"/>
      <w:r>
        <w:rPr>
          <w:color w:val="auto"/>
        </w:rPr>
        <w:t>项目施工期的噪声主要表现为运输车辆的交通噪声及施工机械产生的噪声和振动。挖土采用挖土机、推土机、运载车等，电锯等，还有水泵的使用；装修作业中割锯作业，会产生明显的施工噪声，据类比调查，施工时各种机械的声级可达80-104dB（A），具体见表3.3-1。</w:t>
      </w:r>
    </w:p>
    <w:p>
      <w:pPr>
        <w:spacing w:after="72" w:afterLines="30"/>
        <w:ind w:firstLine="482"/>
        <w:jc w:val="left"/>
        <w:rPr>
          <w:b/>
          <w:color w:val="auto"/>
          <w:szCs w:val="21"/>
        </w:rPr>
      </w:pPr>
      <w:r>
        <w:rPr>
          <w:b/>
          <w:color w:val="auto"/>
          <w:szCs w:val="21"/>
        </w:rPr>
        <w:t>表3.3-1                     施工机械噪声强度</w:t>
      </w:r>
    </w:p>
    <w:tbl>
      <w:tblPr>
        <w:tblStyle w:val="27"/>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57" w:type="dxa"/>
          <w:left w:w="108" w:type="dxa"/>
          <w:bottom w:w="57" w:type="dxa"/>
          <w:right w:w="108" w:type="dxa"/>
        </w:tblCellMar>
      </w:tblPr>
      <w:tblGrid>
        <w:gridCol w:w="4302"/>
        <w:gridCol w:w="464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57" w:type="dxa"/>
            <w:left w:w="108" w:type="dxa"/>
            <w:bottom w:w="57" w:type="dxa"/>
            <w:right w:w="108" w:type="dxa"/>
          </w:tblCellMar>
        </w:tblPrEx>
        <w:trPr>
          <w:tblHeader/>
          <w:jc w:val="center"/>
        </w:trPr>
        <w:tc>
          <w:tcPr>
            <w:tcW w:w="4302" w:type="dxa"/>
            <w:vAlign w:val="center"/>
          </w:tcPr>
          <w:p>
            <w:pPr>
              <w:spacing w:line="240" w:lineRule="auto"/>
              <w:ind w:firstLine="0" w:firstLineChars="0"/>
              <w:jc w:val="center"/>
              <w:rPr>
                <w:color w:val="auto"/>
                <w:sz w:val="21"/>
                <w:szCs w:val="21"/>
              </w:rPr>
            </w:pPr>
            <w:r>
              <w:rPr>
                <w:color w:val="auto"/>
                <w:sz w:val="21"/>
                <w:szCs w:val="21"/>
              </w:rPr>
              <w:t>设备名称</w:t>
            </w:r>
          </w:p>
        </w:tc>
        <w:tc>
          <w:tcPr>
            <w:tcW w:w="4644" w:type="dxa"/>
            <w:vAlign w:val="center"/>
          </w:tcPr>
          <w:p>
            <w:pPr>
              <w:spacing w:line="240" w:lineRule="auto"/>
              <w:ind w:firstLine="0" w:firstLineChars="0"/>
              <w:jc w:val="center"/>
              <w:rPr>
                <w:color w:val="auto"/>
                <w:sz w:val="21"/>
                <w:szCs w:val="21"/>
              </w:rPr>
            </w:pPr>
            <w:r>
              <w:rPr>
                <w:color w:val="auto"/>
                <w:sz w:val="21"/>
                <w:szCs w:val="21"/>
              </w:rPr>
              <w:t>声级（dB（A））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57" w:type="dxa"/>
            <w:left w:w="108" w:type="dxa"/>
            <w:bottom w:w="57" w:type="dxa"/>
            <w:right w:w="108" w:type="dxa"/>
          </w:tblCellMar>
        </w:tblPrEx>
        <w:trPr>
          <w:jc w:val="center"/>
        </w:trPr>
        <w:tc>
          <w:tcPr>
            <w:tcW w:w="4302" w:type="dxa"/>
            <w:vAlign w:val="center"/>
          </w:tcPr>
          <w:p>
            <w:pPr>
              <w:spacing w:line="240" w:lineRule="auto"/>
              <w:ind w:firstLine="0" w:firstLineChars="0"/>
              <w:jc w:val="center"/>
              <w:rPr>
                <w:color w:val="auto"/>
                <w:sz w:val="21"/>
                <w:szCs w:val="21"/>
              </w:rPr>
            </w:pPr>
            <w:r>
              <w:rPr>
                <w:color w:val="auto"/>
                <w:sz w:val="21"/>
                <w:szCs w:val="21"/>
              </w:rPr>
              <w:t>推土、挖土机</w:t>
            </w:r>
          </w:p>
        </w:tc>
        <w:tc>
          <w:tcPr>
            <w:tcW w:w="4644" w:type="dxa"/>
            <w:vAlign w:val="center"/>
          </w:tcPr>
          <w:p>
            <w:pPr>
              <w:spacing w:line="240" w:lineRule="auto"/>
              <w:ind w:firstLine="0" w:firstLineChars="0"/>
              <w:jc w:val="center"/>
              <w:rPr>
                <w:color w:val="auto"/>
                <w:sz w:val="21"/>
                <w:szCs w:val="21"/>
              </w:rPr>
            </w:pPr>
            <w:r>
              <w:rPr>
                <w:color w:val="auto"/>
                <w:sz w:val="21"/>
                <w:szCs w:val="21"/>
              </w:rPr>
              <w:t>78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57" w:type="dxa"/>
            <w:left w:w="108" w:type="dxa"/>
            <w:bottom w:w="57" w:type="dxa"/>
            <w:right w:w="108" w:type="dxa"/>
          </w:tblCellMar>
        </w:tblPrEx>
        <w:trPr>
          <w:jc w:val="center"/>
        </w:trPr>
        <w:tc>
          <w:tcPr>
            <w:tcW w:w="4302" w:type="dxa"/>
            <w:vAlign w:val="center"/>
          </w:tcPr>
          <w:p>
            <w:pPr>
              <w:spacing w:line="240" w:lineRule="auto"/>
              <w:ind w:firstLine="0" w:firstLineChars="0"/>
              <w:jc w:val="center"/>
              <w:rPr>
                <w:color w:val="auto"/>
                <w:sz w:val="21"/>
                <w:szCs w:val="21"/>
              </w:rPr>
            </w:pPr>
            <w:r>
              <w:rPr>
                <w:color w:val="auto"/>
                <w:sz w:val="21"/>
                <w:szCs w:val="21"/>
              </w:rPr>
              <w:t>锯机、切割机</w:t>
            </w:r>
          </w:p>
        </w:tc>
        <w:tc>
          <w:tcPr>
            <w:tcW w:w="4644" w:type="dxa"/>
            <w:vAlign w:val="center"/>
          </w:tcPr>
          <w:p>
            <w:pPr>
              <w:spacing w:line="240" w:lineRule="auto"/>
              <w:ind w:firstLine="0" w:firstLineChars="0"/>
              <w:jc w:val="center"/>
              <w:rPr>
                <w:color w:val="auto"/>
                <w:sz w:val="21"/>
                <w:szCs w:val="21"/>
              </w:rPr>
            </w:pPr>
            <w:r>
              <w:rPr>
                <w:color w:val="auto"/>
                <w:sz w:val="21"/>
                <w:szCs w:val="21"/>
              </w:rPr>
              <w:t>90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57" w:type="dxa"/>
            <w:left w:w="108" w:type="dxa"/>
            <w:bottom w:w="57" w:type="dxa"/>
            <w:right w:w="108" w:type="dxa"/>
          </w:tblCellMar>
        </w:tblPrEx>
        <w:trPr>
          <w:jc w:val="center"/>
        </w:trPr>
        <w:tc>
          <w:tcPr>
            <w:tcW w:w="4302" w:type="dxa"/>
            <w:vAlign w:val="center"/>
          </w:tcPr>
          <w:p>
            <w:pPr>
              <w:spacing w:line="240" w:lineRule="auto"/>
              <w:ind w:firstLine="0" w:firstLineChars="0"/>
              <w:jc w:val="center"/>
              <w:rPr>
                <w:color w:val="auto"/>
                <w:sz w:val="21"/>
                <w:szCs w:val="21"/>
              </w:rPr>
            </w:pPr>
            <w:r>
              <w:rPr>
                <w:color w:val="auto"/>
                <w:sz w:val="21"/>
                <w:szCs w:val="21"/>
              </w:rPr>
              <w:t>装载汽车</w:t>
            </w:r>
          </w:p>
        </w:tc>
        <w:tc>
          <w:tcPr>
            <w:tcW w:w="4644" w:type="dxa"/>
            <w:vAlign w:val="center"/>
          </w:tcPr>
          <w:p>
            <w:pPr>
              <w:spacing w:line="240" w:lineRule="auto"/>
              <w:ind w:firstLine="0" w:firstLineChars="0"/>
              <w:jc w:val="center"/>
              <w:rPr>
                <w:color w:val="auto"/>
                <w:sz w:val="21"/>
                <w:szCs w:val="21"/>
              </w:rPr>
            </w:pPr>
            <w:r>
              <w:rPr>
                <w:color w:val="auto"/>
                <w:sz w:val="21"/>
                <w:szCs w:val="21"/>
              </w:rPr>
              <w:t>80-90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57" w:type="dxa"/>
            <w:left w:w="108" w:type="dxa"/>
            <w:bottom w:w="57" w:type="dxa"/>
            <w:right w:w="108" w:type="dxa"/>
          </w:tblCellMar>
        </w:tblPrEx>
        <w:trPr>
          <w:jc w:val="center"/>
        </w:trPr>
        <w:tc>
          <w:tcPr>
            <w:tcW w:w="4302" w:type="dxa"/>
            <w:vAlign w:val="center"/>
          </w:tcPr>
          <w:p>
            <w:pPr>
              <w:spacing w:line="240" w:lineRule="auto"/>
              <w:ind w:firstLine="0" w:firstLineChars="0"/>
              <w:jc w:val="center"/>
              <w:rPr>
                <w:color w:val="auto"/>
                <w:sz w:val="21"/>
                <w:szCs w:val="21"/>
              </w:rPr>
            </w:pPr>
            <w:r>
              <w:rPr>
                <w:color w:val="auto"/>
                <w:sz w:val="21"/>
                <w:szCs w:val="21"/>
              </w:rPr>
              <w:t>水泵</w:t>
            </w:r>
          </w:p>
        </w:tc>
        <w:tc>
          <w:tcPr>
            <w:tcW w:w="4644" w:type="dxa"/>
            <w:vAlign w:val="center"/>
          </w:tcPr>
          <w:p>
            <w:pPr>
              <w:spacing w:line="240" w:lineRule="auto"/>
              <w:ind w:firstLine="0" w:firstLineChars="0"/>
              <w:jc w:val="center"/>
              <w:rPr>
                <w:color w:val="auto"/>
                <w:sz w:val="21"/>
                <w:szCs w:val="21"/>
              </w:rPr>
            </w:pPr>
            <w:r>
              <w:rPr>
                <w:color w:val="auto"/>
                <w:sz w:val="21"/>
                <w:szCs w:val="21"/>
              </w:rPr>
              <w:t>80</w:t>
            </w:r>
          </w:p>
        </w:tc>
      </w:tr>
    </w:tbl>
    <w:p>
      <w:pPr>
        <w:ind w:firstLine="480"/>
        <w:outlineLvl w:val="3"/>
        <w:rPr>
          <w:bCs/>
          <w:color w:val="auto"/>
        </w:rPr>
      </w:pPr>
      <w:r>
        <w:rPr>
          <w:bCs/>
          <w:color w:val="auto"/>
        </w:rPr>
        <w:t>3.3.1.4 固体废物</w:t>
      </w:r>
      <w:bookmarkEnd w:id="336"/>
    </w:p>
    <w:p>
      <w:pPr>
        <w:ind w:firstLine="480"/>
        <w:rPr>
          <w:color w:val="auto"/>
        </w:rPr>
      </w:pPr>
      <w:r>
        <w:rPr>
          <w:color w:val="auto"/>
        </w:rPr>
        <w:t>本项目在施工过程产生的主要固体废物为：建筑垃圾、施工弃土、施工人员产生的生活垃圾等。</w:t>
      </w:r>
    </w:p>
    <w:p>
      <w:pPr>
        <w:ind w:firstLine="480"/>
        <w:rPr>
          <w:color w:val="auto"/>
        </w:rPr>
      </w:pPr>
      <w:r>
        <w:rPr>
          <w:color w:val="auto"/>
        </w:rPr>
        <w:t>项目生活垃圾按照0.5kg/人</w:t>
      </w:r>
      <w:r>
        <w:rPr>
          <w:color w:val="auto"/>
          <w:cs/>
        </w:rPr>
        <w:t>•</w:t>
      </w:r>
      <w:r>
        <w:rPr>
          <w:color w:val="auto"/>
        </w:rPr>
        <w:t>d计，本项目施工期施工人员50人，施工期为</w:t>
      </w:r>
      <w:r>
        <w:rPr>
          <w:rFonts w:hint="eastAsia"/>
          <w:color w:val="auto"/>
        </w:rPr>
        <w:t>3</w:t>
      </w:r>
      <w:r>
        <w:rPr>
          <w:color w:val="auto"/>
        </w:rPr>
        <w:t>个月，则项目施工期生活垃圾产生量为25kg/d，整个施工期生活垃圾产生量为</w:t>
      </w:r>
      <w:r>
        <w:rPr>
          <w:rFonts w:hint="eastAsia"/>
          <w:color w:val="auto"/>
        </w:rPr>
        <w:t>4.5</w:t>
      </w:r>
      <w:r>
        <w:rPr>
          <w:color w:val="auto"/>
        </w:rPr>
        <w:t>t。</w:t>
      </w:r>
    </w:p>
    <w:p>
      <w:pPr>
        <w:ind w:firstLine="480"/>
        <w:rPr>
          <w:color w:val="auto"/>
        </w:rPr>
      </w:pPr>
      <w:r>
        <w:rPr>
          <w:color w:val="auto"/>
        </w:rPr>
        <w:t>项目建筑垃圾产生量按照1.0kg/m</w:t>
      </w:r>
      <w:r>
        <w:rPr>
          <w:color w:val="auto"/>
          <w:vertAlign w:val="superscript"/>
        </w:rPr>
        <w:t>2</w:t>
      </w:r>
      <w:r>
        <w:rPr>
          <w:color w:val="auto"/>
        </w:rPr>
        <w:t>，则项目建筑垃圾产生量为</w:t>
      </w:r>
      <w:r>
        <w:rPr>
          <w:rFonts w:hint="eastAsia"/>
          <w:color w:val="auto"/>
        </w:rPr>
        <w:t>220.68</w:t>
      </w:r>
      <w:r>
        <w:rPr>
          <w:color w:val="auto"/>
        </w:rPr>
        <w:t>t，施工建筑垃圾与生活垃圾一起交由当地环卫部门定时统一清运处理，以减少对区域生态环境及景观的影响。</w:t>
      </w:r>
    </w:p>
    <w:p>
      <w:pPr>
        <w:ind w:firstLine="480"/>
        <w:rPr>
          <w:color w:val="auto"/>
        </w:rPr>
      </w:pPr>
      <w:r>
        <w:rPr>
          <w:color w:val="auto"/>
        </w:rPr>
        <w:t>根据项目建设方案，本工程预计挖方1</w:t>
      </w:r>
      <w:r>
        <w:rPr>
          <w:rFonts w:hint="eastAsia"/>
          <w:color w:val="auto"/>
        </w:rPr>
        <w:t>2</w:t>
      </w:r>
      <w:r>
        <w:rPr>
          <w:color w:val="auto"/>
        </w:rPr>
        <w:t>0000m</w:t>
      </w:r>
      <w:r>
        <w:rPr>
          <w:color w:val="auto"/>
          <w:vertAlign w:val="superscript"/>
        </w:rPr>
        <w:t>3</w:t>
      </w:r>
      <w:r>
        <w:rPr>
          <w:color w:val="auto"/>
        </w:rPr>
        <w:t>，填方</w:t>
      </w:r>
      <w:r>
        <w:rPr>
          <w:rFonts w:hint="eastAsia"/>
          <w:color w:val="auto"/>
        </w:rPr>
        <w:t>5</w:t>
      </w:r>
      <w:r>
        <w:rPr>
          <w:color w:val="auto"/>
        </w:rPr>
        <w:t>0000m</w:t>
      </w:r>
      <w:r>
        <w:rPr>
          <w:color w:val="auto"/>
          <w:vertAlign w:val="superscript"/>
        </w:rPr>
        <w:t>3</w:t>
      </w:r>
      <w:r>
        <w:rPr>
          <w:color w:val="auto"/>
        </w:rPr>
        <w:t>，剩余土方</w:t>
      </w:r>
      <w:r>
        <w:rPr>
          <w:rFonts w:hint="eastAsia"/>
          <w:color w:val="auto"/>
        </w:rPr>
        <w:t>7</w:t>
      </w:r>
      <w:r>
        <w:rPr>
          <w:color w:val="auto"/>
        </w:rPr>
        <w:t>0000m</w:t>
      </w:r>
      <w:r>
        <w:rPr>
          <w:color w:val="auto"/>
          <w:vertAlign w:val="superscript"/>
        </w:rPr>
        <w:t>3</w:t>
      </w:r>
      <w:r>
        <w:rPr>
          <w:color w:val="auto"/>
        </w:rPr>
        <w:t>，剩余土方全部用于后期绿化覆土。项目土方平衡表见表3.3-2。</w:t>
      </w:r>
    </w:p>
    <w:p>
      <w:pPr>
        <w:spacing w:after="72" w:afterLines="30"/>
        <w:ind w:firstLine="482"/>
        <w:jc w:val="left"/>
        <w:rPr>
          <w:b/>
          <w:color w:val="auto"/>
          <w:szCs w:val="21"/>
        </w:rPr>
      </w:pPr>
      <w:r>
        <w:rPr>
          <w:b/>
          <w:color w:val="auto"/>
          <w:szCs w:val="21"/>
        </w:rPr>
        <w:t>表3.3-2                      项目土方平衡表</w:t>
      </w:r>
    </w:p>
    <w:tbl>
      <w:tblPr>
        <w:tblStyle w:val="27"/>
        <w:tblW w:w="0" w:type="auto"/>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982"/>
        <w:gridCol w:w="2983"/>
        <w:gridCol w:w="298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982" w:type="dxa"/>
            <w:tcMar>
              <w:top w:w="57" w:type="dxa"/>
              <w:bottom w:w="57" w:type="dxa"/>
            </w:tcMar>
            <w:vAlign w:val="center"/>
          </w:tcPr>
          <w:p>
            <w:pPr>
              <w:spacing w:line="240" w:lineRule="auto"/>
              <w:ind w:firstLine="0" w:firstLineChars="0"/>
              <w:jc w:val="center"/>
              <w:rPr>
                <w:color w:val="auto"/>
                <w:sz w:val="21"/>
                <w:szCs w:val="21"/>
              </w:rPr>
            </w:pPr>
            <w:r>
              <w:rPr>
                <w:color w:val="auto"/>
                <w:sz w:val="21"/>
                <w:szCs w:val="21"/>
              </w:rPr>
              <w:t>挖方</w:t>
            </w:r>
          </w:p>
        </w:tc>
        <w:tc>
          <w:tcPr>
            <w:tcW w:w="2983" w:type="dxa"/>
            <w:tcMar>
              <w:top w:w="57" w:type="dxa"/>
              <w:bottom w:w="57" w:type="dxa"/>
            </w:tcMar>
            <w:vAlign w:val="center"/>
          </w:tcPr>
          <w:p>
            <w:pPr>
              <w:spacing w:line="240" w:lineRule="auto"/>
              <w:ind w:firstLine="0" w:firstLineChars="0"/>
              <w:jc w:val="center"/>
              <w:rPr>
                <w:color w:val="auto"/>
                <w:sz w:val="21"/>
                <w:szCs w:val="21"/>
              </w:rPr>
            </w:pPr>
            <w:r>
              <w:rPr>
                <w:color w:val="auto"/>
                <w:sz w:val="21"/>
                <w:szCs w:val="21"/>
              </w:rPr>
              <w:t>填方</w:t>
            </w:r>
          </w:p>
        </w:tc>
        <w:tc>
          <w:tcPr>
            <w:tcW w:w="2981" w:type="dxa"/>
            <w:tcMar>
              <w:top w:w="57" w:type="dxa"/>
              <w:bottom w:w="57" w:type="dxa"/>
            </w:tcMar>
            <w:vAlign w:val="center"/>
          </w:tcPr>
          <w:p>
            <w:pPr>
              <w:spacing w:line="240" w:lineRule="auto"/>
              <w:ind w:firstLine="0" w:firstLineChars="0"/>
              <w:jc w:val="center"/>
              <w:rPr>
                <w:color w:val="auto"/>
                <w:sz w:val="21"/>
                <w:szCs w:val="21"/>
              </w:rPr>
            </w:pPr>
            <w:r>
              <w:rPr>
                <w:color w:val="auto"/>
                <w:sz w:val="21"/>
                <w:szCs w:val="21"/>
              </w:rPr>
              <w:t>剩余土方</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982" w:type="dxa"/>
            <w:tcMar>
              <w:top w:w="57" w:type="dxa"/>
              <w:bottom w:w="57" w:type="dxa"/>
            </w:tcMar>
            <w:vAlign w:val="center"/>
          </w:tcPr>
          <w:p>
            <w:pPr>
              <w:spacing w:line="240" w:lineRule="auto"/>
              <w:ind w:firstLine="0" w:firstLineChars="0"/>
              <w:jc w:val="center"/>
              <w:rPr>
                <w:color w:val="auto"/>
                <w:sz w:val="21"/>
                <w:szCs w:val="21"/>
              </w:rPr>
            </w:pPr>
            <w:r>
              <w:rPr>
                <w:color w:val="auto"/>
                <w:sz w:val="21"/>
                <w:szCs w:val="21"/>
              </w:rPr>
              <w:t>1</w:t>
            </w:r>
            <w:r>
              <w:rPr>
                <w:rFonts w:hint="eastAsia"/>
                <w:color w:val="auto"/>
                <w:sz w:val="21"/>
                <w:szCs w:val="21"/>
              </w:rPr>
              <w:t>2</w:t>
            </w:r>
            <w:r>
              <w:rPr>
                <w:color w:val="auto"/>
                <w:sz w:val="21"/>
                <w:szCs w:val="21"/>
              </w:rPr>
              <w:t>0000m</w:t>
            </w:r>
            <w:r>
              <w:rPr>
                <w:color w:val="auto"/>
                <w:sz w:val="21"/>
                <w:szCs w:val="21"/>
                <w:vertAlign w:val="superscript"/>
              </w:rPr>
              <w:t>3</w:t>
            </w:r>
          </w:p>
        </w:tc>
        <w:tc>
          <w:tcPr>
            <w:tcW w:w="2983" w:type="dxa"/>
            <w:tcMar>
              <w:top w:w="57" w:type="dxa"/>
              <w:bottom w:w="57" w:type="dxa"/>
            </w:tcMar>
            <w:vAlign w:val="center"/>
          </w:tcPr>
          <w:p>
            <w:pPr>
              <w:spacing w:line="240" w:lineRule="auto"/>
              <w:ind w:firstLine="0" w:firstLineChars="0"/>
              <w:jc w:val="center"/>
              <w:rPr>
                <w:color w:val="auto"/>
                <w:sz w:val="21"/>
                <w:szCs w:val="21"/>
              </w:rPr>
            </w:pPr>
            <w:r>
              <w:rPr>
                <w:rFonts w:hint="eastAsia"/>
                <w:color w:val="auto"/>
                <w:sz w:val="21"/>
                <w:szCs w:val="21"/>
              </w:rPr>
              <w:t>5</w:t>
            </w:r>
            <w:r>
              <w:rPr>
                <w:color w:val="auto"/>
                <w:sz w:val="21"/>
                <w:szCs w:val="21"/>
              </w:rPr>
              <w:t>0000m</w:t>
            </w:r>
            <w:r>
              <w:rPr>
                <w:color w:val="auto"/>
                <w:sz w:val="21"/>
                <w:szCs w:val="21"/>
                <w:vertAlign w:val="superscript"/>
              </w:rPr>
              <w:t>3</w:t>
            </w:r>
          </w:p>
        </w:tc>
        <w:tc>
          <w:tcPr>
            <w:tcW w:w="2981" w:type="dxa"/>
            <w:tcMar>
              <w:top w:w="57" w:type="dxa"/>
              <w:bottom w:w="57" w:type="dxa"/>
            </w:tcMar>
            <w:vAlign w:val="center"/>
          </w:tcPr>
          <w:p>
            <w:pPr>
              <w:spacing w:line="240" w:lineRule="auto"/>
              <w:ind w:firstLine="0" w:firstLineChars="0"/>
              <w:jc w:val="center"/>
              <w:rPr>
                <w:color w:val="auto"/>
                <w:sz w:val="21"/>
                <w:szCs w:val="21"/>
              </w:rPr>
            </w:pPr>
            <w:r>
              <w:rPr>
                <w:rFonts w:hint="eastAsia"/>
                <w:color w:val="auto"/>
                <w:sz w:val="21"/>
                <w:szCs w:val="21"/>
              </w:rPr>
              <w:t>7</w:t>
            </w:r>
            <w:r>
              <w:rPr>
                <w:color w:val="auto"/>
                <w:sz w:val="21"/>
                <w:szCs w:val="21"/>
              </w:rPr>
              <w:t>0000m</w:t>
            </w:r>
            <w:r>
              <w:rPr>
                <w:color w:val="auto"/>
                <w:sz w:val="21"/>
                <w:szCs w:val="21"/>
                <w:vertAlign w:val="superscript"/>
              </w:rPr>
              <w:t>3</w:t>
            </w:r>
          </w:p>
        </w:tc>
      </w:tr>
    </w:tbl>
    <w:p>
      <w:pPr>
        <w:ind w:firstLine="480"/>
        <w:outlineLvl w:val="3"/>
        <w:rPr>
          <w:bCs/>
          <w:color w:val="auto"/>
        </w:rPr>
      </w:pPr>
      <w:r>
        <w:rPr>
          <w:bCs/>
          <w:color w:val="auto"/>
        </w:rPr>
        <w:t>3.3.1.5生态影响</w:t>
      </w:r>
    </w:p>
    <w:p>
      <w:pPr>
        <w:ind w:firstLine="480"/>
        <w:rPr>
          <w:color w:val="auto"/>
        </w:rPr>
      </w:pPr>
      <w:r>
        <w:rPr>
          <w:color w:val="auto"/>
        </w:rPr>
        <w:t>项目</w:t>
      </w:r>
      <w:r>
        <w:rPr>
          <w:rFonts w:hint="eastAsia"/>
          <w:color w:val="auto"/>
        </w:rPr>
        <w:t>厂区</w:t>
      </w:r>
      <w:r>
        <w:rPr>
          <w:color w:val="auto"/>
        </w:rPr>
        <w:t>占地</w:t>
      </w:r>
      <w:r>
        <w:rPr>
          <w:rFonts w:hint="eastAsia"/>
          <w:color w:val="auto"/>
        </w:rPr>
        <w:t>70.068</w:t>
      </w:r>
      <w:r>
        <w:rPr>
          <w:color w:val="auto"/>
        </w:rPr>
        <w:t>亩，全部为一般</w:t>
      </w:r>
      <w:r>
        <w:rPr>
          <w:rFonts w:hint="eastAsia"/>
          <w:color w:val="auto"/>
        </w:rPr>
        <w:t>耕地</w:t>
      </w:r>
      <w:r>
        <w:rPr>
          <w:color w:val="auto"/>
        </w:rPr>
        <w:t>，项目占地类型及生物量情况具体见表3.3-3。</w:t>
      </w:r>
    </w:p>
    <w:p>
      <w:pPr>
        <w:spacing w:after="72" w:afterLines="30" w:line="500" w:lineRule="exact"/>
        <w:ind w:firstLine="482"/>
        <w:jc w:val="left"/>
        <w:rPr>
          <w:b/>
          <w:color w:val="auto"/>
          <w:szCs w:val="21"/>
        </w:rPr>
      </w:pPr>
      <w:r>
        <w:rPr>
          <w:b/>
          <w:color w:val="auto"/>
          <w:szCs w:val="21"/>
        </w:rPr>
        <w:t>表3.3-3                项目占地类型及损失生物量情况一览表</w:t>
      </w:r>
    </w:p>
    <w:tbl>
      <w:tblPr>
        <w:tblStyle w:val="27"/>
        <w:tblW w:w="0" w:type="auto"/>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47"/>
        <w:gridCol w:w="1187"/>
        <w:gridCol w:w="1064"/>
        <w:gridCol w:w="1936"/>
        <w:gridCol w:w="1428"/>
        <w:gridCol w:w="1043"/>
        <w:gridCol w:w="104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7" w:type="dxa"/>
            <w:tcMar>
              <w:top w:w="57" w:type="dxa"/>
              <w:left w:w="28" w:type="dxa"/>
              <w:bottom w:w="57" w:type="dxa"/>
              <w:right w:w="28" w:type="dxa"/>
            </w:tcMar>
            <w:vAlign w:val="center"/>
          </w:tcPr>
          <w:p>
            <w:pPr>
              <w:spacing w:line="240" w:lineRule="auto"/>
              <w:ind w:firstLine="0" w:firstLineChars="0"/>
              <w:jc w:val="center"/>
              <w:rPr>
                <w:color w:val="auto"/>
                <w:sz w:val="21"/>
                <w:szCs w:val="21"/>
              </w:rPr>
            </w:pPr>
            <w:bookmarkStart w:id="337" w:name="_Toc181247754"/>
            <w:r>
              <w:rPr>
                <w:color w:val="auto"/>
                <w:sz w:val="21"/>
                <w:szCs w:val="21"/>
              </w:rPr>
              <w:t>群落类型</w:t>
            </w:r>
            <w:bookmarkEnd w:id="337"/>
          </w:p>
        </w:tc>
        <w:tc>
          <w:tcPr>
            <w:tcW w:w="1187" w:type="dxa"/>
            <w:tcMar>
              <w:top w:w="57" w:type="dxa"/>
              <w:left w:w="28" w:type="dxa"/>
              <w:bottom w:w="57" w:type="dxa"/>
              <w:right w:w="28" w:type="dxa"/>
            </w:tcMar>
            <w:vAlign w:val="center"/>
          </w:tcPr>
          <w:p>
            <w:pPr>
              <w:spacing w:line="240" w:lineRule="auto"/>
              <w:ind w:firstLine="0" w:firstLineChars="0"/>
              <w:jc w:val="center"/>
              <w:rPr>
                <w:color w:val="auto"/>
                <w:sz w:val="21"/>
                <w:szCs w:val="21"/>
              </w:rPr>
            </w:pPr>
            <w:bookmarkStart w:id="338" w:name="_Toc181247755"/>
            <w:r>
              <w:rPr>
                <w:color w:val="auto"/>
                <w:sz w:val="21"/>
                <w:szCs w:val="21"/>
              </w:rPr>
              <w:t>面积（亩）</w:t>
            </w:r>
            <w:bookmarkEnd w:id="338"/>
          </w:p>
        </w:tc>
        <w:tc>
          <w:tcPr>
            <w:tcW w:w="1064" w:type="dxa"/>
            <w:tcMar>
              <w:top w:w="57" w:type="dxa"/>
              <w:left w:w="28" w:type="dxa"/>
              <w:bottom w:w="57" w:type="dxa"/>
              <w:right w:w="28" w:type="dxa"/>
            </w:tcMar>
            <w:vAlign w:val="center"/>
          </w:tcPr>
          <w:p>
            <w:pPr>
              <w:spacing w:line="240" w:lineRule="auto"/>
              <w:ind w:firstLine="0" w:firstLineChars="0"/>
              <w:jc w:val="center"/>
              <w:rPr>
                <w:color w:val="auto"/>
                <w:sz w:val="21"/>
                <w:szCs w:val="21"/>
              </w:rPr>
            </w:pPr>
            <w:bookmarkStart w:id="339" w:name="_Toc181247756"/>
            <w:r>
              <w:rPr>
                <w:color w:val="auto"/>
                <w:sz w:val="21"/>
                <w:szCs w:val="21"/>
              </w:rPr>
              <w:t>植物种类组成</w:t>
            </w:r>
            <w:bookmarkEnd w:id="339"/>
          </w:p>
        </w:tc>
        <w:tc>
          <w:tcPr>
            <w:tcW w:w="1936" w:type="dxa"/>
            <w:tcMar>
              <w:top w:w="57" w:type="dxa"/>
              <w:left w:w="28" w:type="dxa"/>
              <w:bottom w:w="57" w:type="dxa"/>
              <w:right w:w="28" w:type="dxa"/>
            </w:tcMar>
            <w:vAlign w:val="center"/>
          </w:tcPr>
          <w:p>
            <w:pPr>
              <w:spacing w:line="240" w:lineRule="auto"/>
              <w:ind w:firstLine="0" w:firstLineChars="0"/>
              <w:jc w:val="center"/>
              <w:rPr>
                <w:color w:val="auto"/>
                <w:sz w:val="21"/>
                <w:szCs w:val="21"/>
              </w:rPr>
            </w:pPr>
            <w:bookmarkStart w:id="340" w:name="_Toc181247757"/>
            <w:r>
              <w:rPr>
                <w:color w:val="auto"/>
                <w:sz w:val="21"/>
                <w:szCs w:val="21"/>
              </w:rPr>
              <w:t>损失生物量</w:t>
            </w:r>
          </w:p>
          <w:p>
            <w:pPr>
              <w:spacing w:line="240" w:lineRule="auto"/>
              <w:ind w:firstLine="0" w:firstLineChars="0"/>
              <w:jc w:val="center"/>
              <w:rPr>
                <w:color w:val="auto"/>
                <w:sz w:val="21"/>
                <w:szCs w:val="21"/>
              </w:rPr>
            </w:pPr>
            <w:r>
              <w:rPr>
                <w:color w:val="auto"/>
                <w:sz w:val="21"/>
                <w:szCs w:val="21"/>
              </w:rPr>
              <w:t>（t/亩）</w:t>
            </w:r>
            <w:bookmarkEnd w:id="340"/>
          </w:p>
        </w:tc>
        <w:tc>
          <w:tcPr>
            <w:tcW w:w="1428" w:type="dxa"/>
            <w:tcMar>
              <w:top w:w="57" w:type="dxa"/>
              <w:left w:w="28" w:type="dxa"/>
              <w:bottom w:w="57" w:type="dxa"/>
              <w:right w:w="28" w:type="dxa"/>
            </w:tcMar>
            <w:vAlign w:val="center"/>
          </w:tcPr>
          <w:p>
            <w:pPr>
              <w:spacing w:line="240" w:lineRule="auto"/>
              <w:ind w:firstLine="0" w:firstLineChars="0"/>
              <w:jc w:val="center"/>
              <w:rPr>
                <w:color w:val="auto"/>
                <w:sz w:val="21"/>
                <w:szCs w:val="21"/>
              </w:rPr>
            </w:pPr>
            <w:bookmarkStart w:id="341" w:name="_Toc181247758"/>
            <w:r>
              <w:rPr>
                <w:color w:val="auto"/>
                <w:sz w:val="21"/>
                <w:szCs w:val="21"/>
              </w:rPr>
              <w:t>合计（t）</w:t>
            </w:r>
            <w:bookmarkEnd w:id="341"/>
          </w:p>
        </w:tc>
        <w:tc>
          <w:tcPr>
            <w:tcW w:w="1043" w:type="dxa"/>
            <w:tcMar>
              <w:top w:w="57" w:type="dxa"/>
              <w:left w:w="28" w:type="dxa"/>
              <w:bottom w:w="57" w:type="dxa"/>
              <w:right w:w="28" w:type="dxa"/>
            </w:tcMar>
            <w:vAlign w:val="center"/>
          </w:tcPr>
          <w:p>
            <w:pPr>
              <w:spacing w:line="240" w:lineRule="auto"/>
              <w:ind w:firstLine="0" w:firstLineChars="0"/>
              <w:jc w:val="center"/>
              <w:rPr>
                <w:color w:val="auto"/>
                <w:sz w:val="21"/>
                <w:szCs w:val="21"/>
              </w:rPr>
            </w:pPr>
            <w:r>
              <w:rPr>
                <w:color w:val="auto"/>
                <w:sz w:val="21"/>
                <w:szCs w:val="21"/>
              </w:rPr>
              <w:t>占地类型</w:t>
            </w:r>
          </w:p>
        </w:tc>
        <w:tc>
          <w:tcPr>
            <w:tcW w:w="1041" w:type="dxa"/>
            <w:tcMar>
              <w:top w:w="57" w:type="dxa"/>
              <w:left w:w="28" w:type="dxa"/>
              <w:bottom w:w="57" w:type="dxa"/>
              <w:right w:w="28" w:type="dxa"/>
            </w:tcMar>
            <w:vAlign w:val="center"/>
          </w:tcPr>
          <w:p>
            <w:pPr>
              <w:spacing w:line="240" w:lineRule="auto"/>
              <w:ind w:firstLine="0" w:firstLineChars="0"/>
              <w:jc w:val="center"/>
              <w:rPr>
                <w:color w:val="auto"/>
                <w:sz w:val="21"/>
                <w:szCs w:val="21"/>
              </w:rPr>
            </w:pPr>
            <w:r>
              <w:rPr>
                <w:color w:val="auto"/>
                <w:sz w:val="21"/>
                <w:szCs w:val="21"/>
              </w:rPr>
              <w:t>临时占地</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7" w:type="dxa"/>
            <w:tcMar>
              <w:top w:w="57" w:type="dxa"/>
              <w:left w:w="28" w:type="dxa"/>
              <w:bottom w:w="57" w:type="dxa"/>
              <w:right w:w="28" w:type="dxa"/>
            </w:tcMar>
            <w:vAlign w:val="center"/>
          </w:tcPr>
          <w:p>
            <w:pPr>
              <w:spacing w:line="240" w:lineRule="auto"/>
              <w:ind w:firstLine="0" w:firstLineChars="0"/>
              <w:jc w:val="center"/>
              <w:rPr>
                <w:color w:val="auto"/>
                <w:sz w:val="21"/>
                <w:szCs w:val="21"/>
              </w:rPr>
            </w:pPr>
            <w:bookmarkStart w:id="342" w:name="_Toc181247774"/>
            <w:r>
              <w:rPr>
                <w:color w:val="auto"/>
                <w:sz w:val="21"/>
                <w:szCs w:val="21"/>
              </w:rPr>
              <w:t>农作物群落</w:t>
            </w:r>
            <w:bookmarkEnd w:id="342"/>
          </w:p>
        </w:tc>
        <w:tc>
          <w:tcPr>
            <w:tcW w:w="1187" w:type="dxa"/>
            <w:tcMar>
              <w:top w:w="57" w:type="dxa"/>
              <w:left w:w="28" w:type="dxa"/>
              <w:bottom w:w="57" w:type="dxa"/>
              <w:right w:w="28" w:type="dxa"/>
            </w:tcMar>
            <w:vAlign w:val="center"/>
          </w:tcPr>
          <w:p>
            <w:pPr>
              <w:spacing w:line="240" w:lineRule="auto"/>
              <w:ind w:firstLine="0" w:firstLineChars="0"/>
              <w:jc w:val="center"/>
              <w:rPr>
                <w:color w:val="auto"/>
                <w:sz w:val="21"/>
                <w:szCs w:val="21"/>
              </w:rPr>
            </w:pPr>
            <w:r>
              <w:rPr>
                <w:rFonts w:hint="eastAsia"/>
                <w:color w:val="auto"/>
                <w:sz w:val="21"/>
                <w:szCs w:val="21"/>
              </w:rPr>
              <w:t>70.068</w:t>
            </w:r>
          </w:p>
        </w:tc>
        <w:tc>
          <w:tcPr>
            <w:tcW w:w="1064" w:type="dxa"/>
            <w:tcMar>
              <w:top w:w="57" w:type="dxa"/>
              <w:left w:w="28" w:type="dxa"/>
              <w:bottom w:w="57" w:type="dxa"/>
              <w:right w:w="28" w:type="dxa"/>
            </w:tcMar>
            <w:vAlign w:val="center"/>
          </w:tcPr>
          <w:p>
            <w:pPr>
              <w:spacing w:line="240" w:lineRule="auto"/>
              <w:ind w:firstLine="0" w:firstLineChars="0"/>
              <w:jc w:val="center"/>
              <w:rPr>
                <w:color w:val="auto"/>
                <w:sz w:val="21"/>
                <w:szCs w:val="21"/>
              </w:rPr>
            </w:pPr>
            <w:r>
              <w:rPr>
                <w:rFonts w:hint="eastAsia"/>
                <w:color w:val="auto"/>
                <w:sz w:val="21"/>
                <w:szCs w:val="21"/>
              </w:rPr>
              <w:t>玉米</w:t>
            </w:r>
          </w:p>
        </w:tc>
        <w:tc>
          <w:tcPr>
            <w:tcW w:w="1936" w:type="dxa"/>
            <w:tcMar>
              <w:top w:w="57" w:type="dxa"/>
              <w:left w:w="28" w:type="dxa"/>
              <w:bottom w:w="57" w:type="dxa"/>
              <w:right w:w="28" w:type="dxa"/>
            </w:tcMar>
            <w:vAlign w:val="center"/>
          </w:tcPr>
          <w:p>
            <w:pPr>
              <w:spacing w:line="240" w:lineRule="auto"/>
              <w:ind w:firstLine="0" w:firstLineChars="0"/>
              <w:jc w:val="center"/>
              <w:rPr>
                <w:color w:val="auto"/>
                <w:sz w:val="21"/>
                <w:szCs w:val="21"/>
              </w:rPr>
            </w:pPr>
            <w:r>
              <w:rPr>
                <w:color w:val="auto"/>
                <w:sz w:val="21"/>
                <w:szCs w:val="21"/>
              </w:rPr>
              <w:t>1.3</w:t>
            </w:r>
          </w:p>
        </w:tc>
        <w:tc>
          <w:tcPr>
            <w:tcW w:w="1428" w:type="dxa"/>
            <w:tcMar>
              <w:top w:w="57" w:type="dxa"/>
              <w:left w:w="28" w:type="dxa"/>
              <w:bottom w:w="57" w:type="dxa"/>
              <w:right w:w="28" w:type="dxa"/>
            </w:tcMar>
            <w:vAlign w:val="center"/>
          </w:tcPr>
          <w:p>
            <w:pPr>
              <w:spacing w:line="240" w:lineRule="auto"/>
              <w:ind w:firstLine="0" w:firstLineChars="0"/>
              <w:jc w:val="center"/>
              <w:rPr>
                <w:color w:val="auto"/>
                <w:sz w:val="21"/>
                <w:szCs w:val="21"/>
              </w:rPr>
            </w:pPr>
            <w:r>
              <w:rPr>
                <w:rFonts w:hint="eastAsia"/>
                <w:color w:val="auto"/>
                <w:sz w:val="21"/>
                <w:szCs w:val="21"/>
              </w:rPr>
              <w:t>99.97</w:t>
            </w:r>
          </w:p>
        </w:tc>
        <w:tc>
          <w:tcPr>
            <w:tcW w:w="1043" w:type="dxa"/>
            <w:tcMar>
              <w:top w:w="57" w:type="dxa"/>
              <w:left w:w="28" w:type="dxa"/>
              <w:bottom w:w="57" w:type="dxa"/>
              <w:right w:w="28" w:type="dxa"/>
            </w:tcMar>
            <w:vAlign w:val="center"/>
          </w:tcPr>
          <w:p>
            <w:pPr>
              <w:spacing w:line="240" w:lineRule="auto"/>
              <w:ind w:firstLine="0" w:firstLineChars="0"/>
              <w:jc w:val="center"/>
              <w:rPr>
                <w:color w:val="auto"/>
                <w:sz w:val="21"/>
                <w:szCs w:val="21"/>
              </w:rPr>
            </w:pPr>
            <w:r>
              <w:rPr>
                <w:color w:val="auto"/>
                <w:sz w:val="21"/>
                <w:szCs w:val="21"/>
              </w:rPr>
              <w:t>一般</w:t>
            </w:r>
            <w:r>
              <w:rPr>
                <w:rFonts w:hint="eastAsia"/>
                <w:color w:val="auto"/>
                <w:sz w:val="21"/>
                <w:szCs w:val="21"/>
              </w:rPr>
              <w:t>耕地</w:t>
            </w:r>
          </w:p>
        </w:tc>
        <w:tc>
          <w:tcPr>
            <w:tcW w:w="1041" w:type="dxa"/>
            <w:tcMar>
              <w:top w:w="57" w:type="dxa"/>
              <w:left w:w="28" w:type="dxa"/>
              <w:bottom w:w="57" w:type="dxa"/>
              <w:right w:w="28" w:type="dxa"/>
            </w:tcMar>
            <w:vAlign w:val="center"/>
          </w:tcPr>
          <w:p>
            <w:pPr>
              <w:spacing w:line="240" w:lineRule="auto"/>
              <w:ind w:firstLine="0" w:firstLineChars="0"/>
              <w:jc w:val="center"/>
              <w:rPr>
                <w:color w:val="auto"/>
                <w:sz w:val="21"/>
                <w:szCs w:val="21"/>
              </w:rPr>
            </w:pPr>
            <w:r>
              <w:rPr>
                <w:color w:val="auto"/>
                <w:sz w:val="21"/>
                <w:szCs w:val="21"/>
              </w:rPr>
              <w:t>0</w:t>
            </w:r>
          </w:p>
        </w:tc>
      </w:tr>
    </w:tbl>
    <w:p>
      <w:pPr>
        <w:ind w:firstLine="480"/>
        <w:rPr>
          <w:color w:val="auto"/>
        </w:rPr>
      </w:pPr>
      <w:r>
        <w:rPr>
          <w:color w:val="auto"/>
        </w:rPr>
        <w:t>根据实地调查，评价区属于农田生态系统，项目区植被全部为农田植被，农田植被主要是小麦。</w:t>
      </w:r>
    </w:p>
    <w:p>
      <w:pPr>
        <w:ind w:firstLine="480"/>
        <w:rPr>
          <w:color w:val="auto"/>
        </w:rPr>
      </w:pPr>
      <w:r>
        <w:rPr>
          <w:color w:val="auto"/>
        </w:rPr>
        <w:t>项目建设共破坏农田植被</w:t>
      </w:r>
      <w:r>
        <w:rPr>
          <w:rFonts w:hint="eastAsia"/>
          <w:color w:val="auto"/>
        </w:rPr>
        <w:t>70.068</w:t>
      </w:r>
      <w:r>
        <w:rPr>
          <w:color w:val="auto"/>
        </w:rPr>
        <w:t>亩，尽管项目建设会使原有植被遭到局部损失，但破坏的面积不大，且破坏的植被以农业植被为主，为广布种和常见种。项目在建设完成后将对厂区进行绿化，从而对减少的生物量进行补偿。</w:t>
      </w:r>
    </w:p>
    <w:p>
      <w:pPr>
        <w:ind w:firstLine="480"/>
        <w:rPr>
          <w:color w:val="auto"/>
        </w:rPr>
      </w:pPr>
      <w:r>
        <w:rPr>
          <w:color w:val="auto"/>
        </w:rPr>
        <w:t>项目施工期建筑材料及土方临时堆放在厂区的东北侧，并加蓬覆盖，避免产生扬尘。本项目所用建筑材料，如砂砾、二灰砂砾、环保砖、沥青砼均在</w:t>
      </w:r>
      <w:r>
        <w:rPr>
          <w:rFonts w:hint="eastAsia"/>
          <w:color w:val="auto"/>
        </w:rPr>
        <w:t>外地</w:t>
      </w:r>
      <w:r>
        <w:rPr>
          <w:color w:val="auto"/>
        </w:rPr>
        <w:t>购买，采用汽车运输。在建筑材料运输过程应加蓬覆盖，尽量避开村庄运输。</w:t>
      </w:r>
    </w:p>
    <w:p>
      <w:pPr>
        <w:ind w:firstLine="480"/>
        <w:rPr>
          <w:color w:val="auto"/>
        </w:rPr>
      </w:pPr>
      <w:r>
        <w:rPr>
          <w:color w:val="auto"/>
        </w:rPr>
        <w:t>建筑材料和尚未回填的剩余土方临时放置于施工场地东南角，建筑材料搭棚覆盖，剩余土方采用防尘网覆盖，撒播草籽，以减少水土流失，在项目建设完成后用于绿化覆土，提高植被覆盖率，以最大限度降低项目对生态环境的影响。</w:t>
      </w:r>
    </w:p>
    <w:p>
      <w:pPr>
        <w:ind w:firstLine="480"/>
        <w:rPr>
          <w:bCs/>
          <w:color w:val="auto"/>
        </w:rPr>
      </w:pPr>
      <w:r>
        <w:rPr>
          <w:color w:val="auto"/>
        </w:rPr>
        <w:t>通过采取相应的生态保护和恢复措施，尤其是通过施工管理和强化施工期的保护和恢复，则本项目建设对生态环境影响是可接受的。</w:t>
      </w:r>
    </w:p>
    <w:p>
      <w:pPr>
        <w:pStyle w:val="36"/>
        <w:ind w:firstLine="480"/>
        <w:rPr>
          <w:color w:val="auto"/>
        </w:rPr>
      </w:pPr>
      <w:bookmarkStart w:id="343" w:name="_Toc237749134"/>
      <w:bookmarkStart w:id="344" w:name="_Toc406847412"/>
      <w:bookmarkStart w:id="345" w:name="_Toc311979856"/>
      <w:bookmarkStart w:id="346" w:name="_Toc413166132"/>
      <w:bookmarkStart w:id="347" w:name="_Toc388881913"/>
      <w:bookmarkStart w:id="348" w:name="_Toc468115368"/>
      <w:bookmarkStart w:id="349" w:name="_Toc311979924"/>
      <w:bookmarkStart w:id="350" w:name="_Toc407001405"/>
      <w:bookmarkStart w:id="351" w:name="_Toc311979810"/>
      <w:bookmarkStart w:id="352" w:name="_Toc269400684"/>
      <w:r>
        <w:rPr>
          <w:color w:val="auto"/>
        </w:rPr>
        <w:t>3.3.2 运营期主要污染源分析</w:t>
      </w:r>
      <w:bookmarkEnd w:id="343"/>
      <w:bookmarkEnd w:id="344"/>
      <w:bookmarkEnd w:id="345"/>
      <w:bookmarkEnd w:id="346"/>
      <w:bookmarkEnd w:id="347"/>
      <w:bookmarkEnd w:id="348"/>
      <w:bookmarkEnd w:id="349"/>
      <w:bookmarkEnd w:id="350"/>
      <w:bookmarkEnd w:id="351"/>
      <w:bookmarkEnd w:id="352"/>
    </w:p>
    <w:p>
      <w:pPr>
        <w:ind w:firstLine="480"/>
        <w:rPr>
          <w:bCs/>
          <w:color w:val="auto"/>
        </w:rPr>
      </w:pPr>
      <w:r>
        <w:rPr>
          <w:bCs/>
          <w:color w:val="auto"/>
        </w:rPr>
        <w:t>运营期间的主要污染环节见表3.3-4和图3-</w:t>
      </w:r>
      <w:r>
        <w:rPr>
          <w:rFonts w:hint="eastAsia"/>
          <w:bCs/>
          <w:color w:val="auto"/>
        </w:rPr>
        <w:t>9</w:t>
      </w:r>
      <w:r>
        <w:rPr>
          <w:bCs/>
          <w:color w:val="auto"/>
        </w:rPr>
        <w:t>。</w:t>
      </w:r>
    </w:p>
    <w:p>
      <w:pPr>
        <w:tabs>
          <w:tab w:val="left" w:pos="810"/>
        </w:tabs>
        <w:ind w:firstLine="0" w:firstLineChars="0"/>
        <w:rPr>
          <w:color w:val="auto"/>
        </w:rPr>
      </w:pPr>
    </w:p>
    <w:p>
      <w:pPr>
        <w:ind w:firstLine="480"/>
        <w:rPr>
          <w:color w:val="auto"/>
        </w:rPr>
        <w:sectPr>
          <w:headerReference r:id="rId10" w:type="default"/>
          <w:footerReference r:id="rId11" w:type="default"/>
          <w:pgSz w:w="11906" w:h="16838"/>
          <w:pgMar w:top="1587" w:right="1587" w:bottom="1587" w:left="1587" w:header="851" w:footer="992" w:gutter="0"/>
          <w:cols w:space="720" w:num="1"/>
          <w:docGrid w:linePitch="312" w:charSpace="0"/>
        </w:sectPr>
      </w:pPr>
    </w:p>
    <w:p>
      <w:pPr>
        <w:pStyle w:val="26"/>
        <w:ind w:left="0" w:leftChars="0" w:firstLine="0" w:firstLineChars="0"/>
        <w:jc w:val="center"/>
        <w:rPr>
          <w:rFonts w:eastAsia="黑体"/>
          <w:color w:val="auto"/>
          <w:sz w:val="22"/>
          <w:szCs w:val="22"/>
        </w:rPr>
      </w:pPr>
      <w:r>
        <w:rPr>
          <w:color w:val="auto"/>
        </w:rPr>
        <w:drawing>
          <wp:inline distT="0" distB="0" distL="114300" distR="114300">
            <wp:extent cx="8667115" cy="4951095"/>
            <wp:effectExtent l="9525" t="9525" r="10160" b="11430"/>
            <wp:docPr id="1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5"/>
                    <pic:cNvPicPr>
                      <a:picLocks noChangeAspect="1"/>
                    </pic:cNvPicPr>
                  </pic:nvPicPr>
                  <pic:blipFill>
                    <a:blip r:embed="rId40"/>
                    <a:stretch>
                      <a:fillRect/>
                    </a:stretch>
                  </pic:blipFill>
                  <pic:spPr>
                    <a:xfrm>
                      <a:off x="0" y="0"/>
                      <a:ext cx="8667115" cy="4951095"/>
                    </a:xfrm>
                    <a:prstGeom prst="rect">
                      <a:avLst/>
                    </a:prstGeom>
                    <a:noFill/>
                    <a:ln w="6350">
                      <a:solidFill>
                        <a:schemeClr val="tx1"/>
                      </a:solidFill>
                    </a:ln>
                  </pic:spPr>
                </pic:pic>
              </a:graphicData>
            </a:graphic>
          </wp:inline>
        </w:drawing>
      </w:r>
      <w:r>
        <w:rPr>
          <w:rFonts w:eastAsia="黑体"/>
          <w:color w:val="auto"/>
          <w:sz w:val="22"/>
          <w:szCs w:val="22"/>
        </w:rPr>
        <w:t>图3-9  本项目运营期整体工艺及产排污环节图</w:t>
      </w:r>
    </w:p>
    <w:p>
      <w:pPr>
        <w:widowControl/>
        <w:spacing w:after="72" w:afterLines="30" w:line="500" w:lineRule="exact"/>
        <w:ind w:firstLine="482"/>
        <w:jc w:val="center"/>
        <w:rPr>
          <w:b/>
          <w:color w:val="auto"/>
        </w:rPr>
        <w:sectPr>
          <w:headerReference r:id="rId12" w:type="default"/>
          <w:pgSz w:w="16838" w:h="11906" w:orient="landscape"/>
          <w:pgMar w:top="1587" w:right="1587" w:bottom="1587" w:left="1587" w:header="851" w:footer="992" w:gutter="0"/>
          <w:cols w:space="720" w:num="1"/>
          <w:docGrid w:linePitch="312" w:charSpace="0"/>
        </w:sectPr>
      </w:pPr>
    </w:p>
    <w:p>
      <w:pPr>
        <w:spacing w:after="154" w:afterLines="30" w:line="500" w:lineRule="exact"/>
        <w:ind w:firstLine="482"/>
        <w:jc w:val="left"/>
        <w:rPr>
          <w:b/>
          <w:color w:val="auto"/>
          <w:szCs w:val="21"/>
          <w:highlight w:val="yellow"/>
        </w:rPr>
      </w:pPr>
      <w:bookmarkStart w:id="353" w:name="_Toc311979861"/>
      <w:bookmarkStart w:id="354" w:name="_Toc311979816"/>
      <w:bookmarkStart w:id="355" w:name="_Toc311979929"/>
      <w:bookmarkStart w:id="356" w:name="_Toc406847415"/>
      <w:bookmarkStart w:id="357" w:name="_Toc407001408"/>
      <w:bookmarkStart w:id="358" w:name="_Toc413166135"/>
      <w:bookmarkStart w:id="359" w:name="_Toc388881916"/>
      <w:bookmarkStart w:id="360" w:name="_Toc269400717"/>
      <w:bookmarkStart w:id="361" w:name="_Toc311979817"/>
      <w:bookmarkStart w:id="362" w:name="_Toc311979862"/>
      <w:bookmarkStart w:id="363" w:name="_Toc311979930"/>
      <w:r>
        <w:rPr>
          <w:b/>
          <w:color w:val="auto"/>
          <w:szCs w:val="21"/>
        </w:rPr>
        <w:t>表3.3-4               本项目污染产污环节一览表</w:t>
      </w:r>
    </w:p>
    <w:tbl>
      <w:tblPr>
        <w:tblStyle w:val="27"/>
        <w:tblW w:w="5058"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25"/>
        <w:gridCol w:w="2971"/>
        <w:gridCol w:w="2965"/>
        <w:gridCol w:w="271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286" w:type="pct"/>
            <w:tcMar>
              <w:left w:w="0" w:type="dxa"/>
              <w:right w:w="0" w:type="dxa"/>
            </w:tcMar>
            <w:vAlign w:val="center"/>
          </w:tcPr>
          <w:p>
            <w:pPr>
              <w:spacing w:line="240" w:lineRule="auto"/>
              <w:ind w:firstLine="0" w:firstLineChars="0"/>
              <w:jc w:val="center"/>
              <w:rPr>
                <w:color w:val="auto"/>
                <w:sz w:val="21"/>
                <w:szCs w:val="21"/>
              </w:rPr>
            </w:pPr>
            <w:r>
              <w:rPr>
                <w:color w:val="auto"/>
                <w:sz w:val="21"/>
                <w:szCs w:val="21"/>
              </w:rPr>
              <w:t>项目</w:t>
            </w:r>
          </w:p>
        </w:tc>
        <w:tc>
          <w:tcPr>
            <w:tcW w:w="1619" w:type="pct"/>
            <w:tcMar>
              <w:left w:w="0" w:type="dxa"/>
              <w:right w:w="0" w:type="dxa"/>
            </w:tcMar>
            <w:vAlign w:val="center"/>
          </w:tcPr>
          <w:p>
            <w:pPr>
              <w:spacing w:line="240" w:lineRule="auto"/>
              <w:ind w:firstLine="0" w:firstLineChars="0"/>
              <w:jc w:val="center"/>
              <w:rPr>
                <w:color w:val="auto"/>
                <w:sz w:val="21"/>
                <w:szCs w:val="21"/>
              </w:rPr>
            </w:pPr>
            <w:r>
              <w:rPr>
                <w:color w:val="auto"/>
                <w:sz w:val="21"/>
                <w:szCs w:val="21"/>
              </w:rPr>
              <w:t>产污环节</w:t>
            </w:r>
          </w:p>
        </w:tc>
        <w:tc>
          <w:tcPr>
            <w:tcW w:w="1616" w:type="pct"/>
            <w:vAlign w:val="center"/>
          </w:tcPr>
          <w:p>
            <w:pPr>
              <w:spacing w:line="240" w:lineRule="auto"/>
              <w:ind w:firstLine="0" w:firstLineChars="0"/>
              <w:jc w:val="center"/>
              <w:rPr>
                <w:color w:val="auto"/>
                <w:sz w:val="21"/>
                <w:szCs w:val="21"/>
              </w:rPr>
            </w:pPr>
            <w:r>
              <w:rPr>
                <w:color w:val="auto"/>
                <w:sz w:val="21"/>
                <w:szCs w:val="21"/>
              </w:rPr>
              <w:t>污染因子</w:t>
            </w:r>
          </w:p>
        </w:tc>
        <w:tc>
          <w:tcPr>
            <w:tcW w:w="1477" w:type="pct"/>
            <w:vAlign w:val="center"/>
          </w:tcPr>
          <w:p>
            <w:pPr>
              <w:spacing w:line="240" w:lineRule="auto"/>
              <w:ind w:firstLine="0" w:firstLineChars="0"/>
              <w:jc w:val="center"/>
              <w:rPr>
                <w:color w:val="auto"/>
                <w:sz w:val="21"/>
                <w:szCs w:val="21"/>
              </w:rPr>
            </w:pPr>
            <w:r>
              <w:rPr>
                <w:color w:val="auto"/>
                <w:sz w:val="21"/>
                <w:szCs w:val="21"/>
              </w:rPr>
              <w:t>治理措施及去向</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2" w:hRule="atLeast"/>
        </w:trPr>
        <w:tc>
          <w:tcPr>
            <w:tcW w:w="286" w:type="pct"/>
            <w:vMerge w:val="restart"/>
            <w:tcMar>
              <w:left w:w="0" w:type="dxa"/>
              <w:right w:w="0" w:type="dxa"/>
            </w:tcMar>
            <w:vAlign w:val="center"/>
          </w:tcPr>
          <w:p>
            <w:pPr>
              <w:spacing w:line="240" w:lineRule="auto"/>
              <w:ind w:firstLine="0" w:firstLineChars="0"/>
              <w:jc w:val="center"/>
              <w:rPr>
                <w:color w:val="auto"/>
                <w:sz w:val="21"/>
                <w:szCs w:val="21"/>
              </w:rPr>
            </w:pPr>
            <w:r>
              <w:rPr>
                <w:color w:val="auto"/>
                <w:sz w:val="21"/>
                <w:szCs w:val="21"/>
              </w:rPr>
              <w:t>废气</w:t>
            </w:r>
          </w:p>
        </w:tc>
        <w:tc>
          <w:tcPr>
            <w:tcW w:w="1619" w:type="pct"/>
            <w:tcMar>
              <w:left w:w="0" w:type="dxa"/>
              <w:right w:w="0" w:type="dxa"/>
            </w:tcMar>
            <w:vAlign w:val="center"/>
          </w:tcPr>
          <w:p>
            <w:pPr>
              <w:spacing w:line="240" w:lineRule="auto"/>
              <w:ind w:firstLine="0" w:firstLineChars="0"/>
              <w:jc w:val="center"/>
              <w:rPr>
                <w:color w:val="auto"/>
                <w:sz w:val="21"/>
                <w:szCs w:val="21"/>
              </w:rPr>
            </w:pPr>
            <w:r>
              <w:rPr>
                <w:bCs/>
                <w:color w:val="auto"/>
                <w:sz w:val="21"/>
                <w:szCs w:val="21"/>
              </w:rPr>
              <w:t>猪舍恶臭气体</w:t>
            </w:r>
          </w:p>
        </w:tc>
        <w:tc>
          <w:tcPr>
            <w:tcW w:w="1616" w:type="pct"/>
            <w:vAlign w:val="center"/>
          </w:tcPr>
          <w:p>
            <w:pPr>
              <w:spacing w:line="240" w:lineRule="auto"/>
              <w:ind w:firstLine="0" w:firstLineChars="0"/>
              <w:jc w:val="center"/>
              <w:rPr>
                <w:bCs/>
                <w:color w:val="auto"/>
                <w:sz w:val="21"/>
                <w:szCs w:val="21"/>
              </w:rPr>
            </w:pPr>
            <w:r>
              <w:rPr>
                <w:bCs/>
                <w:color w:val="auto"/>
                <w:sz w:val="21"/>
                <w:szCs w:val="21"/>
              </w:rPr>
              <w:t>H</w:t>
            </w:r>
            <w:r>
              <w:rPr>
                <w:bCs/>
                <w:color w:val="auto"/>
                <w:sz w:val="21"/>
                <w:szCs w:val="21"/>
                <w:vertAlign w:val="subscript"/>
              </w:rPr>
              <w:t>2</w:t>
            </w:r>
            <w:r>
              <w:rPr>
                <w:bCs/>
                <w:color w:val="auto"/>
                <w:sz w:val="21"/>
                <w:szCs w:val="21"/>
              </w:rPr>
              <w:t>S、NH</w:t>
            </w:r>
            <w:r>
              <w:rPr>
                <w:bCs/>
                <w:color w:val="auto"/>
                <w:sz w:val="21"/>
                <w:szCs w:val="21"/>
                <w:vertAlign w:val="subscript"/>
              </w:rPr>
              <w:t>3</w:t>
            </w:r>
          </w:p>
        </w:tc>
        <w:tc>
          <w:tcPr>
            <w:tcW w:w="1477" w:type="pct"/>
            <w:vMerge w:val="restart"/>
            <w:vAlign w:val="center"/>
          </w:tcPr>
          <w:p>
            <w:pPr>
              <w:spacing w:line="240" w:lineRule="auto"/>
              <w:ind w:firstLine="0" w:firstLineChars="0"/>
              <w:jc w:val="center"/>
              <w:rPr>
                <w:bCs/>
                <w:color w:val="auto"/>
                <w:sz w:val="21"/>
                <w:szCs w:val="21"/>
              </w:rPr>
            </w:pPr>
            <w:r>
              <w:rPr>
                <w:bCs/>
                <w:color w:val="auto"/>
                <w:sz w:val="21"/>
                <w:szCs w:val="21"/>
              </w:rPr>
              <w:t>达标排放</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286" w:type="pct"/>
            <w:vMerge w:val="continue"/>
            <w:tcMar>
              <w:left w:w="0" w:type="dxa"/>
              <w:right w:w="0" w:type="dxa"/>
            </w:tcMar>
            <w:vAlign w:val="center"/>
          </w:tcPr>
          <w:p>
            <w:pPr>
              <w:spacing w:line="240" w:lineRule="auto"/>
              <w:ind w:firstLine="0" w:firstLineChars="0"/>
              <w:jc w:val="center"/>
              <w:rPr>
                <w:color w:val="auto"/>
                <w:sz w:val="21"/>
                <w:szCs w:val="21"/>
              </w:rPr>
            </w:pPr>
          </w:p>
        </w:tc>
        <w:tc>
          <w:tcPr>
            <w:tcW w:w="1619" w:type="pct"/>
            <w:tcMar>
              <w:left w:w="0" w:type="dxa"/>
              <w:right w:w="0" w:type="dxa"/>
            </w:tcMar>
            <w:vAlign w:val="center"/>
          </w:tcPr>
          <w:p>
            <w:pPr>
              <w:spacing w:line="240" w:lineRule="auto"/>
              <w:ind w:firstLine="0" w:firstLineChars="0"/>
              <w:jc w:val="center"/>
              <w:rPr>
                <w:bCs/>
                <w:color w:val="auto"/>
                <w:sz w:val="21"/>
                <w:szCs w:val="21"/>
              </w:rPr>
            </w:pPr>
            <w:r>
              <w:rPr>
                <w:bCs/>
                <w:color w:val="auto"/>
                <w:sz w:val="21"/>
                <w:szCs w:val="21"/>
              </w:rPr>
              <w:t>污水处理过程恶臭气体</w:t>
            </w:r>
          </w:p>
        </w:tc>
        <w:tc>
          <w:tcPr>
            <w:tcW w:w="1616" w:type="pct"/>
            <w:vAlign w:val="center"/>
          </w:tcPr>
          <w:p>
            <w:pPr>
              <w:spacing w:line="240" w:lineRule="auto"/>
              <w:ind w:firstLine="0" w:firstLineChars="0"/>
              <w:jc w:val="center"/>
              <w:rPr>
                <w:bCs/>
                <w:color w:val="auto"/>
                <w:sz w:val="21"/>
                <w:szCs w:val="21"/>
              </w:rPr>
            </w:pPr>
            <w:r>
              <w:rPr>
                <w:bCs/>
                <w:color w:val="auto"/>
                <w:sz w:val="21"/>
                <w:szCs w:val="21"/>
              </w:rPr>
              <w:t>H</w:t>
            </w:r>
            <w:r>
              <w:rPr>
                <w:bCs/>
                <w:color w:val="auto"/>
                <w:sz w:val="21"/>
                <w:szCs w:val="21"/>
                <w:vertAlign w:val="subscript"/>
              </w:rPr>
              <w:t>2</w:t>
            </w:r>
            <w:r>
              <w:rPr>
                <w:bCs/>
                <w:color w:val="auto"/>
                <w:sz w:val="21"/>
                <w:szCs w:val="21"/>
              </w:rPr>
              <w:t>S、NH</w:t>
            </w:r>
            <w:r>
              <w:rPr>
                <w:bCs/>
                <w:color w:val="auto"/>
                <w:sz w:val="21"/>
                <w:szCs w:val="21"/>
                <w:vertAlign w:val="subscript"/>
              </w:rPr>
              <w:t>3</w:t>
            </w:r>
          </w:p>
        </w:tc>
        <w:tc>
          <w:tcPr>
            <w:tcW w:w="1477" w:type="pct"/>
            <w:vMerge w:val="continue"/>
            <w:vAlign w:val="center"/>
          </w:tcPr>
          <w:p>
            <w:pPr>
              <w:spacing w:line="240" w:lineRule="auto"/>
              <w:ind w:firstLine="0" w:firstLineChars="0"/>
              <w:jc w:val="center"/>
              <w:rPr>
                <w:bCs/>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0" w:hRule="atLeast"/>
        </w:trPr>
        <w:tc>
          <w:tcPr>
            <w:tcW w:w="286" w:type="pct"/>
            <w:vMerge w:val="continue"/>
            <w:tcMar>
              <w:left w:w="0" w:type="dxa"/>
              <w:right w:w="0" w:type="dxa"/>
            </w:tcMar>
            <w:vAlign w:val="center"/>
          </w:tcPr>
          <w:p>
            <w:pPr>
              <w:spacing w:line="240" w:lineRule="auto"/>
              <w:ind w:firstLine="0" w:firstLineChars="0"/>
              <w:jc w:val="center"/>
              <w:rPr>
                <w:color w:val="auto"/>
                <w:sz w:val="21"/>
                <w:szCs w:val="21"/>
              </w:rPr>
            </w:pPr>
          </w:p>
        </w:tc>
        <w:tc>
          <w:tcPr>
            <w:tcW w:w="1619" w:type="pct"/>
            <w:tcMar>
              <w:left w:w="0" w:type="dxa"/>
              <w:right w:w="0" w:type="dxa"/>
            </w:tcMar>
            <w:vAlign w:val="center"/>
          </w:tcPr>
          <w:p>
            <w:pPr>
              <w:spacing w:line="240" w:lineRule="auto"/>
              <w:ind w:firstLine="0" w:firstLineChars="0"/>
              <w:jc w:val="center"/>
              <w:rPr>
                <w:bCs/>
                <w:color w:val="auto"/>
                <w:sz w:val="21"/>
                <w:szCs w:val="21"/>
              </w:rPr>
            </w:pPr>
            <w:r>
              <w:rPr>
                <w:rFonts w:hint="eastAsia"/>
                <w:color w:val="auto"/>
                <w:sz w:val="21"/>
                <w:szCs w:val="21"/>
              </w:rPr>
              <w:t>固粪处理区</w:t>
            </w:r>
            <w:r>
              <w:rPr>
                <w:color w:val="auto"/>
                <w:sz w:val="21"/>
                <w:szCs w:val="21"/>
              </w:rPr>
              <w:t>臭气</w:t>
            </w:r>
          </w:p>
        </w:tc>
        <w:tc>
          <w:tcPr>
            <w:tcW w:w="1616" w:type="pct"/>
            <w:vAlign w:val="center"/>
          </w:tcPr>
          <w:p>
            <w:pPr>
              <w:spacing w:line="240" w:lineRule="auto"/>
              <w:ind w:firstLine="0" w:firstLineChars="0"/>
              <w:jc w:val="center"/>
              <w:rPr>
                <w:color w:val="auto"/>
                <w:sz w:val="21"/>
                <w:szCs w:val="21"/>
              </w:rPr>
            </w:pPr>
            <w:r>
              <w:rPr>
                <w:color w:val="auto"/>
                <w:sz w:val="21"/>
                <w:szCs w:val="21"/>
              </w:rPr>
              <w:t>H</w:t>
            </w:r>
            <w:r>
              <w:rPr>
                <w:color w:val="auto"/>
                <w:sz w:val="21"/>
                <w:szCs w:val="21"/>
                <w:vertAlign w:val="subscript"/>
              </w:rPr>
              <w:t>2</w:t>
            </w:r>
            <w:r>
              <w:rPr>
                <w:color w:val="auto"/>
                <w:sz w:val="21"/>
                <w:szCs w:val="21"/>
              </w:rPr>
              <w:t>S、NH</w:t>
            </w:r>
            <w:r>
              <w:rPr>
                <w:color w:val="auto"/>
                <w:sz w:val="21"/>
                <w:szCs w:val="21"/>
                <w:vertAlign w:val="subscript"/>
              </w:rPr>
              <w:t>3</w:t>
            </w:r>
          </w:p>
        </w:tc>
        <w:tc>
          <w:tcPr>
            <w:tcW w:w="1477" w:type="pct"/>
            <w:vMerge w:val="continue"/>
            <w:vAlign w:val="center"/>
          </w:tcPr>
          <w:p>
            <w:pPr>
              <w:spacing w:line="240" w:lineRule="auto"/>
              <w:ind w:firstLine="0" w:firstLineChars="0"/>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286" w:type="pct"/>
            <w:vMerge w:val="continue"/>
            <w:tcMar>
              <w:left w:w="0" w:type="dxa"/>
              <w:right w:w="0" w:type="dxa"/>
            </w:tcMar>
            <w:vAlign w:val="center"/>
          </w:tcPr>
          <w:p>
            <w:pPr>
              <w:spacing w:line="240" w:lineRule="auto"/>
              <w:ind w:firstLine="0" w:firstLineChars="0"/>
              <w:jc w:val="center"/>
              <w:rPr>
                <w:color w:val="auto"/>
                <w:sz w:val="21"/>
                <w:szCs w:val="21"/>
              </w:rPr>
            </w:pPr>
          </w:p>
        </w:tc>
        <w:tc>
          <w:tcPr>
            <w:tcW w:w="1619" w:type="pct"/>
            <w:tcMar>
              <w:left w:w="0" w:type="dxa"/>
              <w:right w:w="0" w:type="dxa"/>
            </w:tcMar>
            <w:vAlign w:val="center"/>
          </w:tcPr>
          <w:p>
            <w:pPr>
              <w:spacing w:line="240" w:lineRule="auto"/>
              <w:ind w:firstLine="0" w:firstLineChars="0"/>
              <w:jc w:val="center"/>
              <w:rPr>
                <w:bCs/>
                <w:color w:val="auto"/>
                <w:sz w:val="21"/>
                <w:szCs w:val="21"/>
              </w:rPr>
            </w:pPr>
            <w:r>
              <w:rPr>
                <w:color w:val="auto"/>
                <w:sz w:val="21"/>
                <w:szCs w:val="21"/>
              </w:rPr>
              <w:t>沼气燃烧废气</w:t>
            </w:r>
          </w:p>
        </w:tc>
        <w:tc>
          <w:tcPr>
            <w:tcW w:w="1616" w:type="pct"/>
            <w:vAlign w:val="center"/>
          </w:tcPr>
          <w:p>
            <w:pPr>
              <w:spacing w:line="240" w:lineRule="auto"/>
              <w:ind w:firstLine="0" w:firstLineChars="0"/>
              <w:jc w:val="center"/>
              <w:rPr>
                <w:color w:val="auto"/>
                <w:sz w:val="21"/>
                <w:szCs w:val="21"/>
              </w:rPr>
            </w:pPr>
            <w:r>
              <w:rPr>
                <w:color w:val="auto"/>
                <w:sz w:val="21"/>
                <w:szCs w:val="21"/>
              </w:rPr>
              <w:t>SO</w:t>
            </w:r>
            <w:r>
              <w:rPr>
                <w:color w:val="auto"/>
                <w:sz w:val="21"/>
                <w:szCs w:val="21"/>
                <w:vertAlign w:val="subscript"/>
              </w:rPr>
              <w:t>2</w:t>
            </w:r>
            <w:r>
              <w:rPr>
                <w:color w:val="auto"/>
                <w:sz w:val="21"/>
                <w:szCs w:val="21"/>
              </w:rPr>
              <w:t>、NO</w:t>
            </w:r>
            <w:r>
              <w:rPr>
                <w:color w:val="auto"/>
                <w:sz w:val="21"/>
                <w:szCs w:val="21"/>
                <w:vertAlign w:val="subscript"/>
              </w:rPr>
              <w:t>X</w:t>
            </w:r>
          </w:p>
        </w:tc>
        <w:tc>
          <w:tcPr>
            <w:tcW w:w="1477" w:type="pct"/>
            <w:vMerge w:val="continue"/>
            <w:vAlign w:val="center"/>
          </w:tcPr>
          <w:p>
            <w:pPr>
              <w:spacing w:line="240" w:lineRule="auto"/>
              <w:ind w:firstLine="0" w:firstLineChars="0"/>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4" w:hRule="atLeast"/>
        </w:trPr>
        <w:tc>
          <w:tcPr>
            <w:tcW w:w="286" w:type="pct"/>
            <w:vMerge w:val="continue"/>
            <w:tcMar>
              <w:left w:w="0" w:type="dxa"/>
              <w:right w:w="0" w:type="dxa"/>
            </w:tcMar>
            <w:vAlign w:val="center"/>
          </w:tcPr>
          <w:p>
            <w:pPr>
              <w:spacing w:line="240" w:lineRule="auto"/>
              <w:ind w:firstLine="0" w:firstLineChars="0"/>
              <w:jc w:val="center"/>
              <w:rPr>
                <w:color w:val="auto"/>
                <w:sz w:val="21"/>
                <w:szCs w:val="21"/>
              </w:rPr>
            </w:pPr>
          </w:p>
        </w:tc>
        <w:tc>
          <w:tcPr>
            <w:tcW w:w="1619" w:type="pct"/>
            <w:tcMar>
              <w:left w:w="0" w:type="dxa"/>
              <w:right w:w="0" w:type="dxa"/>
            </w:tcMar>
            <w:vAlign w:val="center"/>
          </w:tcPr>
          <w:p>
            <w:pPr>
              <w:spacing w:line="240" w:lineRule="auto"/>
              <w:ind w:firstLine="0" w:firstLineChars="0"/>
              <w:jc w:val="center"/>
              <w:rPr>
                <w:color w:val="auto"/>
                <w:sz w:val="21"/>
                <w:szCs w:val="21"/>
              </w:rPr>
            </w:pPr>
            <w:r>
              <w:rPr>
                <w:rFonts w:hint="eastAsia"/>
                <w:color w:val="auto"/>
                <w:sz w:val="21"/>
                <w:szCs w:val="21"/>
              </w:rPr>
              <w:t>食堂油烟</w:t>
            </w:r>
          </w:p>
        </w:tc>
        <w:tc>
          <w:tcPr>
            <w:tcW w:w="1616" w:type="pct"/>
            <w:vAlign w:val="center"/>
          </w:tcPr>
          <w:p>
            <w:pPr>
              <w:spacing w:line="240" w:lineRule="auto"/>
              <w:ind w:firstLine="0" w:firstLineChars="0"/>
              <w:jc w:val="center"/>
              <w:rPr>
                <w:color w:val="auto"/>
                <w:sz w:val="21"/>
                <w:szCs w:val="21"/>
              </w:rPr>
            </w:pPr>
            <w:r>
              <w:rPr>
                <w:rFonts w:hint="eastAsia"/>
                <w:color w:val="auto"/>
                <w:sz w:val="21"/>
                <w:szCs w:val="21"/>
              </w:rPr>
              <w:t>油烟</w:t>
            </w:r>
          </w:p>
        </w:tc>
        <w:tc>
          <w:tcPr>
            <w:tcW w:w="1477" w:type="pct"/>
            <w:vMerge w:val="continue"/>
            <w:vAlign w:val="center"/>
          </w:tcPr>
          <w:p>
            <w:pPr>
              <w:spacing w:line="240" w:lineRule="auto"/>
              <w:ind w:firstLine="0" w:firstLineChars="0"/>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8" w:hRule="atLeast"/>
        </w:trPr>
        <w:tc>
          <w:tcPr>
            <w:tcW w:w="286" w:type="pct"/>
            <w:vMerge w:val="continue"/>
            <w:tcMar>
              <w:left w:w="0" w:type="dxa"/>
              <w:right w:w="0" w:type="dxa"/>
            </w:tcMar>
            <w:vAlign w:val="center"/>
          </w:tcPr>
          <w:p>
            <w:pPr>
              <w:spacing w:line="240" w:lineRule="auto"/>
              <w:ind w:firstLine="0" w:firstLineChars="0"/>
              <w:jc w:val="center"/>
              <w:rPr>
                <w:color w:val="auto"/>
                <w:sz w:val="21"/>
                <w:szCs w:val="21"/>
              </w:rPr>
            </w:pPr>
          </w:p>
        </w:tc>
        <w:tc>
          <w:tcPr>
            <w:tcW w:w="1619" w:type="pct"/>
            <w:tcMar>
              <w:left w:w="0" w:type="dxa"/>
              <w:right w:w="0" w:type="dxa"/>
            </w:tcMar>
            <w:vAlign w:val="center"/>
          </w:tcPr>
          <w:p>
            <w:pPr>
              <w:spacing w:line="240" w:lineRule="auto"/>
              <w:ind w:firstLine="0" w:firstLineChars="0"/>
              <w:jc w:val="center"/>
              <w:rPr>
                <w:color w:val="auto"/>
                <w:sz w:val="21"/>
                <w:szCs w:val="21"/>
              </w:rPr>
            </w:pPr>
            <w:r>
              <w:rPr>
                <w:rFonts w:hint="eastAsia"/>
                <w:color w:val="auto"/>
                <w:sz w:val="21"/>
                <w:szCs w:val="21"/>
              </w:rPr>
              <w:t>无害化处理区</w:t>
            </w:r>
          </w:p>
        </w:tc>
        <w:tc>
          <w:tcPr>
            <w:tcW w:w="1616" w:type="pct"/>
            <w:vAlign w:val="center"/>
          </w:tcPr>
          <w:p>
            <w:pPr>
              <w:spacing w:line="240" w:lineRule="auto"/>
              <w:ind w:firstLine="0" w:firstLineChars="0"/>
              <w:jc w:val="center"/>
              <w:rPr>
                <w:color w:val="auto"/>
                <w:sz w:val="21"/>
                <w:szCs w:val="21"/>
              </w:rPr>
            </w:pPr>
            <w:r>
              <w:rPr>
                <w:color w:val="auto"/>
                <w:sz w:val="21"/>
                <w:szCs w:val="21"/>
              </w:rPr>
              <w:t>H</w:t>
            </w:r>
            <w:r>
              <w:rPr>
                <w:color w:val="auto"/>
                <w:sz w:val="21"/>
                <w:szCs w:val="21"/>
                <w:vertAlign w:val="subscript"/>
              </w:rPr>
              <w:t>2</w:t>
            </w:r>
            <w:r>
              <w:rPr>
                <w:color w:val="auto"/>
                <w:sz w:val="21"/>
                <w:szCs w:val="21"/>
              </w:rPr>
              <w:t>S、NH</w:t>
            </w:r>
            <w:r>
              <w:rPr>
                <w:color w:val="auto"/>
                <w:sz w:val="21"/>
                <w:szCs w:val="21"/>
                <w:vertAlign w:val="subscript"/>
              </w:rPr>
              <w:t>3</w:t>
            </w:r>
          </w:p>
        </w:tc>
        <w:tc>
          <w:tcPr>
            <w:tcW w:w="1477" w:type="pct"/>
            <w:vMerge w:val="continue"/>
            <w:vAlign w:val="center"/>
          </w:tcPr>
          <w:p>
            <w:pPr>
              <w:spacing w:line="240" w:lineRule="auto"/>
              <w:ind w:firstLine="0" w:firstLineChars="0"/>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286" w:type="pct"/>
            <w:vMerge w:val="restart"/>
            <w:tcMar>
              <w:left w:w="0" w:type="dxa"/>
              <w:right w:w="0" w:type="dxa"/>
            </w:tcMar>
            <w:vAlign w:val="center"/>
          </w:tcPr>
          <w:p>
            <w:pPr>
              <w:spacing w:line="240" w:lineRule="auto"/>
              <w:ind w:firstLine="0" w:firstLineChars="0"/>
              <w:jc w:val="center"/>
              <w:rPr>
                <w:color w:val="auto"/>
                <w:sz w:val="21"/>
                <w:szCs w:val="21"/>
              </w:rPr>
            </w:pPr>
            <w:r>
              <w:rPr>
                <w:color w:val="auto"/>
                <w:sz w:val="21"/>
                <w:szCs w:val="21"/>
              </w:rPr>
              <w:t>废水</w:t>
            </w:r>
          </w:p>
        </w:tc>
        <w:tc>
          <w:tcPr>
            <w:tcW w:w="1619" w:type="pct"/>
            <w:tcMar>
              <w:left w:w="0" w:type="dxa"/>
              <w:right w:w="0" w:type="dxa"/>
            </w:tcMar>
            <w:vAlign w:val="center"/>
          </w:tcPr>
          <w:p>
            <w:pPr>
              <w:spacing w:line="240" w:lineRule="auto"/>
              <w:ind w:firstLine="0" w:firstLineChars="0"/>
              <w:jc w:val="center"/>
              <w:rPr>
                <w:color w:val="auto"/>
                <w:sz w:val="21"/>
                <w:szCs w:val="21"/>
              </w:rPr>
            </w:pPr>
            <w:r>
              <w:rPr>
                <w:color w:val="auto"/>
                <w:sz w:val="21"/>
                <w:szCs w:val="21"/>
              </w:rPr>
              <w:t>养殖废水</w:t>
            </w:r>
          </w:p>
          <w:p>
            <w:pPr>
              <w:spacing w:line="240" w:lineRule="auto"/>
              <w:ind w:firstLine="0" w:firstLineChars="0"/>
              <w:jc w:val="center"/>
              <w:rPr>
                <w:color w:val="auto"/>
                <w:sz w:val="21"/>
                <w:szCs w:val="21"/>
              </w:rPr>
            </w:pPr>
            <w:r>
              <w:rPr>
                <w:color w:val="auto"/>
                <w:sz w:val="21"/>
                <w:szCs w:val="21"/>
              </w:rPr>
              <w:t>（猪尿液、猪舍冲洗废水</w:t>
            </w:r>
            <w:r>
              <w:rPr>
                <w:rFonts w:hint="eastAsia"/>
                <w:color w:val="auto"/>
                <w:sz w:val="21"/>
                <w:szCs w:val="21"/>
              </w:rPr>
              <w:t>等</w:t>
            </w:r>
            <w:r>
              <w:rPr>
                <w:color w:val="auto"/>
                <w:sz w:val="21"/>
                <w:szCs w:val="21"/>
              </w:rPr>
              <w:t>）</w:t>
            </w:r>
          </w:p>
        </w:tc>
        <w:tc>
          <w:tcPr>
            <w:tcW w:w="1616" w:type="pct"/>
            <w:vAlign w:val="center"/>
          </w:tcPr>
          <w:p>
            <w:pPr>
              <w:spacing w:line="240" w:lineRule="auto"/>
              <w:ind w:firstLine="0" w:firstLineChars="0"/>
              <w:jc w:val="center"/>
              <w:rPr>
                <w:color w:val="auto"/>
                <w:sz w:val="21"/>
                <w:szCs w:val="21"/>
              </w:rPr>
            </w:pPr>
            <w:r>
              <w:rPr>
                <w:color w:val="auto"/>
                <w:sz w:val="21"/>
                <w:szCs w:val="21"/>
              </w:rPr>
              <w:t>COD、BOD</w:t>
            </w:r>
            <w:r>
              <w:rPr>
                <w:color w:val="auto"/>
                <w:sz w:val="21"/>
                <w:szCs w:val="21"/>
                <w:vertAlign w:val="subscript"/>
              </w:rPr>
              <w:t>5</w:t>
            </w:r>
            <w:r>
              <w:rPr>
                <w:color w:val="auto"/>
                <w:sz w:val="21"/>
                <w:szCs w:val="21"/>
              </w:rPr>
              <w:t>、SS、NH</w:t>
            </w:r>
            <w:r>
              <w:rPr>
                <w:color w:val="auto"/>
                <w:sz w:val="21"/>
                <w:szCs w:val="21"/>
                <w:vertAlign w:val="subscript"/>
              </w:rPr>
              <w:t>3</w:t>
            </w:r>
            <w:r>
              <w:rPr>
                <w:color w:val="auto"/>
                <w:sz w:val="21"/>
                <w:szCs w:val="21"/>
              </w:rPr>
              <w:t>-N</w:t>
            </w:r>
          </w:p>
        </w:tc>
        <w:tc>
          <w:tcPr>
            <w:tcW w:w="1477" w:type="pct"/>
            <w:vMerge w:val="restart"/>
            <w:vAlign w:val="center"/>
          </w:tcPr>
          <w:p>
            <w:pPr>
              <w:spacing w:line="240" w:lineRule="auto"/>
              <w:ind w:firstLine="0" w:firstLineChars="0"/>
              <w:jc w:val="center"/>
              <w:rPr>
                <w:color w:val="auto"/>
                <w:sz w:val="21"/>
                <w:szCs w:val="21"/>
              </w:rPr>
            </w:pPr>
            <w:r>
              <w:rPr>
                <w:color w:val="auto"/>
                <w:sz w:val="21"/>
                <w:szCs w:val="21"/>
              </w:rPr>
              <w:t>经沼气池处理后作液体肥还田</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86" w:type="pct"/>
            <w:vMerge w:val="continue"/>
            <w:tcMar>
              <w:left w:w="0" w:type="dxa"/>
              <w:right w:w="0" w:type="dxa"/>
            </w:tcMar>
            <w:vAlign w:val="center"/>
          </w:tcPr>
          <w:p>
            <w:pPr>
              <w:spacing w:line="240" w:lineRule="auto"/>
              <w:ind w:firstLine="0" w:firstLineChars="0"/>
              <w:jc w:val="center"/>
              <w:rPr>
                <w:color w:val="auto"/>
                <w:sz w:val="21"/>
                <w:szCs w:val="21"/>
              </w:rPr>
            </w:pPr>
          </w:p>
        </w:tc>
        <w:tc>
          <w:tcPr>
            <w:tcW w:w="1619" w:type="pct"/>
            <w:tcMar>
              <w:left w:w="0" w:type="dxa"/>
              <w:right w:w="0" w:type="dxa"/>
            </w:tcMar>
            <w:vAlign w:val="center"/>
          </w:tcPr>
          <w:p>
            <w:pPr>
              <w:spacing w:line="240" w:lineRule="auto"/>
              <w:ind w:firstLine="0" w:firstLineChars="0"/>
              <w:jc w:val="center"/>
              <w:rPr>
                <w:color w:val="auto"/>
                <w:sz w:val="21"/>
                <w:szCs w:val="21"/>
              </w:rPr>
            </w:pPr>
            <w:r>
              <w:rPr>
                <w:bCs/>
                <w:color w:val="auto"/>
                <w:sz w:val="21"/>
                <w:szCs w:val="21"/>
              </w:rPr>
              <w:t>职工生活污水</w:t>
            </w:r>
          </w:p>
        </w:tc>
        <w:tc>
          <w:tcPr>
            <w:tcW w:w="1616" w:type="pct"/>
            <w:vAlign w:val="center"/>
          </w:tcPr>
          <w:p>
            <w:pPr>
              <w:spacing w:line="240" w:lineRule="auto"/>
              <w:ind w:firstLine="0" w:firstLineChars="0"/>
              <w:jc w:val="center"/>
              <w:rPr>
                <w:bCs/>
                <w:color w:val="auto"/>
                <w:sz w:val="21"/>
                <w:szCs w:val="21"/>
              </w:rPr>
            </w:pPr>
            <w:r>
              <w:rPr>
                <w:color w:val="auto"/>
                <w:sz w:val="21"/>
                <w:szCs w:val="21"/>
              </w:rPr>
              <w:t>COD、BOD</w:t>
            </w:r>
            <w:r>
              <w:rPr>
                <w:color w:val="auto"/>
                <w:sz w:val="21"/>
                <w:szCs w:val="21"/>
                <w:vertAlign w:val="subscript"/>
              </w:rPr>
              <w:t>5</w:t>
            </w:r>
            <w:r>
              <w:rPr>
                <w:color w:val="auto"/>
                <w:sz w:val="21"/>
                <w:szCs w:val="21"/>
              </w:rPr>
              <w:t>、SS、NH</w:t>
            </w:r>
            <w:r>
              <w:rPr>
                <w:color w:val="auto"/>
                <w:sz w:val="21"/>
                <w:szCs w:val="21"/>
                <w:vertAlign w:val="subscript"/>
              </w:rPr>
              <w:t>3</w:t>
            </w:r>
            <w:r>
              <w:rPr>
                <w:color w:val="auto"/>
                <w:sz w:val="21"/>
                <w:szCs w:val="21"/>
              </w:rPr>
              <w:t>-N</w:t>
            </w:r>
          </w:p>
        </w:tc>
        <w:tc>
          <w:tcPr>
            <w:tcW w:w="1477" w:type="pct"/>
            <w:vMerge w:val="continue"/>
            <w:vAlign w:val="center"/>
          </w:tcPr>
          <w:p>
            <w:pPr>
              <w:spacing w:line="240" w:lineRule="auto"/>
              <w:ind w:firstLine="0" w:firstLineChars="0"/>
              <w:jc w:val="center"/>
              <w:rPr>
                <w:bCs/>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5" w:hRule="atLeast"/>
        </w:trPr>
        <w:tc>
          <w:tcPr>
            <w:tcW w:w="286" w:type="pct"/>
            <w:vMerge w:val="restart"/>
            <w:tcMar>
              <w:left w:w="0" w:type="dxa"/>
              <w:right w:w="0" w:type="dxa"/>
            </w:tcMar>
            <w:vAlign w:val="center"/>
          </w:tcPr>
          <w:p>
            <w:pPr>
              <w:spacing w:line="240" w:lineRule="auto"/>
              <w:ind w:firstLine="0" w:firstLineChars="0"/>
              <w:jc w:val="center"/>
              <w:rPr>
                <w:color w:val="auto"/>
                <w:sz w:val="21"/>
                <w:szCs w:val="21"/>
              </w:rPr>
            </w:pPr>
            <w:r>
              <w:rPr>
                <w:color w:val="auto"/>
                <w:sz w:val="21"/>
                <w:szCs w:val="21"/>
              </w:rPr>
              <w:t>固废</w:t>
            </w:r>
          </w:p>
        </w:tc>
        <w:tc>
          <w:tcPr>
            <w:tcW w:w="1619" w:type="pct"/>
            <w:tcMar>
              <w:left w:w="0" w:type="dxa"/>
              <w:right w:w="0" w:type="dxa"/>
            </w:tcMar>
            <w:vAlign w:val="center"/>
          </w:tcPr>
          <w:p>
            <w:pPr>
              <w:spacing w:line="240" w:lineRule="auto"/>
              <w:ind w:firstLine="0" w:firstLineChars="0"/>
              <w:jc w:val="center"/>
              <w:rPr>
                <w:bCs/>
                <w:color w:val="auto"/>
                <w:sz w:val="21"/>
                <w:szCs w:val="21"/>
              </w:rPr>
            </w:pPr>
            <w:r>
              <w:rPr>
                <w:color w:val="auto"/>
                <w:sz w:val="21"/>
                <w:szCs w:val="21"/>
              </w:rPr>
              <w:t>防疫医疗废物</w:t>
            </w:r>
          </w:p>
        </w:tc>
        <w:tc>
          <w:tcPr>
            <w:tcW w:w="1616" w:type="pct"/>
            <w:vAlign w:val="center"/>
          </w:tcPr>
          <w:p>
            <w:pPr>
              <w:spacing w:line="240" w:lineRule="auto"/>
              <w:ind w:firstLine="0" w:firstLineChars="0"/>
              <w:jc w:val="center"/>
              <w:rPr>
                <w:bCs/>
                <w:color w:val="auto"/>
                <w:sz w:val="21"/>
                <w:szCs w:val="21"/>
              </w:rPr>
            </w:pPr>
            <w:r>
              <w:rPr>
                <w:color w:val="auto"/>
                <w:sz w:val="21"/>
                <w:szCs w:val="21"/>
              </w:rPr>
              <w:t>防疫医疗废物</w:t>
            </w:r>
          </w:p>
        </w:tc>
        <w:tc>
          <w:tcPr>
            <w:tcW w:w="1477" w:type="pct"/>
            <w:vAlign w:val="center"/>
          </w:tcPr>
          <w:p>
            <w:pPr>
              <w:spacing w:line="240" w:lineRule="auto"/>
              <w:ind w:firstLine="0" w:firstLineChars="0"/>
              <w:jc w:val="center"/>
              <w:rPr>
                <w:color w:val="auto"/>
                <w:sz w:val="21"/>
                <w:szCs w:val="21"/>
              </w:rPr>
            </w:pPr>
            <w:r>
              <w:rPr>
                <w:color w:val="auto"/>
                <w:sz w:val="21"/>
                <w:szCs w:val="21"/>
              </w:rPr>
              <w:t>委托有资质单位处置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1" w:hRule="atLeast"/>
        </w:trPr>
        <w:tc>
          <w:tcPr>
            <w:tcW w:w="286" w:type="pct"/>
            <w:vMerge w:val="continue"/>
            <w:tcMar>
              <w:left w:w="0" w:type="dxa"/>
              <w:right w:w="0" w:type="dxa"/>
            </w:tcMar>
            <w:vAlign w:val="center"/>
          </w:tcPr>
          <w:p>
            <w:pPr>
              <w:spacing w:line="240" w:lineRule="auto"/>
              <w:ind w:firstLine="0" w:firstLineChars="0"/>
              <w:jc w:val="center"/>
              <w:rPr>
                <w:color w:val="auto"/>
                <w:sz w:val="21"/>
                <w:szCs w:val="21"/>
              </w:rPr>
            </w:pPr>
          </w:p>
        </w:tc>
        <w:tc>
          <w:tcPr>
            <w:tcW w:w="1619" w:type="pct"/>
            <w:tcMar>
              <w:left w:w="0" w:type="dxa"/>
              <w:right w:w="0" w:type="dxa"/>
            </w:tcMar>
            <w:vAlign w:val="center"/>
          </w:tcPr>
          <w:p>
            <w:pPr>
              <w:spacing w:line="240" w:lineRule="auto"/>
              <w:ind w:firstLine="0" w:firstLineChars="0"/>
              <w:jc w:val="center"/>
              <w:rPr>
                <w:color w:val="auto"/>
                <w:sz w:val="21"/>
                <w:szCs w:val="21"/>
              </w:rPr>
            </w:pPr>
            <w:r>
              <w:rPr>
                <w:color w:val="auto"/>
                <w:sz w:val="21"/>
                <w:szCs w:val="21"/>
              </w:rPr>
              <w:t>养殖过程病死猪</w:t>
            </w:r>
          </w:p>
        </w:tc>
        <w:tc>
          <w:tcPr>
            <w:tcW w:w="1616" w:type="pct"/>
            <w:vAlign w:val="center"/>
          </w:tcPr>
          <w:p>
            <w:pPr>
              <w:spacing w:line="240" w:lineRule="auto"/>
              <w:ind w:firstLine="0" w:firstLineChars="0"/>
              <w:jc w:val="center"/>
              <w:rPr>
                <w:color w:val="auto"/>
                <w:sz w:val="21"/>
                <w:szCs w:val="21"/>
              </w:rPr>
            </w:pPr>
            <w:r>
              <w:rPr>
                <w:color w:val="auto"/>
                <w:sz w:val="21"/>
                <w:szCs w:val="21"/>
              </w:rPr>
              <w:t>病死猪</w:t>
            </w:r>
          </w:p>
        </w:tc>
        <w:tc>
          <w:tcPr>
            <w:tcW w:w="1477" w:type="pct"/>
            <w:vAlign w:val="center"/>
          </w:tcPr>
          <w:p>
            <w:pPr>
              <w:spacing w:line="240" w:lineRule="auto"/>
              <w:ind w:firstLine="0" w:firstLineChars="0"/>
              <w:jc w:val="left"/>
              <w:rPr>
                <w:color w:val="auto"/>
                <w:sz w:val="21"/>
                <w:szCs w:val="21"/>
              </w:rPr>
            </w:pPr>
            <w:r>
              <w:rPr>
                <w:color w:val="auto"/>
                <w:sz w:val="21"/>
                <w:szCs w:val="21"/>
              </w:rPr>
              <w:t>在厂区内无害化处理后，残渣作为有机肥原料外售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286" w:type="pct"/>
            <w:vMerge w:val="continue"/>
            <w:tcMar>
              <w:left w:w="0" w:type="dxa"/>
              <w:right w:w="0" w:type="dxa"/>
            </w:tcMar>
            <w:vAlign w:val="center"/>
          </w:tcPr>
          <w:p>
            <w:pPr>
              <w:spacing w:line="240" w:lineRule="auto"/>
              <w:ind w:firstLine="0" w:firstLineChars="0"/>
              <w:jc w:val="center"/>
              <w:rPr>
                <w:color w:val="auto"/>
                <w:sz w:val="21"/>
                <w:szCs w:val="21"/>
              </w:rPr>
            </w:pPr>
          </w:p>
        </w:tc>
        <w:tc>
          <w:tcPr>
            <w:tcW w:w="1619" w:type="pct"/>
            <w:tcMar>
              <w:left w:w="0" w:type="dxa"/>
              <w:right w:w="0" w:type="dxa"/>
            </w:tcMar>
            <w:vAlign w:val="center"/>
          </w:tcPr>
          <w:p>
            <w:pPr>
              <w:spacing w:line="240" w:lineRule="auto"/>
              <w:ind w:firstLine="0" w:firstLineChars="0"/>
              <w:jc w:val="center"/>
              <w:rPr>
                <w:bCs/>
                <w:color w:val="auto"/>
                <w:sz w:val="21"/>
                <w:szCs w:val="21"/>
              </w:rPr>
            </w:pPr>
            <w:r>
              <w:rPr>
                <w:bCs/>
                <w:color w:val="auto"/>
                <w:sz w:val="21"/>
                <w:szCs w:val="21"/>
              </w:rPr>
              <w:t>粪污水固液分离猪粪固形物</w:t>
            </w:r>
            <w:r>
              <w:rPr>
                <w:rFonts w:hint="eastAsia"/>
                <w:bCs/>
                <w:color w:val="auto"/>
                <w:sz w:val="21"/>
                <w:szCs w:val="21"/>
              </w:rPr>
              <w:t>、沼渣</w:t>
            </w:r>
          </w:p>
        </w:tc>
        <w:tc>
          <w:tcPr>
            <w:tcW w:w="1616" w:type="pct"/>
            <w:vAlign w:val="center"/>
          </w:tcPr>
          <w:p>
            <w:pPr>
              <w:spacing w:line="240" w:lineRule="auto"/>
              <w:ind w:firstLine="0" w:firstLineChars="0"/>
              <w:jc w:val="center"/>
              <w:rPr>
                <w:bCs/>
                <w:color w:val="auto"/>
                <w:sz w:val="21"/>
                <w:szCs w:val="21"/>
              </w:rPr>
            </w:pPr>
            <w:r>
              <w:rPr>
                <w:bCs/>
                <w:color w:val="auto"/>
                <w:sz w:val="21"/>
                <w:szCs w:val="21"/>
              </w:rPr>
              <w:t>猪粪固形物</w:t>
            </w:r>
            <w:r>
              <w:rPr>
                <w:rFonts w:hint="eastAsia"/>
                <w:bCs/>
                <w:color w:val="auto"/>
                <w:sz w:val="21"/>
                <w:szCs w:val="21"/>
              </w:rPr>
              <w:t>、沼渣</w:t>
            </w:r>
          </w:p>
        </w:tc>
        <w:tc>
          <w:tcPr>
            <w:tcW w:w="1477" w:type="pct"/>
            <w:vAlign w:val="center"/>
          </w:tcPr>
          <w:p>
            <w:pPr>
              <w:spacing w:line="240" w:lineRule="auto"/>
              <w:ind w:firstLine="0" w:firstLineChars="0"/>
              <w:jc w:val="center"/>
              <w:rPr>
                <w:bCs/>
                <w:color w:val="auto"/>
                <w:sz w:val="21"/>
                <w:szCs w:val="21"/>
              </w:rPr>
            </w:pPr>
            <w:r>
              <w:rPr>
                <w:rFonts w:hint="eastAsia"/>
                <w:bCs/>
                <w:color w:val="auto"/>
                <w:sz w:val="21"/>
                <w:szCs w:val="21"/>
              </w:rPr>
              <w:t>制作有机肥基料外售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8" w:hRule="atLeast"/>
        </w:trPr>
        <w:tc>
          <w:tcPr>
            <w:tcW w:w="286" w:type="pct"/>
            <w:vMerge w:val="continue"/>
            <w:tcMar>
              <w:left w:w="0" w:type="dxa"/>
              <w:right w:w="0" w:type="dxa"/>
            </w:tcMar>
            <w:vAlign w:val="center"/>
          </w:tcPr>
          <w:p>
            <w:pPr>
              <w:spacing w:line="240" w:lineRule="auto"/>
              <w:ind w:firstLine="0" w:firstLineChars="0"/>
              <w:jc w:val="center"/>
              <w:rPr>
                <w:color w:val="auto"/>
                <w:sz w:val="21"/>
                <w:szCs w:val="21"/>
              </w:rPr>
            </w:pPr>
          </w:p>
        </w:tc>
        <w:tc>
          <w:tcPr>
            <w:tcW w:w="1619" w:type="pct"/>
            <w:tcMar>
              <w:left w:w="0" w:type="dxa"/>
              <w:right w:w="0" w:type="dxa"/>
            </w:tcMar>
            <w:vAlign w:val="center"/>
          </w:tcPr>
          <w:p>
            <w:pPr>
              <w:spacing w:line="240" w:lineRule="auto"/>
              <w:ind w:firstLine="0" w:firstLineChars="0"/>
              <w:jc w:val="center"/>
              <w:rPr>
                <w:color w:val="auto"/>
                <w:sz w:val="21"/>
                <w:szCs w:val="21"/>
              </w:rPr>
            </w:pPr>
            <w:r>
              <w:rPr>
                <w:color w:val="auto"/>
                <w:sz w:val="21"/>
                <w:szCs w:val="21"/>
              </w:rPr>
              <w:t>沼气脱硫废脱硫剂</w:t>
            </w:r>
          </w:p>
        </w:tc>
        <w:tc>
          <w:tcPr>
            <w:tcW w:w="1616" w:type="pct"/>
            <w:vAlign w:val="center"/>
          </w:tcPr>
          <w:p>
            <w:pPr>
              <w:spacing w:line="240" w:lineRule="auto"/>
              <w:ind w:firstLine="0" w:firstLineChars="0"/>
              <w:jc w:val="center"/>
              <w:rPr>
                <w:color w:val="auto"/>
                <w:sz w:val="21"/>
                <w:szCs w:val="21"/>
              </w:rPr>
            </w:pPr>
            <w:r>
              <w:rPr>
                <w:color w:val="auto"/>
                <w:sz w:val="21"/>
                <w:szCs w:val="21"/>
              </w:rPr>
              <w:t>脱硫废脱硫剂</w:t>
            </w:r>
          </w:p>
        </w:tc>
        <w:tc>
          <w:tcPr>
            <w:tcW w:w="1477" w:type="pct"/>
            <w:vAlign w:val="center"/>
          </w:tcPr>
          <w:p>
            <w:pPr>
              <w:spacing w:line="240" w:lineRule="auto"/>
              <w:ind w:firstLine="0" w:firstLineChars="0"/>
              <w:jc w:val="center"/>
              <w:rPr>
                <w:color w:val="auto"/>
                <w:sz w:val="21"/>
                <w:szCs w:val="21"/>
              </w:rPr>
            </w:pPr>
            <w:r>
              <w:rPr>
                <w:color w:val="auto"/>
                <w:sz w:val="21"/>
                <w:szCs w:val="21"/>
              </w:rPr>
              <w:t>生产厂家统一回收处置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5" w:hRule="atLeast"/>
        </w:trPr>
        <w:tc>
          <w:tcPr>
            <w:tcW w:w="286" w:type="pct"/>
            <w:vMerge w:val="continue"/>
            <w:tcMar>
              <w:left w:w="0" w:type="dxa"/>
              <w:right w:w="0" w:type="dxa"/>
            </w:tcMar>
            <w:vAlign w:val="center"/>
          </w:tcPr>
          <w:p>
            <w:pPr>
              <w:spacing w:line="240" w:lineRule="auto"/>
              <w:ind w:firstLine="0" w:firstLineChars="0"/>
              <w:jc w:val="center"/>
              <w:rPr>
                <w:color w:val="auto"/>
                <w:sz w:val="21"/>
                <w:szCs w:val="21"/>
              </w:rPr>
            </w:pPr>
          </w:p>
        </w:tc>
        <w:tc>
          <w:tcPr>
            <w:tcW w:w="1619" w:type="pct"/>
            <w:tcBorders>
              <w:bottom w:val="single" w:color="000000" w:sz="4" w:space="0"/>
            </w:tcBorders>
            <w:tcMar>
              <w:left w:w="0" w:type="dxa"/>
              <w:right w:w="0" w:type="dxa"/>
            </w:tcMar>
            <w:vAlign w:val="center"/>
          </w:tcPr>
          <w:p>
            <w:pPr>
              <w:spacing w:line="240" w:lineRule="auto"/>
              <w:ind w:firstLine="0" w:firstLineChars="0"/>
              <w:jc w:val="center"/>
              <w:rPr>
                <w:bCs/>
                <w:color w:val="auto"/>
                <w:sz w:val="21"/>
                <w:szCs w:val="21"/>
              </w:rPr>
            </w:pPr>
            <w:r>
              <w:rPr>
                <w:color w:val="auto"/>
                <w:sz w:val="21"/>
                <w:szCs w:val="21"/>
              </w:rPr>
              <w:t>职工生活垃圾</w:t>
            </w:r>
          </w:p>
        </w:tc>
        <w:tc>
          <w:tcPr>
            <w:tcW w:w="1616" w:type="pct"/>
            <w:tcBorders>
              <w:bottom w:val="single" w:color="000000" w:sz="4" w:space="0"/>
            </w:tcBorders>
            <w:vAlign w:val="center"/>
          </w:tcPr>
          <w:p>
            <w:pPr>
              <w:spacing w:line="240" w:lineRule="auto"/>
              <w:ind w:firstLine="0" w:firstLineChars="0"/>
              <w:jc w:val="center"/>
              <w:rPr>
                <w:bCs/>
                <w:color w:val="auto"/>
                <w:sz w:val="21"/>
                <w:szCs w:val="21"/>
              </w:rPr>
            </w:pPr>
            <w:r>
              <w:rPr>
                <w:color w:val="auto"/>
                <w:sz w:val="21"/>
                <w:szCs w:val="21"/>
              </w:rPr>
              <w:t>生活垃圾</w:t>
            </w:r>
          </w:p>
        </w:tc>
        <w:tc>
          <w:tcPr>
            <w:tcW w:w="1477" w:type="pct"/>
            <w:tcBorders>
              <w:bottom w:val="single" w:color="000000" w:sz="4" w:space="0"/>
            </w:tcBorders>
            <w:vAlign w:val="center"/>
          </w:tcPr>
          <w:p>
            <w:pPr>
              <w:spacing w:line="240" w:lineRule="auto"/>
              <w:ind w:firstLine="0" w:firstLineChars="0"/>
              <w:jc w:val="center"/>
              <w:rPr>
                <w:color w:val="auto"/>
                <w:sz w:val="21"/>
                <w:szCs w:val="21"/>
              </w:rPr>
            </w:pPr>
            <w:r>
              <w:rPr>
                <w:color w:val="auto"/>
                <w:sz w:val="21"/>
                <w:szCs w:val="21"/>
              </w:rPr>
              <w:t>送环卫部门处理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7" w:hRule="atLeast"/>
        </w:trPr>
        <w:tc>
          <w:tcPr>
            <w:tcW w:w="286" w:type="pct"/>
            <w:vMerge w:val="continue"/>
            <w:tcMar>
              <w:left w:w="0" w:type="dxa"/>
              <w:right w:w="0" w:type="dxa"/>
            </w:tcMar>
            <w:vAlign w:val="center"/>
          </w:tcPr>
          <w:p>
            <w:pPr>
              <w:spacing w:line="240" w:lineRule="auto"/>
              <w:ind w:firstLine="0" w:firstLineChars="0"/>
              <w:jc w:val="center"/>
              <w:rPr>
                <w:color w:val="auto"/>
                <w:sz w:val="21"/>
                <w:szCs w:val="21"/>
              </w:rPr>
            </w:pPr>
          </w:p>
        </w:tc>
        <w:tc>
          <w:tcPr>
            <w:tcW w:w="1619" w:type="pct"/>
            <w:tcBorders>
              <w:top w:val="single" w:color="000000" w:sz="4" w:space="0"/>
            </w:tcBorders>
            <w:tcMar>
              <w:left w:w="0" w:type="dxa"/>
              <w:right w:w="0" w:type="dxa"/>
            </w:tcMar>
            <w:vAlign w:val="center"/>
          </w:tcPr>
          <w:p>
            <w:pPr>
              <w:spacing w:line="240" w:lineRule="auto"/>
              <w:ind w:firstLine="0" w:firstLineChars="0"/>
              <w:jc w:val="center"/>
              <w:rPr>
                <w:color w:val="auto"/>
                <w:sz w:val="21"/>
                <w:szCs w:val="21"/>
              </w:rPr>
            </w:pPr>
            <w:r>
              <w:rPr>
                <w:rFonts w:hint="eastAsia"/>
                <w:color w:val="auto"/>
                <w:sz w:val="21"/>
                <w:szCs w:val="21"/>
              </w:rPr>
              <w:t>高温化制机</w:t>
            </w:r>
          </w:p>
        </w:tc>
        <w:tc>
          <w:tcPr>
            <w:tcW w:w="1616" w:type="pct"/>
            <w:tcBorders>
              <w:top w:val="single" w:color="000000" w:sz="4" w:space="0"/>
            </w:tcBorders>
            <w:vAlign w:val="center"/>
          </w:tcPr>
          <w:p>
            <w:pPr>
              <w:spacing w:line="240" w:lineRule="auto"/>
              <w:ind w:firstLine="0" w:firstLineChars="0"/>
              <w:jc w:val="center"/>
              <w:rPr>
                <w:color w:val="auto"/>
                <w:sz w:val="21"/>
                <w:szCs w:val="21"/>
              </w:rPr>
            </w:pPr>
            <w:r>
              <w:rPr>
                <w:rFonts w:hint="eastAsia"/>
                <w:color w:val="auto"/>
                <w:sz w:val="21"/>
                <w:szCs w:val="21"/>
              </w:rPr>
              <w:t>废导热油</w:t>
            </w:r>
          </w:p>
        </w:tc>
        <w:tc>
          <w:tcPr>
            <w:tcW w:w="1477" w:type="pct"/>
            <w:tcBorders>
              <w:top w:val="single" w:color="000000" w:sz="4" w:space="0"/>
            </w:tcBorders>
            <w:vAlign w:val="center"/>
          </w:tcPr>
          <w:p>
            <w:pPr>
              <w:spacing w:line="240" w:lineRule="auto"/>
              <w:ind w:firstLine="0" w:firstLineChars="0"/>
              <w:jc w:val="center"/>
              <w:rPr>
                <w:color w:val="auto"/>
                <w:sz w:val="21"/>
                <w:szCs w:val="21"/>
              </w:rPr>
            </w:pPr>
            <w:r>
              <w:rPr>
                <w:rFonts w:hint="eastAsia"/>
                <w:color w:val="auto"/>
                <w:sz w:val="21"/>
                <w:szCs w:val="21"/>
              </w:rPr>
              <w:t>交由有资质单位处理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3" w:hRule="atLeast"/>
        </w:trPr>
        <w:tc>
          <w:tcPr>
            <w:tcW w:w="286" w:type="pct"/>
            <w:tcMar>
              <w:left w:w="0" w:type="dxa"/>
              <w:right w:w="0" w:type="dxa"/>
            </w:tcMar>
            <w:vAlign w:val="center"/>
          </w:tcPr>
          <w:p>
            <w:pPr>
              <w:spacing w:line="240" w:lineRule="auto"/>
              <w:ind w:firstLine="0" w:firstLineChars="0"/>
              <w:jc w:val="center"/>
              <w:rPr>
                <w:color w:val="auto"/>
                <w:sz w:val="21"/>
                <w:szCs w:val="21"/>
              </w:rPr>
            </w:pPr>
            <w:r>
              <w:rPr>
                <w:bCs/>
                <w:color w:val="auto"/>
                <w:sz w:val="21"/>
                <w:szCs w:val="21"/>
              </w:rPr>
              <w:t>噪声</w:t>
            </w:r>
          </w:p>
        </w:tc>
        <w:tc>
          <w:tcPr>
            <w:tcW w:w="1619" w:type="pct"/>
            <w:tcMar>
              <w:left w:w="0" w:type="dxa"/>
              <w:right w:w="0" w:type="dxa"/>
            </w:tcMar>
            <w:vAlign w:val="center"/>
          </w:tcPr>
          <w:p>
            <w:pPr>
              <w:spacing w:line="240" w:lineRule="auto"/>
              <w:ind w:firstLine="0" w:firstLineChars="0"/>
              <w:jc w:val="center"/>
              <w:rPr>
                <w:bCs/>
                <w:color w:val="auto"/>
                <w:sz w:val="21"/>
                <w:szCs w:val="21"/>
              </w:rPr>
            </w:pPr>
            <w:r>
              <w:rPr>
                <w:bCs/>
                <w:color w:val="auto"/>
                <w:sz w:val="21"/>
                <w:szCs w:val="21"/>
              </w:rPr>
              <w:t>猪舍猪叫、粪污处理设备、风机等运行产生的</w:t>
            </w:r>
            <w:r>
              <w:rPr>
                <w:rFonts w:hint="eastAsia"/>
                <w:bCs/>
                <w:color w:val="auto"/>
                <w:sz w:val="21"/>
                <w:szCs w:val="21"/>
              </w:rPr>
              <w:t>噪声</w:t>
            </w:r>
          </w:p>
        </w:tc>
        <w:tc>
          <w:tcPr>
            <w:tcW w:w="1616" w:type="pct"/>
            <w:vAlign w:val="center"/>
          </w:tcPr>
          <w:p>
            <w:pPr>
              <w:spacing w:line="240" w:lineRule="auto"/>
              <w:ind w:firstLine="0" w:firstLineChars="0"/>
              <w:jc w:val="center"/>
              <w:rPr>
                <w:bCs/>
                <w:color w:val="auto"/>
                <w:sz w:val="21"/>
                <w:szCs w:val="21"/>
              </w:rPr>
            </w:pPr>
            <w:r>
              <w:rPr>
                <w:bCs/>
                <w:color w:val="auto"/>
                <w:sz w:val="21"/>
                <w:szCs w:val="21"/>
              </w:rPr>
              <w:t>噪声</w:t>
            </w:r>
          </w:p>
        </w:tc>
        <w:tc>
          <w:tcPr>
            <w:tcW w:w="1477" w:type="pct"/>
            <w:vAlign w:val="center"/>
          </w:tcPr>
          <w:p>
            <w:pPr>
              <w:spacing w:line="240" w:lineRule="auto"/>
              <w:ind w:firstLine="0" w:firstLineChars="0"/>
              <w:jc w:val="center"/>
              <w:rPr>
                <w:bCs/>
                <w:color w:val="auto"/>
                <w:sz w:val="21"/>
                <w:szCs w:val="21"/>
              </w:rPr>
            </w:pPr>
            <w:r>
              <w:rPr>
                <w:bCs/>
                <w:color w:val="auto"/>
                <w:sz w:val="21"/>
                <w:szCs w:val="21"/>
              </w:rPr>
              <w:t>达标排放</w:t>
            </w:r>
          </w:p>
        </w:tc>
      </w:tr>
    </w:tbl>
    <w:p>
      <w:pPr>
        <w:pStyle w:val="39"/>
        <w:spacing w:line="500" w:lineRule="exact"/>
        <w:ind w:firstLine="480"/>
        <w:rPr>
          <w:color w:val="auto"/>
        </w:rPr>
      </w:pPr>
      <w:r>
        <w:rPr>
          <w:color w:val="auto"/>
        </w:rPr>
        <w:t>3.3.2.1</w:t>
      </w:r>
      <w:bookmarkEnd w:id="353"/>
      <w:bookmarkEnd w:id="354"/>
      <w:bookmarkEnd w:id="355"/>
      <w:bookmarkEnd w:id="356"/>
      <w:bookmarkEnd w:id="357"/>
      <w:bookmarkEnd w:id="358"/>
      <w:bookmarkEnd w:id="359"/>
      <w:r>
        <w:rPr>
          <w:color w:val="auto"/>
        </w:rPr>
        <w:t>废气污染物产排情况</w:t>
      </w:r>
    </w:p>
    <w:p>
      <w:pPr>
        <w:spacing w:line="500" w:lineRule="exact"/>
        <w:ind w:firstLine="480"/>
        <w:rPr>
          <w:color w:val="auto"/>
        </w:rPr>
      </w:pPr>
      <w:r>
        <w:rPr>
          <w:color w:val="auto"/>
        </w:rPr>
        <w:t>本项目产生的废气主要来自养殖过程、污水处理工程（</w:t>
      </w:r>
      <w:r>
        <w:rPr>
          <w:rFonts w:hint="eastAsia"/>
          <w:color w:val="auto"/>
        </w:rPr>
        <w:t>黑膜沼气池兼做沼液储存池</w:t>
      </w:r>
      <w:r>
        <w:rPr>
          <w:color w:val="auto"/>
        </w:rPr>
        <w:t>）、</w:t>
      </w:r>
      <w:r>
        <w:rPr>
          <w:rFonts w:hint="eastAsia"/>
          <w:color w:val="auto"/>
        </w:rPr>
        <w:t>固粪处理区、无害化处理区</w:t>
      </w:r>
      <w:r>
        <w:rPr>
          <w:color w:val="auto"/>
        </w:rPr>
        <w:t>等产生的恶臭及食堂油烟。本项目污染物源强类比牧原公司其他生猪养殖场，以上项目均属牧原食品有限公司旗下养殖场，与本项目养殖方式相似，工艺相同，因此污染物源强具有可类比性。</w:t>
      </w:r>
    </w:p>
    <w:p>
      <w:pPr>
        <w:spacing w:line="500" w:lineRule="exact"/>
        <w:ind w:firstLine="480"/>
        <w:rPr>
          <w:color w:val="auto"/>
        </w:rPr>
      </w:pPr>
      <w:r>
        <w:rPr>
          <w:color w:val="auto"/>
        </w:rPr>
        <w:t>（1）养殖过程猪舍恶臭</w:t>
      </w:r>
    </w:p>
    <w:p>
      <w:pPr>
        <w:spacing w:line="500" w:lineRule="exact"/>
        <w:ind w:firstLine="480"/>
        <w:rPr>
          <w:color w:val="auto"/>
        </w:rPr>
      </w:pPr>
      <w:r>
        <w:rPr>
          <w:color w:val="auto"/>
        </w:rPr>
        <w:t>养殖过程恶臭气体主要产生于猪舍内，为了有效核定出臭气中NH</w:t>
      </w:r>
      <w:r>
        <w:rPr>
          <w:color w:val="auto"/>
          <w:vertAlign w:val="subscript"/>
        </w:rPr>
        <w:t>3</w:t>
      </w:r>
      <w:r>
        <w:rPr>
          <w:color w:val="auto"/>
        </w:rPr>
        <w:t>、H</w:t>
      </w:r>
      <w:r>
        <w:rPr>
          <w:color w:val="auto"/>
          <w:vertAlign w:val="subscript"/>
        </w:rPr>
        <w:t>2</w:t>
      </w:r>
      <w:r>
        <w:rPr>
          <w:color w:val="auto"/>
        </w:rPr>
        <w:t>S产生情况，本次评价类比采用其他类似猪舍的恶臭产生源强，本次评价类比</w:t>
      </w:r>
      <w:r>
        <w:rPr>
          <w:rFonts w:hint="eastAsia"/>
          <w:color w:val="auto"/>
        </w:rPr>
        <w:t>已建成并完成验收的范县牧原二场生猪养殖场，并根据牧原集团多年的实际经验数据</w:t>
      </w:r>
      <w:r>
        <w:rPr>
          <w:color w:val="auto"/>
        </w:rPr>
        <w:t>，育肥猪H</w:t>
      </w:r>
      <w:r>
        <w:rPr>
          <w:color w:val="auto"/>
          <w:vertAlign w:val="subscript"/>
        </w:rPr>
        <w:t>2</w:t>
      </w:r>
      <w:r>
        <w:rPr>
          <w:color w:val="auto"/>
        </w:rPr>
        <w:t>S产生源强为0.017g/头·d（保育猪乘以0.2的系数），NH</w:t>
      </w:r>
      <w:r>
        <w:rPr>
          <w:color w:val="auto"/>
          <w:vertAlign w:val="subscript"/>
        </w:rPr>
        <w:t>3</w:t>
      </w:r>
      <w:r>
        <w:rPr>
          <w:color w:val="auto"/>
        </w:rPr>
        <w:t>产生源强为0.2g/头·d（保育猪乘以0.2的系数），以上数据是在猪舍没有采取任何措施的情况下的产生量。</w:t>
      </w:r>
    </w:p>
    <w:p>
      <w:pPr>
        <w:spacing w:line="500" w:lineRule="exact"/>
        <w:ind w:firstLine="480"/>
        <w:rPr>
          <w:color w:val="auto"/>
        </w:rPr>
      </w:pPr>
      <w:r>
        <w:rPr>
          <w:color w:val="auto"/>
        </w:rPr>
        <w:t>本项目拟采用</w:t>
      </w:r>
      <w:r>
        <w:rPr>
          <w:rFonts w:hint="eastAsia"/>
          <w:color w:val="auto"/>
        </w:rPr>
        <w:t>调整饲料配方</w:t>
      </w:r>
      <w:r>
        <w:rPr>
          <w:color w:val="auto"/>
        </w:rPr>
        <w:t>、采用节水型饮水器、全漏缝地板及时清粪</w:t>
      </w:r>
      <w:r>
        <w:rPr>
          <w:rFonts w:hint="eastAsia"/>
          <w:color w:val="auto"/>
        </w:rPr>
        <w:t>、猪舍出风口处设置风机，将臭气引至除臭棚处理，除臭棚墙内填充填料吸附，同时除臭棚顶部有喷淋水装置</w:t>
      </w:r>
      <w:r>
        <w:rPr>
          <w:color w:val="auto"/>
        </w:rPr>
        <w:t>等措施对项目产生的H</w:t>
      </w:r>
      <w:r>
        <w:rPr>
          <w:color w:val="auto"/>
          <w:vertAlign w:val="subscript"/>
        </w:rPr>
        <w:t>2</w:t>
      </w:r>
      <w:r>
        <w:rPr>
          <w:color w:val="auto"/>
        </w:rPr>
        <w:t>S和NH</w:t>
      </w:r>
      <w:r>
        <w:rPr>
          <w:color w:val="auto"/>
          <w:vertAlign w:val="subscript"/>
        </w:rPr>
        <w:t>3</w:t>
      </w:r>
      <w:r>
        <w:rPr>
          <w:color w:val="auto"/>
        </w:rPr>
        <w:t>进行治理。本次评价类比</w:t>
      </w:r>
      <w:r>
        <w:rPr>
          <w:rFonts w:hint="eastAsia"/>
          <w:color w:val="auto"/>
        </w:rPr>
        <w:t>已建成并完成验收的范县牧原二场生猪养殖场，并根据牧原集团的内部综合评估</w:t>
      </w:r>
      <w:r>
        <w:rPr>
          <w:color w:val="auto"/>
        </w:rPr>
        <w:t>，通过以上措施可以有效抑制和去除H</w:t>
      </w:r>
      <w:r>
        <w:rPr>
          <w:color w:val="auto"/>
          <w:vertAlign w:val="subscript"/>
        </w:rPr>
        <w:t>2</w:t>
      </w:r>
      <w:r>
        <w:rPr>
          <w:color w:val="auto"/>
        </w:rPr>
        <w:t>S和NH</w:t>
      </w:r>
      <w:r>
        <w:rPr>
          <w:color w:val="auto"/>
          <w:vertAlign w:val="subscript"/>
        </w:rPr>
        <w:t>3</w:t>
      </w:r>
      <w:r>
        <w:rPr>
          <w:color w:val="auto"/>
        </w:rPr>
        <w:t>的产生量，去除效率为</w:t>
      </w:r>
      <w:r>
        <w:rPr>
          <w:rFonts w:hint="eastAsia"/>
          <w:color w:val="auto"/>
        </w:rPr>
        <w:t>85</w:t>
      </w:r>
      <w:r>
        <w:rPr>
          <w:color w:val="auto"/>
        </w:rPr>
        <w:t>%。通过以上措施可以有效抑制和去除H</w:t>
      </w:r>
      <w:r>
        <w:rPr>
          <w:color w:val="auto"/>
          <w:vertAlign w:val="subscript"/>
        </w:rPr>
        <w:t>2</w:t>
      </w:r>
      <w:r>
        <w:rPr>
          <w:color w:val="auto"/>
        </w:rPr>
        <w:t>S和NH</w:t>
      </w:r>
      <w:r>
        <w:rPr>
          <w:color w:val="auto"/>
          <w:vertAlign w:val="subscript"/>
        </w:rPr>
        <w:t>3</w:t>
      </w:r>
      <w:r>
        <w:rPr>
          <w:color w:val="auto"/>
        </w:rPr>
        <w:t>的产生量，恶臭控制及处置措施可行。</w:t>
      </w:r>
    </w:p>
    <w:p>
      <w:pPr>
        <w:spacing w:line="500" w:lineRule="exact"/>
        <w:ind w:firstLine="482"/>
        <w:jc w:val="left"/>
        <w:rPr>
          <w:b/>
          <w:color w:val="auto"/>
          <w:szCs w:val="21"/>
        </w:rPr>
      </w:pPr>
      <w:r>
        <w:rPr>
          <w:b/>
          <w:color w:val="auto"/>
          <w:szCs w:val="21"/>
        </w:rPr>
        <w:t>表3.3-5               本项目养殖过程猪舍恶臭气体产排情况</w:t>
      </w:r>
    </w:p>
    <w:tbl>
      <w:tblPr>
        <w:tblStyle w:val="27"/>
        <w:tblW w:w="8802" w:type="dxa"/>
        <w:tblInd w:w="0" w:type="dxa"/>
        <w:tblBorders>
          <w:top w:val="single" w:color="auto" w:sz="2" w:space="0"/>
          <w:left w:val="none" w:color="auto" w:sz="0" w:space="0"/>
          <w:bottom w:val="single" w:color="auto" w:sz="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908"/>
        <w:gridCol w:w="992"/>
        <w:gridCol w:w="992"/>
        <w:gridCol w:w="926"/>
        <w:gridCol w:w="917"/>
        <w:gridCol w:w="1985"/>
        <w:gridCol w:w="976"/>
        <w:gridCol w:w="1106"/>
      </w:tblGrid>
      <w:tr>
        <w:tblPrEx>
          <w:tblBorders>
            <w:top w:val="single" w:color="auto" w:sz="2" w:space="0"/>
            <w:left w:val="none" w:color="auto" w:sz="0" w:space="0"/>
            <w:bottom w:val="single" w:color="auto" w:sz="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1900" w:type="dxa"/>
            <w:gridSpan w:val="2"/>
            <w:vMerge w:val="restart"/>
            <w:vAlign w:val="center"/>
          </w:tcPr>
          <w:p>
            <w:pPr>
              <w:spacing w:line="240" w:lineRule="auto"/>
              <w:ind w:firstLine="0" w:firstLineChars="0"/>
              <w:jc w:val="center"/>
              <w:rPr>
                <w:b/>
                <w:color w:val="auto"/>
                <w:sz w:val="21"/>
                <w:szCs w:val="21"/>
              </w:rPr>
            </w:pPr>
            <w:r>
              <w:rPr>
                <w:b/>
                <w:color w:val="auto"/>
                <w:sz w:val="21"/>
                <w:szCs w:val="21"/>
              </w:rPr>
              <w:t>污染源</w:t>
            </w:r>
          </w:p>
        </w:tc>
        <w:tc>
          <w:tcPr>
            <w:tcW w:w="992" w:type="dxa"/>
            <w:vMerge w:val="restart"/>
            <w:vAlign w:val="center"/>
          </w:tcPr>
          <w:p>
            <w:pPr>
              <w:spacing w:line="240" w:lineRule="auto"/>
              <w:ind w:firstLine="0" w:firstLineChars="0"/>
              <w:jc w:val="center"/>
              <w:rPr>
                <w:b/>
                <w:color w:val="auto"/>
                <w:sz w:val="21"/>
                <w:szCs w:val="21"/>
              </w:rPr>
            </w:pPr>
            <w:r>
              <w:rPr>
                <w:b/>
                <w:color w:val="auto"/>
                <w:sz w:val="21"/>
                <w:szCs w:val="21"/>
              </w:rPr>
              <w:t>存栏数</w:t>
            </w:r>
          </w:p>
          <w:p>
            <w:pPr>
              <w:spacing w:line="240" w:lineRule="auto"/>
              <w:ind w:firstLine="0" w:firstLineChars="0"/>
              <w:jc w:val="center"/>
              <w:rPr>
                <w:color w:val="auto"/>
                <w:sz w:val="21"/>
                <w:szCs w:val="21"/>
              </w:rPr>
            </w:pPr>
            <w:r>
              <w:rPr>
                <w:b/>
                <w:color w:val="auto"/>
                <w:sz w:val="21"/>
                <w:szCs w:val="21"/>
              </w:rPr>
              <w:t>(头)</w:t>
            </w:r>
          </w:p>
        </w:tc>
        <w:tc>
          <w:tcPr>
            <w:tcW w:w="1843" w:type="dxa"/>
            <w:gridSpan w:val="2"/>
            <w:tcMar>
              <w:left w:w="0" w:type="dxa"/>
              <w:right w:w="0" w:type="dxa"/>
            </w:tcMar>
            <w:vAlign w:val="center"/>
          </w:tcPr>
          <w:p>
            <w:pPr>
              <w:spacing w:line="240" w:lineRule="auto"/>
              <w:ind w:firstLine="0" w:firstLineChars="0"/>
              <w:jc w:val="center"/>
              <w:rPr>
                <w:b/>
                <w:color w:val="auto"/>
                <w:sz w:val="21"/>
                <w:szCs w:val="21"/>
              </w:rPr>
            </w:pPr>
            <w:r>
              <w:rPr>
                <w:b/>
                <w:color w:val="auto"/>
                <w:sz w:val="21"/>
                <w:szCs w:val="21"/>
              </w:rPr>
              <w:t>污染物产生量（kg/d）</w:t>
            </w:r>
          </w:p>
        </w:tc>
        <w:tc>
          <w:tcPr>
            <w:tcW w:w="1985" w:type="dxa"/>
            <w:vMerge w:val="restart"/>
            <w:tcMar>
              <w:left w:w="0" w:type="dxa"/>
              <w:right w:w="0" w:type="dxa"/>
            </w:tcMar>
            <w:vAlign w:val="center"/>
          </w:tcPr>
          <w:p>
            <w:pPr>
              <w:spacing w:line="240" w:lineRule="auto"/>
              <w:ind w:firstLine="0" w:firstLineChars="0"/>
              <w:jc w:val="center"/>
              <w:rPr>
                <w:b/>
                <w:color w:val="auto"/>
                <w:sz w:val="21"/>
                <w:szCs w:val="21"/>
              </w:rPr>
            </w:pPr>
            <w:r>
              <w:rPr>
                <w:b/>
                <w:color w:val="auto"/>
                <w:sz w:val="21"/>
                <w:szCs w:val="21"/>
              </w:rPr>
              <w:t>拟处理措施</w:t>
            </w:r>
          </w:p>
        </w:tc>
        <w:tc>
          <w:tcPr>
            <w:tcW w:w="2082" w:type="dxa"/>
            <w:gridSpan w:val="2"/>
            <w:tcMar>
              <w:left w:w="0" w:type="dxa"/>
              <w:right w:w="0" w:type="dxa"/>
            </w:tcMar>
            <w:vAlign w:val="center"/>
          </w:tcPr>
          <w:p>
            <w:pPr>
              <w:spacing w:line="240" w:lineRule="auto"/>
              <w:ind w:firstLine="0" w:firstLineChars="0"/>
              <w:jc w:val="center"/>
              <w:rPr>
                <w:b/>
                <w:color w:val="auto"/>
                <w:sz w:val="21"/>
                <w:szCs w:val="21"/>
              </w:rPr>
            </w:pPr>
            <w:r>
              <w:rPr>
                <w:b/>
                <w:color w:val="auto"/>
                <w:sz w:val="21"/>
                <w:szCs w:val="21"/>
              </w:rPr>
              <w:t>污染物排放量（kg/d）</w:t>
            </w:r>
          </w:p>
        </w:tc>
      </w:tr>
      <w:tr>
        <w:tblPrEx>
          <w:tblBorders>
            <w:top w:val="single" w:color="auto" w:sz="2" w:space="0"/>
            <w:left w:val="none" w:color="auto" w:sz="0" w:space="0"/>
            <w:bottom w:val="single" w:color="auto" w:sz="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1900" w:type="dxa"/>
            <w:gridSpan w:val="2"/>
            <w:vMerge w:val="continue"/>
            <w:vAlign w:val="center"/>
          </w:tcPr>
          <w:p>
            <w:pPr>
              <w:spacing w:line="240" w:lineRule="auto"/>
              <w:ind w:firstLine="0" w:firstLineChars="0"/>
              <w:jc w:val="center"/>
              <w:rPr>
                <w:b/>
                <w:color w:val="auto"/>
                <w:sz w:val="21"/>
                <w:szCs w:val="21"/>
              </w:rPr>
            </w:pPr>
          </w:p>
        </w:tc>
        <w:tc>
          <w:tcPr>
            <w:tcW w:w="992" w:type="dxa"/>
            <w:vMerge w:val="continue"/>
            <w:vAlign w:val="center"/>
          </w:tcPr>
          <w:p>
            <w:pPr>
              <w:spacing w:line="240" w:lineRule="auto"/>
              <w:ind w:firstLine="0" w:firstLineChars="0"/>
              <w:jc w:val="center"/>
              <w:rPr>
                <w:b/>
                <w:color w:val="auto"/>
                <w:sz w:val="21"/>
                <w:szCs w:val="21"/>
              </w:rPr>
            </w:pPr>
          </w:p>
        </w:tc>
        <w:tc>
          <w:tcPr>
            <w:tcW w:w="926" w:type="dxa"/>
            <w:tcMar>
              <w:left w:w="0" w:type="dxa"/>
              <w:right w:w="0" w:type="dxa"/>
            </w:tcMar>
            <w:vAlign w:val="center"/>
          </w:tcPr>
          <w:p>
            <w:pPr>
              <w:spacing w:line="240" w:lineRule="auto"/>
              <w:ind w:firstLine="0" w:firstLineChars="0"/>
              <w:jc w:val="center"/>
              <w:rPr>
                <w:b/>
                <w:color w:val="auto"/>
                <w:sz w:val="21"/>
                <w:szCs w:val="21"/>
              </w:rPr>
            </w:pPr>
            <w:r>
              <w:rPr>
                <w:b/>
                <w:color w:val="auto"/>
                <w:sz w:val="21"/>
                <w:szCs w:val="21"/>
              </w:rPr>
              <w:t>NH</w:t>
            </w:r>
            <w:r>
              <w:rPr>
                <w:b/>
                <w:color w:val="auto"/>
                <w:sz w:val="21"/>
                <w:szCs w:val="21"/>
                <w:vertAlign w:val="subscript"/>
              </w:rPr>
              <w:t>3</w:t>
            </w:r>
          </w:p>
        </w:tc>
        <w:tc>
          <w:tcPr>
            <w:tcW w:w="917" w:type="dxa"/>
            <w:tcMar>
              <w:left w:w="0" w:type="dxa"/>
              <w:right w:w="0" w:type="dxa"/>
            </w:tcMar>
            <w:vAlign w:val="center"/>
          </w:tcPr>
          <w:p>
            <w:pPr>
              <w:spacing w:line="240" w:lineRule="auto"/>
              <w:ind w:firstLine="0" w:firstLineChars="0"/>
              <w:jc w:val="center"/>
              <w:rPr>
                <w:b/>
                <w:color w:val="auto"/>
                <w:sz w:val="21"/>
                <w:szCs w:val="21"/>
              </w:rPr>
            </w:pPr>
            <w:r>
              <w:rPr>
                <w:b/>
                <w:color w:val="auto"/>
                <w:sz w:val="21"/>
                <w:szCs w:val="21"/>
              </w:rPr>
              <w:t>H</w:t>
            </w:r>
            <w:r>
              <w:rPr>
                <w:b/>
                <w:color w:val="auto"/>
                <w:sz w:val="21"/>
                <w:szCs w:val="21"/>
                <w:vertAlign w:val="subscript"/>
              </w:rPr>
              <w:t>2</w:t>
            </w:r>
            <w:r>
              <w:rPr>
                <w:b/>
                <w:color w:val="auto"/>
                <w:sz w:val="21"/>
                <w:szCs w:val="21"/>
              </w:rPr>
              <w:t>S</w:t>
            </w:r>
          </w:p>
        </w:tc>
        <w:tc>
          <w:tcPr>
            <w:tcW w:w="1985" w:type="dxa"/>
            <w:vMerge w:val="continue"/>
            <w:tcMar>
              <w:left w:w="0" w:type="dxa"/>
              <w:right w:w="0" w:type="dxa"/>
            </w:tcMar>
            <w:vAlign w:val="center"/>
          </w:tcPr>
          <w:p>
            <w:pPr>
              <w:spacing w:line="240" w:lineRule="auto"/>
              <w:ind w:firstLine="0" w:firstLineChars="0"/>
              <w:jc w:val="center"/>
              <w:rPr>
                <w:b/>
                <w:color w:val="auto"/>
                <w:sz w:val="21"/>
                <w:szCs w:val="21"/>
              </w:rPr>
            </w:pPr>
          </w:p>
        </w:tc>
        <w:tc>
          <w:tcPr>
            <w:tcW w:w="976" w:type="dxa"/>
            <w:tcMar>
              <w:left w:w="0" w:type="dxa"/>
              <w:right w:w="0" w:type="dxa"/>
            </w:tcMar>
            <w:vAlign w:val="center"/>
          </w:tcPr>
          <w:p>
            <w:pPr>
              <w:spacing w:line="240" w:lineRule="auto"/>
              <w:ind w:firstLine="0" w:firstLineChars="0"/>
              <w:jc w:val="center"/>
              <w:rPr>
                <w:b/>
                <w:color w:val="auto"/>
                <w:sz w:val="21"/>
                <w:szCs w:val="21"/>
              </w:rPr>
            </w:pPr>
            <w:r>
              <w:rPr>
                <w:b/>
                <w:color w:val="auto"/>
                <w:sz w:val="21"/>
                <w:szCs w:val="21"/>
              </w:rPr>
              <w:t>NH</w:t>
            </w:r>
            <w:r>
              <w:rPr>
                <w:b/>
                <w:color w:val="auto"/>
                <w:sz w:val="21"/>
                <w:szCs w:val="21"/>
                <w:vertAlign w:val="subscript"/>
              </w:rPr>
              <w:t>3</w:t>
            </w:r>
          </w:p>
        </w:tc>
        <w:tc>
          <w:tcPr>
            <w:tcW w:w="1106" w:type="dxa"/>
            <w:tcMar>
              <w:left w:w="0" w:type="dxa"/>
              <w:right w:w="0" w:type="dxa"/>
            </w:tcMar>
            <w:vAlign w:val="center"/>
          </w:tcPr>
          <w:p>
            <w:pPr>
              <w:spacing w:line="240" w:lineRule="auto"/>
              <w:ind w:firstLine="0" w:firstLineChars="0"/>
              <w:jc w:val="center"/>
              <w:rPr>
                <w:b/>
                <w:color w:val="auto"/>
                <w:sz w:val="21"/>
                <w:szCs w:val="21"/>
              </w:rPr>
            </w:pPr>
            <w:r>
              <w:rPr>
                <w:b/>
                <w:color w:val="auto"/>
                <w:sz w:val="21"/>
                <w:szCs w:val="21"/>
              </w:rPr>
              <w:t>H</w:t>
            </w:r>
            <w:r>
              <w:rPr>
                <w:b/>
                <w:color w:val="auto"/>
                <w:sz w:val="21"/>
                <w:szCs w:val="21"/>
                <w:vertAlign w:val="subscript"/>
              </w:rPr>
              <w:t>2</w:t>
            </w:r>
            <w:r>
              <w:rPr>
                <w:b/>
                <w:color w:val="auto"/>
                <w:sz w:val="21"/>
                <w:szCs w:val="21"/>
              </w:rPr>
              <w:t>S</w:t>
            </w:r>
          </w:p>
        </w:tc>
      </w:tr>
      <w:tr>
        <w:tblPrEx>
          <w:tblBorders>
            <w:top w:val="single" w:color="auto" w:sz="2" w:space="0"/>
            <w:left w:val="none" w:color="auto" w:sz="0" w:space="0"/>
            <w:bottom w:val="single" w:color="auto" w:sz="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275" w:hRule="atLeast"/>
        </w:trPr>
        <w:tc>
          <w:tcPr>
            <w:tcW w:w="908" w:type="dxa"/>
            <w:vMerge w:val="restart"/>
            <w:vAlign w:val="center"/>
          </w:tcPr>
          <w:p>
            <w:pPr>
              <w:spacing w:line="240" w:lineRule="auto"/>
              <w:ind w:firstLine="0" w:firstLineChars="0"/>
              <w:jc w:val="center"/>
              <w:rPr>
                <w:color w:val="auto"/>
                <w:spacing w:val="-10"/>
                <w:sz w:val="21"/>
                <w:szCs w:val="21"/>
              </w:rPr>
            </w:pPr>
            <w:r>
              <w:rPr>
                <w:color w:val="auto"/>
                <w:spacing w:val="-8"/>
                <w:sz w:val="21"/>
                <w:szCs w:val="21"/>
              </w:rPr>
              <w:t>保育育</w:t>
            </w:r>
            <w:r>
              <w:rPr>
                <w:color w:val="auto"/>
                <w:spacing w:val="-10"/>
                <w:sz w:val="21"/>
                <w:szCs w:val="21"/>
              </w:rPr>
              <w:t>肥一体舍</w:t>
            </w:r>
          </w:p>
        </w:tc>
        <w:tc>
          <w:tcPr>
            <w:tcW w:w="992" w:type="dxa"/>
            <w:vAlign w:val="center"/>
          </w:tcPr>
          <w:p>
            <w:pPr>
              <w:spacing w:line="240" w:lineRule="auto"/>
              <w:ind w:firstLine="0" w:firstLineChars="0"/>
              <w:jc w:val="center"/>
              <w:rPr>
                <w:color w:val="auto"/>
                <w:sz w:val="21"/>
                <w:szCs w:val="21"/>
              </w:rPr>
            </w:pPr>
            <w:r>
              <w:rPr>
                <w:color w:val="auto"/>
                <w:sz w:val="21"/>
                <w:szCs w:val="21"/>
              </w:rPr>
              <w:t>保育猪</w:t>
            </w:r>
          </w:p>
        </w:tc>
        <w:tc>
          <w:tcPr>
            <w:tcW w:w="992" w:type="dxa"/>
            <w:vAlign w:val="center"/>
          </w:tcPr>
          <w:p>
            <w:pPr>
              <w:spacing w:line="240" w:lineRule="auto"/>
              <w:ind w:firstLine="0" w:firstLineChars="0"/>
              <w:jc w:val="center"/>
              <w:rPr>
                <w:color w:val="auto"/>
                <w:sz w:val="21"/>
                <w:szCs w:val="21"/>
              </w:rPr>
            </w:pPr>
            <w:r>
              <w:rPr>
                <w:rFonts w:hint="eastAsia"/>
                <w:color w:val="auto"/>
                <w:sz w:val="21"/>
                <w:szCs w:val="21"/>
              </w:rPr>
              <w:t>6300</w:t>
            </w:r>
          </w:p>
        </w:tc>
        <w:tc>
          <w:tcPr>
            <w:tcW w:w="926" w:type="dxa"/>
            <w:tcMar>
              <w:left w:w="0" w:type="dxa"/>
              <w:right w:w="0" w:type="dxa"/>
            </w:tcMar>
            <w:vAlign w:val="center"/>
          </w:tcPr>
          <w:p>
            <w:pPr>
              <w:spacing w:line="240" w:lineRule="auto"/>
              <w:ind w:firstLine="0" w:firstLineChars="0"/>
              <w:jc w:val="center"/>
              <w:rPr>
                <w:color w:val="auto"/>
                <w:sz w:val="21"/>
                <w:szCs w:val="21"/>
              </w:rPr>
            </w:pPr>
            <w:r>
              <w:rPr>
                <w:rFonts w:hint="eastAsia"/>
                <w:color w:val="auto"/>
                <w:sz w:val="21"/>
                <w:szCs w:val="21"/>
              </w:rPr>
              <w:t>0.252</w:t>
            </w:r>
          </w:p>
        </w:tc>
        <w:tc>
          <w:tcPr>
            <w:tcW w:w="917" w:type="dxa"/>
            <w:tcMar>
              <w:left w:w="0" w:type="dxa"/>
              <w:right w:w="0" w:type="dxa"/>
            </w:tcMar>
            <w:vAlign w:val="center"/>
          </w:tcPr>
          <w:p>
            <w:pPr>
              <w:spacing w:line="240" w:lineRule="auto"/>
              <w:ind w:firstLine="0" w:firstLineChars="0"/>
              <w:jc w:val="center"/>
              <w:rPr>
                <w:color w:val="auto"/>
                <w:sz w:val="21"/>
                <w:szCs w:val="21"/>
              </w:rPr>
            </w:pPr>
            <w:r>
              <w:rPr>
                <w:rFonts w:hint="eastAsia"/>
                <w:color w:val="auto"/>
                <w:sz w:val="21"/>
                <w:szCs w:val="21"/>
              </w:rPr>
              <w:t>0.021</w:t>
            </w:r>
          </w:p>
        </w:tc>
        <w:tc>
          <w:tcPr>
            <w:tcW w:w="1985" w:type="dxa"/>
            <w:vMerge w:val="restart"/>
            <w:tcMar>
              <w:left w:w="0" w:type="dxa"/>
              <w:right w:w="0" w:type="dxa"/>
            </w:tcMar>
            <w:vAlign w:val="center"/>
          </w:tcPr>
          <w:p>
            <w:pPr>
              <w:spacing w:line="240" w:lineRule="auto"/>
              <w:ind w:firstLine="0" w:firstLineChars="0"/>
              <w:jc w:val="center"/>
              <w:rPr>
                <w:color w:val="auto"/>
                <w:sz w:val="21"/>
                <w:szCs w:val="21"/>
              </w:rPr>
            </w:pPr>
            <w:r>
              <w:rPr>
                <w:rFonts w:hint="eastAsia"/>
                <w:color w:val="auto"/>
                <w:sz w:val="21"/>
                <w:szCs w:val="21"/>
              </w:rPr>
              <w:t>调整饲料配方</w:t>
            </w:r>
            <w:r>
              <w:rPr>
                <w:color w:val="auto"/>
                <w:sz w:val="21"/>
                <w:szCs w:val="21"/>
              </w:rPr>
              <w:t>、采用节水型饮水器、全漏缝地板及时清粪</w:t>
            </w:r>
            <w:r>
              <w:rPr>
                <w:rFonts w:hint="eastAsia"/>
                <w:color w:val="auto"/>
                <w:sz w:val="21"/>
                <w:szCs w:val="21"/>
              </w:rPr>
              <w:t>，猪舍出风口处设置风机，将臭气引至除臭棚处理，除臭棚墙内填充填料吸附，同时除臭棚顶部有喷淋水装置</w:t>
            </w:r>
            <w:r>
              <w:rPr>
                <w:color w:val="auto"/>
                <w:sz w:val="21"/>
                <w:szCs w:val="21"/>
              </w:rPr>
              <w:t>等，恶臭去除效率可达到</w:t>
            </w:r>
            <w:r>
              <w:rPr>
                <w:rFonts w:hint="eastAsia"/>
                <w:color w:val="auto"/>
                <w:sz w:val="21"/>
                <w:szCs w:val="21"/>
              </w:rPr>
              <w:t>85</w:t>
            </w:r>
            <w:r>
              <w:rPr>
                <w:color w:val="auto"/>
                <w:sz w:val="21"/>
                <w:szCs w:val="21"/>
              </w:rPr>
              <w:t>%</w:t>
            </w:r>
          </w:p>
        </w:tc>
        <w:tc>
          <w:tcPr>
            <w:tcW w:w="976" w:type="dxa"/>
            <w:tcMar>
              <w:left w:w="0" w:type="dxa"/>
              <w:right w:w="0" w:type="dxa"/>
            </w:tcMar>
            <w:vAlign w:val="center"/>
          </w:tcPr>
          <w:p>
            <w:pPr>
              <w:spacing w:line="240" w:lineRule="auto"/>
              <w:ind w:firstLine="0" w:firstLineChars="0"/>
              <w:jc w:val="center"/>
              <w:rPr>
                <w:color w:val="auto"/>
                <w:sz w:val="21"/>
                <w:szCs w:val="21"/>
              </w:rPr>
            </w:pPr>
            <w:r>
              <w:rPr>
                <w:rFonts w:hint="eastAsia"/>
                <w:color w:val="auto"/>
                <w:sz w:val="21"/>
                <w:szCs w:val="21"/>
              </w:rPr>
              <w:t>0.038</w:t>
            </w:r>
          </w:p>
        </w:tc>
        <w:tc>
          <w:tcPr>
            <w:tcW w:w="1106" w:type="dxa"/>
            <w:tcMar>
              <w:left w:w="0" w:type="dxa"/>
              <w:right w:w="0" w:type="dxa"/>
            </w:tcMar>
            <w:vAlign w:val="center"/>
          </w:tcPr>
          <w:p>
            <w:pPr>
              <w:spacing w:line="240" w:lineRule="auto"/>
              <w:ind w:firstLine="0" w:firstLineChars="0"/>
              <w:jc w:val="center"/>
              <w:rPr>
                <w:color w:val="auto"/>
                <w:sz w:val="21"/>
                <w:szCs w:val="21"/>
              </w:rPr>
            </w:pPr>
            <w:r>
              <w:rPr>
                <w:rFonts w:hint="eastAsia"/>
                <w:color w:val="auto"/>
                <w:sz w:val="21"/>
                <w:szCs w:val="21"/>
              </w:rPr>
              <w:t>0.0032</w:t>
            </w:r>
          </w:p>
        </w:tc>
      </w:tr>
      <w:tr>
        <w:tblPrEx>
          <w:tblBorders>
            <w:top w:val="single" w:color="auto" w:sz="2" w:space="0"/>
            <w:left w:val="none" w:color="auto" w:sz="0" w:space="0"/>
            <w:bottom w:val="single" w:color="auto" w:sz="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908" w:type="dxa"/>
            <w:vMerge w:val="continue"/>
            <w:vAlign w:val="center"/>
          </w:tcPr>
          <w:p>
            <w:pPr>
              <w:spacing w:line="240" w:lineRule="auto"/>
              <w:ind w:firstLine="0" w:firstLineChars="0"/>
              <w:jc w:val="center"/>
              <w:rPr>
                <w:color w:val="auto"/>
                <w:sz w:val="21"/>
                <w:szCs w:val="21"/>
              </w:rPr>
            </w:pPr>
          </w:p>
        </w:tc>
        <w:tc>
          <w:tcPr>
            <w:tcW w:w="992" w:type="dxa"/>
            <w:vAlign w:val="center"/>
          </w:tcPr>
          <w:p>
            <w:pPr>
              <w:spacing w:line="240" w:lineRule="auto"/>
              <w:ind w:firstLine="0" w:firstLineChars="0"/>
              <w:jc w:val="center"/>
              <w:rPr>
                <w:color w:val="auto"/>
                <w:sz w:val="21"/>
                <w:szCs w:val="21"/>
              </w:rPr>
            </w:pPr>
            <w:r>
              <w:rPr>
                <w:color w:val="auto"/>
                <w:sz w:val="21"/>
                <w:szCs w:val="21"/>
              </w:rPr>
              <w:t>育</w:t>
            </w:r>
            <w:r>
              <w:rPr>
                <w:rFonts w:hint="eastAsia"/>
                <w:color w:val="auto"/>
                <w:sz w:val="21"/>
                <w:szCs w:val="21"/>
              </w:rPr>
              <w:t>肥</w:t>
            </w:r>
            <w:r>
              <w:rPr>
                <w:color w:val="auto"/>
                <w:sz w:val="21"/>
                <w:szCs w:val="21"/>
              </w:rPr>
              <w:t>猪</w:t>
            </w:r>
          </w:p>
        </w:tc>
        <w:tc>
          <w:tcPr>
            <w:tcW w:w="992" w:type="dxa"/>
            <w:vAlign w:val="center"/>
          </w:tcPr>
          <w:p>
            <w:pPr>
              <w:spacing w:line="240" w:lineRule="auto"/>
              <w:ind w:firstLine="0" w:firstLineChars="0"/>
              <w:jc w:val="center"/>
              <w:rPr>
                <w:color w:val="auto"/>
                <w:sz w:val="21"/>
                <w:szCs w:val="21"/>
              </w:rPr>
            </w:pPr>
            <w:r>
              <w:rPr>
                <w:rFonts w:hint="eastAsia"/>
                <w:color w:val="auto"/>
                <w:sz w:val="21"/>
                <w:szCs w:val="21"/>
              </w:rPr>
              <w:t>13700</w:t>
            </w:r>
          </w:p>
        </w:tc>
        <w:tc>
          <w:tcPr>
            <w:tcW w:w="926" w:type="dxa"/>
            <w:tcMar>
              <w:left w:w="0" w:type="dxa"/>
              <w:right w:w="0" w:type="dxa"/>
            </w:tcMar>
            <w:vAlign w:val="center"/>
          </w:tcPr>
          <w:p>
            <w:pPr>
              <w:spacing w:line="240" w:lineRule="auto"/>
              <w:ind w:firstLine="0" w:firstLineChars="0"/>
              <w:jc w:val="center"/>
              <w:rPr>
                <w:color w:val="auto"/>
                <w:sz w:val="21"/>
                <w:szCs w:val="21"/>
              </w:rPr>
            </w:pPr>
            <w:r>
              <w:rPr>
                <w:rFonts w:hint="eastAsia"/>
                <w:color w:val="auto"/>
                <w:sz w:val="21"/>
                <w:szCs w:val="21"/>
              </w:rPr>
              <w:t>2.74</w:t>
            </w:r>
          </w:p>
        </w:tc>
        <w:tc>
          <w:tcPr>
            <w:tcW w:w="917" w:type="dxa"/>
            <w:tcMar>
              <w:left w:w="0" w:type="dxa"/>
              <w:right w:w="0" w:type="dxa"/>
            </w:tcMar>
            <w:vAlign w:val="center"/>
          </w:tcPr>
          <w:p>
            <w:pPr>
              <w:spacing w:line="240" w:lineRule="auto"/>
              <w:ind w:firstLine="0" w:firstLineChars="0"/>
              <w:jc w:val="center"/>
              <w:rPr>
                <w:color w:val="auto"/>
                <w:sz w:val="21"/>
                <w:szCs w:val="21"/>
              </w:rPr>
            </w:pPr>
            <w:r>
              <w:rPr>
                <w:rFonts w:hint="eastAsia"/>
                <w:color w:val="auto"/>
                <w:sz w:val="21"/>
                <w:szCs w:val="21"/>
              </w:rPr>
              <w:t>0.233</w:t>
            </w:r>
          </w:p>
        </w:tc>
        <w:tc>
          <w:tcPr>
            <w:tcW w:w="1985" w:type="dxa"/>
            <w:vMerge w:val="continue"/>
            <w:tcMar>
              <w:left w:w="0" w:type="dxa"/>
              <w:right w:w="0" w:type="dxa"/>
            </w:tcMar>
            <w:vAlign w:val="center"/>
          </w:tcPr>
          <w:p>
            <w:pPr>
              <w:spacing w:line="240" w:lineRule="auto"/>
              <w:ind w:firstLine="0" w:firstLineChars="0"/>
              <w:jc w:val="center"/>
              <w:rPr>
                <w:color w:val="auto"/>
                <w:sz w:val="21"/>
                <w:szCs w:val="21"/>
              </w:rPr>
            </w:pPr>
          </w:p>
        </w:tc>
        <w:tc>
          <w:tcPr>
            <w:tcW w:w="976" w:type="dxa"/>
            <w:tcMar>
              <w:left w:w="0" w:type="dxa"/>
              <w:right w:w="0" w:type="dxa"/>
            </w:tcMar>
            <w:vAlign w:val="center"/>
          </w:tcPr>
          <w:p>
            <w:pPr>
              <w:spacing w:line="240" w:lineRule="auto"/>
              <w:ind w:firstLine="0" w:firstLineChars="0"/>
              <w:jc w:val="center"/>
              <w:rPr>
                <w:color w:val="auto"/>
                <w:sz w:val="21"/>
                <w:szCs w:val="21"/>
              </w:rPr>
            </w:pPr>
            <w:r>
              <w:rPr>
                <w:rFonts w:hint="eastAsia"/>
                <w:color w:val="auto"/>
                <w:sz w:val="21"/>
                <w:szCs w:val="21"/>
              </w:rPr>
              <w:t>0.411</w:t>
            </w:r>
          </w:p>
        </w:tc>
        <w:tc>
          <w:tcPr>
            <w:tcW w:w="1106" w:type="dxa"/>
            <w:tcMar>
              <w:left w:w="0" w:type="dxa"/>
              <w:right w:w="0" w:type="dxa"/>
            </w:tcMar>
            <w:vAlign w:val="center"/>
          </w:tcPr>
          <w:p>
            <w:pPr>
              <w:spacing w:line="240" w:lineRule="auto"/>
              <w:ind w:firstLine="0" w:firstLineChars="0"/>
              <w:jc w:val="center"/>
              <w:rPr>
                <w:color w:val="auto"/>
                <w:sz w:val="21"/>
                <w:szCs w:val="21"/>
              </w:rPr>
            </w:pPr>
            <w:r>
              <w:rPr>
                <w:rFonts w:hint="eastAsia"/>
                <w:color w:val="auto"/>
                <w:sz w:val="21"/>
                <w:szCs w:val="21"/>
              </w:rPr>
              <w:t>0.035</w:t>
            </w:r>
          </w:p>
        </w:tc>
      </w:tr>
      <w:tr>
        <w:tblPrEx>
          <w:tblBorders>
            <w:top w:val="single" w:color="auto" w:sz="2" w:space="0"/>
            <w:left w:val="none" w:color="auto" w:sz="0" w:space="0"/>
            <w:bottom w:val="single" w:color="auto" w:sz="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1900" w:type="dxa"/>
            <w:gridSpan w:val="2"/>
            <w:vAlign w:val="center"/>
          </w:tcPr>
          <w:p>
            <w:pPr>
              <w:spacing w:line="240" w:lineRule="auto"/>
              <w:ind w:firstLine="0" w:firstLineChars="0"/>
              <w:jc w:val="center"/>
              <w:rPr>
                <w:color w:val="auto"/>
                <w:sz w:val="21"/>
                <w:szCs w:val="21"/>
              </w:rPr>
            </w:pPr>
            <w:r>
              <w:rPr>
                <w:rFonts w:hint="eastAsia"/>
                <w:color w:val="auto"/>
                <w:sz w:val="21"/>
                <w:szCs w:val="21"/>
              </w:rPr>
              <w:t>合计</w:t>
            </w:r>
          </w:p>
        </w:tc>
        <w:tc>
          <w:tcPr>
            <w:tcW w:w="992" w:type="dxa"/>
            <w:vAlign w:val="center"/>
          </w:tcPr>
          <w:p>
            <w:pPr>
              <w:spacing w:line="240" w:lineRule="auto"/>
              <w:ind w:firstLine="0" w:firstLineChars="0"/>
              <w:jc w:val="center"/>
              <w:rPr>
                <w:color w:val="auto"/>
                <w:sz w:val="21"/>
                <w:szCs w:val="21"/>
              </w:rPr>
            </w:pPr>
            <w:r>
              <w:rPr>
                <w:rFonts w:hint="eastAsia"/>
                <w:color w:val="auto"/>
                <w:sz w:val="21"/>
                <w:szCs w:val="21"/>
              </w:rPr>
              <w:t>20000</w:t>
            </w:r>
          </w:p>
        </w:tc>
        <w:tc>
          <w:tcPr>
            <w:tcW w:w="926" w:type="dxa"/>
            <w:tcMar>
              <w:left w:w="0" w:type="dxa"/>
              <w:right w:w="0" w:type="dxa"/>
            </w:tcMar>
            <w:vAlign w:val="center"/>
          </w:tcPr>
          <w:p>
            <w:pPr>
              <w:spacing w:line="240" w:lineRule="auto"/>
              <w:ind w:firstLine="0" w:firstLineChars="0"/>
              <w:jc w:val="center"/>
              <w:rPr>
                <w:color w:val="auto"/>
                <w:sz w:val="21"/>
                <w:szCs w:val="21"/>
              </w:rPr>
            </w:pPr>
            <w:r>
              <w:rPr>
                <w:rFonts w:hint="eastAsia"/>
                <w:color w:val="auto"/>
                <w:sz w:val="21"/>
                <w:szCs w:val="21"/>
              </w:rPr>
              <w:t>2.992</w:t>
            </w:r>
          </w:p>
        </w:tc>
        <w:tc>
          <w:tcPr>
            <w:tcW w:w="917" w:type="dxa"/>
            <w:tcMar>
              <w:left w:w="0" w:type="dxa"/>
              <w:right w:w="0" w:type="dxa"/>
            </w:tcMar>
            <w:vAlign w:val="center"/>
          </w:tcPr>
          <w:p>
            <w:pPr>
              <w:spacing w:line="240" w:lineRule="auto"/>
              <w:ind w:firstLine="0" w:firstLineChars="0"/>
              <w:jc w:val="center"/>
              <w:rPr>
                <w:color w:val="auto"/>
                <w:sz w:val="21"/>
                <w:szCs w:val="21"/>
              </w:rPr>
            </w:pPr>
            <w:r>
              <w:rPr>
                <w:rFonts w:hint="eastAsia"/>
                <w:color w:val="auto"/>
                <w:sz w:val="21"/>
                <w:szCs w:val="21"/>
              </w:rPr>
              <w:t>0.254</w:t>
            </w:r>
          </w:p>
        </w:tc>
        <w:tc>
          <w:tcPr>
            <w:tcW w:w="1985" w:type="dxa"/>
            <w:vMerge w:val="continue"/>
            <w:tcMar>
              <w:left w:w="0" w:type="dxa"/>
              <w:right w:w="0" w:type="dxa"/>
            </w:tcMar>
            <w:vAlign w:val="center"/>
          </w:tcPr>
          <w:p>
            <w:pPr>
              <w:spacing w:line="240" w:lineRule="auto"/>
              <w:ind w:firstLine="0" w:firstLineChars="0"/>
              <w:jc w:val="center"/>
              <w:rPr>
                <w:color w:val="auto"/>
                <w:sz w:val="21"/>
                <w:szCs w:val="21"/>
              </w:rPr>
            </w:pPr>
          </w:p>
        </w:tc>
        <w:tc>
          <w:tcPr>
            <w:tcW w:w="976" w:type="dxa"/>
            <w:tcMar>
              <w:left w:w="0" w:type="dxa"/>
              <w:right w:w="0" w:type="dxa"/>
            </w:tcMar>
            <w:vAlign w:val="center"/>
          </w:tcPr>
          <w:p>
            <w:pPr>
              <w:spacing w:line="240" w:lineRule="auto"/>
              <w:ind w:firstLine="0" w:firstLineChars="0"/>
              <w:jc w:val="center"/>
              <w:rPr>
                <w:color w:val="auto"/>
                <w:sz w:val="21"/>
                <w:szCs w:val="21"/>
              </w:rPr>
            </w:pPr>
            <w:r>
              <w:rPr>
                <w:rFonts w:hint="eastAsia"/>
                <w:color w:val="auto"/>
                <w:sz w:val="21"/>
                <w:szCs w:val="21"/>
              </w:rPr>
              <w:t>0.449</w:t>
            </w:r>
          </w:p>
        </w:tc>
        <w:tc>
          <w:tcPr>
            <w:tcW w:w="1106" w:type="dxa"/>
            <w:tcMar>
              <w:left w:w="0" w:type="dxa"/>
              <w:right w:w="0" w:type="dxa"/>
            </w:tcMar>
            <w:vAlign w:val="center"/>
          </w:tcPr>
          <w:p>
            <w:pPr>
              <w:spacing w:line="240" w:lineRule="auto"/>
              <w:ind w:firstLine="0" w:firstLineChars="0"/>
              <w:jc w:val="center"/>
              <w:rPr>
                <w:color w:val="auto"/>
                <w:sz w:val="21"/>
                <w:szCs w:val="21"/>
              </w:rPr>
            </w:pPr>
            <w:r>
              <w:rPr>
                <w:rFonts w:hint="eastAsia"/>
                <w:color w:val="auto"/>
                <w:sz w:val="21"/>
                <w:szCs w:val="21"/>
              </w:rPr>
              <w:t>0.0382</w:t>
            </w:r>
          </w:p>
        </w:tc>
      </w:tr>
    </w:tbl>
    <w:p>
      <w:pPr>
        <w:ind w:firstLine="480"/>
        <w:rPr>
          <w:color w:val="auto"/>
        </w:rPr>
      </w:pPr>
      <w:r>
        <w:rPr>
          <w:color w:val="auto"/>
        </w:rPr>
        <w:t>（2）污水处理系统恶臭</w:t>
      </w:r>
    </w:p>
    <w:p>
      <w:pPr>
        <w:ind w:firstLine="480"/>
        <w:rPr>
          <w:color w:val="auto"/>
          <w:highlight w:val="yellow"/>
        </w:rPr>
      </w:pPr>
      <w:r>
        <w:rPr>
          <w:color w:val="auto"/>
        </w:rPr>
        <w:t>沼气池恶臭源强：根据美国EPA对城市污水处理厂恶臭污染物产生情况的研究，每处理1gBOD</w:t>
      </w:r>
      <w:r>
        <w:rPr>
          <w:color w:val="auto"/>
          <w:vertAlign w:val="subscript"/>
        </w:rPr>
        <w:t>5</w:t>
      </w:r>
      <w:r>
        <w:rPr>
          <w:color w:val="auto"/>
        </w:rPr>
        <w:t>可产生0.0031gNH</w:t>
      </w:r>
      <w:r>
        <w:rPr>
          <w:color w:val="auto"/>
          <w:vertAlign w:val="subscript"/>
        </w:rPr>
        <w:t>3</w:t>
      </w:r>
      <w:r>
        <w:rPr>
          <w:color w:val="auto"/>
        </w:rPr>
        <w:t>和0.00012gH</w:t>
      </w:r>
      <w:r>
        <w:rPr>
          <w:color w:val="auto"/>
          <w:vertAlign w:val="subscript"/>
        </w:rPr>
        <w:t>2</w:t>
      </w:r>
      <w:r>
        <w:rPr>
          <w:color w:val="auto"/>
        </w:rPr>
        <w:t>S。本项目废水产生量为</w:t>
      </w:r>
      <w:r>
        <w:rPr>
          <w:rFonts w:hint="eastAsia"/>
          <w:color w:val="auto"/>
        </w:rPr>
        <w:t>46919.655</w:t>
      </w:r>
      <w:r>
        <w:rPr>
          <w:color w:val="auto"/>
        </w:rPr>
        <w:t>m</w:t>
      </w:r>
      <w:r>
        <w:rPr>
          <w:color w:val="auto"/>
          <w:vertAlign w:val="superscript"/>
        </w:rPr>
        <w:t>3</w:t>
      </w:r>
      <w:r>
        <w:rPr>
          <w:color w:val="auto"/>
        </w:rPr>
        <w:t>/a，BOD</w:t>
      </w:r>
      <w:r>
        <w:rPr>
          <w:color w:val="auto"/>
          <w:vertAlign w:val="subscript"/>
        </w:rPr>
        <w:t>5</w:t>
      </w:r>
      <w:r>
        <w:rPr>
          <w:color w:val="auto"/>
        </w:rPr>
        <w:t>去除量为</w:t>
      </w:r>
      <w:r>
        <w:rPr>
          <w:rFonts w:hint="eastAsia"/>
          <w:color w:val="auto"/>
        </w:rPr>
        <w:t>217.358</w:t>
      </w:r>
      <w:r>
        <w:rPr>
          <w:color w:val="auto"/>
        </w:rPr>
        <w:t>t/a，则污水处理过程NH</w:t>
      </w:r>
      <w:r>
        <w:rPr>
          <w:color w:val="auto"/>
          <w:vertAlign w:val="subscript"/>
        </w:rPr>
        <w:t>3</w:t>
      </w:r>
      <w:r>
        <w:rPr>
          <w:color w:val="auto"/>
        </w:rPr>
        <w:t>产生量为0.</w:t>
      </w:r>
      <w:r>
        <w:rPr>
          <w:rFonts w:hint="eastAsia"/>
          <w:color w:val="auto"/>
        </w:rPr>
        <w:t>67</w:t>
      </w:r>
      <w:r>
        <w:rPr>
          <w:color w:val="auto"/>
        </w:rPr>
        <w:t>t/a（</w:t>
      </w:r>
      <w:r>
        <w:rPr>
          <w:rFonts w:hint="eastAsia"/>
          <w:color w:val="auto"/>
        </w:rPr>
        <w:t>0.076</w:t>
      </w:r>
      <w:r>
        <w:rPr>
          <w:color w:val="auto"/>
        </w:rPr>
        <w:t>kg/</w:t>
      </w:r>
      <w:r>
        <w:rPr>
          <w:rFonts w:hint="eastAsia"/>
          <w:color w:val="auto"/>
        </w:rPr>
        <w:t>h</w:t>
      </w:r>
      <w:r>
        <w:rPr>
          <w:color w:val="auto"/>
        </w:rPr>
        <w:t>），H</w:t>
      </w:r>
      <w:r>
        <w:rPr>
          <w:color w:val="auto"/>
          <w:vertAlign w:val="subscript"/>
        </w:rPr>
        <w:t>2</w:t>
      </w:r>
      <w:r>
        <w:rPr>
          <w:color w:val="auto"/>
        </w:rPr>
        <w:t>S产生量为0.0</w:t>
      </w:r>
      <w:r>
        <w:rPr>
          <w:rFonts w:hint="eastAsia"/>
          <w:color w:val="auto"/>
        </w:rPr>
        <w:t>26</w:t>
      </w:r>
      <w:r>
        <w:rPr>
          <w:color w:val="auto"/>
        </w:rPr>
        <w:t>t/a（0.0</w:t>
      </w:r>
      <w:r>
        <w:rPr>
          <w:rFonts w:hint="eastAsia"/>
          <w:color w:val="auto"/>
        </w:rPr>
        <w:t>03</w:t>
      </w:r>
      <w:r>
        <w:rPr>
          <w:color w:val="auto"/>
        </w:rPr>
        <w:t>kg/</w:t>
      </w:r>
      <w:r>
        <w:rPr>
          <w:rFonts w:hint="eastAsia"/>
          <w:color w:val="auto"/>
        </w:rPr>
        <w:t>h</w:t>
      </w:r>
      <w:r>
        <w:rPr>
          <w:color w:val="auto"/>
        </w:rPr>
        <w:t>）。为进一步减小项目污水处理过程恶臭气体对周边环境的影响，对污水处理区域喷洒除臭剂，并加强</w:t>
      </w:r>
      <w:r>
        <w:rPr>
          <w:rFonts w:hint="eastAsia"/>
          <w:color w:val="auto"/>
        </w:rPr>
        <w:t>周边</w:t>
      </w:r>
      <w:r>
        <w:rPr>
          <w:color w:val="auto"/>
        </w:rPr>
        <w:t>绿化。臭气去除效率可达到70%，则臭气排放量为NH</w:t>
      </w:r>
      <w:r>
        <w:rPr>
          <w:color w:val="auto"/>
          <w:vertAlign w:val="subscript"/>
        </w:rPr>
        <w:t>3</w:t>
      </w:r>
      <w:r>
        <w:rPr>
          <w:color w:val="auto"/>
        </w:rPr>
        <w:t>0.</w:t>
      </w:r>
      <w:r>
        <w:rPr>
          <w:rFonts w:hint="eastAsia"/>
          <w:color w:val="auto"/>
        </w:rPr>
        <w:t>201</w:t>
      </w:r>
      <w:r>
        <w:rPr>
          <w:color w:val="auto"/>
        </w:rPr>
        <w:t>t/a（0.</w:t>
      </w:r>
      <w:r>
        <w:rPr>
          <w:rFonts w:hint="eastAsia"/>
          <w:color w:val="auto"/>
        </w:rPr>
        <w:t>023</w:t>
      </w:r>
      <w:r>
        <w:rPr>
          <w:color w:val="auto"/>
        </w:rPr>
        <w:t>kg/</w:t>
      </w:r>
      <w:r>
        <w:rPr>
          <w:rFonts w:hint="eastAsia"/>
          <w:color w:val="auto"/>
        </w:rPr>
        <w:t>h</w:t>
      </w:r>
      <w:r>
        <w:rPr>
          <w:color w:val="auto"/>
        </w:rPr>
        <w:t>），H</w:t>
      </w:r>
      <w:r>
        <w:rPr>
          <w:color w:val="auto"/>
          <w:vertAlign w:val="subscript"/>
        </w:rPr>
        <w:t>2</w:t>
      </w:r>
      <w:r>
        <w:rPr>
          <w:color w:val="auto"/>
        </w:rPr>
        <w:t>S排放量为0.0</w:t>
      </w:r>
      <w:r>
        <w:rPr>
          <w:rFonts w:hint="eastAsia"/>
          <w:color w:val="auto"/>
        </w:rPr>
        <w:t>078</w:t>
      </w:r>
      <w:r>
        <w:rPr>
          <w:color w:val="auto"/>
        </w:rPr>
        <w:t>t/a（0.0</w:t>
      </w:r>
      <w:r>
        <w:rPr>
          <w:rFonts w:hint="eastAsia"/>
          <w:color w:val="auto"/>
        </w:rPr>
        <w:t>009</w:t>
      </w:r>
      <w:r>
        <w:rPr>
          <w:color w:val="auto"/>
        </w:rPr>
        <w:t>kg/</w:t>
      </w:r>
      <w:r>
        <w:rPr>
          <w:rFonts w:hint="eastAsia"/>
          <w:color w:val="auto"/>
        </w:rPr>
        <w:t>h</w:t>
      </w:r>
      <w:r>
        <w:rPr>
          <w:color w:val="auto"/>
        </w:rPr>
        <w:t>）。</w:t>
      </w:r>
    </w:p>
    <w:p>
      <w:pPr>
        <w:ind w:firstLine="480"/>
        <w:rPr>
          <w:color w:val="auto"/>
        </w:rPr>
      </w:pPr>
      <w:r>
        <w:rPr>
          <w:color w:val="auto"/>
        </w:rPr>
        <w:t>（3）</w:t>
      </w:r>
      <w:r>
        <w:rPr>
          <w:rFonts w:hint="eastAsia"/>
          <w:color w:val="auto"/>
        </w:rPr>
        <w:t>固粪处理区</w:t>
      </w:r>
      <w:r>
        <w:rPr>
          <w:color w:val="auto"/>
        </w:rPr>
        <w:t>恶臭</w:t>
      </w:r>
    </w:p>
    <w:p>
      <w:pPr>
        <w:ind w:firstLine="480"/>
        <w:rPr>
          <w:color w:val="auto"/>
          <w:highlight w:val="yellow"/>
        </w:rPr>
      </w:pPr>
      <w:r>
        <w:rPr>
          <w:color w:val="auto"/>
        </w:rPr>
        <w:t>项目猪粪</w:t>
      </w:r>
      <w:r>
        <w:rPr>
          <w:rFonts w:hint="eastAsia"/>
          <w:color w:val="auto"/>
        </w:rPr>
        <w:t>、沼渣</w:t>
      </w:r>
      <w:r>
        <w:rPr>
          <w:color w:val="auto"/>
        </w:rPr>
        <w:t>经固液分离后运至</w:t>
      </w:r>
      <w:r>
        <w:rPr>
          <w:rFonts w:hint="eastAsia"/>
          <w:color w:val="auto"/>
        </w:rPr>
        <w:t>固粪处理区</w:t>
      </w:r>
      <w:r>
        <w:rPr>
          <w:color w:val="auto"/>
        </w:rPr>
        <w:t>制成有机肥</w:t>
      </w:r>
      <w:r>
        <w:rPr>
          <w:rFonts w:hint="eastAsia"/>
          <w:color w:val="auto"/>
        </w:rPr>
        <w:t>基料</w:t>
      </w:r>
      <w:r>
        <w:rPr>
          <w:color w:val="auto"/>
        </w:rPr>
        <w:t>。建设单位拟设置1个</w:t>
      </w:r>
      <w:r>
        <w:rPr>
          <w:rFonts w:hint="eastAsia"/>
          <w:color w:val="auto"/>
        </w:rPr>
        <w:t>固粪处理区</w:t>
      </w:r>
      <w:r>
        <w:rPr>
          <w:color w:val="auto"/>
        </w:rPr>
        <w:t>面积</w:t>
      </w:r>
      <w:r>
        <w:rPr>
          <w:rFonts w:hint="eastAsia"/>
          <w:color w:val="auto"/>
        </w:rPr>
        <w:t>392</w:t>
      </w:r>
      <w:r>
        <w:rPr>
          <w:color w:val="auto"/>
        </w:rPr>
        <w:t>m</w:t>
      </w:r>
      <w:r>
        <w:rPr>
          <w:color w:val="auto"/>
          <w:vertAlign w:val="superscript"/>
        </w:rPr>
        <w:t>2</w:t>
      </w:r>
      <w:r>
        <w:rPr>
          <w:color w:val="auto"/>
        </w:rPr>
        <w:t>，在</w:t>
      </w:r>
      <w:r>
        <w:rPr>
          <w:rFonts w:hint="eastAsia"/>
          <w:color w:val="auto"/>
        </w:rPr>
        <w:t>固粪处理区</w:t>
      </w:r>
      <w:r>
        <w:rPr>
          <w:color w:val="auto"/>
        </w:rPr>
        <w:t>通过喷洒</w:t>
      </w:r>
      <w:r>
        <w:rPr>
          <w:rFonts w:hint="eastAsia"/>
          <w:color w:val="auto"/>
        </w:rPr>
        <w:t>植</w:t>
      </w:r>
      <w:r>
        <w:rPr>
          <w:color w:val="auto"/>
        </w:rPr>
        <w:t>物型除臭剂对恶臭气体进行脱臭处理，根据类比</w:t>
      </w:r>
      <w:r>
        <w:rPr>
          <w:rFonts w:hint="eastAsia"/>
          <w:color w:val="auto"/>
        </w:rPr>
        <w:t>已建成并完成验收的范县牧原二场生猪养殖场</w:t>
      </w:r>
      <w:r>
        <w:rPr>
          <w:color w:val="auto"/>
        </w:rPr>
        <w:t>，现有工艺H</w:t>
      </w:r>
      <w:r>
        <w:rPr>
          <w:color w:val="auto"/>
          <w:vertAlign w:val="subscript"/>
        </w:rPr>
        <w:t>2</w:t>
      </w:r>
      <w:r>
        <w:rPr>
          <w:color w:val="auto"/>
        </w:rPr>
        <w:t>S的产生速率为0.3g/m</w:t>
      </w:r>
      <w:r>
        <w:rPr>
          <w:color w:val="auto"/>
          <w:vertAlign w:val="superscript"/>
        </w:rPr>
        <w:t>2</w:t>
      </w:r>
      <w:r>
        <w:rPr>
          <w:color w:val="auto"/>
        </w:rPr>
        <w:t>*d，NH</w:t>
      </w:r>
      <w:r>
        <w:rPr>
          <w:color w:val="auto"/>
          <w:vertAlign w:val="subscript"/>
        </w:rPr>
        <w:t>3</w:t>
      </w:r>
      <w:r>
        <w:rPr>
          <w:color w:val="auto"/>
        </w:rPr>
        <w:t>的产生速率为5g/m</w:t>
      </w:r>
      <w:r>
        <w:rPr>
          <w:color w:val="auto"/>
          <w:vertAlign w:val="superscript"/>
        </w:rPr>
        <w:t>2</w:t>
      </w:r>
      <w:r>
        <w:rPr>
          <w:color w:val="auto"/>
        </w:rPr>
        <w:t>*d，则NH</w:t>
      </w:r>
      <w:r>
        <w:rPr>
          <w:color w:val="auto"/>
          <w:vertAlign w:val="subscript"/>
        </w:rPr>
        <w:t>3</w:t>
      </w:r>
      <w:r>
        <w:rPr>
          <w:color w:val="auto"/>
        </w:rPr>
        <w:t>和H</w:t>
      </w:r>
      <w:r>
        <w:rPr>
          <w:color w:val="auto"/>
          <w:vertAlign w:val="subscript"/>
        </w:rPr>
        <w:t>2</w:t>
      </w:r>
      <w:r>
        <w:rPr>
          <w:color w:val="auto"/>
        </w:rPr>
        <w:t>S的产生量均为</w:t>
      </w:r>
      <w:r>
        <w:rPr>
          <w:rFonts w:hint="eastAsia"/>
          <w:color w:val="auto"/>
        </w:rPr>
        <w:t>1.96</w:t>
      </w:r>
      <w:r>
        <w:rPr>
          <w:color w:val="auto"/>
        </w:rPr>
        <w:t>kg/d（</w:t>
      </w:r>
      <w:r>
        <w:rPr>
          <w:rFonts w:hint="eastAsia"/>
          <w:color w:val="auto"/>
        </w:rPr>
        <w:t>0.715</w:t>
      </w:r>
      <w:r>
        <w:rPr>
          <w:color w:val="auto"/>
        </w:rPr>
        <w:t>t/a）、</w:t>
      </w:r>
      <w:r>
        <w:rPr>
          <w:rFonts w:hint="eastAsia"/>
          <w:color w:val="auto"/>
        </w:rPr>
        <w:t>0.118</w:t>
      </w:r>
      <w:r>
        <w:rPr>
          <w:color w:val="auto"/>
        </w:rPr>
        <w:t>kg/d（</w:t>
      </w:r>
      <w:r>
        <w:rPr>
          <w:rFonts w:hint="eastAsia"/>
          <w:color w:val="auto"/>
        </w:rPr>
        <w:t>0.043</w:t>
      </w:r>
      <w:r>
        <w:rPr>
          <w:color w:val="auto"/>
        </w:rPr>
        <w:t>t/a）。</w:t>
      </w:r>
      <w:r>
        <w:rPr>
          <w:rFonts w:hint="eastAsia"/>
          <w:color w:val="auto"/>
        </w:rPr>
        <w:t>固粪处理区全密闭，设置风机，将臭气引至除臭棚处理，除臭棚墙内填充填料吸附，同时除臭棚顶部有喷淋水装置等，牧原集团的内部综合评估</w:t>
      </w:r>
      <w:r>
        <w:rPr>
          <w:color w:val="auto"/>
        </w:rPr>
        <w:t>，臭气去除效率可达到</w:t>
      </w:r>
      <w:r>
        <w:rPr>
          <w:rFonts w:hint="eastAsia"/>
          <w:color w:val="auto"/>
        </w:rPr>
        <w:t>85</w:t>
      </w:r>
      <w:r>
        <w:rPr>
          <w:color w:val="auto"/>
        </w:rPr>
        <w:t>%计算，则臭气排放量为NH</w:t>
      </w:r>
      <w:r>
        <w:rPr>
          <w:color w:val="auto"/>
          <w:vertAlign w:val="subscript"/>
        </w:rPr>
        <w:t>3</w:t>
      </w:r>
      <w:r>
        <w:rPr>
          <w:rFonts w:hint="eastAsia"/>
          <w:color w:val="auto"/>
          <w:vertAlign w:val="subscript"/>
        </w:rPr>
        <w:t xml:space="preserve"> </w:t>
      </w:r>
      <w:r>
        <w:rPr>
          <w:rFonts w:hint="eastAsia"/>
          <w:color w:val="auto"/>
        </w:rPr>
        <w:t>0.108</w:t>
      </w:r>
      <w:r>
        <w:rPr>
          <w:color w:val="auto"/>
        </w:rPr>
        <w:t>t/a（0.</w:t>
      </w:r>
      <w:r>
        <w:rPr>
          <w:rFonts w:hint="eastAsia"/>
          <w:color w:val="auto"/>
        </w:rPr>
        <w:t>012</w:t>
      </w:r>
      <w:r>
        <w:rPr>
          <w:color w:val="auto"/>
        </w:rPr>
        <w:t>kg/</w:t>
      </w:r>
      <w:r>
        <w:rPr>
          <w:rFonts w:hint="eastAsia"/>
          <w:color w:val="auto"/>
        </w:rPr>
        <w:t>h</w:t>
      </w:r>
      <w:r>
        <w:rPr>
          <w:color w:val="auto"/>
        </w:rPr>
        <w:t>），H</w:t>
      </w:r>
      <w:r>
        <w:rPr>
          <w:color w:val="auto"/>
          <w:vertAlign w:val="subscript"/>
        </w:rPr>
        <w:t>2</w:t>
      </w:r>
      <w:r>
        <w:rPr>
          <w:color w:val="auto"/>
        </w:rPr>
        <w:t>S排放量为</w:t>
      </w:r>
      <w:r>
        <w:rPr>
          <w:rFonts w:hint="eastAsia"/>
          <w:color w:val="auto"/>
        </w:rPr>
        <w:t>0.0065</w:t>
      </w:r>
      <w:r>
        <w:rPr>
          <w:color w:val="auto"/>
        </w:rPr>
        <w:t>t/a（0.0</w:t>
      </w:r>
      <w:r>
        <w:rPr>
          <w:rFonts w:hint="eastAsia"/>
          <w:color w:val="auto"/>
        </w:rPr>
        <w:t>007</w:t>
      </w:r>
      <w:r>
        <w:rPr>
          <w:color w:val="auto"/>
        </w:rPr>
        <w:t>kg/</w:t>
      </w:r>
      <w:r>
        <w:rPr>
          <w:rFonts w:hint="eastAsia"/>
          <w:color w:val="auto"/>
        </w:rPr>
        <w:t>h</w:t>
      </w:r>
      <w:r>
        <w:rPr>
          <w:color w:val="auto"/>
        </w:rPr>
        <w:t>）。</w:t>
      </w:r>
    </w:p>
    <w:p>
      <w:pPr>
        <w:ind w:firstLine="480"/>
        <w:rPr>
          <w:color w:val="auto"/>
        </w:rPr>
      </w:pPr>
      <w:r>
        <w:rPr>
          <w:color w:val="auto"/>
        </w:rPr>
        <w:t>（</w:t>
      </w:r>
      <w:r>
        <w:rPr>
          <w:rFonts w:hint="eastAsia"/>
          <w:color w:val="auto"/>
        </w:rPr>
        <w:t>4</w:t>
      </w:r>
      <w:r>
        <w:rPr>
          <w:color w:val="auto"/>
        </w:rPr>
        <w:t>）病死猪处理臭气</w:t>
      </w:r>
    </w:p>
    <w:p>
      <w:pPr>
        <w:ind w:firstLine="480"/>
        <w:rPr>
          <w:color w:val="auto"/>
        </w:rPr>
      </w:pPr>
      <w:r>
        <w:rPr>
          <w:color w:val="auto"/>
        </w:rPr>
        <w:t>本项目</w:t>
      </w:r>
      <w:r>
        <w:rPr>
          <w:rFonts w:hint="eastAsia"/>
          <w:color w:val="auto"/>
        </w:rPr>
        <w:t>采用高温化制法处理病死猪，</w:t>
      </w:r>
      <w:r>
        <w:rPr>
          <w:color w:val="auto"/>
        </w:rPr>
        <w:t>根据</w:t>
      </w:r>
      <w:r>
        <w:rPr>
          <w:rFonts w:hint="eastAsia"/>
          <w:color w:val="auto"/>
        </w:rPr>
        <w:t>《白水牧原农牧有限公司北马村分场生猪养殖项目》</w:t>
      </w:r>
      <w:r>
        <w:rPr>
          <w:color w:val="auto"/>
        </w:rPr>
        <w:t>病死猪</w:t>
      </w:r>
      <w:r>
        <w:rPr>
          <w:rFonts w:hint="eastAsia"/>
          <w:color w:val="auto"/>
        </w:rPr>
        <w:t>高温化制</w:t>
      </w:r>
      <w:r>
        <w:rPr>
          <w:color w:val="auto"/>
        </w:rPr>
        <w:t>监测数据，NH</w:t>
      </w:r>
      <w:r>
        <w:rPr>
          <w:color w:val="auto"/>
          <w:vertAlign w:val="subscript"/>
        </w:rPr>
        <w:t>3</w:t>
      </w:r>
      <w:r>
        <w:rPr>
          <w:color w:val="auto"/>
        </w:rPr>
        <w:t>产生速率为2.8×10</w:t>
      </w:r>
      <w:r>
        <w:rPr>
          <w:color w:val="auto"/>
          <w:vertAlign w:val="superscript"/>
        </w:rPr>
        <w:t>-4</w:t>
      </w:r>
      <w:r>
        <w:rPr>
          <w:color w:val="auto"/>
        </w:rPr>
        <w:t>~3.3×10</w:t>
      </w:r>
      <w:r>
        <w:rPr>
          <w:color w:val="auto"/>
          <w:vertAlign w:val="superscript"/>
        </w:rPr>
        <w:t>-4</w:t>
      </w:r>
      <w:r>
        <w:rPr>
          <w:color w:val="auto"/>
        </w:rPr>
        <w:t>kg/h，H</w:t>
      </w:r>
      <w:r>
        <w:rPr>
          <w:color w:val="auto"/>
          <w:vertAlign w:val="subscript"/>
        </w:rPr>
        <w:t>2</w:t>
      </w:r>
      <w:r>
        <w:rPr>
          <w:color w:val="auto"/>
        </w:rPr>
        <w:t>S产生速率为5.2×10</w:t>
      </w:r>
      <w:r>
        <w:rPr>
          <w:color w:val="auto"/>
          <w:vertAlign w:val="superscript"/>
        </w:rPr>
        <w:t>-5</w:t>
      </w:r>
      <w:r>
        <w:rPr>
          <w:color w:val="auto"/>
        </w:rPr>
        <w:t>~6.0×10</w:t>
      </w:r>
      <w:r>
        <w:rPr>
          <w:color w:val="auto"/>
          <w:vertAlign w:val="superscript"/>
        </w:rPr>
        <w:t>-5</w:t>
      </w:r>
      <w:r>
        <w:rPr>
          <w:color w:val="auto"/>
        </w:rPr>
        <w:t>kg/h。本项目取NH</w:t>
      </w:r>
      <w:r>
        <w:rPr>
          <w:color w:val="auto"/>
          <w:vertAlign w:val="subscript"/>
        </w:rPr>
        <w:t>3</w:t>
      </w:r>
      <w:r>
        <w:rPr>
          <w:color w:val="auto"/>
        </w:rPr>
        <w:t>3.0×10</w:t>
      </w:r>
      <w:r>
        <w:rPr>
          <w:color w:val="auto"/>
          <w:vertAlign w:val="superscript"/>
        </w:rPr>
        <w:t>-4</w:t>
      </w:r>
      <w:r>
        <w:rPr>
          <w:color w:val="auto"/>
        </w:rPr>
        <w:t>kg/h(0.0026t/a)，H</w:t>
      </w:r>
      <w:r>
        <w:rPr>
          <w:color w:val="auto"/>
          <w:vertAlign w:val="subscript"/>
        </w:rPr>
        <w:t>2</w:t>
      </w:r>
      <w:r>
        <w:rPr>
          <w:color w:val="auto"/>
        </w:rPr>
        <w:t>S</w:t>
      </w:r>
      <w:r>
        <w:rPr>
          <w:rFonts w:hint="eastAsia"/>
          <w:color w:val="auto"/>
        </w:rPr>
        <w:t xml:space="preserve"> </w:t>
      </w:r>
      <w:r>
        <w:rPr>
          <w:color w:val="auto"/>
        </w:rPr>
        <w:t>5.5×10</w:t>
      </w:r>
      <w:r>
        <w:rPr>
          <w:color w:val="auto"/>
          <w:vertAlign w:val="superscript"/>
        </w:rPr>
        <w:t>-5</w:t>
      </w:r>
      <w:r>
        <w:rPr>
          <w:color w:val="auto"/>
        </w:rPr>
        <w:t>kg/h(0.0005t/a)。</w:t>
      </w:r>
      <w:r>
        <w:rPr>
          <w:rFonts w:hint="eastAsia"/>
          <w:color w:val="auto"/>
        </w:rPr>
        <w:t>经收集后将臭气引至除臭棚处理，除臭棚墙内填充填料吸附，同时除臭棚顶部有喷淋水装置，</w:t>
      </w:r>
      <w:r>
        <w:rPr>
          <w:color w:val="auto"/>
        </w:rPr>
        <w:t>臭气去除效率可达到</w:t>
      </w:r>
      <w:r>
        <w:rPr>
          <w:rFonts w:hint="eastAsia"/>
          <w:color w:val="auto"/>
        </w:rPr>
        <w:t>85</w:t>
      </w:r>
      <w:r>
        <w:rPr>
          <w:color w:val="auto"/>
        </w:rPr>
        <w:t>%。无组织NH</w:t>
      </w:r>
      <w:r>
        <w:rPr>
          <w:color w:val="auto"/>
          <w:vertAlign w:val="subscript"/>
        </w:rPr>
        <w:t>3</w:t>
      </w:r>
      <w:r>
        <w:rPr>
          <w:color w:val="auto"/>
        </w:rPr>
        <w:t>排放速率及排放量分别为</w:t>
      </w:r>
      <w:r>
        <w:rPr>
          <w:rFonts w:hint="eastAsia"/>
          <w:color w:val="auto"/>
        </w:rPr>
        <w:t>4.6</w:t>
      </w:r>
      <w:r>
        <w:rPr>
          <w:color w:val="auto"/>
        </w:rPr>
        <w:t>×10</w:t>
      </w:r>
      <w:r>
        <w:rPr>
          <w:color w:val="auto"/>
          <w:vertAlign w:val="superscript"/>
        </w:rPr>
        <w:t>-</w:t>
      </w:r>
      <w:r>
        <w:rPr>
          <w:rFonts w:hint="eastAsia"/>
          <w:color w:val="auto"/>
          <w:vertAlign w:val="superscript"/>
        </w:rPr>
        <w:t>5</w:t>
      </w:r>
      <w:r>
        <w:rPr>
          <w:color w:val="auto"/>
        </w:rPr>
        <w:t>kg/h、0.</w:t>
      </w:r>
      <w:r>
        <w:rPr>
          <w:rFonts w:hint="eastAsia"/>
          <w:color w:val="auto"/>
        </w:rPr>
        <w:t>0004</w:t>
      </w:r>
      <w:r>
        <w:rPr>
          <w:color w:val="auto"/>
        </w:rPr>
        <w:t>t/a；无组织H</w:t>
      </w:r>
      <w:r>
        <w:rPr>
          <w:color w:val="auto"/>
          <w:vertAlign w:val="subscript"/>
        </w:rPr>
        <w:t>2</w:t>
      </w:r>
      <w:r>
        <w:rPr>
          <w:color w:val="auto"/>
        </w:rPr>
        <w:t>S排放速率及排放量分别为</w:t>
      </w:r>
      <w:r>
        <w:rPr>
          <w:rFonts w:hint="eastAsia"/>
          <w:color w:val="auto"/>
        </w:rPr>
        <w:t>9.1</w:t>
      </w:r>
      <w:r>
        <w:rPr>
          <w:color w:val="auto"/>
        </w:rPr>
        <w:t>×10</w:t>
      </w:r>
      <w:r>
        <w:rPr>
          <w:color w:val="auto"/>
          <w:vertAlign w:val="superscript"/>
        </w:rPr>
        <w:t>-</w:t>
      </w:r>
      <w:r>
        <w:rPr>
          <w:rFonts w:hint="eastAsia"/>
          <w:color w:val="auto"/>
          <w:vertAlign w:val="superscript"/>
        </w:rPr>
        <w:t>6</w:t>
      </w:r>
      <w:r>
        <w:rPr>
          <w:color w:val="auto"/>
        </w:rPr>
        <w:t>kg/h、0.0</w:t>
      </w:r>
      <w:r>
        <w:rPr>
          <w:rFonts w:hint="eastAsia"/>
          <w:color w:val="auto"/>
        </w:rPr>
        <w:t>0008</w:t>
      </w:r>
      <w:r>
        <w:rPr>
          <w:color w:val="auto"/>
        </w:rPr>
        <w:t>t/a。</w:t>
      </w:r>
    </w:p>
    <w:p>
      <w:pPr>
        <w:ind w:firstLine="480"/>
        <w:rPr>
          <w:color w:val="auto"/>
        </w:rPr>
      </w:pPr>
      <w:r>
        <w:rPr>
          <w:rFonts w:hint="eastAsia"/>
          <w:color w:val="auto"/>
        </w:rPr>
        <w:t>综上所述，</w:t>
      </w:r>
      <w:r>
        <w:rPr>
          <w:color w:val="auto"/>
        </w:rPr>
        <w:t>本项目恶臭气体产排情况一览表见表3.3-6。</w:t>
      </w:r>
    </w:p>
    <w:p>
      <w:pPr>
        <w:tabs>
          <w:tab w:val="left" w:pos="1448"/>
        </w:tabs>
        <w:spacing w:before="43"/>
        <w:ind w:left="100" w:right="55" w:firstLine="482"/>
        <w:jc w:val="left"/>
        <w:rPr>
          <w:rFonts w:ascii="宋体" w:hAnsi="宋体" w:cs="宋体"/>
          <w:color w:val="auto"/>
        </w:rPr>
      </w:pPr>
      <w:bookmarkStart w:id="364" w:name="_Toc413166136"/>
      <w:bookmarkStart w:id="365" w:name="_Toc407001409"/>
      <w:bookmarkStart w:id="366" w:name="_Toc406847416"/>
      <w:bookmarkStart w:id="367" w:name="_Toc388881917"/>
      <w:r>
        <w:rPr>
          <w:rFonts w:ascii="宋体" w:hAnsi="宋体" w:cs="宋体"/>
          <w:b/>
          <w:bCs/>
          <w:color w:val="auto"/>
        </w:rPr>
        <w:t>表</w:t>
      </w:r>
      <w:r>
        <w:rPr>
          <w:rFonts w:ascii="宋体" w:hAnsi="宋体" w:cs="宋体"/>
          <w:b/>
          <w:bCs/>
          <w:color w:val="auto"/>
          <w:spacing w:val="-53"/>
        </w:rPr>
        <w:t xml:space="preserve"> </w:t>
      </w:r>
      <w:r>
        <w:rPr>
          <w:rFonts w:eastAsia="Times New Roman"/>
          <w:b/>
          <w:bCs/>
          <w:color w:val="auto"/>
        </w:rPr>
        <w:t>3.</w:t>
      </w:r>
      <w:r>
        <w:rPr>
          <w:rFonts w:hint="eastAsia"/>
          <w:b/>
          <w:bCs/>
          <w:color w:val="auto"/>
        </w:rPr>
        <w:t>3-6</w:t>
      </w:r>
      <w:r>
        <w:rPr>
          <w:rFonts w:eastAsia="Times New Roman"/>
          <w:b/>
          <w:bCs/>
          <w:color w:val="auto"/>
        </w:rPr>
        <w:tab/>
      </w:r>
      <w:r>
        <w:rPr>
          <w:rFonts w:ascii="宋体" w:hAnsi="宋体" w:cs="宋体"/>
          <w:b/>
          <w:bCs/>
          <w:color w:val="auto"/>
        </w:rPr>
        <w:t>项目污水处理、固粪处理区恶臭气体</w:t>
      </w:r>
      <w:r>
        <w:rPr>
          <w:rFonts w:hint="eastAsia" w:ascii="宋体" w:hAnsi="宋体" w:cs="宋体"/>
          <w:b/>
          <w:bCs/>
          <w:color w:val="auto"/>
        </w:rPr>
        <w:t>等</w:t>
      </w:r>
      <w:r>
        <w:rPr>
          <w:rFonts w:ascii="宋体" w:hAnsi="宋体" w:cs="宋体"/>
          <w:b/>
          <w:bCs/>
          <w:color w:val="auto"/>
        </w:rPr>
        <w:t>产排情况一览表</w:t>
      </w:r>
    </w:p>
    <w:tbl>
      <w:tblPr>
        <w:tblStyle w:val="27"/>
        <w:tblW w:w="4997" w:type="pct"/>
        <w:tblInd w:w="0" w:type="dxa"/>
        <w:tblBorders>
          <w:top w:val="single" w:color="000000" w:sz="2"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936"/>
        <w:gridCol w:w="912"/>
        <w:gridCol w:w="1125"/>
        <w:gridCol w:w="1251"/>
        <w:gridCol w:w="3070"/>
        <w:gridCol w:w="825"/>
        <w:gridCol w:w="834"/>
      </w:tblGrid>
      <w:tr>
        <w:tblPrEx>
          <w:tblBorders>
            <w:top w:val="single" w:color="000000" w:sz="2"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79" w:hRule="exact"/>
        </w:trPr>
        <w:tc>
          <w:tcPr>
            <w:tcW w:w="522" w:type="pct"/>
            <w:vMerge w:val="restart"/>
            <w:tcBorders>
              <w:tl2br w:val="nil"/>
              <w:tr2bl w:val="nil"/>
            </w:tcBorders>
            <w:vAlign w:val="center"/>
          </w:tcPr>
          <w:p>
            <w:pPr>
              <w:pStyle w:val="43"/>
              <w:spacing w:line="240" w:lineRule="auto"/>
              <w:ind w:firstLine="0" w:firstLineChars="0"/>
              <w:rPr>
                <w:rFonts w:eastAsia="宋体"/>
                <w:b/>
                <w:bCs/>
                <w:color w:val="auto"/>
                <w:sz w:val="21"/>
                <w:szCs w:val="21"/>
              </w:rPr>
            </w:pPr>
            <w:r>
              <w:rPr>
                <w:rFonts w:eastAsia="宋体"/>
                <w:b/>
                <w:bCs/>
                <w:color w:val="auto"/>
                <w:sz w:val="21"/>
                <w:szCs w:val="21"/>
              </w:rPr>
              <w:t>污染源</w:t>
            </w:r>
          </w:p>
        </w:tc>
        <w:tc>
          <w:tcPr>
            <w:tcW w:w="509" w:type="pct"/>
            <w:vMerge w:val="restart"/>
            <w:tcBorders>
              <w:tl2br w:val="nil"/>
              <w:tr2bl w:val="nil"/>
            </w:tcBorders>
            <w:vAlign w:val="center"/>
          </w:tcPr>
          <w:p>
            <w:pPr>
              <w:pStyle w:val="43"/>
              <w:spacing w:line="240" w:lineRule="auto"/>
              <w:ind w:firstLine="0" w:firstLineChars="0"/>
              <w:rPr>
                <w:rFonts w:eastAsia="宋体"/>
                <w:b/>
                <w:bCs/>
                <w:color w:val="auto"/>
                <w:sz w:val="21"/>
                <w:szCs w:val="21"/>
              </w:rPr>
            </w:pPr>
            <w:r>
              <w:rPr>
                <w:rFonts w:eastAsia="宋体"/>
                <w:b/>
                <w:bCs/>
                <w:color w:val="auto"/>
                <w:sz w:val="21"/>
                <w:szCs w:val="21"/>
              </w:rPr>
              <w:t>排放方式</w:t>
            </w:r>
          </w:p>
        </w:tc>
        <w:tc>
          <w:tcPr>
            <w:tcW w:w="1326" w:type="pct"/>
            <w:gridSpan w:val="2"/>
            <w:tcBorders>
              <w:tl2br w:val="nil"/>
              <w:tr2bl w:val="nil"/>
            </w:tcBorders>
            <w:vAlign w:val="center"/>
          </w:tcPr>
          <w:p>
            <w:pPr>
              <w:pStyle w:val="43"/>
              <w:spacing w:line="240" w:lineRule="auto"/>
              <w:ind w:firstLine="0" w:firstLineChars="0"/>
              <w:rPr>
                <w:rFonts w:eastAsia="宋体"/>
                <w:b/>
                <w:bCs/>
                <w:color w:val="auto"/>
                <w:sz w:val="21"/>
                <w:szCs w:val="21"/>
              </w:rPr>
            </w:pPr>
            <w:r>
              <w:rPr>
                <w:rFonts w:eastAsia="宋体"/>
                <w:b/>
                <w:bCs/>
                <w:color w:val="auto"/>
                <w:sz w:val="21"/>
                <w:szCs w:val="21"/>
              </w:rPr>
              <w:t>污染物产生情况</w:t>
            </w:r>
          </w:p>
        </w:tc>
        <w:tc>
          <w:tcPr>
            <w:tcW w:w="1713" w:type="pct"/>
            <w:vMerge w:val="restart"/>
            <w:tcBorders>
              <w:tl2br w:val="nil"/>
              <w:tr2bl w:val="nil"/>
            </w:tcBorders>
            <w:vAlign w:val="center"/>
          </w:tcPr>
          <w:p>
            <w:pPr>
              <w:pStyle w:val="43"/>
              <w:spacing w:line="240" w:lineRule="auto"/>
              <w:ind w:firstLine="0" w:firstLineChars="0"/>
              <w:rPr>
                <w:rFonts w:eastAsia="宋体"/>
                <w:b/>
                <w:bCs/>
                <w:color w:val="auto"/>
                <w:sz w:val="21"/>
                <w:szCs w:val="21"/>
              </w:rPr>
            </w:pPr>
            <w:r>
              <w:rPr>
                <w:rFonts w:eastAsia="宋体"/>
                <w:b/>
                <w:bCs/>
                <w:color w:val="auto"/>
                <w:sz w:val="21"/>
                <w:szCs w:val="21"/>
              </w:rPr>
              <w:t>拟处理措施</w:t>
            </w:r>
          </w:p>
        </w:tc>
        <w:tc>
          <w:tcPr>
            <w:tcW w:w="927" w:type="pct"/>
            <w:gridSpan w:val="2"/>
            <w:tcBorders>
              <w:tl2br w:val="nil"/>
              <w:tr2bl w:val="nil"/>
            </w:tcBorders>
            <w:vAlign w:val="center"/>
          </w:tcPr>
          <w:p>
            <w:pPr>
              <w:pStyle w:val="43"/>
              <w:spacing w:line="240" w:lineRule="auto"/>
              <w:ind w:firstLine="0" w:firstLineChars="0"/>
              <w:rPr>
                <w:rFonts w:eastAsia="宋体"/>
                <w:b/>
                <w:bCs/>
                <w:color w:val="auto"/>
                <w:sz w:val="21"/>
                <w:szCs w:val="21"/>
              </w:rPr>
            </w:pPr>
            <w:r>
              <w:rPr>
                <w:rFonts w:eastAsia="宋体"/>
                <w:b/>
                <w:bCs/>
                <w:color w:val="auto"/>
                <w:sz w:val="21"/>
                <w:szCs w:val="21"/>
              </w:rPr>
              <w:t>污染物排放情况</w:t>
            </w:r>
          </w:p>
        </w:tc>
      </w:tr>
      <w:tr>
        <w:tblPrEx>
          <w:tblBorders>
            <w:top w:val="single" w:color="000000" w:sz="2"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76" w:hRule="exact"/>
        </w:trPr>
        <w:tc>
          <w:tcPr>
            <w:tcW w:w="522" w:type="pct"/>
            <w:vMerge w:val="continue"/>
            <w:tcBorders>
              <w:tl2br w:val="nil"/>
              <w:tr2bl w:val="nil"/>
            </w:tcBorders>
            <w:vAlign w:val="center"/>
          </w:tcPr>
          <w:p>
            <w:pPr>
              <w:pStyle w:val="43"/>
              <w:spacing w:line="240" w:lineRule="auto"/>
              <w:ind w:firstLine="0" w:firstLineChars="0"/>
              <w:rPr>
                <w:rFonts w:eastAsia="宋体"/>
                <w:b/>
                <w:bCs/>
                <w:color w:val="auto"/>
                <w:sz w:val="21"/>
                <w:szCs w:val="21"/>
              </w:rPr>
            </w:pPr>
          </w:p>
        </w:tc>
        <w:tc>
          <w:tcPr>
            <w:tcW w:w="509" w:type="pct"/>
            <w:vMerge w:val="continue"/>
            <w:tcBorders>
              <w:tl2br w:val="nil"/>
              <w:tr2bl w:val="nil"/>
            </w:tcBorders>
            <w:vAlign w:val="center"/>
          </w:tcPr>
          <w:p>
            <w:pPr>
              <w:pStyle w:val="43"/>
              <w:spacing w:line="240" w:lineRule="auto"/>
              <w:ind w:firstLine="0" w:firstLineChars="0"/>
              <w:rPr>
                <w:rFonts w:eastAsia="宋体"/>
                <w:b/>
                <w:bCs/>
                <w:color w:val="auto"/>
                <w:sz w:val="21"/>
                <w:szCs w:val="21"/>
              </w:rPr>
            </w:pPr>
          </w:p>
        </w:tc>
        <w:tc>
          <w:tcPr>
            <w:tcW w:w="628" w:type="pct"/>
            <w:tcBorders>
              <w:tl2br w:val="nil"/>
              <w:tr2bl w:val="nil"/>
            </w:tcBorders>
            <w:vAlign w:val="center"/>
          </w:tcPr>
          <w:p>
            <w:pPr>
              <w:pStyle w:val="43"/>
              <w:spacing w:line="240" w:lineRule="auto"/>
              <w:ind w:firstLine="0" w:firstLineChars="0"/>
              <w:rPr>
                <w:rFonts w:eastAsia="宋体"/>
                <w:b/>
                <w:bCs/>
                <w:color w:val="auto"/>
                <w:sz w:val="21"/>
                <w:szCs w:val="21"/>
              </w:rPr>
            </w:pPr>
            <w:r>
              <w:rPr>
                <w:rFonts w:eastAsia="宋体"/>
                <w:b/>
                <w:bCs/>
                <w:color w:val="auto"/>
                <w:sz w:val="21"/>
                <w:szCs w:val="21"/>
              </w:rPr>
              <w:t>NH</w:t>
            </w:r>
            <w:r>
              <w:rPr>
                <w:rFonts w:eastAsia="宋体"/>
                <w:b/>
                <w:bCs/>
                <w:color w:val="auto"/>
                <w:sz w:val="21"/>
                <w:szCs w:val="21"/>
                <w:vertAlign w:val="subscript"/>
              </w:rPr>
              <w:t>3</w:t>
            </w:r>
          </w:p>
          <w:p>
            <w:pPr>
              <w:pStyle w:val="43"/>
              <w:spacing w:line="240" w:lineRule="auto"/>
              <w:ind w:firstLine="0" w:firstLineChars="0"/>
              <w:rPr>
                <w:rFonts w:eastAsia="宋体"/>
                <w:b/>
                <w:bCs/>
                <w:color w:val="auto"/>
                <w:sz w:val="21"/>
                <w:szCs w:val="21"/>
              </w:rPr>
            </w:pPr>
            <w:r>
              <w:rPr>
                <w:rFonts w:eastAsia="宋体"/>
                <w:b/>
                <w:bCs/>
                <w:color w:val="auto"/>
                <w:sz w:val="21"/>
                <w:szCs w:val="21"/>
              </w:rPr>
              <w:t>（kg/h）</w:t>
            </w:r>
          </w:p>
        </w:tc>
        <w:tc>
          <w:tcPr>
            <w:tcW w:w="698" w:type="pct"/>
            <w:tcBorders>
              <w:tl2br w:val="nil"/>
              <w:tr2bl w:val="nil"/>
            </w:tcBorders>
            <w:vAlign w:val="center"/>
          </w:tcPr>
          <w:p>
            <w:pPr>
              <w:pStyle w:val="43"/>
              <w:spacing w:line="240" w:lineRule="auto"/>
              <w:ind w:firstLine="0" w:firstLineChars="0"/>
              <w:rPr>
                <w:rFonts w:eastAsia="宋体"/>
                <w:b/>
                <w:bCs/>
                <w:color w:val="auto"/>
                <w:sz w:val="21"/>
                <w:szCs w:val="21"/>
              </w:rPr>
            </w:pPr>
            <w:r>
              <w:rPr>
                <w:rFonts w:eastAsia="宋体"/>
                <w:b/>
                <w:bCs/>
                <w:color w:val="auto"/>
                <w:sz w:val="21"/>
                <w:szCs w:val="21"/>
              </w:rPr>
              <w:t>H</w:t>
            </w:r>
            <w:r>
              <w:rPr>
                <w:rFonts w:eastAsia="宋体"/>
                <w:b/>
                <w:bCs/>
                <w:color w:val="auto"/>
                <w:sz w:val="21"/>
                <w:szCs w:val="21"/>
                <w:vertAlign w:val="subscript"/>
              </w:rPr>
              <w:t>2</w:t>
            </w:r>
            <w:r>
              <w:rPr>
                <w:rFonts w:eastAsia="宋体"/>
                <w:b/>
                <w:bCs/>
                <w:color w:val="auto"/>
                <w:sz w:val="21"/>
                <w:szCs w:val="21"/>
              </w:rPr>
              <w:t>S</w:t>
            </w:r>
          </w:p>
          <w:p>
            <w:pPr>
              <w:pStyle w:val="43"/>
              <w:spacing w:line="240" w:lineRule="auto"/>
              <w:ind w:firstLine="0" w:firstLineChars="0"/>
              <w:rPr>
                <w:rFonts w:eastAsia="宋体"/>
                <w:b/>
                <w:bCs/>
                <w:color w:val="auto"/>
                <w:sz w:val="21"/>
                <w:szCs w:val="21"/>
              </w:rPr>
            </w:pPr>
            <w:r>
              <w:rPr>
                <w:rFonts w:eastAsia="宋体"/>
                <w:b/>
                <w:bCs/>
                <w:color w:val="auto"/>
                <w:sz w:val="21"/>
                <w:szCs w:val="21"/>
              </w:rPr>
              <w:t>（kg/h）</w:t>
            </w:r>
          </w:p>
        </w:tc>
        <w:tc>
          <w:tcPr>
            <w:tcW w:w="1713" w:type="pct"/>
            <w:vMerge w:val="continue"/>
            <w:tcBorders>
              <w:tl2br w:val="nil"/>
              <w:tr2bl w:val="nil"/>
            </w:tcBorders>
            <w:vAlign w:val="center"/>
          </w:tcPr>
          <w:p>
            <w:pPr>
              <w:pStyle w:val="43"/>
              <w:spacing w:line="240" w:lineRule="auto"/>
              <w:ind w:firstLine="0" w:firstLineChars="0"/>
              <w:rPr>
                <w:rFonts w:eastAsia="宋体"/>
                <w:b/>
                <w:bCs/>
                <w:color w:val="auto"/>
                <w:sz w:val="21"/>
                <w:szCs w:val="21"/>
              </w:rPr>
            </w:pPr>
          </w:p>
        </w:tc>
        <w:tc>
          <w:tcPr>
            <w:tcW w:w="461" w:type="pct"/>
            <w:tcBorders>
              <w:tl2br w:val="nil"/>
              <w:tr2bl w:val="nil"/>
            </w:tcBorders>
            <w:vAlign w:val="center"/>
          </w:tcPr>
          <w:p>
            <w:pPr>
              <w:pStyle w:val="43"/>
              <w:spacing w:line="240" w:lineRule="auto"/>
              <w:ind w:firstLine="0" w:firstLineChars="0"/>
              <w:rPr>
                <w:rFonts w:eastAsia="宋体"/>
                <w:b/>
                <w:bCs/>
                <w:color w:val="auto"/>
                <w:sz w:val="21"/>
                <w:szCs w:val="21"/>
              </w:rPr>
            </w:pPr>
            <w:r>
              <w:rPr>
                <w:rFonts w:eastAsia="宋体"/>
                <w:b/>
                <w:bCs/>
                <w:color w:val="auto"/>
                <w:sz w:val="21"/>
                <w:szCs w:val="21"/>
              </w:rPr>
              <w:t>NH</w:t>
            </w:r>
            <w:r>
              <w:rPr>
                <w:rFonts w:eastAsia="宋体"/>
                <w:b/>
                <w:bCs/>
                <w:color w:val="auto"/>
                <w:sz w:val="21"/>
                <w:szCs w:val="21"/>
                <w:vertAlign w:val="subscript"/>
              </w:rPr>
              <w:t>3</w:t>
            </w:r>
          </w:p>
          <w:p>
            <w:pPr>
              <w:pStyle w:val="43"/>
              <w:spacing w:line="240" w:lineRule="auto"/>
              <w:ind w:firstLine="0" w:firstLineChars="0"/>
              <w:rPr>
                <w:rFonts w:eastAsia="宋体"/>
                <w:b/>
                <w:bCs/>
                <w:color w:val="auto"/>
                <w:sz w:val="21"/>
                <w:szCs w:val="21"/>
              </w:rPr>
            </w:pPr>
            <w:r>
              <w:rPr>
                <w:rFonts w:eastAsia="宋体"/>
                <w:b/>
                <w:bCs/>
                <w:color w:val="auto"/>
                <w:sz w:val="21"/>
                <w:szCs w:val="21"/>
              </w:rPr>
              <w:t>（kg/h）</w:t>
            </w:r>
          </w:p>
        </w:tc>
        <w:tc>
          <w:tcPr>
            <w:tcW w:w="465" w:type="pct"/>
            <w:tcBorders>
              <w:tl2br w:val="nil"/>
              <w:tr2bl w:val="nil"/>
            </w:tcBorders>
            <w:vAlign w:val="center"/>
          </w:tcPr>
          <w:p>
            <w:pPr>
              <w:pStyle w:val="43"/>
              <w:spacing w:line="240" w:lineRule="auto"/>
              <w:ind w:firstLine="0" w:firstLineChars="0"/>
              <w:rPr>
                <w:rFonts w:eastAsia="宋体"/>
                <w:b/>
                <w:bCs/>
                <w:color w:val="auto"/>
                <w:sz w:val="21"/>
                <w:szCs w:val="21"/>
              </w:rPr>
            </w:pPr>
            <w:r>
              <w:rPr>
                <w:rFonts w:eastAsia="宋体"/>
                <w:b/>
                <w:bCs/>
                <w:color w:val="auto"/>
                <w:sz w:val="21"/>
                <w:szCs w:val="21"/>
              </w:rPr>
              <w:t>H</w:t>
            </w:r>
            <w:r>
              <w:rPr>
                <w:rFonts w:eastAsia="宋体"/>
                <w:b/>
                <w:bCs/>
                <w:color w:val="auto"/>
                <w:sz w:val="21"/>
                <w:szCs w:val="21"/>
                <w:vertAlign w:val="subscript"/>
              </w:rPr>
              <w:t>2</w:t>
            </w:r>
            <w:r>
              <w:rPr>
                <w:rFonts w:eastAsia="宋体"/>
                <w:b/>
                <w:bCs/>
                <w:color w:val="auto"/>
                <w:sz w:val="21"/>
                <w:szCs w:val="21"/>
              </w:rPr>
              <w:t>S</w:t>
            </w:r>
          </w:p>
          <w:p>
            <w:pPr>
              <w:pStyle w:val="43"/>
              <w:spacing w:line="240" w:lineRule="auto"/>
              <w:ind w:firstLine="0" w:firstLineChars="0"/>
              <w:rPr>
                <w:rFonts w:eastAsia="宋体"/>
                <w:b/>
                <w:bCs/>
                <w:color w:val="auto"/>
                <w:sz w:val="21"/>
                <w:szCs w:val="21"/>
              </w:rPr>
            </w:pPr>
            <w:r>
              <w:rPr>
                <w:rFonts w:eastAsia="宋体"/>
                <w:b/>
                <w:bCs/>
                <w:color w:val="auto"/>
                <w:sz w:val="21"/>
                <w:szCs w:val="21"/>
              </w:rPr>
              <w:t>（kg/h）</w:t>
            </w:r>
          </w:p>
        </w:tc>
      </w:tr>
      <w:tr>
        <w:tblPrEx>
          <w:tblBorders>
            <w:top w:val="single" w:color="000000" w:sz="2" w:space="0"/>
            <w:left w:val="none" w:color="auto" w:sz="0" w:space="0"/>
            <w:bottom w:val="single" w:color="000000" w:sz="4" w:space="0"/>
            <w:right w:val="none" w:color="auto" w:sz="0" w:space="0"/>
            <w:insideH w:val="single" w:color="000000" w:sz="4" w:space="0"/>
            <w:insideV w:val="single" w:color="000000" w:sz="4" w:space="0"/>
          </w:tblBorders>
        </w:tblPrEx>
        <w:trPr>
          <w:trHeight w:val="1795" w:hRule="exact"/>
        </w:trPr>
        <w:tc>
          <w:tcPr>
            <w:tcW w:w="522" w:type="pct"/>
            <w:tcBorders>
              <w:tl2br w:val="nil"/>
              <w:tr2bl w:val="nil"/>
            </w:tcBorders>
            <w:vAlign w:val="center"/>
          </w:tcPr>
          <w:p>
            <w:pPr>
              <w:pStyle w:val="42"/>
              <w:adjustRightInd/>
              <w:snapToGrid/>
              <w:spacing w:line="240" w:lineRule="auto"/>
              <w:ind w:firstLine="0" w:firstLineChars="0"/>
              <w:jc w:val="center"/>
              <w:rPr>
                <w:color w:val="auto"/>
                <w:sz w:val="21"/>
                <w:szCs w:val="21"/>
              </w:rPr>
            </w:pPr>
            <w:r>
              <w:rPr>
                <w:color w:val="auto"/>
                <w:sz w:val="21"/>
                <w:szCs w:val="21"/>
              </w:rPr>
              <w:t>猪舍</w:t>
            </w:r>
          </w:p>
        </w:tc>
        <w:tc>
          <w:tcPr>
            <w:tcW w:w="509" w:type="pct"/>
            <w:tcBorders>
              <w:tl2br w:val="nil"/>
              <w:tr2bl w:val="nil"/>
            </w:tcBorders>
            <w:vAlign w:val="center"/>
          </w:tcPr>
          <w:p>
            <w:pPr>
              <w:pStyle w:val="42"/>
              <w:adjustRightInd/>
              <w:snapToGrid/>
              <w:spacing w:line="240" w:lineRule="auto"/>
              <w:ind w:firstLine="0" w:firstLineChars="0"/>
              <w:jc w:val="center"/>
              <w:rPr>
                <w:color w:val="auto"/>
                <w:sz w:val="21"/>
                <w:szCs w:val="21"/>
              </w:rPr>
            </w:pPr>
            <w:r>
              <w:rPr>
                <w:color w:val="auto"/>
                <w:sz w:val="21"/>
                <w:szCs w:val="21"/>
              </w:rPr>
              <w:t>无组织</w:t>
            </w:r>
          </w:p>
        </w:tc>
        <w:tc>
          <w:tcPr>
            <w:tcW w:w="628" w:type="pct"/>
            <w:tcBorders>
              <w:tl2br w:val="nil"/>
              <w:tr2bl w:val="nil"/>
            </w:tcBorders>
            <w:vAlign w:val="center"/>
          </w:tcPr>
          <w:p>
            <w:pPr>
              <w:pStyle w:val="43"/>
              <w:spacing w:line="240" w:lineRule="auto"/>
              <w:ind w:firstLine="0" w:firstLineChars="0"/>
              <w:rPr>
                <w:rFonts w:eastAsia="宋体"/>
                <w:color w:val="auto"/>
                <w:sz w:val="21"/>
                <w:szCs w:val="21"/>
              </w:rPr>
            </w:pPr>
            <w:r>
              <w:rPr>
                <w:rFonts w:eastAsia="宋体"/>
                <w:color w:val="auto"/>
                <w:sz w:val="21"/>
                <w:szCs w:val="21"/>
              </w:rPr>
              <w:t>0.</w:t>
            </w:r>
            <w:r>
              <w:rPr>
                <w:rFonts w:hint="eastAsia" w:eastAsia="宋体"/>
                <w:color w:val="auto"/>
                <w:sz w:val="21"/>
                <w:szCs w:val="21"/>
              </w:rPr>
              <w:t>125</w:t>
            </w:r>
          </w:p>
        </w:tc>
        <w:tc>
          <w:tcPr>
            <w:tcW w:w="698" w:type="pct"/>
            <w:tcBorders>
              <w:tl2br w:val="nil"/>
              <w:tr2bl w:val="nil"/>
            </w:tcBorders>
            <w:vAlign w:val="center"/>
          </w:tcPr>
          <w:p>
            <w:pPr>
              <w:pStyle w:val="43"/>
              <w:spacing w:line="240" w:lineRule="auto"/>
              <w:ind w:firstLine="0" w:firstLineChars="0"/>
              <w:rPr>
                <w:rFonts w:eastAsia="宋体"/>
                <w:color w:val="auto"/>
                <w:sz w:val="21"/>
                <w:szCs w:val="21"/>
              </w:rPr>
            </w:pPr>
            <w:r>
              <w:rPr>
                <w:rFonts w:eastAsia="宋体"/>
                <w:color w:val="auto"/>
                <w:sz w:val="21"/>
                <w:szCs w:val="21"/>
              </w:rPr>
              <w:t>0.0</w:t>
            </w:r>
            <w:r>
              <w:rPr>
                <w:rFonts w:hint="eastAsia" w:eastAsia="宋体"/>
                <w:color w:val="auto"/>
                <w:sz w:val="21"/>
                <w:szCs w:val="21"/>
              </w:rPr>
              <w:t>11</w:t>
            </w:r>
          </w:p>
        </w:tc>
        <w:tc>
          <w:tcPr>
            <w:tcW w:w="1713" w:type="pct"/>
            <w:tcBorders>
              <w:tl2br w:val="nil"/>
              <w:tr2bl w:val="nil"/>
            </w:tcBorders>
            <w:vAlign w:val="center"/>
          </w:tcPr>
          <w:p>
            <w:pPr>
              <w:pStyle w:val="43"/>
              <w:spacing w:line="240" w:lineRule="auto"/>
              <w:ind w:firstLine="0" w:firstLineChars="0"/>
              <w:rPr>
                <w:rFonts w:eastAsia="宋体"/>
                <w:color w:val="auto"/>
                <w:sz w:val="21"/>
                <w:szCs w:val="21"/>
              </w:rPr>
            </w:pPr>
            <w:r>
              <w:rPr>
                <w:rFonts w:hint="eastAsia" w:eastAsia="宋体"/>
                <w:color w:val="auto"/>
                <w:sz w:val="21"/>
                <w:szCs w:val="21"/>
              </w:rPr>
              <w:t>调整饲料配方</w:t>
            </w:r>
            <w:r>
              <w:rPr>
                <w:rFonts w:eastAsia="宋体"/>
                <w:color w:val="auto"/>
                <w:sz w:val="21"/>
                <w:szCs w:val="21"/>
              </w:rPr>
              <w:t>、采用节水型饮水器、全漏缝地板及时清粪</w:t>
            </w:r>
            <w:r>
              <w:rPr>
                <w:rFonts w:hint="eastAsia" w:eastAsia="宋体"/>
                <w:color w:val="auto"/>
                <w:sz w:val="21"/>
                <w:szCs w:val="21"/>
              </w:rPr>
              <w:t>，猪舍出风口处设置风机，将臭气引至除臭棚处理，除臭棚墙内填充填料吸附，同时除臭棚顶部有喷淋水装置</w:t>
            </w:r>
            <w:r>
              <w:rPr>
                <w:rFonts w:eastAsia="宋体"/>
                <w:color w:val="auto"/>
                <w:sz w:val="21"/>
                <w:szCs w:val="21"/>
              </w:rPr>
              <w:t>等，恶臭去除效率可达到</w:t>
            </w:r>
            <w:r>
              <w:rPr>
                <w:rFonts w:hint="eastAsia" w:eastAsia="宋体"/>
                <w:color w:val="auto"/>
                <w:sz w:val="21"/>
                <w:szCs w:val="21"/>
              </w:rPr>
              <w:t>85</w:t>
            </w:r>
            <w:r>
              <w:rPr>
                <w:rFonts w:eastAsia="宋体"/>
                <w:color w:val="auto"/>
                <w:sz w:val="21"/>
                <w:szCs w:val="21"/>
              </w:rPr>
              <w:t>%</w:t>
            </w:r>
          </w:p>
        </w:tc>
        <w:tc>
          <w:tcPr>
            <w:tcW w:w="461" w:type="pct"/>
            <w:tcBorders>
              <w:tl2br w:val="nil"/>
              <w:tr2bl w:val="nil"/>
            </w:tcBorders>
            <w:vAlign w:val="center"/>
          </w:tcPr>
          <w:p>
            <w:pPr>
              <w:pStyle w:val="42"/>
              <w:adjustRightInd/>
              <w:snapToGrid/>
              <w:spacing w:line="240" w:lineRule="auto"/>
              <w:ind w:firstLine="0" w:firstLineChars="0"/>
              <w:jc w:val="center"/>
              <w:rPr>
                <w:color w:val="auto"/>
                <w:sz w:val="21"/>
                <w:szCs w:val="21"/>
              </w:rPr>
            </w:pPr>
            <w:r>
              <w:rPr>
                <w:rFonts w:hint="eastAsia"/>
                <w:color w:val="auto"/>
                <w:sz w:val="21"/>
                <w:szCs w:val="21"/>
              </w:rPr>
              <w:t>0.019</w:t>
            </w:r>
          </w:p>
        </w:tc>
        <w:tc>
          <w:tcPr>
            <w:tcW w:w="465" w:type="pct"/>
            <w:tcBorders>
              <w:tl2br w:val="nil"/>
              <w:tr2bl w:val="nil"/>
            </w:tcBorders>
            <w:vAlign w:val="center"/>
          </w:tcPr>
          <w:p>
            <w:pPr>
              <w:pStyle w:val="42"/>
              <w:adjustRightInd/>
              <w:snapToGrid/>
              <w:spacing w:line="240" w:lineRule="auto"/>
              <w:ind w:firstLine="0" w:firstLineChars="0"/>
              <w:jc w:val="center"/>
              <w:rPr>
                <w:color w:val="auto"/>
                <w:sz w:val="21"/>
                <w:szCs w:val="21"/>
              </w:rPr>
            </w:pPr>
            <w:r>
              <w:rPr>
                <w:rFonts w:hint="eastAsia"/>
                <w:color w:val="auto"/>
                <w:sz w:val="21"/>
                <w:szCs w:val="21"/>
              </w:rPr>
              <w:t>0.0016</w:t>
            </w:r>
          </w:p>
        </w:tc>
      </w:tr>
      <w:tr>
        <w:tblPrEx>
          <w:tblBorders>
            <w:top w:val="single" w:color="000000" w:sz="2" w:space="0"/>
            <w:left w:val="none" w:color="auto" w:sz="0" w:space="0"/>
            <w:bottom w:val="single" w:color="000000" w:sz="4" w:space="0"/>
            <w:right w:val="none" w:color="auto" w:sz="0" w:space="0"/>
            <w:insideH w:val="single" w:color="000000" w:sz="4" w:space="0"/>
            <w:insideV w:val="single" w:color="000000" w:sz="4" w:space="0"/>
          </w:tblBorders>
        </w:tblPrEx>
        <w:trPr>
          <w:trHeight w:val="1146" w:hRule="exact"/>
        </w:trPr>
        <w:tc>
          <w:tcPr>
            <w:tcW w:w="522" w:type="pct"/>
            <w:tcBorders>
              <w:tl2br w:val="nil"/>
              <w:tr2bl w:val="nil"/>
            </w:tcBorders>
            <w:vAlign w:val="center"/>
          </w:tcPr>
          <w:p>
            <w:pPr>
              <w:pStyle w:val="43"/>
              <w:spacing w:line="240" w:lineRule="auto"/>
              <w:ind w:firstLine="0" w:firstLineChars="0"/>
              <w:rPr>
                <w:rFonts w:eastAsia="宋体"/>
                <w:color w:val="auto"/>
                <w:sz w:val="21"/>
                <w:szCs w:val="21"/>
              </w:rPr>
            </w:pPr>
            <w:r>
              <w:rPr>
                <w:rFonts w:hint="eastAsia" w:eastAsia="宋体"/>
                <w:color w:val="auto"/>
                <w:sz w:val="21"/>
                <w:szCs w:val="21"/>
              </w:rPr>
              <w:t>污水处理系统</w:t>
            </w:r>
          </w:p>
        </w:tc>
        <w:tc>
          <w:tcPr>
            <w:tcW w:w="509" w:type="pct"/>
            <w:tcBorders>
              <w:tl2br w:val="nil"/>
              <w:tr2bl w:val="nil"/>
            </w:tcBorders>
            <w:vAlign w:val="center"/>
          </w:tcPr>
          <w:p>
            <w:pPr>
              <w:pStyle w:val="42"/>
              <w:adjustRightInd/>
              <w:snapToGrid/>
              <w:spacing w:line="240" w:lineRule="auto"/>
              <w:ind w:firstLine="0" w:firstLineChars="0"/>
              <w:jc w:val="center"/>
              <w:rPr>
                <w:color w:val="auto"/>
                <w:sz w:val="21"/>
                <w:szCs w:val="21"/>
              </w:rPr>
            </w:pPr>
            <w:r>
              <w:rPr>
                <w:color w:val="auto"/>
                <w:sz w:val="21"/>
                <w:szCs w:val="21"/>
              </w:rPr>
              <w:t>无组织</w:t>
            </w:r>
          </w:p>
        </w:tc>
        <w:tc>
          <w:tcPr>
            <w:tcW w:w="628" w:type="pct"/>
            <w:tcBorders>
              <w:tl2br w:val="nil"/>
              <w:tr2bl w:val="nil"/>
            </w:tcBorders>
            <w:vAlign w:val="center"/>
          </w:tcPr>
          <w:p>
            <w:pPr>
              <w:pStyle w:val="43"/>
              <w:spacing w:line="240" w:lineRule="auto"/>
              <w:ind w:firstLine="0" w:firstLineChars="0"/>
              <w:rPr>
                <w:rFonts w:eastAsia="宋体"/>
                <w:color w:val="auto"/>
                <w:sz w:val="21"/>
                <w:szCs w:val="21"/>
              </w:rPr>
            </w:pPr>
            <w:r>
              <w:rPr>
                <w:rFonts w:hint="eastAsia" w:eastAsia="宋体"/>
                <w:color w:val="auto"/>
                <w:sz w:val="21"/>
                <w:szCs w:val="21"/>
              </w:rPr>
              <w:t>0.076</w:t>
            </w:r>
          </w:p>
        </w:tc>
        <w:tc>
          <w:tcPr>
            <w:tcW w:w="698" w:type="pct"/>
            <w:tcBorders>
              <w:tl2br w:val="nil"/>
              <w:tr2bl w:val="nil"/>
            </w:tcBorders>
            <w:vAlign w:val="center"/>
          </w:tcPr>
          <w:p>
            <w:pPr>
              <w:pStyle w:val="43"/>
              <w:spacing w:line="240" w:lineRule="auto"/>
              <w:ind w:firstLine="0" w:firstLineChars="0"/>
              <w:rPr>
                <w:rFonts w:eastAsia="宋体"/>
                <w:color w:val="auto"/>
                <w:sz w:val="21"/>
                <w:szCs w:val="21"/>
              </w:rPr>
            </w:pPr>
            <w:r>
              <w:rPr>
                <w:rFonts w:eastAsia="宋体"/>
                <w:color w:val="auto"/>
                <w:sz w:val="21"/>
                <w:szCs w:val="21"/>
              </w:rPr>
              <w:t>0.00</w:t>
            </w:r>
            <w:r>
              <w:rPr>
                <w:rFonts w:hint="eastAsia" w:eastAsia="宋体"/>
                <w:color w:val="auto"/>
                <w:sz w:val="21"/>
                <w:szCs w:val="21"/>
              </w:rPr>
              <w:t>3</w:t>
            </w:r>
          </w:p>
        </w:tc>
        <w:tc>
          <w:tcPr>
            <w:tcW w:w="1713" w:type="pct"/>
            <w:tcBorders>
              <w:tl2br w:val="nil"/>
              <w:tr2bl w:val="nil"/>
            </w:tcBorders>
            <w:vAlign w:val="center"/>
          </w:tcPr>
          <w:p>
            <w:pPr>
              <w:pStyle w:val="43"/>
              <w:spacing w:line="240" w:lineRule="auto"/>
              <w:ind w:firstLine="0" w:firstLineChars="0"/>
              <w:rPr>
                <w:rFonts w:eastAsia="宋体"/>
                <w:color w:val="auto"/>
                <w:sz w:val="21"/>
                <w:szCs w:val="21"/>
              </w:rPr>
            </w:pPr>
            <w:r>
              <w:rPr>
                <w:rFonts w:eastAsia="宋体"/>
                <w:color w:val="auto"/>
                <w:sz w:val="21"/>
                <w:szCs w:val="21"/>
              </w:rPr>
              <w:t>黑膜沼气池密闭，喷洒除臭剂，去除效率可达到70%</w:t>
            </w:r>
          </w:p>
        </w:tc>
        <w:tc>
          <w:tcPr>
            <w:tcW w:w="461" w:type="pct"/>
            <w:tcBorders>
              <w:tl2br w:val="nil"/>
              <w:tr2bl w:val="nil"/>
            </w:tcBorders>
            <w:vAlign w:val="center"/>
          </w:tcPr>
          <w:p>
            <w:pPr>
              <w:pStyle w:val="42"/>
              <w:adjustRightInd/>
              <w:snapToGrid/>
              <w:spacing w:line="240" w:lineRule="auto"/>
              <w:ind w:firstLine="0" w:firstLineChars="0"/>
              <w:jc w:val="center"/>
              <w:rPr>
                <w:color w:val="auto"/>
                <w:sz w:val="21"/>
                <w:szCs w:val="21"/>
              </w:rPr>
            </w:pPr>
            <w:r>
              <w:rPr>
                <w:color w:val="auto"/>
                <w:sz w:val="21"/>
                <w:szCs w:val="21"/>
              </w:rPr>
              <w:t>0.0</w:t>
            </w:r>
            <w:r>
              <w:rPr>
                <w:rFonts w:hint="eastAsia"/>
                <w:color w:val="auto"/>
                <w:sz w:val="21"/>
                <w:szCs w:val="21"/>
              </w:rPr>
              <w:t>23</w:t>
            </w:r>
          </w:p>
        </w:tc>
        <w:tc>
          <w:tcPr>
            <w:tcW w:w="465" w:type="pct"/>
            <w:tcBorders>
              <w:tl2br w:val="nil"/>
              <w:tr2bl w:val="nil"/>
            </w:tcBorders>
            <w:vAlign w:val="center"/>
          </w:tcPr>
          <w:p>
            <w:pPr>
              <w:pStyle w:val="42"/>
              <w:adjustRightInd/>
              <w:snapToGrid/>
              <w:spacing w:line="240" w:lineRule="auto"/>
              <w:ind w:firstLine="0" w:firstLineChars="0"/>
              <w:jc w:val="center"/>
              <w:rPr>
                <w:color w:val="auto"/>
                <w:sz w:val="21"/>
                <w:szCs w:val="21"/>
              </w:rPr>
            </w:pPr>
            <w:r>
              <w:rPr>
                <w:color w:val="auto"/>
                <w:sz w:val="21"/>
                <w:szCs w:val="21"/>
              </w:rPr>
              <w:t>0.00</w:t>
            </w:r>
            <w:r>
              <w:rPr>
                <w:rFonts w:hint="eastAsia"/>
                <w:color w:val="auto"/>
                <w:sz w:val="21"/>
                <w:szCs w:val="21"/>
              </w:rPr>
              <w:t>09</w:t>
            </w:r>
          </w:p>
        </w:tc>
      </w:tr>
      <w:tr>
        <w:tblPrEx>
          <w:tblBorders>
            <w:top w:val="single" w:color="000000" w:sz="2" w:space="0"/>
            <w:left w:val="none" w:color="auto" w:sz="0" w:space="0"/>
            <w:bottom w:val="single" w:color="000000" w:sz="4" w:space="0"/>
            <w:right w:val="none" w:color="auto" w:sz="0" w:space="0"/>
            <w:insideH w:val="single" w:color="000000" w:sz="4" w:space="0"/>
            <w:insideV w:val="single" w:color="000000" w:sz="4" w:space="0"/>
          </w:tblBorders>
        </w:tblPrEx>
        <w:trPr>
          <w:trHeight w:val="1424" w:hRule="exact"/>
        </w:trPr>
        <w:tc>
          <w:tcPr>
            <w:tcW w:w="522" w:type="pct"/>
            <w:tcBorders>
              <w:tl2br w:val="nil"/>
              <w:tr2bl w:val="nil"/>
            </w:tcBorders>
            <w:vAlign w:val="center"/>
          </w:tcPr>
          <w:p>
            <w:pPr>
              <w:pStyle w:val="43"/>
              <w:spacing w:line="240" w:lineRule="auto"/>
              <w:ind w:firstLine="0" w:firstLineChars="0"/>
              <w:rPr>
                <w:rFonts w:eastAsia="宋体"/>
                <w:color w:val="auto"/>
                <w:sz w:val="21"/>
                <w:szCs w:val="21"/>
              </w:rPr>
            </w:pPr>
            <w:r>
              <w:rPr>
                <w:rFonts w:hint="eastAsia" w:eastAsia="宋体"/>
                <w:color w:val="auto"/>
                <w:sz w:val="21"/>
                <w:szCs w:val="21"/>
              </w:rPr>
              <w:t>固粪处理区</w:t>
            </w:r>
          </w:p>
        </w:tc>
        <w:tc>
          <w:tcPr>
            <w:tcW w:w="509" w:type="pct"/>
            <w:tcBorders>
              <w:tl2br w:val="nil"/>
              <w:tr2bl w:val="nil"/>
            </w:tcBorders>
            <w:vAlign w:val="center"/>
          </w:tcPr>
          <w:p>
            <w:pPr>
              <w:pStyle w:val="42"/>
              <w:adjustRightInd/>
              <w:snapToGrid/>
              <w:spacing w:line="240" w:lineRule="auto"/>
              <w:ind w:firstLine="0" w:firstLineChars="0"/>
              <w:jc w:val="center"/>
              <w:rPr>
                <w:color w:val="auto"/>
                <w:sz w:val="21"/>
                <w:szCs w:val="21"/>
              </w:rPr>
            </w:pPr>
            <w:r>
              <w:rPr>
                <w:color w:val="auto"/>
                <w:sz w:val="21"/>
                <w:szCs w:val="21"/>
              </w:rPr>
              <w:t>无组织</w:t>
            </w:r>
          </w:p>
        </w:tc>
        <w:tc>
          <w:tcPr>
            <w:tcW w:w="628" w:type="pct"/>
            <w:tcBorders>
              <w:tl2br w:val="nil"/>
              <w:tr2bl w:val="nil"/>
            </w:tcBorders>
            <w:vAlign w:val="center"/>
          </w:tcPr>
          <w:p>
            <w:pPr>
              <w:pStyle w:val="43"/>
              <w:spacing w:line="240" w:lineRule="auto"/>
              <w:ind w:firstLine="0" w:firstLineChars="0"/>
              <w:rPr>
                <w:rFonts w:eastAsia="宋体"/>
                <w:color w:val="auto"/>
                <w:sz w:val="21"/>
                <w:szCs w:val="21"/>
              </w:rPr>
            </w:pPr>
            <w:r>
              <w:rPr>
                <w:rFonts w:eastAsia="宋体"/>
                <w:color w:val="auto"/>
                <w:sz w:val="21"/>
                <w:szCs w:val="21"/>
              </w:rPr>
              <w:t>0.</w:t>
            </w:r>
            <w:r>
              <w:rPr>
                <w:rFonts w:hint="eastAsia" w:eastAsia="宋体"/>
                <w:color w:val="auto"/>
                <w:sz w:val="21"/>
                <w:szCs w:val="21"/>
              </w:rPr>
              <w:t>082</w:t>
            </w:r>
          </w:p>
        </w:tc>
        <w:tc>
          <w:tcPr>
            <w:tcW w:w="698" w:type="pct"/>
            <w:tcBorders>
              <w:tl2br w:val="nil"/>
              <w:tr2bl w:val="nil"/>
            </w:tcBorders>
            <w:vAlign w:val="center"/>
          </w:tcPr>
          <w:p>
            <w:pPr>
              <w:pStyle w:val="43"/>
              <w:spacing w:line="240" w:lineRule="auto"/>
              <w:ind w:firstLine="0" w:firstLineChars="0"/>
              <w:rPr>
                <w:rFonts w:eastAsia="宋体"/>
                <w:color w:val="auto"/>
                <w:sz w:val="21"/>
                <w:szCs w:val="21"/>
              </w:rPr>
            </w:pPr>
            <w:r>
              <w:rPr>
                <w:rFonts w:eastAsia="宋体"/>
                <w:color w:val="auto"/>
                <w:sz w:val="21"/>
                <w:szCs w:val="21"/>
              </w:rPr>
              <w:t>0.00</w:t>
            </w:r>
            <w:r>
              <w:rPr>
                <w:rFonts w:hint="eastAsia" w:eastAsia="宋体"/>
                <w:color w:val="auto"/>
                <w:sz w:val="21"/>
                <w:szCs w:val="21"/>
              </w:rPr>
              <w:t>5</w:t>
            </w:r>
          </w:p>
        </w:tc>
        <w:tc>
          <w:tcPr>
            <w:tcW w:w="1713" w:type="pct"/>
            <w:tcBorders>
              <w:tl2br w:val="nil"/>
              <w:tr2bl w:val="nil"/>
            </w:tcBorders>
            <w:vAlign w:val="center"/>
          </w:tcPr>
          <w:p>
            <w:pPr>
              <w:pStyle w:val="43"/>
              <w:spacing w:line="240" w:lineRule="auto"/>
              <w:ind w:firstLine="0" w:firstLineChars="0"/>
              <w:rPr>
                <w:rFonts w:eastAsia="宋体"/>
                <w:color w:val="auto"/>
                <w:sz w:val="21"/>
                <w:szCs w:val="21"/>
              </w:rPr>
            </w:pPr>
            <w:r>
              <w:rPr>
                <w:rFonts w:eastAsia="宋体"/>
                <w:color w:val="auto"/>
                <w:sz w:val="21"/>
                <w:szCs w:val="21"/>
              </w:rPr>
              <w:t>密闭处理，</w:t>
            </w:r>
            <w:r>
              <w:rPr>
                <w:rFonts w:hint="eastAsia" w:eastAsia="宋体"/>
                <w:color w:val="auto"/>
                <w:sz w:val="21"/>
                <w:szCs w:val="21"/>
              </w:rPr>
              <w:t>设置风机，将臭气引至除臭棚处理，除臭棚墙内填充填料吸附，同时除臭棚顶部有喷淋水装置</w:t>
            </w:r>
            <w:r>
              <w:rPr>
                <w:rFonts w:eastAsia="宋体"/>
                <w:color w:val="auto"/>
                <w:sz w:val="21"/>
                <w:szCs w:val="21"/>
              </w:rPr>
              <w:t>等，恶臭去除效率可达到</w:t>
            </w:r>
            <w:r>
              <w:rPr>
                <w:rFonts w:hint="eastAsia" w:eastAsia="宋体"/>
                <w:color w:val="auto"/>
                <w:sz w:val="21"/>
                <w:szCs w:val="21"/>
              </w:rPr>
              <w:t>85</w:t>
            </w:r>
            <w:r>
              <w:rPr>
                <w:rFonts w:eastAsia="宋体"/>
                <w:color w:val="auto"/>
                <w:sz w:val="21"/>
                <w:szCs w:val="21"/>
              </w:rPr>
              <w:t>%</w:t>
            </w:r>
          </w:p>
          <w:p>
            <w:pPr>
              <w:pStyle w:val="43"/>
              <w:spacing w:line="240" w:lineRule="auto"/>
              <w:ind w:firstLine="0" w:firstLineChars="0"/>
              <w:rPr>
                <w:rFonts w:eastAsia="宋体"/>
                <w:color w:val="auto"/>
                <w:sz w:val="21"/>
                <w:szCs w:val="21"/>
              </w:rPr>
            </w:pPr>
            <w:r>
              <w:rPr>
                <w:rFonts w:eastAsia="宋体"/>
                <w:color w:val="auto"/>
                <w:sz w:val="21"/>
                <w:szCs w:val="21"/>
              </w:rPr>
              <w:t>区域喷洒除臭剂，并加强</w:t>
            </w:r>
            <w:r>
              <w:rPr>
                <w:rFonts w:hint="eastAsia" w:eastAsia="宋体"/>
                <w:color w:val="auto"/>
                <w:sz w:val="21"/>
                <w:szCs w:val="21"/>
              </w:rPr>
              <w:t>厂区</w:t>
            </w:r>
            <w:r>
              <w:rPr>
                <w:rFonts w:eastAsia="宋体"/>
                <w:color w:val="auto"/>
                <w:sz w:val="21"/>
                <w:szCs w:val="21"/>
              </w:rPr>
              <w:t>绿化</w:t>
            </w:r>
          </w:p>
        </w:tc>
        <w:tc>
          <w:tcPr>
            <w:tcW w:w="461" w:type="pct"/>
            <w:tcBorders>
              <w:tl2br w:val="nil"/>
              <w:tr2bl w:val="nil"/>
            </w:tcBorders>
            <w:vAlign w:val="center"/>
          </w:tcPr>
          <w:p>
            <w:pPr>
              <w:pStyle w:val="42"/>
              <w:adjustRightInd/>
              <w:snapToGrid/>
              <w:spacing w:line="240" w:lineRule="auto"/>
              <w:ind w:firstLine="0" w:firstLineChars="0"/>
              <w:jc w:val="center"/>
              <w:rPr>
                <w:color w:val="auto"/>
                <w:sz w:val="21"/>
                <w:szCs w:val="21"/>
              </w:rPr>
            </w:pPr>
            <w:r>
              <w:rPr>
                <w:color w:val="auto"/>
                <w:sz w:val="21"/>
                <w:szCs w:val="21"/>
              </w:rPr>
              <w:t>0.0</w:t>
            </w:r>
            <w:r>
              <w:rPr>
                <w:rFonts w:hint="eastAsia"/>
                <w:color w:val="auto"/>
                <w:sz w:val="21"/>
                <w:szCs w:val="21"/>
              </w:rPr>
              <w:t>12</w:t>
            </w:r>
          </w:p>
        </w:tc>
        <w:tc>
          <w:tcPr>
            <w:tcW w:w="465" w:type="pct"/>
            <w:tcBorders>
              <w:tl2br w:val="nil"/>
              <w:tr2bl w:val="nil"/>
            </w:tcBorders>
            <w:vAlign w:val="center"/>
          </w:tcPr>
          <w:p>
            <w:pPr>
              <w:pStyle w:val="42"/>
              <w:adjustRightInd/>
              <w:snapToGrid/>
              <w:spacing w:line="240" w:lineRule="auto"/>
              <w:ind w:firstLine="0" w:firstLineChars="0"/>
              <w:jc w:val="center"/>
              <w:rPr>
                <w:color w:val="auto"/>
                <w:sz w:val="21"/>
                <w:szCs w:val="21"/>
              </w:rPr>
            </w:pPr>
            <w:r>
              <w:rPr>
                <w:color w:val="auto"/>
                <w:sz w:val="21"/>
                <w:szCs w:val="21"/>
              </w:rPr>
              <w:t>0.00</w:t>
            </w:r>
            <w:r>
              <w:rPr>
                <w:rFonts w:hint="eastAsia"/>
                <w:color w:val="auto"/>
                <w:sz w:val="21"/>
                <w:szCs w:val="21"/>
              </w:rPr>
              <w:t>07</w:t>
            </w:r>
          </w:p>
        </w:tc>
      </w:tr>
      <w:tr>
        <w:tblPrEx>
          <w:tblBorders>
            <w:top w:val="single" w:color="000000" w:sz="2" w:space="0"/>
            <w:left w:val="none" w:color="auto" w:sz="0" w:space="0"/>
            <w:bottom w:val="single" w:color="000000" w:sz="4" w:space="0"/>
            <w:right w:val="none" w:color="auto" w:sz="0" w:space="0"/>
            <w:insideH w:val="single" w:color="000000" w:sz="4" w:space="0"/>
            <w:insideV w:val="single" w:color="000000" w:sz="4" w:space="0"/>
          </w:tblBorders>
        </w:tblPrEx>
        <w:trPr>
          <w:trHeight w:val="1390" w:hRule="exact"/>
        </w:trPr>
        <w:tc>
          <w:tcPr>
            <w:tcW w:w="522" w:type="pct"/>
            <w:tcBorders>
              <w:tl2br w:val="nil"/>
              <w:tr2bl w:val="nil"/>
            </w:tcBorders>
            <w:vAlign w:val="center"/>
          </w:tcPr>
          <w:p>
            <w:pPr>
              <w:pStyle w:val="43"/>
              <w:spacing w:line="240" w:lineRule="auto"/>
              <w:ind w:firstLine="0" w:firstLineChars="0"/>
              <w:rPr>
                <w:rFonts w:eastAsia="宋体"/>
                <w:color w:val="auto"/>
                <w:sz w:val="21"/>
                <w:szCs w:val="21"/>
              </w:rPr>
            </w:pPr>
            <w:r>
              <w:rPr>
                <w:rFonts w:hint="eastAsia" w:eastAsia="宋体"/>
                <w:color w:val="auto"/>
                <w:sz w:val="21"/>
                <w:szCs w:val="21"/>
              </w:rPr>
              <w:t>病死猪高温化制处理</w:t>
            </w:r>
          </w:p>
        </w:tc>
        <w:tc>
          <w:tcPr>
            <w:tcW w:w="509" w:type="pct"/>
            <w:tcBorders>
              <w:tl2br w:val="nil"/>
              <w:tr2bl w:val="nil"/>
            </w:tcBorders>
            <w:vAlign w:val="center"/>
          </w:tcPr>
          <w:p>
            <w:pPr>
              <w:pStyle w:val="42"/>
              <w:adjustRightInd/>
              <w:snapToGrid/>
              <w:spacing w:line="240" w:lineRule="auto"/>
              <w:ind w:firstLine="0" w:firstLineChars="0"/>
              <w:jc w:val="center"/>
              <w:rPr>
                <w:color w:val="auto"/>
                <w:kern w:val="0"/>
                <w:sz w:val="21"/>
                <w:szCs w:val="21"/>
              </w:rPr>
            </w:pPr>
            <w:r>
              <w:rPr>
                <w:color w:val="auto"/>
                <w:kern w:val="0"/>
                <w:sz w:val="21"/>
                <w:szCs w:val="21"/>
              </w:rPr>
              <w:t>无组织</w:t>
            </w:r>
          </w:p>
        </w:tc>
        <w:tc>
          <w:tcPr>
            <w:tcW w:w="628" w:type="pct"/>
            <w:tcBorders>
              <w:tl2br w:val="nil"/>
              <w:tr2bl w:val="nil"/>
            </w:tcBorders>
            <w:vAlign w:val="center"/>
          </w:tcPr>
          <w:p>
            <w:pPr>
              <w:pStyle w:val="42"/>
              <w:adjustRightInd/>
              <w:snapToGrid/>
              <w:spacing w:line="240" w:lineRule="auto"/>
              <w:ind w:firstLine="0" w:firstLineChars="0"/>
              <w:jc w:val="center"/>
              <w:rPr>
                <w:color w:val="auto"/>
                <w:sz w:val="21"/>
                <w:szCs w:val="21"/>
              </w:rPr>
            </w:pPr>
            <w:r>
              <w:rPr>
                <w:color w:val="auto"/>
                <w:sz w:val="21"/>
                <w:szCs w:val="21"/>
              </w:rPr>
              <w:t>3.0×10</w:t>
            </w:r>
            <w:r>
              <w:rPr>
                <w:color w:val="auto"/>
                <w:sz w:val="21"/>
                <w:szCs w:val="21"/>
                <w:vertAlign w:val="superscript"/>
              </w:rPr>
              <w:t>-5</w:t>
            </w:r>
          </w:p>
        </w:tc>
        <w:tc>
          <w:tcPr>
            <w:tcW w:w="698" w:type="pct"/>
            <w:tcBorders>
              <w:tl2br w:val="nil"/>
              <w:tr2bl w:val="nil"/>
            </w:tcBorders>
            <w:vAlign w:val="center"/>
          </w:tcPr>
          <w:p>
            <w:pPr>
              <w:pStyle w:val="42"/>
              <w:adjustRightInd/>
              <w:snapToGrid/>
              <w:spacing w:line="240" w:lineRule="auto"/>
              <w:ind w:firstLine="0" w:firstLineChars="0"/>
              <w:jc w:val="center"/>
              <w:rPr>
                <w:color w:val="auto"/>
                <w:sz w:val="21"/>
                <w:szCs w:val="21"/>
              </w:rPr>
            </w:pPr>
            <w:r>
              <w:rPr>
                <w:color w:val="auto"/>
                <w:sz w:val="21"/>
                <w:szCs w:val="21"/>
              </w:rPr>
              <w:t>5.5×10</w:t>
            </w:r>
            <w:r>
              <w:rPr>
                <w:color w:val="auto"/>
                <w:sz w:val="21"/>
                <w:szCs w:val="21"/>
                <w:vertAlign w:val="superscript"/>
              </w:rPr>
              <w:t>-6</w:t>
            </w:r>
          </w:p>
        </w:tc>
        <w:tc>
          <w:tcPr>
            <w:tcW w:w="1713" w:type="pct"/>
            <w:tcBorders>
              <w:tl2br w:val="nil"/>
              <w:tr2bl w:val="nil"/>
            </w:tcBorders>
            <w:vAlign w:val="center"/>
          </w:tcPr>
          <w:p>
            <w:pPr>
              <w:pStyle w:val="43"/>
              <w:spacing w:line="240" w:lineRule="auto"/>
              <w:ind w:firstLine="0" w:firstLineChars="0"/>
              <w:rPr>
                <w:rFonts w:eastAsia="宋体"/>
                <w:color w:val="auto"/>
                <w:sz w:val="21"/>
                <w:szCs w:val="21"/>
              </w:rPr>
            </w:pPr>
            <w:r>
              <w:rPr>
                <w:rFonts w:hint="eastAsia" w:eastAsia="宋体"/>
                <w:color w:val="auto"/>
                <w:sz w:val="21"/>
                <w:szCs w:val="21"/>
              </w:rPr>
              <w:t>设置风机，将臭气引至除臭棚处理，除臭棚墙内填充填料吸附，同时除臭棚顶部有喷淋水装置</w:t>
            </w:r>
            <w:r>
              <w:rPr>
                <w:rFonts w:eastAsia="宋体"/>
                <w:color w:val="auto"/>
                <w:sz w:val="21"/>
                <w:szCs w:val="21"/>
              </w:rPr>
              <w:t>等，恶臭去除效率可达到</w:t>
            </w:r>
            <w:r>
              <w:rPr>
                <w:rFonts w:hint="eastAsia" w:eastAsia="宋体"/>
                <w:color w:val="auto"/>
                <w:sz w:val="21"/>
                <w:szCs w:val="21"/>
              </w:rPr>
              <w:t>85</w:t>
            </w:r>
            <w:r>
              <w:rPr>
                <w:rFonts w:eastAsia="宋体"/>
                <w:color w:val="auto"/>
                <w:sz w:val="21"/>
                <w:szCs w:val="21"/>
              </w:rPr>
              <w:t>%</w:t>
            </w:r>
          </w:p>
        </w:tc>
        <w:tc>
          <w:tcPr>
            <w:tcW w:w="461" w:type="pct"/>
            <w:tcBorders>
              <w:tl2br w:val="nil"/>
              <w:tr2bl w:val="nil"/>
            </w:tcBorders>
            <w:vAlign w:val="center"/>
          </w:tcPr>
          <w:p>
            <w:pPr>
              <w:pStyle w:val="42"/>
              <w:adjustRightInd/>
              <w:snapToGrid/>
              <w:spacing w:line="240" w:lineRule="auto"/>
              <w:ind w:firstLine="0" w:firstLineChars="0"/>
              <w:jc w:val="center"/>
              <w:rPr>
                <w:color w:val="auto"/>
                <w:sz w:val="21"/>
                <w:szCs w:val="21"/>
              </w:rPr>
            </w:pPr>
            <w:r>
              <w:rPr>
                <w:rFonts w:hint="eastAsia"/>
                <w:color w:val="auto"/>
                <w:sz w:val="21"/>
                <w:szCs w:val="21"/>
              </w:rPr>
              <w:t>4.6</w:t>
            </w:r>
            <w:r>
              <w:rPr>
                <w:color w:val="auto"/>
                <w:sz w:val="21"/>
                <w:szCs w:val="21"/>
              </w:rPr>
              <w:t>×10</w:t>
            </w:r>
            <w:r>
              <w:rPr>
                <w:color w:val="auto"/>
                <w:sz w:val="21"/>
                <w:szCs w:val="21"/>
                <w:vertAlign w:val="superscript"/>
              </w:rPr>
              <w:t>-</w:t>
            </w:r>
            <w:r>
              <w:rPr>
                <w:rFonts w:hint="eastAsia"/>
                <w:color w:val="auto"/>
                <w:sz w:val="21"/>
                <w:szCs w:val="21"/>
                <w:vertAlign w:val="superscript"/>
              </w:rPr>
              <w:t>5</w:t>
            </w:r>
          </w:p>
        </w:tc>
        <w:tc>
          <w:tcPr>
            <w:tcW w:w="465" w:type="pct"/>
            <w:tcBorders>
              <w:tl2br w:val="nil"/>
              <w:tr2bl w:val="nil"/>
            </w:tcBorders>
            <w:vAlign w:val="center"/>
          </w:tcPr>
          <w:p>
            <w:pPr>
              <w:pStyle w:val="42"/>
              <w:adjustRightInd/>
              <w:snapToGrid/>
              <w:spacing w:line="240" w:lineRule="auto"/>
              <w:ind w:firstLine="0" w:firstLineChars="0"/>
              <w:jc w:val="center"/>
              <w:rPr>
                <w:color w:val="auto"/>
                <w:sz w:val="21"/>
                <w:szCs w:val="21"/>
              </w:rPr>
            </w:pPr>
            <w:r>
              <w:rPr>
                <w:rFonts w:hint="eastAsia"/>
                <w:color w:val="auto"/>
                <w:sz w:val="21"/>
                <w:szCs w:val="21"/>
              </w:rPr>
              <w:t>9.1</w:t>
            </w:r>
            <w:r>
              <w:rPr>
                <w:color w:val="auto"/>
                <w:sz w:val="21"/>
                <w:szCs w:val="21"/>
              </w:rPr>
              <w:t>×10</w:t>
            </w:r>
            <w:r>
              <w:rPr>
                <w:color w:val="auto"/>
                <w:sz w:val="21"/>
                <w:szCs w:val="21"/>
                <w:vertAlign w:val="superscript"/>
              </w:rPr>
              <w:t>-</w:t>
            </w:r>
            <w:r>
              <w:rPr>
                <w:rFonts w:hint="eastAsia"/>
                <w:color w:val="auto"/>
                <w:sz w:val="21"/>
                <w:szCs w:val="21"/>
                <w:vertAlign w:val="superscript"/>
              </w:rPr>
              <w:t>6</w:t>
            </w:r>
          </w:p>
        </w:tc>
      </w:tr>
    </w:tbl>
    <w:p>
      <w:pPr>
        <w:adjustRightInd/>
        <w:snapToGrid/>
        <w:ind w:firstLine="480"/>
        <w:rPr>
          <w:color w:val="auto"/>
        </w:rPr>
      </w:pPr>
      <w:r>
        <w:rPr>
          <w:color w:val="auto"/>
        </w:rPr>
        <w:t>（</w:t>
      </w:r>
      <w:r>
        <w:rPr>
          <w:rFonts w:hint="eastAsia"/>
          <w:color w:val="auto"/>
        </w:rPr>
        <w:t>6</w:t>
      </w:r>
      <w:r>
        <w:rPr>
          <w:color w:val="auto"/>
        </w:rPr>
        <w:t>）沼气燃烧废气</w:t>
      </w:r>
    </w:p>
    <w:p>
      <w:pPr>
        <w:ind w:firstLine="480"/>
        <w:rPr>
          <w:color w:val="auto"/>
        </w:rPr>
      </w:pPr>
      <w:r>
        <w:rPr>
          <w:color w:val="auto"/>
        </w:rPr>
        <w:t>本项目运营期进入黑膜沼气池污水量为</w:t>
      </w:r>
      <w:r>
        <w:rPr>
          <w:rFonts w:hint="eastAsia"/>
          <w:color w:val="auto"/>
        </w:rPr>
        <w:t>46919.655</w:t>
      </w:r>
      <w:r>
        <w:rPr>
          <w:color w:val="auto"/>
        </w:rPr>
        <w:t>m</w:t>
      </w:r>
      <w:r>
        <w:rPr>
          <w:color w:val="auto"/>
          <w:vertAlign w:val="superscript"/>
        </w:rPr>
        <w:t>3</w:t>
      </w:r>
      <w:r>
        <w:rPr>
          <w:color w:val="auto"/>
        </w:rPr>
        <w:t>/a，本项目夏季废水产生量为</w:t>
      </w:r>
      <w:r>
        <w:rPr>
          <w:rFonts w:hint="eastAsia"/>
          <w:color w:val="auto"/>
        </w:rPr>
        <w:t>169.371</w:t>
      </w:r>
      <w:r>
        <w:rPr>
          <w:color w:val="auto"/>
        </w:rPr>
        <w:t>m</w:t>
      </w:r>
      <w:r>
        <w:rPr>
          <w:color w:val="auto"/>
          <w:vertAlign w:val="superscript"/>
        </w:rPr>
        <w:t>3</w:t>
      </w:r>
      <w:r>
        <w:rPr>
          <w:color w:val="auto"/>
        </w:rPr>
        <w:t>/d，其他季节废水产生量为</w:t>
      </w:r>
      <w:r>
        <w:rPr>
          <w:rFonts w:hint="eastAsia"/>
          <w:color w:val="auto"/>
        </w:rPr>
        <w:t>108.051</w:t>
      </w:r>
      <w:r>
        <w:rPr>
          <w:color w:val="auto"/>
        </w:rPr>
        <w:t>m</w:t>
      </w:r>
      <w:r>
        <w:rPr>
          <w:color w:val="auto"/>
          <w:vertAlign w:val="superscript"/>
        </w:rPr>
        <w:t>3</w:t>
      </w:r>
      <w:r>
        <w:rPr>
          <w:color w:val="auto"/>
        </w:rPr>
        <w:t>/d，计算得沼气产生夏季</w:t>
      </w:r>
      <w:r>
        <w:rPr>
          <w:rFonts w:hint="eastAsia"/>
          <w:color w:val="auto"/>
        </w:rPr>
        <w:t>465.77</w:t>
      </w:r>
      <w:r>
        <w:rPr>
          <w:color w:val="auto"/>
        </w:rPr>
        <w:t>m</w:t>
      </w:r>
      <w:r>
        <w:rPr>
          <w:color w:val="auto"/>
          <w:vertAlign w:val="superscript"/>
        </w:rPr>
        <w:t>3</w:t>
      </w:r>
      <w:r>
        <w:rPr>
          <w:color w:val="auto"/>
        </w:rPr>
        <w:t>/d，其他季节平均</w:t>
      </w:r>
      <w:r>
        <w:rPr>
          <w:rFonts w:hint="eastAsia"/>
          <w:color w:val="auto"/>
        </w:rPr>
        <w:t>297.14</w:t>
      </w:r>
      <w:r>
        <w:rPr>
          <w:color w:val="auto"/>
        </w:rPr>
        <w:t>m</w:t>
      </w:r>
      <w:r>
        <w:rPr>
          <w:color w:val="auto"/>
          <w:vertAlign w:val="superscript"/>
        </w:rPr>
        <w:t>3</w:t>
      </w:r>
      <w:r>
        <w:rPr>
          <w:color w:val="auto"/>
        </w:rPr>
        <w:t>/d，则全年全</w:t>
      </w:r>
      <w:r>
        <w:rPr>
          <w:rFonts w:hint="eastAsia"/>
          <w:color w:val="auto"/>
        </w:rPr>
        <w:t>厂</w:t>
      </w:r>
      <w:r>
        <w:rPr>
          <w:color w:val="auto"/>
        </w:rPr>
        <w:t>沼气产生量共计</w:t>
      </w:r>
      <w:r>
        <w:rPr>
          <w:rFonts w:hint="eastAsia"/>
          <w:color w:val="auto"/>
        </w:rPr>
        <w:t>129028.96</w:t>
      </w:r>
      <w:r>
        <w:rPr>
          <w:color w:val="auto"/>
        </w:rPr>
        <w:t>m</w:t>
      </w:r>
      <w:r>
        <w:rPr>
          <w:color w:val="auto"/>
          <w:vertAlign w:val="superscript"/>
        </w:rPr>
        <w:t>3</w:t>
      </w:r>
      <w:r>
        <w:rPr>
          <w:color w:val="auto"/>
        </w:rPr>
        <w:t>。项目产生的沼气通过气水分离、脱硫后，用于食堂灶台（</w:t>
      </w:r>
      <w:r>
        <w:rPr>
          <w:rFonts w:hint="eastAsia"/>
          <w:color w:val="auto"/>
        </w:rPr>
        <w:t>19162.5</w:t>
      </w:r>
      <w:r>
        <w:rPr>
          <w:color w:val="auto"/>
        </w:rPr>
        <w:t>m</w:t>
      </w:r>
      <w:r>
        <w:rPr>
          <w:color w:val="auto"/>
          <w:vertAlign w:val="superscript"/>
        </w:rPr>
        <w:t>3</w:t>
      </w:r>
      <w:r>
        <w:rPr>
          <w:color w:val="auto"/>
        </w:rPr>
        <w:t>），剩余</w:t>
      </w:r>
      <w:r>
        <w:rPr>
          <w:rFonts w:hint="eastAsia"/>
          <w:color w:val="auto"/>
        </w:rPr>
        <w:t>109866.46m</w:t>
      </w:r>
      <w:r>
        <w:rPr>
          <w:rFonts w:hint="eastAsia"/>
          <w:color w:val="auto"/>
          <w:vertAlign w:val="superscript"/>
        </w:rPr>
        <w:t>3</w:t>
      </w:r>
      <w:r>
        <w:rPr>
          <w:color w:val="auto"/>
        </w:rPr>
        <w:t>沼气</w:t>
      </w:r>
      <w:r>
        <w:rPr>
          <w:rFonts w:hint="eastAsia"/>
          <w:color w:val="auto"/>
        </w:rPr>
        <w:t>火炬燃烧排放。</w:t>
      </w:r>
    </w:p>
    <w:p>
      <w:pPr>
        <w:ind w:firstLine="480"/>
        <w:rPr>
          <w:color w:val="auto"/>
        </w:rPr>
      </w:pPr>
      <w:r>
        <w:rPr>
          <w:color w:val="auto"/>
        </w:rPr>
        <w:t>沼气部分特性参数一览表见表3.3-7。</w:t>
      </w:r>
    </w:p>
    <w:p>
      <w:pPr>
        <w:ind w:firstLine="482"/>
        <w:jc w:val="center"/>
        <w:rPr>
          <w:b/>
          <w:bCs/>
          <w:color w:val="auto"/>
        </w:rPr>
      </w:pPr>
      <w:r>
        <w:rPr>
          <w:b/>
          <w:bCs/>
          <w:color w:val="auto"/>
        </w:rPr>
        <w:t>表3.3-7        沼气部分特性参数一览表</w:t>
      </w:r>
    </w:p>
    <w:tbl>
      <w:tblPr>
        <w:tblStyle w:val="27"/>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99"/>
        <w:gridCol w:w="2052"/>
        <w:gridCol w:w="1075"/>
        <w:gridCol w:w="481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jc w:val="center"/>
        </w:trPr>
        <w:tc>
          <w:tcPr>
            <w:tcW w:w="799" w:type="dxa"/>
            <w:tcMar>
              <w:left w:w="0" w:type="dxa"/>
              <w:right w:w="0" w:type="dxa"/>
            </w:tcMar>
            <w:vAlign w:val="center"/>
          </w:tcPr>
          <w:p>
            <w:pPr>
              <w:pStyle w:val="43"/>
              <w:spacing w:line="240" w:lineRule="auto"/>
              <w:ind w:firstLine="0" w:firstLineChars="0"/>
              <w:rPr>
                <w:rFonts w:eastAsia="宋体"/>
                <w:color w:val="auto"/>
                <w:sz w:val="21"/>
                <w:szCs w:val="21"/>
              </w:rPr>
            </w:pPr>
            <w:r>
              <w:rPr>
                <w:rFonts w:eastAsia="宋体"/>
                <w:color w:val="auto"/>
                <w:sz w:val="21"/>
                <w:szCs w:val="21"/>
              </w:rPr>
              <w:t>序号</w:t>
            </w:r>
          </w:p>
        </w:tc>
        <w:tc>
          <w:tcPr>
            <w:tcW w:w="3127" w:type="dxa"/>
            <w:gridSpan w:val="2"/>
            <w:tcMar>
              <w:left w:w="0" w:type="dxa"/>
              <w:right w:w="0" w:type="dxa"/>
            </w:tcMar>
            <w:vAlign w:val="center"/>
          </w:tcPr>
          <w:p>
            <w:pPr>
              <w:pStyle w:val="43"/>
              <w:spacing w:line="240" w:lineRule="auto"/>
              <w:ind w:firstLine="0" w:firstLineChars="0"/>
              <w:rPr>
                <w:rFonts w:eastAsia="宋体"/>
                <w:color w:val="auto"/>
                <w:sz w:val="21"/>
                <w:szCs w:val="21"/>
              </w:rPr>
            </w:pPr>
            <w:r>
              <w:rPr>
                <w:rFonts w:eastAsia="宋体"/>
                <w:color w:val="auto"/>
                <w:sz w:val="21"/>
                <w:szCs w:val="21"/>
              </w:rPr>
              <w:t>特性参数</w:t>
            </w:r>
          </w:p>
        </w:tc>
        <w:tc>
          <w:tcPr>
            <w:tcW w:w="4814" w:type="dxa"/>
            <w:tcMar>
              <w:left w:w="0" w:type="dxa"/>
              <w:right w:w="0" w:type="dxa"/>
            </w:tcMar>
            <w:vAlign w:val="center"/>
          </w:tcPr>
          <w:p>
            <w:pPr>
              <w:pStyle w:val="43"/>
              <w:spacing w:line="240" w:lineRule="auto"/>
              <w:ind w:firstLine="0" w:firstLineChars="0"/>
              <w:rPr>
                <w:color w:val="auto"/>
                <w:sz w:val="21"/>
                <w:szCs w:val="21"/>
              </w:rPr>
            </w:pPr>
            <w:r>
              <w:rPr>
                <w:color w:val="auto"/>
                <w:sz w:val="21"/>
                <w:szCs w:val="21"/>
              </w:rPr>
              <w:t>CH</w:t>
            </w:r>
            <w:r>
              <w:rPr>
                <w:color w:val="auto"/>
                <w:sz w:val="21"/>
                <w:szCs w:val="21"/>
                <w:vertAlign w:val="subscript"/>
              </w:rPr>
              <w:t>4</w:t>
            </w:r>
            <w:r>
              <w:rPr>
                <w:color w:val="auto"/>
                <w:sz w:val="21"/>
                <w:szCs w:val="21"/>
              </w:rPr>
              <w:t xml:space="preserve"> 60%、CO</w:t>
            </w:r>
            <w:r>
              <w:rPr>
                <w:color w:val="auto"/>
                <w:sz w:val="21"/>
                <w:szCs w:val="21"/>
                <w:vertAlign w:val="subscript"/>
              </w:rPr>
              <w:t>2</w:t>
            </w:r>
            <w:r>
              <w:rPr>
                <w:color w:val="auto"/>
                <w:sz w:val="21"/>
                <w:szCs w:val="21"/>
              </w:rPr>
              <w:t xml:space="preserve"> 35%、H</w:t>
            </w:r>
            <w:r>
              <w:rPr>
                <w:color w:val="auto"/>
                <w:sz w:val="21"/>
                <w:szCs w:val="21"/>
                <w:vertAlign w:val="subscript"/>
              </w:rPr>
              <w:t>2</w:t>
            </w:r>
            <w:r>
              <w:rPr>
                <w:color w:val="auto"/>
                <w:sz w:val="21"/>
                <w:szCs w:val="21"/>
              </w:rPr>
              <w:t>S0.034%、N</w:t>
            </w:r>
            <w:r>
              <w:rPr>
                <w:color w:val="auto"/>
                <w:sz w:val="21"/>
                <w:szCs w:val="21"/>
                <w:vertAlign w:val="subscript"/>
              </w:rPr>
              <w:t>2</w:t>
            </w:r>
            <w:r>
              <w:rPr>
                <w:color w:val="auto"/>
                <w:sz w:val="21"/>
                <w:szCs w:val="21"/>
              </w:rPr>
              <w:t>及其他4.966%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799" w:type="dxa"/>
            <w:tcMar>
              <w:left w:w="0" w:type="dxa"/>
              <w:right w:w="0" w:type="dxa"/>
            </w:tcMar>
            <w:vAlign w:val="center"/>
          </w:tcPr>
          <w:p>
            <w:pPr>
              <w:pStyle w:val="43"/>
              <w:spacing w:line="240" w:lineRule="auto"/>
              <w:ind w:firstLine="0" w:firstLineChars="0"/>
              <w:rPr>
                <w:rFonts w:eastAsia="宋体"/>
                <w:color w:val="auto"/>
                <w:sz w:val="21"/>
                <w:szCs w:val="21"/>
              </w:rPr>
            </w:pPr>
            <w:r>
              <w:rPr>
                <w:rFonts w:eastAsia="宋体"/>
                <w:color w:val="auto"/>
                <w:sz w:val="21"/>
                <w:szCs w:val="21"/>
              </w:rPr>
              <w:t>1</w:t>
            </w:r>
          </w:p>
        </w:tc>
        <w:tc>
          <w:tcPr>
            <w:tcW w:w="3127" w:type="dxa"/>
            <w:gridSpan w:val="2"/>
            <w:tcMar>
              <w:left w:w="0" w:type="dxa"/>
              <w:right w:w="0" w:type="dxa"/>
            </w:tcMar>
            <w:vAlign w:val="center"/>
          </w:tcPr>
          <w:p>
            <w:pPr>
              <w:pStyle w:val="43"/>
              <w:spacing w:line="240" w:lineRule="auto"/>
              <w:ind w:firstLine="0" w:firstLineChars="0"/>
              <w:rPr>
                <w:rFonts w:eastAsia="宋体"/>
                <w:color w:val="auto"/>
                <w:sz w:val="21"/>
                <w:szCs w:val="21"/>
              </w:rPr>
            </w:pPr>
            <w:r>
              <w:rPr>
                <w:rFonts w:eastAsia="宋体"/>
                <w:color w:val="auto"/>
                <w:sz w:val="21"/>
                <w:szCs w:val="21"/>
              </w:rPr>
              <w:t>密度（kg/m</w:t>
            </w:r>
            <w:r>
              <w:rPr>
                <w:rFonts w:eastAsia="宋体"/>
                <w:color w:val="auto"/>
                <w:sz w:val="21"/>
                <w:szCs w:val="21"/>
                <w:vertAlign w:val="superscript"/>
              </w:rPr>
              <w:t>3</w:t>
            </w:r>
            <w:r>
              <w:rPr>
                <w:rFonts w:eastAsia="宋体"/>
                <w:color w:val="auto"/>
                <w:sz w:val="21"/>
                <w:szCs w:val="21"/>
              </w:rPr>
              <w:t>）</w:t>
            </w:r>
          </w:p>
        </w:tc>
        <w:tc>
          <w:tcPr>
            <w:tcW w:w="4814" w:type="dxa"/>
            <w:tcMar>
              <w:left w:w="0" w:type="dxa"/>
              <w:right w:w="0" w:type="dxa"/>
            </w:tcMar>
            <w:vAlign w:val="center"/>
          </w:tcPr>
          <w:p>
            <w:pPr>
              <w:pStyle w:val="43"/>
              <w:spacing w:line="240" w:lineRule="auto"/>
              <w:ind w:firstLine="0" w:firstLineChars="0"/>
              <w:rPr>
                <w:color w:val="auto"/>
                <w:sz w:val="21"/>
                <w:szCs w:val="21"/>
              </w:rPr>
            </w:pPr>
            <w:r>
              <w:rPr>
                <w:color w:val="auto"/>
                <w:sz w:val="21"/>
                <w:szCs w:val="21"/>
              </w:rPr>
              <w:t>1.221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799" w:type="dxa"/>
            <w:tcMar>
              <w:left w:w="0" w:type="dxa"/>
              <w:right w:w="0" w:type="dxa"/>
            </w:tcMar>
            <w:vAlign w:val="center"/>
          </w:tcPr>
          <w:p>
            <w:pPr>
              <w:pStyle w:val="43"/>
              <w:spacing w:line="240" w:lineRule="auto"/>
              <w:ind w:firstLine="0" w:firstLineChars="0"/>
              <w:rPr>
                <w:rFonts w:eastAsia="宋体"/>
                <w:color w:val="auto"/>
                <w:sz w:val="21"/>
                <w:szCs w:val="21"/>
              </w:rPr>
            </w:pPr>
            <w:r>
              <w:rPr>
                <w:rFonts w:eastAsia="宋体"/>
                <w:color w:val="auto"/>
                <w:sz w:val="21"/>
                <w:szCs w:val="21"/>
              </w:rPr>
              <w:t>2</w:t>
            </w:r>
          </w:p>
        </w:tc>
        <w:tc>
          <w:tcPr>
            <w:tcW w:w="3127" w:type="dxa"/>
            <w:gridSpan w:val="2"/>
            <w:tcMar>
              <w:left w:w="0" w:type="dxa"/>
              <w:right w:w="0" w:type="dxa"/>
            </w:tcMar>
            <w:vAlign w:val="center"/>
          </w:tcPr>
          <w:p>
            <w:pPr>
              <w:pStyle w:val="43"/>
              <w:spacing w:line="240" w:lineRule="auto"/>
              <w:ind w:firstLine="0" w:firstLineChars="0"/>
              <w:rPr>
                <w:rFonts w:eastAsia="宋体"/>
                <w:color w:val="auto"/>
                <w:sz w:val="21"/>
                <w:szCs w:val="21"/>
              </w:rPr>
            </w:pPr>
            <w:r>
              <w:rPr>
                <w:rFonts w:eastAsia="宋体"/>
                <w:color w:val="auto"/>
                <w:sz w:val="21"/>
                <w:szCs w:val="21"/>
              </w:rPr>
              <w:t>比重</w:t>
            </w:r>
          </w:p>
        </w:tc>
        <w:tc>
          <w:tcPr>
            <w:tcW w:w="4814" w:type="dxa"/>
            <w:tcMar>
              <w:left w:w="0" w:type="dxa"/>
              <w:right w:w="0" w:type="dxa"/>
            </w:tcMar>
            <w:vAlign w:val="center"/>
          </w:tcPr>
          <w:p>
            <w:pPr>
              <w:pStyle w:val="43"/>
              <w:spacing w:line="240" w:lineRule="auto"/>
              <w:ind w:firstLine="0" w:firstLineChars="0"/>
              <w:rPr>
                <w:color w:val="auto"/>
                <w:sz w:val="21"/>
                <w:szCs w:val="21"/>
              </w:rPr>
            </w:pPr>
            <w:r>
              <w:rPr>
                <w:color w:val="auto"/>
                <w:sz w:val="21"/>
                <w:szCs w:val="21"/>
              </w:rPr>
              <w:t>0.944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799" w:type="dxa"/>
            <w:tcMar>
              <w:left w:w="0" w:type="dxa"/>
              <w:right w:w="0" w:type="dxa"/>
            </w:tcMar>
            <w:vAlign w:val="center"/>
          </w:tcPr>
          <w:p>
            <w:pPr>
              <w:pStyle w:val="43"/>
              <w:spacing w:line="240" w:lineRule="auto"/>
              <w:ind w:firstLine="0" w:firstLineChars="0"/>
              <w:rPr>
                <w:rFonts w:eastAsia="宋体"/>
                <w:color w:val="auto"/>
                <w:sz w:val="21"/>
                <w:szCs w:val="21"/>
              </w:rPr>
            </w:pPr>
            <w:r>
              <w:rPr>
                <w:rFonts w:eastAsia="宋体"/>
                <w:color w:val="auto"/>
                <w:sz w:val="21"/>
                <w:szCs w:val="21"/>
              </w:rPr>
              <w:t>3</w:t>
            </w:r>
          </w:p>
        </w:tc>
        <w:tc>
          <w:tcPr>
            <w:tcW w:w="3127" w:type="dxa"/>
            <w:gridSpan w:val="2"/>
            <w:tcMar>
              <w:left w:w="0" w:type="dxa"/>
              <w:right w:w="0" w:type="dxa"/>
            </w:tcMar>
            <w:vAlign w:val="center"/>
          </w:tcPr>
          <w:p>
            <w:pPr>
              <w:pStyle w:val="43"/>
              <w:spacing w:line="240" w:lineRule="auto"/>
              <w:ind w:firstLine="0" w:firstLineChars="0"/>
              <w:rPr>
                <w:rFonts w:eastAsia="宋体"/>
                <w:color w:val="auto"/>
                <w:sz w:val="21"/>
                <w:szCs w:val="21"/>
              </w:rPr>
            </w:pPr>
            <w:r>
              <w:rPr>
                <w:rFonts w:eastAsia="宋体"/>
                <w:color w:val="auto"/>
                <w:sz w:val="21"/>
                <w:szCs w:val="21"/>
              </w:rPr>
              <w:t>热值（kJ/m</w:t>
            </w:r>
            <w:r>
              <w:rPr>
                <w:rFonts w:eastAsia="宋体"/>
                <w:color w:val="auto"/>
                <w:sz w:val="21"/>
                <w:szCs w:val="21"/>
                <w:vertAlign w:val="superscript"/>
              </w:rPr>
              <w:t>3</w:t>
            </w:r>
            <w:r>
              <w:rPr>
                <w:rFonts w:eastAsia="宋体"/>
                <w:color w:val="auto"/>
                <w:sz w:val="21"/>
                <w:szCs w:val="21"/>
              </w:rPr>
              <w:t>）</w:t>
            </w:r>
          </w:p>
        </w:tc>
        <w:tc>
          <w:tcPr>
            <w:tcW w:w="4814" w:type="dxa"/>
            <w:tcMar>
              <w:left w:w="0" w:type="dxa"/>
              <w:right w:w="0" w:type="dxa"/>
            </w:tcMar>
            <w:vAlign w:val="center"/>
          </w:tcPr>
          <w:p>
            <w:pPr>
              <w:pStyle w:val="43"/>
              <w:spacing w:line="240" w:lineRule="auto"/>
              <w:ind w:firstLine="0" w:firstLineChars="0"/>
              <w:rPr>
                <w:color w:val="auto"/>
                <w:sz w:val="21"/>
                <w:szCs w:val="21"/>
              </w:rPr>
            </w:pPr>
            <w:r>
              <w:rPr>
                <w:color w:val="auto"/>
                <w:sz w:val="21"/>
                <w:szCs w:val="21"/>
              </w:rPr>
              <w:t>21524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799" w:type="dxa"/>
            <w:tcMar>
              <w:left w:w="0" w:type="dxa"/>
              <w:right w:w="0" w:type="dxa"/>
            </w:tcMar>
            <w:vAlign w:val="center"/>
          </w:tcPr>
          <w:p>
            <w:pPr>
              <w:pStyle w:val="43"/>
              <w:spacing w:line="240" w:lineRule="auto"/>
              <w:ind w:firstLine="0" w:firstLineChars="0"/>
              <w:rPr>
                <w:rFonts w:eastAsia="宋体"/>
                <w:color w:val="auto"/>
                <w:sz w:val="21"/>
                <w:szCs w:val="21"/>
              </w:rPr>
            </w:pPr>
            <w:r>
              <w:rPr>
                <w:rFonts w:eastAsia="宋体"/>
                <w:color w:val="auto"/>
                <w:sz w:val="21"/>
                <w:szCs w:val="21"/>
              </w:rPr>
              <w:t>4</w:t>
            </w:r>
          </w:p>
        </w:tc>
        <w:tc>
          <w:tcPr>
            <w:tcW w:w="3127" w:type="dxa"/>
            <w:gridSpan w:val="2"/>
            <w:tcMar>
              <w:left w:w="0" w:type="dxa"/>
              <w:right w:w="0" w:type="dxa"/>
            </w:tcMar>
            <w:vAlign w:val="center"/>
          </w:tcPr>
          <w:p>
            <w:pPr>
              <w:pStyle w:val="43"/>
              <w:spacing w:line="240" w:lineRule="auto"/>
              <w:ind w:firstLine="0" w:firstLineChars="0"/>
              <w:rPr>
                <w:rFonts w:eastAsia="宋体"/>
                <w:color w:val="auto"/>
                <w:sz w:val="21"/>
                <w:szCs w:val="21"/>
              </w:rPr>
            </w:pPr>
            <w:r>
              <w:rPr>
                <w:rFonts w:eastAsia="宋体"/>
                <w:color w:val="auto"/>
                <w:sz w:val="21"/>
                <w:szCs w:val="21"/>
              </w:rPr>
              <w:t>理论空气量（m</w:t>
            </w:r>
            <w:r>
              <w:rPr>
                <w:rFonts w:eastAsia="宋体"/>
                <w:color w:val="auto"/>
                <w:sz w:val="21"/>
                <w:szCs w:val="21"/>
                <w:vertAlign w:val="superscript"/>
              </w:rPr>
              <w:t>3</w:t>
            </w:r>
            <w:r>
              <w:rPr>
                <w:rFonts w:eastAsia="宋体"/>
                <w:color w:val="auto"/>
                <w:sz w:val="21"/>
                <w:szCs w:val="21"/>
              </w:rPr>
              <w:t>/m</w:t>
            </w:r>
            <w:r>
              <w:rPr>
                <w:rFonts w:eastAsia="宋体"/>
                <w:color w:val="auto"/>
                <w:sz w:val="21"/>
                <w:szCs w:val="21"/>
                <w:vertAlign w:val="superscript"/>
              </w:rPr>
              <w:t>3</w:t>
            </w:r>
            <w:r>
              <w:rPr>
                <w:rFonts w:eastAsia="宋体"/>
                <w:color w:val="auto"/>
                <w:sz w:val="21"/>
                <w:szCs w:val="21"/>
              </w:rPr>
              <w:t>）</w:t>
            </w:r>
          </w:p>
        </w:tc>
        <w:tc>
          <w:tcPr>
            <w:tcW w:w="4814" w:type="dxa"/>
            <w:tcMar>
              <w:left w:w="0" w:type="dxa"/>
              <w:right w:w="0" w:type="dxa"/>
            </w:tcMar>
            <w:vAlign w:val="center"/>
          </w:tcPr>
          <w:p>
            <w:pPr>
              <w:pStyle w:val="43"/>
              <w:spacing w:line="240" w:lineRule="auto"/>
              <w:ind w:firstLine="0" w:firstLineChars="0"/>
              <w:rPr>
                <w:color w:val="auto"/>
                <w:sz w:val="21"/>
                <w:szCs w:val="21"/>
              </w:rPr>
            </w:pPr>
            <w:r>
              <w:rPr>
                <w:color w:val="auto"/>
                <w:sz w:val="21"/>
                <w:szCs w:val="21"/>
              </w:rPr>
              <w:t>5.71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799" w:type="dxa"/>
            <w:vMerge w:val="restart"/>
            <w:tcMar>
              <w:left w:w="0" w:type="dxa"/>
              <w:right w:w="0" w:type="dxa"/>
            </w:tcMar>
            <w:vAlign w:val="center"/>
          </w:tcPr>
          <w:p>
            <w:pPr>
              <w:pStyle w:val="43"/>
              <w:spacing w:line="240" w:lineRule="auto"/>
              <w:ind w:firstLine="0" w:firstLineChars="0"/>
              <w:rPr>
                <w:rFonts w:eastAsia="宋体"/>
                <w:color w:val="auto"/>
                <w:sz w:val="21"/>
                <w:szCs w:val="21"/>
              </w:rPr>
            </w:pPr>
            <w:r>
              <w:rPr>
                <w:rFonts w:eastAsia="宋体"/>
                <w:color w:val="auto"/>
                <w:sz w:val="21"/>
                <w:szCs w:val="21"/>
              </w:rPr>
              <w:t>5</w:t>
            </w:r>
          </w:p>
        </w:tc>
        <w:tc>
          <w:tcPr>
            <w:tcW w:w="2052" w:type="dxa"/>
            <w:vMerge w:val="restart"/>
            <w:tcMar>
              <w:left w:w="0" w:type="dxa"/>
              <w:right w:w="0" w:type="dxa"/>
            </w:tcMar>
            <w:vAlign w:val="center"/>
          </w:tcPr>
          <w:p>
            <w:pPr>
              <w:pStyle w:val="43"/>
              <w:spacing w:line="240" w:lineRule="auto"/>
              <w:ind w:firstLine="0" w:firstLineChars="0"/>
              <w:rPr>
                <w:rFonts w:eastAsia="宋体"/>
                <w:color w:val="auto"/>
                <w:sz w:val="21"/>
                <w:szCs w:val="21"/>
              </w:rPr>
            </w:pPr>
            <w:r>
              <w:rPr>
                <w:rFonts w:eastAsia="宋体"/>
                <w:color w:val="auto"/>
                <w:sz w:val="21"/>
                <w:szCs w:val="21"/>
              </w:rPr>
              <w:t>爆炸极限（%）</w:t>
            </w:r>
          </w:p>
        </w:tc>
        <w:tc>
          <w:tcPr>
            <w:tcW w:w="1075" w:type="dxa"/>
            <w:tcMar>
              <w:left w:w="0" w:type="dxa"/>
              <w:right w:w="0" w:type="dxa"/>
            </w:tcMar>
            <w:vAlign w:val="center"/>
          </w:tcPr>
          <w:p>
            <w:pPr>
              <w:pStyle w:val="43"/>
              <w:spacing w:line="240" w:lineRule="auto"/>
              <w:ind w:firstLine="0" w:firstLineChars="0"/>
              <w:rPr>
                <w:rFonts w:eastAsia="宋体"/>
                <w:color w:val="auto"/>
                <w:sz w:val="21"/>
                <w:szCs w:val="21"/>
              </w:rPr>
            </w:pPr>
            <w:r>
              <w:rPr>
                <w:rFonts w:eastAsia="宋体"/>
                <w:color w:val="auto"/>
                <w:sz w:val="21"/>
                <w:szCs w:val="21"/>
              </w:rPr>
              <w:t>上限</w:t>
            </w:r>
          </w:p>
        </w:tc>
        <w:tc>
          <w:tcPr>
            <w:tcW w:w="4814" w:type="dxa"/>
            <w:tcMar>
              <w:left w:w="0" w:type="dxa"/>
              <w:right w:w="0" w:type="dxa"/>
            </w:tcMar>
            <w:vAlign w:val="center"/>
          </w:tcPr>
          <w:p>
            <w:pPr>
              <w:pStyle w:val="43"/>
              <w:spacing w:line="240" w:lineRule="auto"/>
              <w:ind w:firstLine="0" w:firstLineChars="0"/>
              <w:rPr>
                <w:color w:val="auto"/>
                <w:sz w:val="21"/>
                <w:szCs w:val="21"/>
              </w:rPr>
            </w:pPr>
            <w:r>
              <w:rPr>
                <w:color w:val="auto"/>
                <w:sz w:val="21"/>
                <w:szCs w:val="21"/>
              </w:rPr>
              <w:t>24.44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799" w:type="dxa"/>
            <w:vMerge w:val="continue"/>
            <w:tcMar>
              <w:left w:w="0" w:type="dxa"/>
              <w:right w:w="0" w:type="dxa"/>
            </w:tcMar>
            <w:vAlign w:val="center"/>
          </w:tcPr>
          <w:p>
            <w:pPr>
              <w:pStyle w:val="43"/>
              <w:spacing w:line="240" w:lineRule="auto"/>
              <w:ind w:firstLine="0" w:firstLineChars="0"/>
              <w:rPr>
                <w:rFonts w:eastAsia="宋体"/>
                <w:color w:val="auto"/>
                <w:sz w:val="21"/>
                <w:szCs w:val="21"/>
              </w:rPr>
            </w:pPr>
          </w:p>
        </w:tc>
        <w:tc>
          <w:tcPr>
            <w:tcW w:w="2052" w:type="dxa"/>
            <w:vMerge w:val="continue"/>
            <w:tcMar>
              <w:left w:w="0" w:type="dxa"/>
              <w:right w:w="0" w:type="dxa"/>
            </w:tcMar>
            <w:vAlign w:val="center"/>
          </w:tcPr>
          <w:p>
            <w:pPr>
              <w:pStyle w:val="43"/>
              <w:spacing w:line="240" w:lineRule="auto"/>
              <w:ind w:firstLine="0" w:firstLineChars="0"/>
              <w:rPr>
                <w:rFonts w:eastAsia="宋体"/>
                <w:color w:val="auto"/>
                <w:sz w:val="21"/>
                <w:szCs w:val="21"/>
              </w:rPr>
            </w:pPr>
          </w:p>
        </w:tc>
        <w:tc>
          <w:tcPr>
            <w:tcW w:w="1075" w:type="dxa"/>
            <w:tcMar>
              <w:left w:w="0" w:type="dxa"/>
              <w:right w:w="0" w:type="dxa"/>
            </w:tcMar>
            <w:vAlign w:val="center"/>
          </w:tcPr>
          <w:p>
            <w:pPr>
              <w:pStyle w:val="43"/>
              <w:spacing w:line="240" w:lineRule="auto"/>
              <w:ind w:firstLine="0" w:firstLineChars="0"/>
              <w:rPr>
                <w:rFonts w:eastAsia="宋体"/>
                <w:color w:val="auto"/>
                <w:sz w:val="21"/>
                <w:szCs w:val="21"/>
              </w:rPr>
            </w:pPr>
            <w:r>
              <w:rPr>
                <w:rFonts w:eastAsia="宋体"/>
                <w:color w:val="auto"/>
                <w:sz w:val="21"/>
                <w:szCs w:val="21"/>
              </w:rPr>
              <w:t>下限</w:t>
            </w:r>
          </w:p>
        </w:tc>
        <w:tc>
          <w:tcPr>
            <w:tcW w:w="4814" w:type="dxa"/>
            <w:tcMar>
              <w:left w:w="0" w:type="dxa"/>
              <w:right w:w="0" w:type="dxa"/>
            </w:tcMar>
            <w:vAlign w:val="center"/>
          </w:tcPr>
          <w:p>
            <w:pPr>
              <w:pStyle w:val="43"/>
              <w:spacing w:line="240" w:lineRule="auto"/>
              <w:ind w:firstLine="0" w:firstLineChars="0"/>
              <w:rPr>
                <w:color w:val="auto"/>
                <w:sz w:val="21"/>
                <w:szCs w:val="21"/>
              </w:rPr>
            </w:pPr>
            <w:r>
              <w:rPr>
                <w:color w:val="auto"/>
                <w:sz w:val="21"/>
                <w:szCs w:val="21"/>
              </w:rPr>
              <w:t>8.8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799" w:type="dxa"/>
            <w:tcMar>
              <w:left w:w="0" w:type="dxa"/>
              <w:right w:w="0" w:type="dxa"/>
            </w:tcMar>
            <w:vAlign w:val="center"/>
          </w:tcPr>
          <w:p>
            <w:pPr>
              <w:pStyle w:val="43"/>
              <w:spacing w:line="240" w:lineRule="auto"/>
              <w:ind w:firstLine="0" w:firstLineChars="0"/>
              <w:rPr>
                <w:rFonts w:eastAsia="宋体"/>
                <w:color w:val="auto"/>
                <w:sz w:val="21"/>
                <w:szCs w:val="21"/>
              </w:rPr>
            </w:pPr>
            <w:r>
              <w:rPr>
                <w:rFonts w:eastAsia="宋体"/>
                <w:color w:val="auto"/>
                <w:sz w:val="21"/>
                <w:szCs w:val="21"/>
              </w:rPr>
              <w:t>6</w:t>
            </w:r>
          </w:p>
        </w:tc>
        <w:tc>
          <w:tcPr>
            <w:tcW w:w="3127" w:type="dxa"/>
            <w:gridSpan w:val="2"/>
            <w:tcMar>
              <w:left w:w="0" w:type="dxa"/>
              <w:right w:w="0" w:type="dxa"/>
            </w:tcMar>
            <w:vAlign w:val="center"/>
          </w:tcPr>
          <w:p>
            <w:pPr>
              <w:pStyle w:val="43"/>
              <w:spacing w:line="240" w:lineRule="auto"/>
              <w:ind w:firstLine="0" w:firstLineChars="0"/>
              <w:rPr>
                <w:rFonts w:eastAsia="宋体"/>
                <w:color w:val="auto"/>
                <w:sz w:val="21"/>
                <w:szCs w:val="21"/>
              </w:rPr>
            </w:pPr>
            <w:r>
              <w:rPr>
                <w:rFonts w:eastAsia="宋体"/>
                <w:color w:val="auto"/>
                <w:sz w:val="21"/>
                <w:szCs w:val="21"/>
              </w:rPr>
              <w:t>理论烟气量（m</w:t>
            </w:r>
            <w:r>
              <w:rPr>
                <w:rFonts w:eastAsia="宋体"/>
                <w:color w:val="auto"/>
                <w:sz w:val="21"/>
                <w:szCs w:val="21"/>
                <w:vertAlign w:val="superscript"/>
              </w:rPr>
              <w:t>3</w:t>
            </w:r>
            <w:r>
              <w:rPr>
                <w:rFonts w:eastAsia="宋体"/>
                <w:color w:val="auto"/>
                <w:sz w:val="21"/>
                <w:szCs w:val="21"/>
              </w:rPr>
              <w:t>/m</w:t>
            </w:r>
            <w:r>
              <w:rPr>
                <w:rFonts w:eastAsia="宋体"/>
                <w:color w:val="auto"/>
                <w:sz w:val="21"/>
                <w:szCs w:val="21"/>
                <w:vertAlign w:val="superscript"/>
              </w:rPr>
              <w:t>3</w:t>
            </w:r>
            <w:r>
              <w:rPr>
                <w:rFonts w:eastAsia="宋体"/>
                <w:color w:val="auto"/>
                <w:sz w:val="21"/>
                <w:szCs w:val="21"/>
              </w:rPr>
              <w:t>）</w:t>
            </w:r>
          </w:p>
        </w:tc>
        <w:tc>
          <w:tcPr>
            <w:tcW w:w="4814" w:type="dxa"/>
            <w:tcMar>
              <w:left w:w="0" w:type="dxa"/>
              <w:right w:w="0" w:type="dxa"/>
            </w:tcMar>
            <w:vAlign w:val="center"/>
          </w:tcPr>
          <w:p>
            <w:pPr>
              <w:pStyle w:val="43"/>
              <w:spacing w:line="240" w:lineRule="auto"/>
              <w:ind w:firstLine="0" w:firstLineChars="0"/>
              <w:rPr>
                <w:color w:val="auto"/>
                <w:sz w:val="21"/>
                <w:szCs w:val="21"/>
              </w:rPr>
            </w:pPr>
            <w:r>
              <w:rPr>
                <w:color w:val="auto"/>
                <w:sz w:val="21"/>
                <w:szCs w:val="21"/>
              </w:rPr>
              <w:t>8.914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799" w:type="dxa"/>
            <w:tcMar>
              <w:left w:w="0" w:type="dxa"/>
              <w:right w:w="0" w:type="dxa"/>
            </w:tcMar>
            <w:vAlign w:val="center"/>
          </w:tcPr>
          <w:p>
            <w:pPr>
              <w:pStyle w:val="43"/>
              <w:spacing w:line="240" w:lineRule="auto"/>
              <w:ind w:firstLine="0" w:firstLineChars="0"/>
              <w:rPr>
                <w:rFonts w:eastAsia="宋体"/>
                <w:color w:val="auto"/>
                <w:sz w:val="21"/>
                <w:szCs w:val="21"/>
              </w:rPr>
            </w:pPr>
            <w:r>
              <w:rPr>
                <w:rFonts w:eastAsia="宋体"/>
                <w:color w:val="auto"/>
                <w:sz w:val="21"/>
                <w:szCs w:val="21"/>
              </w:rPr>
              <w:t>7</w:t>
            </w:r>
          </w:p>
        </w:tc>
        <w:tc>
          <w:tcPr>
            <w:tcW w:w="3127" w:type="dxa"/>
            <w:gridSpan w:val="2"/>
            <w:tcMar>
              <w:left w:w="0" w:type="dxa"/>
              <w:right w:w="0" w:type="dxa"/>
            </w:tcMar>
            <w:vAlign w:val="center"/>
          </w:tcPr>
          <w:p>
            <w:pPr>
              <w:pStyle w:val="43"/>
              <w:spacing w:line="240" w:lineRule="auto"/>
              <w:ind w:firstLine="0" w:firstLineChars="0"/>
              <w:rPr>
                <w:rFonts w:eastAsia="宋体"/>
                <w:color w:val="auto"/>
                <w:sz w:val="21"/>
                <w:szCs w:val="21"/>
              </w:rPr>
            </w:pPr>
            <w:r>
              <w:rPr>
                <w:rFonts w:eastAsia="宋体"/>
                <w:color w:val="auto"/>
                <w:sz w:val="21"/>
                <w:szCs w:val="21"/>
              </w:rPr>
              <w:t>火焰传播速度（m/s）</w:t>
            </w:r>
          </w:p>
        </w:tc>
        <w:tc>
          <w:tcPr>
            <w:tcW w:w="4814" w:type="dxa"/>
            <w:tcMar>
              <w:left w:w="0" w:type="dxa"/>
              <w:right w:w="0" w:type="dxa"/>
            </w:tcMar>
            <w:vAlign w:val="center"/>
          </w:tcPr>
          <w:p>
            <w:pPr>
              <w:pStyle w:val="43"/>
              <w:spacing w:line="240" w:lineRule="auto"/>
              <w:ind w:firstLine="0" w:firstLineChars="0"/>
              <w:rPr>
                <w:color w:val="auto"/>
                <w:sz w:val="21"/>
                <w:szCs w:val="21"/>
              </w:rPr>
            </w:pPr>
            <w:r>
              <w:rPr>
                <w:color w:val="auto"/>
                <w:sz w:val="21"/>
                <w:szCs w:val="21"/>
              </w:rPr>
              <w:t>0.198</w:t>
            </w:r>
          </w:p>
        </w:tc>
      </w:tr>
    </w:tbl>
    <w:p>
      <w:pPr>
        <w:widowControl/>
        <w:ind w:firstLine="496"/>
        <w:rPr>
          <w:color w:val="auto"/>
          <w:spacing w:val="4"/>
        </w:rPr>
      </w:pPr>
      <w:r>
        <w:rPr>
          <w:rFonts w:hint="eastAsia"/>
          <w:color w:val="auto"/>
          <w:spacing w:val="4"/>
        </w:rPr>
        <w:t>本项目沼气燃烧废气主要为火炬燃烧排放废气，产生的废气均为无组织排放。</w:t>
      </w:r>
    </w:p>
    <w:p>
      <w:pPr>
        <w:widowControl/>
        <w:ind w:firstLine="496"/>
        <w:rPr>
          <w:color w:val="auto"/>
          <w:spacing w:val="4"/>
        </w:rPr>
      </w:pPr>
      <w:r>
        <w:rPr>
          <w:color w:val="auto"/>
          <w:spacing w:val="4"/>
        </w:rPr>
        <w:t>根据项目的沼气特性，经类比，1m</w:t>
      </w:r>
      <w:r>
        <w:rPr>
          <w:rFonts w:hint="eastAsia"/>
          <w:color w:val="auto"/>
          <w:spacing w:val="4"/>
          <w:vertAlign w:val="superscript"/>
        </w:rPr>
        <w:t>3</w:t>
      </w:r>
      <w:r>
        <w:rPr>
          <w:color w:val="auto"/>
          <w:spacing w:val="4"/>
        </w:rPr>
        <w:t>沼气燃烧后产生的废气量为7.96m</w:t>
      </w:r>
      <w:r>
        <w:rPr>
          <w:rFonts w:hint="eastAsia"/>
          <w:color w:val="auto"/>
          <w:spacing w:val="4"/>
          <w:vertAlign w:val="superscript"/>
        </w:rPr>
        <w:t>3</w:t>
      </w:r>
      <w:r>
        <w:rPr>
          <w:rFonts w:hint="eastAsia"/>
          <w:color w:val="auto"/>
          <w:spacing w:val="4"/>
        </w:rPr>
        <w:t>，</w:t>
      </w:r>
      <w:r>
        <w:rPr>
          <w:color w:val="auto"/>
          <w:spacing w:val="4"/>
        </w:rPr>
        <w:t>SO</w:t>
      </w:r>
      <w:r>
        <w:rPr>
          <w:color w:val="auto"/>
          <w:spacing w:val="4"/>
          <w:vertAlign w:val="subscript"/>
        </w:rPr>
        <w:t>2</w:t>
      </w:r>
      <w:r>
        <w:rPr>
          <w:color w:val="auto"/>
          <w:spacing w:val="4"/>
        </w:rPr>
        <w:t>产生浓度为17mg/m</w:t>
      </w:r>
      <w:r>
        <w:rPr>
          <w:color w:val="auto"/>
          <w:spacing w:val="4"/>
          <w:vertAlign w:val="superscript"/>
        </w:rPr>
        <w:t>3</w:t>
      </w:r>
      <w:r>
        <w:rPr>
          <w:rFonts w:hint="eastAsia"/>
          <w:color w:val="auto"/>
          <w:spacing w:val="4"/>
        </w:rPr>
        <w:t>，</w:t>
      </w:r>
      <w:r>
        <w:rPr>
          <w:color w:val="auto"/>
          <w:spacing w:val="4"/>
        </w:rPr>
        <w:t>烟尘产生浓度30</w:t>
      </w:r>
      <w:r>
        <w:rPr>
          <w:rFonts w:hint="eastAsia"/>
          <w:color w:val="auto"/>
          <w:spacing w:val="4"/>
        </w:rPr>
        <w:t>m</w:t>
      </w:r>
      <w:r>
        <w:rPr>
          <w:color w:val="auto"/>
          <w:spacing w:val="4"/>
        </w:rPr>
        <w:t>g/m</w:t>
      </w:r>
      <w:r>
        <w:rPr>
          <w:color w:val="auto"/>
          <w:spacing w:val="4"/>
          <w:vertAlign w:val="superscript"/>
        </w:rPr>
        <w:t>3</w:t>
      </w:r>
      <w:r>
        <w:rPr>
          <w:rFonts w:hint="eastAsia"/>
          <w:color w:val="auto"/>
          <w:spacing w:val="4"/>
        </w:rPr>
        <w:t>，</w:t>
      </w:r>
      <w:r>
        <w:rPr>
          <w:color w:val="auto"/>
          <w:spacing w:val="4"/>
        </w:rPr>
        <w:t>NOx产生浓度为75mg/m</w:t>
      </w:r>
      <w:r>
        <w:rPr>
          <w:color w:val="auto"/>
          <w:spacing w:val="4"/>
          <w:vertAlign w:val="superscript"/>
        </w:rPr>
        <w:t>3</w:t>
      </w:r>
      <w:r>
        <w:rPr>
          <w:color w:val="auto"/>
          <w:spacing w:val="4"/>
        </w:rPr>
        <w:t>。</w:t>
      </w:r>
      <w:r>
        <w:rPr>
          <w:rFonts w:hint="eastAsia"/>
          <w:color w:val="auto"/>
          <w:spacing w:val="4"/>
        </w:rPr>
        <w:t>则项目沼气火炬</w:t>
      </w:r>
      <w:r>
        <w:rPr>
          <w:color w:val="auto"/>
          <w:spacing w:val="4"/>
        </w:rPr>
        <w:t>燃烧废气量为</w:t>
      </w:r>
      <w:r>
        <w:rPr>
          <w:rFonts w:hint="eastAsia"/>
          <w:color w:val="auto"/>
          <w:spacing w:val="4"/>
        </w:rPr>
        <w:t>87.5万m</w:t>
      </w:r>
      <w:r>
        <w:rPr>
          <w:rFonts w:hint="eastAsia"/>
          <w:color w:val="auto"/>
          <w:spacing w:val="4"/>
          <w:vertAlign w:val="superscript"/>
        </w:rPr>
        <w:t>3</w:t>
      </w:r>
      <w:r>
        <w:rPr>
          <w:rFonts w:hint="eastAsia"/>
          <w:color w:val="auto"/>
          <w:spacing w:val="4"/>
        </w:rPr>
        <w:t>，</w:t>
      </w:r>
      <w:r>
        <w:rPr>
          <w:color w:val="auto"/>
          <w:spacing w:val="4"/>
        </w:rPr>
        <w:t>SO</w:t>
      </w:r>
      <w:r>
        <w:rPr>
          <w:color w:val="auto"/>
          <w:spacing w:val="4"/>
          <w:vertAlign w:val="subscript"/>
        </w:rPr>
        <w:t>2</w:t>
      </w:r>
      <w:r>
        <w:rPr>
          <w:color w:val="auto"/>
          <w:spacing w:val="4"/>
        </w:rPr>
        <w:t>产生量为</w:t>
      </w:r>
      <w:r>
        <w:rPr>
          <w:rFonts w:hint="eastAsia"/>
          <w:color w:val="auto"/>
          <w:spacing w:val="4"/>
        </w:rPr>
        <w:t>0.0</w:t>
      </w:r>
      <w:r>
        <w:rPr>
          <w:rFonts w:hint="eastAsia"/>
          <w:color w:val="auto"/>
          <w:spacing w:val="4"/>
          <w:lang w:val="en-US" w:eastAsia="zh-CN"/>
        </w:rPr>
        <w:t>15</w:t>
      </w:r>
      <w:r>
        <w:rPr>
          <w:color w:val="auto"/>
          <w:spacing w:val="4"/>
        </w:rPr>
        <w:t>t/a</w:t>
      </w:r>
      <w:r>
        <w:rPr>
          <w:rFonts w:hint="eastAsia"/>
          <w:color w:val="auto"/>
          <w:spacing w:val="4"/>
        </w:rPr>
        <w:t>（0.00</w:t>
      </w:r>
      <w:r>
        <w:rPr>
          <w:rFonts w:hint="eastAsia"/>
          <w:color w:val="auto"/>
          <w:spacing w:val="4"/>
          <w:lang w:val="en-US" w:eastAsia="zh-CN"/>
        </w:rPr>
        <w:t>17</w:t>
      </w:r>
      <w:r>
        <w:rPr>
          <w:rFonts w:hint="eastAsia"/>
          <w:color w:val="auto"/>
          <w:spacing w:val="4"/>
        </w:rPr>
        <w:t>kg/h），</w:t>
      </w:r>
      <w:r>
        <w:rPr>
          <w:color w:val="auto"/>
          <w:spacing w:val="4"/>
        </w:rPr>
        <w:t>烟尘产生量为</w:t>
      </w:r>
      <w:r>
        <w:rPr>
          <w:rFonts w:hint="eastAsia"/>
          <w:color w:val="auto"/>
          <w:spacing w:val="4"/>
        </w:rPr>
        <w:t>0.0</w:t>
      </w:r>
      <w:r>
        <w:rPr>
          <w:rFonts w:hint="eastAsia"/>
          <w:color w:val="auto"/>
          <w:spacing w:val="4"/>
          <w:lang w:val="en-US" w:eastAsia="zh-CN"/>
        </w:rPr>
        <w:t>26</w:t>
      </w:r>
      <w:r>
        <w:rPr>
          <w:color w:val="auto"/>
          <w:spacing w:val="4"/>
        </w:rPr>
        <w:t>t/a</w:t>
      </w:r>
      <w:r>
        <w:rPr>
          <w:rFonts w:hint="eastAsia"/>
          <w:color w:val="auto"/>
          <w:spacing w:val="4"/>
        </w:rPr>
        <w:t>（0.003kg/h），</w:t>
      </w:r>
      <w:r>
        <w:rPr>
          <w:color w:val="auto"/>
          <w:spacing w:val="4"/>
        </w:rPr>
        <w:t>NOx产生量为</w:t>
      </w:r>
      <w:r>
        <w:rPr>
          <w:rFonts w:hint="eastAsia"/>
          <w:color w:val="auto"/>
          <w:spacing w:val="4"/>
        </w:rPr>
        <w:t>0.0</w:t>
      </w:r>
      <w:r>
        <w:rPr>
          <w:rFonts w:hint="eastAsia"/>
          <w:color w:val="auto"/>
          <w:spacing w:val="4"/>
          <w:lang w:val="en-US" w:eastAsia="zh-CN"/>
        </w:rPr>
        <w:t>65</w:t>
      </w:r>
      <w:r>
        <w:rPr>
          <w:color w:val="auto"/>
          <w:spacing w:val="4"/>
        </w:rPr>
        <w:t>t/a</w:t>
      </w:r>
      <w:r>
        <w:rPr>
          <w:rFonts w:hint="eastAsia"/>
          <w:color w:val="auto"/>
          <w:spacing w:val="4"/>
        </w:rPr>
        <w:t>（0.00</w:t>
      </w:r>
      <w:r>
        <w:rPr>
          <w:rFonts w:hint="eastAsia"/>
          <w:color w:val="auto"/>
          <w:spacing w:val="4"/>
          <w:lang w:val="en-US" w:eastAsia="zh-CN"/>
        </w:rPr>
        <w:t>7</w:t>
      </w:r>
      <w:r>
        <w:rPr>
          <w:rFonts w:hint="eastAsia"/>
          <w:color w:val="auto"/>
          <w:spacing w:val="4"/>
        </w:rPr>
        <w:t>kg/h）。</w:t>
      </w:r>
    </w:p>
    <w:p>
      <w:pPr>
        <w:pStyle w:val="11"/>
        <w:spacing w:after="0"/>
        <w:ind w:firstLine="496"/>
        <w:rPr>
          <w:color w:val="auto"/>
          <w:spacing w:val="4"/>
        </w:rPr>
      </w:pPr>
      <w:r>
        <w:rPr>
          <w:rFonts w:hint="eastAsia"/>
          <w:color w:val="auto"/>
          <w:spacing w:val="4"/>
        </w:rPr>
        <w:t>本项目沼气燃烧废气排放能够满足《大气污染物综合排放标准》(GB16297-1996)二级排放标准。按照《大气污染物综合排放标准》（GB16297-1996）中要求，新污染排气筒高度低于15m时，其排放速率按照外推法计算结果在严格50%执行。本项目火炬高度为5m，需要按照外推法计算结果在严格50%执行排放速率，经计算排放速率应执行的标准为SO</w:t>
      </w:r>
      <w:r>
        <w:rPr>
          <w:rFonts w:hint="eastAsia"/>
          <w:color w:val="auto"/>
          <w:spacing w:val="4"/>
          <w:vertAlign w:val="subscript"/>
        </w:rPr>
        <w:t>2</w:t>
      </w:r>
      <w:r>
        <w:rPr>
          <w:rFonts w:hint="eastAsia"/>
          <w:color w:val="auto"/>
          <w:spacing w:val="4"/>
        </w:rPr>
        <w:t>0.145kg/h，NOx0.043kg/h，颗粒物0.195kg/h。经计算本项目火炬燃烧废气排放浓度和排放速率满足《大气污染物综合排放标准》（GB16297-1996）中表2二级标准要求。</w:t>
      </w:r>
    </w:p>
    <w:p>
      <w:pPr>
        <w:pStyle w:val="11"/>
        <w:ind w:firstLine="496"/>
        <w:rPr>
          <w:color w:val="auto"/>
          <w:spacing w:val="4"/>
        </w:rPr>
      </w:pPr>
      <w:r>
        <w:rPr>
          <w:color w:val="auto"/>
          <w:spacing w:val="4"/>
        </w:rPr>
        <w:t>（</w:t>
      </w:r>
      <w:r>
        <w:rPr>
          <w:rFonts w:hint="eastAsia"/>
          <w:color w:val="auto"/>
          <w:spacing w:val="4"/>
        </w:rPr>
        <w:t>7</w:t>
      </w:r>
      <w:r>
        <w:rPr>
          <w:color w:val="auto"/>
          <w:spacing w:val="4"/>
        </w:rPr>
        <w:t>）食堂油烟</w:t>
      </w:r>
    </w:p>
    <w:p>
      <w:pPr>
        <w:pStyle w:val="11"/>
        <w:spacing w:after="0"/>
        <w:ind w:firstLine="496"/>
        <w:rPr>
          <w:color w:val="auto"/>
          <w:spacing w:val="4"/>
        </w:rPr>
      </w:pPr>
      <w:r>
        <w:rPr>
          <w:color w:val="auto"/>
          <w:spacing w:val="4"/>
        </w:rPr>
        <w:t>本项目设置有职工食堂1个，设2个基准灶头，使用沼气作为日常餐饮烹饪的能源，厨房在烹饪炒作时将产生厨房油烟废气污染。该项目建成后劳动定员</w:t>
      </w:r>
      <w:r>
        <w:rPr>
          <w:rFonts w:hint="eastAsia"/>
          <w:color w:val="auto"/>
          <w:spacing w:val="4"/>
        </w:rPr>
        <w:t>35</w:t>
      </w:r>
      <w:r>
        <w:rPr>
          <w:color w:val="auto"/>
          <w:spacing w:val="4"/>
        </w:rPr>
        <w:t>人，食堂每天供应三餐，类比牧原食品股份有限公司其它猪场食堂食用油用量的一般情况，每人每日消耗动植物油以14g/d计，年消耗食用油0.</w:t>
      </w:r>
      <w:r>
        <w:rPr>
          <w:rFonts w:hint="eastAsia"/>
          <w:color w:val="auto"/>
          <w:spacing w:val="4"/>
        </w:rPr>
        <w:t>179</w:t>
      </w:r>
      <w:r>
        <w:rPr>
          <w:color w:val="auto"/>
          <w:spacing w:val="4"/>
        </w:rPr>
        <w:t>t/a，做饭时挥发损失约3%，则厨房油烟产生量约0.0</w:t>
      </w:r>
      <w:r>
        <w:rPr>
          <w:rFonts w:hint="eastAsia"/>
          <w:color w:val="auto"/>
          <w:spacing w:val="4"/>
        </w:rPr>
        <w:t>05</w:t>
      </w:r>
      <w:r>
        <w:rPr>
          <w:color w:val="auto"/>
          <w:spacing w:val="4"/>
        </w:rPr>
        <w:t>t/a。项目废气量为</w:t>
      </w:r>
      <w:r>
        <w:rPr>
          <w:rFonts w:hint="eastAsia"/>
          <w:color w:val="auto"/>
          <w:spacing w:val="4"/>
        </w:rPr>
        <w:t>2</w:t>
      </w:r>
      <w:r>
        <w:rPr>
          <w:color w:val="auto"/>
          <w:spacing w:val="4"/>
        </w:rPr>
        <w:t>000</w:t>
      </w:r>
      <w:r>
        <w:rPr>
          <w:rFonts w:hint="eastAsia"/>
          <w:color w:val="auto"/>
          <w:spacing w:val="4"/>
        </w:rPr>
        <w:t>m</w:t>
      </w:r>
      <w:r>
        <w:rPr>
          <w:rFonts w:hint="eastAsia"/>
          <w:color w:val="auto"/>
          <w:spacing w:val="4"/>
          <w:vertAlign w:val="superscript"/>
        </w:rPr>
        <w:t>3</w:t>
      </w:r>
      <w:r>
        <w:rPr>
          <w:color w:val="auto"/>
          <w:spacing w:val="4"/>
        </w:rPr>
        <w:t>/h，每日4h，则油烟产生浓度为</w:t>
      </w:r>
      <w:r>
        <w:rPr>
          <w:rFonts w:hint="eastAsia"/>
          <w:color w:val="auto"/>
          <w:spacing w:val="4"/>
        </w:rPr>
        <w:t>2.1</w:t>
      </w:r>
      <w:r>
        <w:rPr>
          <w:color w:val="auto"/>
          <w:spacing w:val="4"/>
        </w:rPr>
        <w:t>mg/</w:t>
      </w:r>
      <w:r>
        <w:rPr>
          <w:rFonts w:hint="eastAsia"/>
          <w:color w:val="auto"/>
          <w:spacing w:val="4"/>
        </w:rPr>
        <w:t>m</w:t>
      </w:r>
      <w:r>
        <w:rPr>
          <w:rFonts w:hint="eastAsia"/>
          <w:color w:val="auto"/>
          <w:spacing w:val="4"/>
          <w:vertAlign w:val="superscript"/>
        </w:rPr>
        <w:t>3</w:t>
      </w:r>
      <w:r>
        <w:rPr>
          <w:color w:val="auto"/>
          <w:spacing w:val="4"/>
        </w:rPr>
        <w:t>，建设单位安装净化效率不低于90%的油烟净化装置，经处理后引至屋顶排放。经计算，处理后餐厅油烟年排放量为0.00</w:t>
      </w:r>
      <w:r>
        <w:rPr>
          <w:rFonts w:hint="eastAsia"/>
          <w:color w:val="auto"/>
          <w:spacing w:val="4"/>
        </w:rPr>
        <w:t>05</w:t>
      </w:r>
      <w:r>
        <w:rPr>
          <w:color w:val="auto"/>
          <w:spacing w:val="4"/>
        </w:rPr>
        <w:t>t/a，排放浓度0.</w:t>
      </w:r>
      <w:r>
        <w:rPr>
          <w:rFonts w:hint="eastAsia"/>
          <w:color w:val="auto"/>
          <w:spacing w:val="4"/>
        </w:rPr>
        <w:t>21</w:t>
      </w:r>
      <w:r>
        <w:rPr>
          <w:color w:val="auto"/>
          <w:spacing w:val="4"/>
        </w:rPr>
        <w:t>mg/</w:t>
      </w:r>
      <w:r>
        <w:rPr>
          <w:rFonts w:hint="eastAsia"/>
          <w:color w:val="auto"/>
          <w:spacing w:val="4"/>
        </w:rPr>
        <w:t>m</w:t>
      </w:r>
      <w:r>
        <w:rPr>
          <w:rFonts w:hint="eastAsia"/>
          <w:color w:val="auto"/>
          <w:spacing w:val="4"/>
          <w:vertAlign w:val="superscript"/>
        </w:rPr>
        <w:t>3</w:t>
      </w:r>
      <w:r>
        <w:rPr>
          <w:color w:val="auto"/>
          <w:spacing w:val="4"/>
        </w:rPr>
        <w:t>，能够满足</w:t>
      </w:r>
      <w:r>
        <w:rPr>
          <w:rFonts w:hint="eastAsia"/>
          <w:color w:val="auto"/>
          <w:spacing w:val="4"/>
        </w:rPr>
        <w:t>河南省</w:t>
      </w:r>
      <w:r>
        <w:rPr>
          <w:color w:val="auto"/>
          <w:spacing w:val="4"/>
        </w:rPr>
        <w:t>《餐饮业油烟污染物排放标准》（试行）（DB41/1604-2018）油烟最高允许排放浓度标准（1.5mg/</w:t>
      </w:r>
      <w:r>
        <w:rPr>
          <w:rFonts w:hint="eastAsia"/>
          <w:color w:val="auto"/>
          <w:spacing w:val="4"/>
        </w:rPr>
        <w:t>m</w:t>
      </w:r>
      <w:r>
        <w:rPr>
          <w:rFonts w:hint="eastAsia"/>
          <w:color w:val="auto"/>
          <w:spacing w:val="4"/>
          <w:vertAlign w:val="superscript"/>
        </w:rPr>
        <w:t>3</w:t>
      </w:r>
      <w:r>
        <w:rPr>
          <w:color w:val="auto"/>
          <w:spacing w:val="4"/>
        </w:rPr>
        <w:t>），油烟去除效率大于等于90%的去除效率的要求，可实现达标排放。</w:t>
      </w:r>
    </w:p>
    <w:bookmarkEnd w:id="360"/>
    <w:bookmarkEnd w:id="361"/>
    <w:bookmarkEnd w:id="362"/>
    <w:bookmarkEnd w:id="363"/>
    <w:bookmarkEnd w:id="364"/>
    <w:bookmarkEnd w:id="365"/>
    <w:bookmarkEnd w:id="366"/>
    <w:bookmarkEnd w:id="367"/>
    <w:p>
      <w:pPr>
        <w:pStyle w:val="11"/>
        <w:spacing w:after="0"/>
        <w:ind w:firstLine="496"/>
        <w:rPr>
          <w:color w:val="auto"/>
          <w:spacing w:val="4"/>
        </w:rPr>
      </w:pPr>
      <w:bookmarkStart w:id="368" w:name="_Toc269400685"/>
      <w:r>
        <w:rPr>
          <w:rFonts w:hint="eastAsia"/>
          <w:color w:val="auto"/>
          <w:spacing w:val="4"/>
        </w:rPr>
        <w:t>（8）臭气浓度</w:t>
      </w:r>
    </w:p>
    <w:p>
      <w:pPr>
        <w:ind w:firstLine="480"/>
        <w:rPr>
          <w:color w:val="auto"/>
        </w:rPr>
      </w:pPr>
      <w:r>
        <w:rPr>
          <w:rFonts w:hint="eastAsia"/>
          <w:color w:val="auto"/>
        </w:rPr>
        <w:t>类比同类项目恶臭污染源排放情况，本项目各区域内臭气产生浓度情况见下表。</w:t>
      </w:r>
    </w:p>
    <w:p>
      <w:pPr>
        <w:tabs>
          <w:tab w:val="left" w:pos="1448"/>
        </w:tabs>
        <w:spacing w:before="43"/>
        <w:ind w:left="100" w:right="55" w:firstLine="482"/>
        <w:jc w:val="center"/>
        <w:rPr>
          <w:b/>
          <w:bCs/>
          <w:color w:val="auto"/>
        </w:rPr>
      </w:pPr>
      <w:r>
        <w:rPr>
          <w:b/>
          <w:bCs/>
          <w:color w:val="auto"/>
        </w:rPr>
        <w:t>表 3.3-8             臭气污染源强一览表</w:t>
      </w:r>
    </w:p>
    <w:tbl>
      <w:tblPr>
        <w:tblStyle w:val="28"/>
        <w:tblW w:w="4997"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20"/>
        <w:gridCol w:w="1867"/>
        <w:gridCol w:w="2100"/>
        <w:gridCol w:w="1435"/>
        <w:gridCol w:w="214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8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项目</w:t>
            </w:r>
          </w:p>
        </w:tc>
        <w:tc>
          <w:tcPr>
            <w:tcW w:w="101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猪舍</w:t>
            </w:r>
          </w:p>
        </w:tc>
        <w:tc>
          <w:tcPr>
            <w:tcW w:w="1145"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污水处理系统</w:t>
            </w:r>
          </w:p>
        </w:tc>
        <w:tc>
          <w:tcPr>
            <w:tcW w:w="78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固粪处理</w:t>
            </w:r>
          </w:p>
        </w:tc>
        <w:tc>
          <w:tcPr>
            <w:tcW w:w="117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病死猪高温无害化处理区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8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臭气浓度</w:t>
            </w:r>
          </w:p>
        </w:tc>
        <w:tc>
          <w:tcPr>
            <w:tcW w:w="101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40</w:t>
            </w:r>
          </w:p>
        </w:tc>
        <w:tc>
          <w:tcPr>
            <w:tcW w:w="1145"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70</w:t>
            </w:r>
          </w:p>
        </w:tc>
        <w:tc>
          <w:tcPr>
            <w:tcW w:w="78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80</w:t>
            </w:r>
          </w:p>
        </w:tc>
        <w:tc>
          <w:tcPr>
            <w:tcW w:w="117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50</w:t>
            </w:r>
          </w:p>
        </w:tc>
      </w:tr>
    </w:tbl>
    <w:p>
      <w:pPr>
        <w:widowControl/>
        <w:ind w:firstLine="480"/>
        <w:rPr>
          <w:color w:val="auto"/>
        </w:rPr>
      </w:pPr>
      <w:r>
        <w:rPr>
          <w:rFonts w:hint="eastAsia"/>
          <w:color w:val="auto"/>
        </w:rPr>
        <w:t>项目厂界臭气浓度采用类比已经验收的牧原范县十二场验收监测报告中监测数据。</w:t>
      </w:r>
      <w:r>
        <w:rPr>
          <w:color w:val="auto"/>
          <w:szCs w:val="21"/>
        </w:rPr>
        <w:t>河南范县牧原农牧有限公司范县</w:t>
      </w:r>
      <w:r>
        <w:rPr>
          <w:rFonts w:hint="eastAsia"/>
          <w:color w:val="auto"/>
          <w:szCs w:val="21"/>
        </w:rPr>
        <w:t>十二</w:t>
      </w:r>
      <w:r>
        <w:rPr>
          <w:color w:val="auto"/>
          <w:szCs w:val="21"/>
        </w:rPr>
        <w:t>场生猪养殖项目</w:t>
      </w:r>
      <w:r>
        <w:rPr>
          <w:rFonts w:hint="eastAsia"/>
          <w:color w:val="auto"/>
        </w:rPr>
        <w:t>，位于范县辛庄镇十五里铺村西，同本项目区域自然条件及气象条件基本一致。</w:t>
      </w:r>
      <w:r>
        <w:rPr>
          <w:rFonts w:hint="eastAsia"/>
          <w:color w:val="auto"/>
          <w:szCs w:val="21"/>
        </w:rPr>
        <w:t>十</w:t>
      </w:r>
      <w:r>
        <w:rPr>
          <w:rFonts w:hint="eastAsia"/>
          <w:color w:val="auto"/>
        </w:rPr>
        <w:t>二场占地面积143亩，年出栏8.75万育肥猪；十二场建设有污水处理站、固粪处理区，其工艺同本项目基本一致，规模大于本项目，</w:t>
      </w:r>
      <w:r>
        <w:rPr>
          <w:rFonts w:hint="eastAsia" w:ascii="宋体" w:hAnsi="宋体" w:cs="宋体"/>
          <w:color w:val="auto"/>
          <w:kern w:val="0"/>
          <w:lang w:bidi="ar"/>
        </w:rPr>
        <w:t>综上，范县十二场同本项目具有可类比性。</w:t>
      </w:r>
    </w:p>
    <w:p>
      <w:pPr>
        <w:ind w:firstLine="480"/>
        <w:rPr>
          <w:color w:val="auto"/>
        </w:rPr>
      </w:pPr>
      <w:r>
        <w:rPr>
          <w:rFonts w:hint="eastAsia"/>
          <w:color w:val="auto"/>
        </w:rPr>
        <w:t>根据牧原范县</w:t>
      </w:r>
      <w:r>
        <w:rPr>
          <w:rFonts w:hint="eastAsia"/>
          <w:color w:val="auto"/>
          <w:szCs w:val="21"/>
        </w:rPr>
        <w:t>十</w:t>
      </w:r>
      <w:r>
        <w:rPr>
          <w:rFonts w:hint="eastAsia"/>
          <w:color w:val="auto"/>
        </w:rPr>
        <w:t>二场验收监测报告，其厂界下风向臭气浓度范围为12~19，本项目取19，可满足《畜禽养殖业污染物排放标准》（GB18596-2001）臭气浓度70的要求。</w:t>
      </w:r>
    </w:p>
    <w:p>
      <w:pPr>
        <w:pStyle w:val="11"/>
        <w:spacing w:after="0"/>
        <w:ind w:firstLine="496"/>
        <w:rPr>
          <w:color w:val="auto"/>
          <w:spacing w:val="4"/>
        </w:rPr>
      </w:pPr>
      <w:r>
        <w:rPr>
          <w:color w:val="auto"/>
          <w:spacing w:val="4"/>
        </w:rPr>
        <w:t>3.3.2.2</w:t>
      </w:r>
      <w:bookmarkEnd w:id="368"/>
      <w:r>
        <w:rPr>
          <w:color w:val="auto"/>
          <w:spacing w:val="4"/>
        </w:rPr>
        <w:t>废水污染物产排情况</w:t>
      </w:r>
    </w:p>
    <w:p>
      <w:pPr>
        <w:pStyle w:val="11"/>
        <w:spacing w:after="0"/>
        <w:ind w:firstLine="496"/>
        <w:rPr>
          <w:color w:val="auto"/>
          <w:spacing w:val="4"/>
        </w:rPr>
      </w:pPr>
      <w:r>
        <w:rPr>
          <w:color w:val="auto"/>
          <w:spacing w:val="4"/>
        </w:rPr>
        <w:t>（1）废水产生情况</w:t>
      </w:r>
    </w:p>
    <w:p>
      <w:pPr>
        <w:pStyle w:val="11"/>
        <w:spacing w:after="0"/>
        <w:ind w:firstLine="496"/>
        <w:rPr>
          <w:color w:val="auto"/>
          <w:spacing w:val="4"/>
        </w:rPr>
      </w:pPr>
      <w:r>
        <w:rPr>
          <w:color w:val="auto"/>
          <w:spacing w:val="4"/>
        </w:rPr>
        <w:t>废水是养猪场产生的重要污染物，包括猪尿、猪舍冲洗水及工人生活污水等。</w:t>
      </w:r>
    </w:p>
    <w:p>
      <w:pPr>
        <w:pStyle w:val="11"/>
        <w:spacing w:after="0"/>
        <w:ind w:firstLine="496"/>
        <w:rPr>
          <w:color w:val="auto"/>
          <w:spacing w:val="4"/>
        </w:rPr>
      </w:pPr>
      <w:r>
        <w:rPr>
          <w:color w:val="auto"/>
          <w:spacing w:val="4"/>
        </w:rPr>
        <w:t>●猪尿</w:t>
      </w:r>
    </w:p>
    <w:p>
      <w:pPr>
        <w:pStyle w:val="11"/>
        <w:spacing w:after="0"/>
        <w:ind w:firstLine="496"/>
        <w:rPr>
          <w:color w:val="auto"/>
          <w:spacing w:val="4"/>
        </w:rPr>
      </w:pPr>
      <w:r>
        <w:rPr>
          <w:color w:val="auto"/>
          <w:spacing w:val="4"/>
        </w:rPr>
        <w:t>本项目投入运营后</w:t>
      </w:r>
      <w:r>
        <w:rPr>
          <w:rFonts w:hint="eastAsia"/>
          <w:color w:val="auto"/>
          <w:spacing w:val="4"/>
        </w:rPr>
        <w:t>保育育肥舍</w:t>
      </w:r>
      <w:r>
        <w:rPr>
          <w:color w:val="auto"/>
          <w:spacing w:val="4"/>
        </w:rPr>
        <w:t>存栏</w:t>
      </w:r>
      <w:r>
        <w:rPr>
          <w:rFonts w:hint="eastAsia"/>
          <w:color w:val="auto"/>
          <w:spacing w:val="4"/>
        </w:rPr>
        <w:t>20000</w:t>
      </w:r>
      <w:r>
        <w:rPr>
          <w:color w:val="auto"/>
          <w:spacing w:val="4"/>
        </w:rPr>
        <w:t>头，夏季猪尿产生量为</w:t>
      </w:r>
      <w:r>
        <w:rPr>
          <w:rFonts w:hint="eastAsia"/>
          <w:color w:val="auto"/>
          <w:spacing w:val="4"/>
        </w:rPr>
        <w:t>152.74m</w:t>
      </w:r>
      <w:r>
        <w:rPr>
          <w:rFonts w:hint="eastAsia"/>
          <w:color w:val="auto"/>
          <w:spacing w:val="4"/>
          <w:vertAlign w:val="superscript"/>
        </w:rPr>
        <w:t>3</w:t>
      </w:r>
      <w:r>
        <w:rPr>
          <w:color w:val="auto"/>
          <w:spacing w:val="4"/>
        </w:rPr>
        <w:t>/d，其他季节猪尿产生量为</w:t>
      </w:r>
      <w:r>
        <w:rPr>
          <w:rFonts w:hint="eastAsia"/>
          <w:color w:val="auto"/>
          <w:spacing w:val="4"/>
        </w:rPr>
        <w:t>91.42m</w:t>
      </w:r>
      <w:r>
        <w:rPr>
          <w:rFonts w:hint="eastAsia"/>
          <w:color w:val="auto"/>
          <w:spacing w:val="4"/>
          <w:vertAlign w:val="superscript"/>
        </w:rPr>
        <w:t>3</w:t>
      </w:r>
      <w:r>
        <w:rPr>
          <w:color w:val="auto"/>
          <w:spacing w:val="4"/>
        </w:rPr>
        <w:t>/d，全年猪尿产生量为</w:t>
      </w:r>
      <w:r>
        <w:rPr>
          <w:rFonts w:hint="eastAsia"/>
          <w:color w:val="auto"/>
          <w:spacing w:val="4"/>
        </w:rPr>
        <w:t>40849.34m</w:t>
      </w:r>
      <w:r>
        <w:rPr>
          <w:rFonts w:hint="eastAsia"/>
          <w:color w:val="auto"/>
          <w:spacing w:val="4"/>
          <w:vertAlign w:val="superscript"/>
        </w:rPr>
        <w:t>3</w:t>
      </w:r>
      <w:r>
        <w:rPr>
          <w:color w:val="auto"/>
          <w:spacing w:val="4"/>
        </w:rPr>
        <w:t>/a。</w:t>
      </w:r>
    </w:p>
    <w:p>
      <w:pPr>
        <w:pStyle w:val="11"/>
        <w:spacing w:after="0"/>
        <w:ind w:firstLine="496"/>
        <w:rPr>
          <w:color w:val="auto"/>
          <w:spacing w:val="4"/>
        </w:rPr>
      </w:pPr>
      <w:r>
        <w:rPr>
          <w:color w:val="auto"/>
          <w:spacing w:val="4"/>
        </w:rPr>
        <w:t>●猪舍冲洗废水</w:t>
      </w:r>
    </w:p>
    <w:p>
      <w:pPr>
        <w:pStyle w:val="11"/>
        <w:spacing w:after="0"/>
        <w:ind w:firstLine="496"/>
        <w:rPr>
          <w:color w:val="auto"/>
          <w:spacing w:val="4"/>
        </w:rPr>
      </w:pPr>
      <w:r>
        <w:rPr>
          <w:rFonts w:hint="eastAsia"/>
          <w:color w:val="auto"/>
          <w:spacing w:val="4"/>
        </w:rPr>
        <w:t>依据牧原公司已建养殖场运行中的干清粪工艺的冲洗规律，利用高压水枪在猪转栏时对各猪舍进行冲洗、消毒。保育育肥一体舍冲洗频率为每年</w:t>
      </w:r>
      <w:r>
        <w:rPr>
          <w:color w:val="auto"/>
          <w:spacing w:val="4"/>
        </w:rPr>
        <w:t>2</w:t>
      </w:r>
      <w:r>
        <w:rPr>
          <w:rFonts w:hint="eastAsia"/>
          <w:color w:val="auto"/>
          <w:spacing w:val="4"/>
        </w:rPr>
        <w:t>.5次，每次冲洗水量为</w:t>
      </w:r>
      <w:r>
        <w:rPr>
          <w:color w:val="auto"/>
          <w:spacing w:val="4"/>
        </w:rPr>
        <w:t>1</w:t>
      </w:r>
      <w:r>
        <w:rPr>
          <w:rFonts w:hint="eastAsia"/>
          <w:color w:val="auto"/>
          <w:spacing w:val="4"/>
        </w:rPr>
        <w:t>8</w:t>
      </w:r>
      <w:r>
        <w:rPr>
          <w:color w:val="auto"/>
          <w:spacing w:val="4"/>
        </w:rPr>
        <w:t>m</w:t>
      </w:r>
      <w:r>
        <w:rPr>
          <w:color w:val="auto"/>
          <w:spacing w:val="4"/>
          <w:vertAlign w:val="superscript"/>
        </w:rPr>
        <w:t>3</w:t>
      </w:r>
      <w:r>
        <w:rPr>
          <w:rFonts w:hint="eastAsia"/>
          <w:color w:val="auto"/>
          <w:spacing w:val="4"/>
        </w:rPr>
        <w:t>，则</w:t>
      </w:r>
      <w:r>
        <w:rPr>
          <w:color w:val="auto"/>
          <w:spacing w:val="4"/>
        </w:rPr>
        <w:t>本项目猪舍冲洗水量总计为</w:t>
      </w:r>
      <w:r>
        <w:rPr>
          <w:rFonts w:hint="eastAsia"/>
          <w:color w:val="auto"/>
          <w:spacing w:val="4"/>
        </w:rPr>
        <w:t>1440</w:t>
      </w:r>
      <w:r>
        <w:rPr>
          <w:color w:val="auto"/>
          <w:spacing w:val="4"/>
        </w:rPr>
        <w:t>m</w:t>
      </w:r>
      <w:r>
        <w:rPr>
          <w:color w:val="auto"/>
          <w:spacing w:val="4"/>
          <w:vertAlign w:val="superscript"/>
        </w:rPr>
        <w:t>3</w:t>
      </w:r>
      <w:r>
        <w:rPr>
          <w:color w:val="auto"/>
          <w:spacing w:val="4"/>
        </w:rPr>
        <w:t>/a，合</w:t>
      </w:r>
      <w:r>
        <w:rPr>
          <w:rFonts w:hint="eastAsia"/>
          <w:color w:val="auto"/>
          <w:spacing w:val="4"/>
        </w:rPr>
        <w:t>3.95</w:t>
      </w:r>
      <w:r>
        <w:rPr>
          <w:color w:val="auto"/>
          <w:spacing w:val="4"/>
        </w:rPr>
        <w:t>m</w:t>
      </w:r>
      <w:r>
        <w:rPr>
          <w:color w:val="auto"/>
          <w:spacing w:val="4"/>
          <w:vertAlign w:val="superscript"/>
        </w:rPr>
        <w:t>3</w:t>
      </w:r>
      <w:r>
        <w:rPr>
          <w:color w:val="auto"/>
          <w:spacing w:val="4"/>
        </w:rPr>
        <w:t>/d，冲洗过程损耗量按10%计，则猪舍冲洗废水产生量为</w:t>
      </w:r>
      <w:r>
        <w:rPr>
          <w:rFonts w:hint="eastAsia"/>
          <w:color w:val="auto"/>
          <w:spacing w:val="4"/>
        </w:rPr>
        <w:t>1296</w:t>
      </w:r>
      <w:r>
        <w:rPr>
          <w:color w:val="auto"/>
          <w:spacing w:val="4"/>
        </w:rPr>
        <w:t>m</w:t>
      </w:r>
      <w:r>
        <w:rPr>
          <w:color w:val="auto"/>
          <w:spacing w:val="4"/>
          <w:vertAlign w:val="superscript"/>
        </w:rPr>
        <w:t>3</w:t>
      </w:r>
      <w:r>
        <w:rPr>
          <w:color w:val="auto"/>
          <w:spacing w:val="4"/>
        </w:rPr>
        <w:t>/a，合</w:t>
      </w:r>
      <w:r>
        <w:rPr>
          <w:rFonts w:hint="eastAsia"/>
          <w:color w:val="auto"/>
          <w:spacing w:val="4"/>
        </w:rPr>
        <w:t>3.55</w:t>
      </w:r>
      <w:r>
        <w:rPr>
          <w:color w:val="auto"/>
          <w:spacing w:val="4"/>
        </w:rPr>
        <w:t>m</w:t>
      </w:r>
      <w:r>
        <w:rPr>
          <w:color w:val="auto"/>
          <w:spacing w:val="4"/>
          <w:vertAlign w:val="superscript"/>
        </w:rPr>
        <w:t>3</w:t>
      </w:r>
      <w:r>
        <w:rPr>
          <w:color w:val="auto"/>
          <w:spacing w:val="4"/>
        </w:rPr>
        <w:t>/d。</w:t>
      </w:r>
    </w:p>
    <w:p>
      <w:pPr>
        <w:pStyle w:val="11"/>
        <w:spacing w:after="0"/>
        <w:ind w:firstLine="496"/>
        <w:rPr>
          <w:color w:val="auto"/>
          <w:spacing w:val="4"/>
        </w:rPr>
      </w:pPr>
      <w:r>
        <w:rPr>
          <w:color w:val="auto"/>
          <w:spacing w:val="4"/>
        </w:rPr>
        <w:t>●猪粪带入污水系统的废水</w:t>
      </w:r>
    </w:p>
    <w:p>
      <w:pPr>
        <w:pStyle w:val="11"/>
        <w:spacing w:after="0"/>
        <w:ind w:firstLine="496"/>
        <w:rPr>
          <w:color w:val="auto"/>
          <w:spacing w:val="4"/>
        </w:rPr>
      </w:pPr>
      <w:r>
        <w:rPr>
          <w:color w:val="auto"/>
          <w:spacing w:val="4"/>
        </w:rPr>
        <w:t>本项目采用干清粪工艺，清粪比为90%，猪粪含水率80%，粪尿产生后经粪污储存池暂存后用泵运至污水处理系统进行固液分离，经固液分离后，猪粪运至</w:t>
      </w:r>
      <w:r>
        <w:rPr>
          <w:rFonts w:hint="eastAsia"/>
          <w:color w:val="auto"/>
          <w:spacing w:val="4"/>
        </w:rPr>
        <w:t>固粪处理区</w:t>
      </w:r>
      <w:r>
        <w:rPr>
          <w:color w:val="auto"/>
          <w:spacing w:val="4"/>
        </w:rPr>
        <w:t>制有机肥</w:t>
      </w:r>
      <w:r>
        <w:rPr>
          <w:rFonts w:hint="eastAsia"/>
          <w:color w:val="auto"/>
          <w:spacing w:val="4"/>
        </w:rPr>
        <w:t>基料</w:t>
      </w:r>
      <w:r>
        <w:rPr>
          <w:color w:val="auto"/>
          <w:spacing w:val="4"/>
        </w:rPr>
        <w:t>，污水进入黑膜沼气池进行处理，分离出污水量为</w:t>
      </w:r>
      <w:r>
        <w:rPr>
          <w:rFonts w:hint="eastAsia"/>
          <w:color w:val="auto"/>
          <w:spacing w:val="4"/>
        </w:rPr>
        <w:t>9.214</w:t>
      </w:r>
      <w:r>
        <w:rPr>
          <w:color w:val="auto"/>
          <w:spacing w:val="4"/>
        </w:rPr>
        <w:t>m</w:t>
      </w:r>
      <w:r>
        <w:rPr>
          <w:color w:val="auto"/>
          <w:spacing w:val="4"/>
          <w:vertAlign w:val="superscript"/>
        </w:rPr>
        <w:t>3</w:t>
      </w:r>
      <w:r>
        <w:rPr>
          <w:color w:val="auto"/>
          <w:spacing w:val="4"/>
        </w:rPr>
        <w:t>/d、</w:t>
      </w:r>
      <w:r>
        <w:rPr>
          <w:rFonts w:hint="eastAsia"/>
          <w:color w:val="auto"/>
          <w:spacing w:val="4"/>
        </w:rPr>
        <w:t>3363.11</w:t>
      </w:r>
      <w:r>
        <w:rPr>
          <w:color w:val="auto"/>
          <w:spacing w:val="4"/>
        </w:rPr>
        <w:t>m</w:t>
      </w:r>
      <w:r>
        <w:rPr>
          <w:color w:val="auto"/>
          <w:spacing w:val="4"/>
          <w:vertAlign w:val="superscript"/>
        </w:rPr>
        <w:t>3</w:t>
      </w:r>
      <w:r>
        <w:rPr>
          <w:color w:val="auto"/>
          <w:spacing w:val="4"/>
        </w:rPr>
        <w:t>/a。</w:t>
      </w:r>
    </w:p>
    <w:p>
      <w:pPr>
        <w:pStyle w:val="11"/>
        <w:spacing w:after="0"/>
        <w:ind w:firstLine="496"/>
        <w:rPr>
          <w:color w:val="auto"/>
          <w:spacing w:val="4"/>
        </w:rPr>
      </w:pPr>
      <w:r>
        <w:rPr>
          <w:color w:val="auto"/>
          <w:spacing w:val="4"/>
        </w:rPr>
        <w:t>●</w:t>
      </w:r>
      <w:r>
        <w:rPr>
          <w:rFonts w:hint="eastAsia"/>
          <w:color w:val="auto"/>
          <w:spacing w:val="4"/>
        </w:rPr>
        <w:t>沼渣固液分离废水</w:t>
      </w:r>
    </w:p>
    <w:p>
      <w:pPr>
        <w:pStyle w:val="11"/>
        <w:spacing w:after="0"/>
        <w:ind w:firstLine="496"/>
        <w:rPr>
          <w:color w:val="auto"/>
          <w:spacing w:val="4"/>
        </w:rPr>
      </w:pPr>
      <w:r>
        <w:rPr>
          <w:color w:val="auto"/>
          <w:spacing w:val="4"/>
        </w:rPr>
        <w:t>本项目黑膜沼气池产生的沼渣（含水93%）</w:t>
      </w:r>
      <w:r>
        <w:rPr>
          <w:rFonts w:hint="eastAsia"/>
          <w:color w:val="auto"/>
          <w:spacing w:val="4"/>
        </w:rPr>
        <w:t>2346.95</w:t>
      </w:r>
      <w:r>
        <w:rPr>
          <w:color w:val="auto"/>
          <w:spacing w:val="4"/>
        </w:rPr>
        <w:t>t/a，沼渣收集后</w:t>
      </w:r>
      <w:r>
        <w:rPr>
          <w:rFonts w:hint="eastAsia"/>
          <w:color w:val="auto"/>
          <w:spacing w:val="4"/>
        </w:rPr>
        <w:t>经固液分离后的</w:t>
      </w:r>
      <w:r>
        <w:rPr>
          <w:color w:val="auto"/>
          <w:spacing w:val="4"/>
        </w:rPr>
        <w:t>产生</w:t>
      </w:r>
      <w:r>
        <w:rPr>
          <w:rFonts w:hint="eastAsia"/>
          <w:color w:val="auto"/>
          <w:spacing w:val="4"/>
        </w:rPr>
        <w:t>滤液</w:t>
      </w:r>
      <w:r>
        <w:rPr>
          <w:color w:val="auto"/>
          <w:spacing w:val="4"/>
        </w:rPr>
        <w:t>量为</w:t>
      </w:r>
      <w:r>
        <w:rPr>
          <w:rFonts w:hint="eastAsia"/>
          <w:color w:val="auto"/>
          <w:spacing w:val="4"/>
        </w:rPr>
        <w:t>1091.33</w:t>
      </w:r>
      <w:r>
        <w:rPr>
          <w:color w:val="auto"/>
          <w:spacing w:val="4"/>
        </w:rPr>
        <w:t>m</w:t>
      </w:r>
      <w:r>
        <w:rPr>
          <w:color w:val="auto"/>
          <w:spacing w:val="4"/>
          <w:vertAlign w:val="superscript"/>
        </w:rPr>
        <w:t>3</w:t>
      </w:r>
      <w:r>
        <w:rPr>
          <w:color w:val="auto"/>
          <w:spacing w:val="4"/>
        </w:rPr>
        <w:t>/a，折</w:t>
      </w:r>
      <w:r>
        <w:rPr>
          <w:rFonts w:hint="eastAsia"/>
          <w:color w:val="auto"/>
          <w:spacing w:val="4"/>
        </w:rPr>
        <w:t>2.99</w:t>
      </w:r>
      <w:r>
        <w:rPr>
          <w:color w:val="auto"/>
          <w:spacing w:val="4"/>
        </w:rPr>
        <w:t>m</w:t>
      </w:r>
      <w:r>
        <w:rPr>
          <w:color w:val="auto"/>
          <w:spacing w:val="4"/>
          <w:vertAlign w:val="superscript"/>
        </w:rPr>
        <w:t>3</w:t>
      </w:r>
      <w:r>
        <w:rPr>
          <w:color w:val="auto"/>
          <w:spacing w:val="4"/>
        </w:rPr>
        <w:t>/d，收集后去厌氧发酵系统处理。</w:t>
      </w:r>
    </w:p>
    <w:p>
      <w:pPr>
        <w:pStyle w:val="11"/>
        <w:spacing w:after="0"/>
        <w:ind w:firstLine="496"/>
        <w:rPr>
          <w:color w:val="auto"/>
          <w:spacing w:val="4"/>
        </w:rPr>
      </w:pPr>
      <w:r>
        <w:rPr>
          <w:color w:val="auto"/>
          <w:spacing w:val="4"/>
        </w:rPr>
        <w:t>●员工生活及办公废水</w:t>
      </w:r>
    </w:p>
    <w:p>
      <w:pPr>
        <w:pStyle w:val="11"/>
        <w:spacing w:after="0"/>
        <w:ind w:firstLine="496"/>
        <w:rPr>
          <w:color w:val="auto"/>
          <w:spacing w:val="4"/>
        </w:rPr>
      </w:pPr>
      <w:r>
        <w:rPr>
          <w:color w:val="auto"/>
          <w:spacing w:val="4"/>
        </w:rPr>
        <w:t>项目生活用水量为</w:t>
      </w:r>
      <w:r>
        <w:rPr>
          <w:rFonts w:hint="eastAsia"/>
          <w:color w:val="auto"/>
        </w:rPr>
        <w:t>4.2</w:t>
      </w:r>
      <w:r>
        <w:rPr>
          <w:color w:val="auto"/>
        </w:rPr>
        <w:t>m</w:t>
      </w:r>
      <w:r>
        <w:rPr>
          <w:color w:val="auto"/>
          <w:vertAlign w:val="superscript"/>
        </w:rPr>
        <w:t>3</w:t>
      </w:r>
      <w:r>
        <w:rPr>
          <w:color w:val="auto"/>
        </w:rPr>
        <w:t>/d、</w:t>
      </w:r>
      <w:r>
        <w:rPr>
          <w:rFonts w:hint="eastAsia"/>
          <w:color w:val="auto"/>
        </w:rPr>
        <w:t>1533</w:t>
      </w:r>
      <w:r>
        <w:rPr>
          <w:color w:val="auto"/>
        </w:rPr>
        <w:t>m</w:t>
      </w:r>
      <w:r>
        <w:rPr>
          <w:color w:val="auto"/>
          <w:vertAlign w:val="superscript"/>
        </w:rPr>
        <w:t>3</w:t>
      </w:r>
      <w:r>
        <w:rPr>
          <w:color w:val="auto"/>
        </w:rPr>
        <w:t>/a</w:t>
      </w:r>
      <w:r>
        <w:rPr>
          <w:color w:val="auto"/>
          <w:spacing w:val="4"/>
        </w:rPr>
        <w:t>，排放系数按0.8计，则生活污水排放量为</w:t>
      </w:r>
      <w:r>
        <w:rPr>
          <w:rFonts w:hint="eastAsia"/>
          <w:color w:val="auto"/>
        </w:rPr>
        <w:t>3.36</w:t>
      </w:r>
      <w:r>
        <w:rPr>
          <w:color w:val="auto"/>
        </w:rPr>
        <w:t>m</w:t>
      </w:r>
      <w:r>
        <w:rPr>
          <w:color w:val="auto"/>
          <w:vertAlign w:val="superscript"/>
        </w:rPr>
        <w:t>3</w:t>
      </w:r>
      <w:r>
        <w:rPr>
          <w:color w:val="auto"/>
        </w:rPr>
        <w:t>/d、</w:t>
      </w:r>
      <w:r>
        <w:rPr>
          <w:rFonts w:hint="eastAsia"/>
          <w:color w:val="auto"/>
        </w:rPr>
        <w:t>1226.4</w:t>
      </w:r>
      <w:r>
        <w:rPr>
          <w:color w:val="auto"/>
        </w:rPr>
        <w:t>m</w:t>
      </w:r>
      <w:r>
        <w:rPr>
          <w:color w:val="auto"/>
          <w:vertAlign w:val="superscript"/>
        </w:rPr>
        <w:t>3</w:t>
      </w:r>
      <w:r>
        <w:rPr>
          <w:color w:val="auto"/>
        </w:rPr>
        <w:t>/a</w:t>
      </w:r>
      <w:r>
        <w:rPr>
          <w:color w:val="auto"/>
          <w:spacing w:val="4"/>
        </w:rPr>
        <w:t>。</w:t>
      </w:r>
    </w:p>
    <w:p>
      <w:pPr>
        <w:pStyle w:val="11"/>
        <w:spacing w:after="0"/>
        <w:ind w:firstLine="496"/>
        <w:rPr>
          <w:color w:val="auto"/>
          <w:spacing w:val="4"/>
        </w:rPr>
      </w:pPr>
      <w:r>
        <w:rPr>
          <w:color w:val="auto"/>
          <w:spacing w:val="4"/>
        </w:rPr>
        <w:t>●</w:t>
      </w:r>
      <w:r>
        <w:rPr>
          <w:rFonts w:hint="eastAsia"/>
          <w:color w:val="auto"/>
          <w:spacing w:val="4"/>
        </w:rPr>
        <w:t>病死猪高温化制处理冷凝水</w:t>
      </w:r>
    </w:p>
    <w:p>
      <w:pPr>
        <w:pStyle w:val="11"/>
        <w:spacing w:after="0"/>
        <w:ind w:firstLine="496"/>
        <w:rPr>
          <w:color w:val="auto"/>
          <w:spacing w:val="4"/>
        </w:rPr>
      </w:pPr>
      <w:r>
        <w:rPr>
          <w:rFonts w:hint="eastAsia"/>
          <w:color w:val="auto"/>
          <w:spacing w:val="4"/>
        </w:rPr>
        <w:t>根据项目产生的病死猪量、恶臭产生量和病死猪处理后残渣量进行分析，病死猪产生量为12t/a，恶臭产生量为0.00005t/a，残渣产生量为</w:t>
      </w:r>
      <w:r>
        <w:rPr>
          <w:rFonts w:hint="eastAsia"/>
          <w:bCs/>
          <w:color w:val="auto"/>
        </w:rPr>
        <w:t>9.6</w:t>
      </w:r>
      <w:r>
        <w:rPr>
          <w:bCs/>
          <w:color w:val="auto"/>
        </w:rPr>
        <w:t>t/a</w:t>
      </w:r>
      <w:r>
        <w:rPr>
          <w:rFonts w:hint="eastAsia"/>
          <w:color w:val="auto"/>
          <w:spacing w:val="4"/>
        </w:rPr>
        <w:t>，其余部分全部转化为冷凝水，则本项目冷凝水量为0.007t/d，即2.4t/a。</w:t>
      </w:r>
    </w:p>
    <w:p>
      <w:pPr>
        <w:ind w:firstLine="496"/>
        <w:rPr>
          <w:bCs/>
          <w:color w:val="auto"/>
        </w:rPr>
      </w:pPr>
      <w:r>
        <w:rPr>
          <w:color w:val="auto"/>
          <w:spacing w:val="4"/>
        </w:rPr>
        <w:t>●</w:t>
      </w:r>
      <w:r>
        <w:rPr>
          <w:rFonts w:hint="eastAsia"/>
          <w:color w:val="auto"/>
        </w:rPr>
        <w:t>除臭装置喷淋排水</w:t>
      </w:r>
    </w:p>
    <w:p>
      <w:pPr>
        <w:ind w:firstLine="480"/>
        <w:rPr>
          <w:color w:val="auto"/>
        </w:rPr>
      </w:pPr>
      <w:r>
        <w:rPr>
          <w:rFonts w:hint="eastAsia"/>
          <w:color w:val="auto"/>
        </w:rPr>
        <w:t>项目猪舍、固粪处理区、高温化制机均设置风机，将臭气引至除臭棚处理，除臭棚顶部有喷淋水装置，正常情况水帘泵流量为10m</w:t>
      </w:r>
      <w:r>
        <w:rPr>
          <w:rFonts w:hint="eastAsia"/>
          <w:color w:val="auto"/>
          <w:vertAlign w:val="superscript"/>
        </w:rPr>
        <w:t>3</w:t>
      </w:r>
      <w:r>
        <w:rPr>
          <w:rFonts w:hint="eastAsia"/>
          <w:color w:val="auto"/>
        </w:rPr>
        <w:t>/h，损耗水量按1%计，即0.1m</w:t>
      </w:r>
      <w:r>
        <w:rPr>
          <w:rFonts w:hint="eastAsia"/>
          <w:color w:val="auto"/>
          <w:vertAlign w:val="superscript"/>
        </w:rPr>
        <w:t>3</w:t>
      </w:r>
      <w:r>
        <w:rPr>
          <w:rFonts w:hint="eastAsia"/>
          <w:color w:val="auto"/>
        </w:rPr>
        <w:t>/h，2.4m</w:t>
      </w:r>
      <w:r>
        <w:rPr>
          <w:rFonts w:hint="eastAsia"/>
          <w:color w:val="auto"/>
          <w:vertAlign w:val="superscript"/>
        </w:rPr>
        <w:t>3</w:t>
      </w:r>
      <w:r>
        <w:rPr>
          <w:rFonts w:hint="eastAsia"/>
          <w:color w:val="auto"/>
        </w:rPr>
        <w:t>/d。水帘用水喷淋水装置循环使用，每10天更换一次，一次更换量为5m</w:t>
      </w:r>
      <w:r>
        <w:rPr>
          <w:rFonts w:hint="eastAsia"/>
          <w:color w:val="auto"/>
          <w:vertAlign w:val="superscript"/>
        </w:rPr>
        <w:t>3</w:t>
      </w:r>
      <w:r>
        <w:rPr>
          <w:rFonts w:hint="eastAsia"/>
          <w:color w:val="auto"/>
        </w:rPr>
        <w:t>，废水产生量为</w:t>
      </w:r>
      <w:r>
        <w:rPr>
          <w:rFonts w:hint="eastAsia"/>
          <w:bCs/>
          <w:color w:val="auto"/>
        </w:rPr>
        <w:t>182.5</w:t>
      </w:r>
      <w:r>
        <w:rPr>
          <w:bCs/>
          <w:color w:val="auto"/>
        </w:rPr>
        <w:t>m</w:t>
      </w:r>
      <w:r>
        <w:rPr>
          <w:bCs/>
          <w:color w:val="auto"/>
          <w:vertAlign w:val="superscript"/>
        </w:rPr>
        <w:t>3</w:t>
      </w:r>
      <w:r>
        <w:rPr>
          <w:bCs/>
          <w:color w:val="auto"/>
        </w:rPr>
        <w:t>/a（折0.5m</w:t>
      </w:r>
      <w:r>
        <w:rPr>
          <w:bCs/>
          <w:color w:val="auto"/>
          <w:vertAlign w:val="superscript"/>
        </w:rPr>
        <w:t>3</w:t>
      </w:r>
      <w:r>
        <w:rPr>
          <w:bCs/>
          <w:color w:val="auto"/>
        </w:rPr>
        <w:t>/d）</w:t>
      </w:r>
      <w:r>
        <w:rPr>
          <w:rFonts w:hint="eastAsia"/>
          <w:bCs/>
          <w:color w:val="auto"/>
        </w:rPr>
        <w:t>，</w:t>
      </w:r>
      <w:r>
        <w:rPr>
          <w:rFonts w:hint="eastAsia"/>
          <w:color w:val="auto"/>
        </w:rPr>
        <w:t>更换水排放进入污水处理系统。</w:t>
      </w:r>
    </w:p>
    <w:p>
      <w:pPr>
        <w:pStyle w:val="11"/>
        <w:spacing w:after="0"/>
        <w:ind w:firstLine="496"/>
        <w:rPr>
          <w:color w:val="auto"/>
          <w:spacing w:val="4"/>
        </w:rPr>
      </w:pPr>
      <w:r>
        <w:rPr>
          <w:color w:val="auto"/>
          <w:spacing w:val="4"/>
        </w:rPr>
        <w:t>●项目养殖区初期雨水量核算</w:t>
      </w:r>
    </w:p>
    <w:p>
      <w:pPr>
        <w:pStyle w:val="11"/>
        <w:spacing w:after="0"/>
        <w:ind w:firstLine="496"/>
        <w:rPr>
          <w:color w:val="auto"/>
          <w:spacing w:val="4"/>
        </w:rPr>
      </w:pPr>
      <w:r>
        <w:rPr>
          <w:color w:val="auto"/>
          <w:spacing w:val="4"/>
        </w:rPr>
        <w:t>项目初期雨水主要产生于项目养殖区脏道及粪污处理区，养殖区初期雨水主要为脏道落雨，脏道即养殖场粪污输送通道。</w:t>
      </w:r>
      <w:r>
        <w:rPr>
          <w:rFonts w:hint="eastAsia"/>
          <w:color w:val="auto"/>
          <w:spacing w:val="4"/>
        </w:rPr>
        <w:t>根据</w:t>
      </w:r>
      <w:r>
        <w:rPr>
          <w:bCs/>
          <w:color w:val="auto"/>
        </w:rPr>
        <w:t>牧原公司其他分场</w:t>
      </w:r>
      <w:r>
        <w:rPr>
          <w:rFonts w:hint="eastAsia"/>
          <w:bCs/>
          <w:color w:val="auto"/>
        </w:rPr>
        <w:t>的实际建设情况，项目采用干清粪工艺，各个衔接过程均设有预埋管道，粪污均采取密闭方式运至处理场所，厂区内无粪污产生点，因此产生的初期雨水不再设计初期雨水收集池集中收集，直接外排至厂区外，在厂区外修筑管道沿厂区外沟渠将污水引至东侧董楼沟。</w:t>
      </w:r>
    </w:p>
    <w:p>
      <w:pPr>
        <w:ind w:firstLine="480"/>
        <w:rPr>
          <w:color w:val="auto"/>
        </w:rPr>
      </w:pPr>
      <w:r>
        <w:rPr>
          <w:color w:val="auto"/>
        </w:rPr>
        <w:t>（2）污水水质分析</w:t>
      </w:r>
    </w:p>
    <w:p>
      <w:pPr>
        <w:ind w:firstLine="480"/>
        <w:rPr>
          <w:bCs/>
          <w:color w:val="auto"/>
        </w:rPr>
      </w:pPr>
      <w:r>
        <w:rPr>
          <w:bCs/>
          <w:color w:val="auto"/>
        </w:rPr>
        <w:t>本项目废水主要为养殖废水和生活污水，生活污水水质为COD300mg/L、BOD150mg/L、SS200mg/L、NH</w:t>
      </w:r>
      <w:r>
        <w:rPr>
          <w:bCs/>
          <w:color w:val="auto"/>
          <w:vertAlign w:val="subscript"/>
        </w:rPr>
        <w:t>3</w:t>
      </w:r>
      <w:r>
        <w:rPr>
          <w:bCs/>
          <w:color w:val="auto"/>
        </w:rPr>
        <w:t>-N30mg/L；养殖废水为猪尿、猪舍冲洗废水、猪粪废水及</w:t>
      </w:r>
      <w:r>
        <w:rPr>
          <w:rFonts w:hint="eastAsia"/>
          <w:bCs/>
          <w:color w:val="auto"/>
        </w:rPr>
        <w:t>固粪处理区</w:t>
      </w:r>
      <w:r>
        <w:rPr>
          <w:bCs/>
          <w:color w:val="auto"/>
        </w:rPr>
        <w:t>渗滤液，</w:t>
      </w:r>
      <w:r>
        <w:rPr>
          <w:rFonts w:hint="eastAsia"/>
          <w:bCs/>
          <w:color w:val="auto"/>
        </w:rPr>
        <w:t>根据西华</w:t>
      </w:r>
      <w:r>
        <w:rPr>
          <w:bCs/>
          <w:color w:val="auto"/>
        </w:rPr>
        <w:t>牧原</w:t>
      </w:r>
      <w:r>
        <w:rPr>
          <w:rFonts w:hint="eastAsia"/>
          <w:bCs/>
          <w:color w:val="auto"/>
        </w:rPr>
        <w:t>农业有限公司四场</w:t>
      </w:r>
      <w:r>
        <w:rPr>
          <w:bCs/>
          <w:color w:val="auto"/>
        </w:rPr>
        <w:t>实验室</w:t>
      </w:r>
      <w:r>
        <w:rPr>
          <w:rFonts w:hint="eastAsia"/>
          <w:bCs/>
          <w:color w:val="auto"/>
        </w:rPr>
        <w:t>自行监测数据</w:t>
      </w:r>
      <w:r>
        <w:rPr>
          <w:bCs/>
          <w:color w:val="auto"/>
        </w:rPr>
        <w:t>和《畜禽养殖废水达标处理新工艺》（朱杰、黄涛编著）确定本项目猪场污水的污染物浓度</w:t>
      </w:r>
      <w:r>
        <w:rPr>
          <w:color w:val="auto"/>
        </w:rPr>
        <w:t>，养殖废水水质为</w:t>
      </w:r>
      <w:r>
        <w:rPr>
          <w:bCs/>
          <w:color w:val="auto"/>
        </w:rPr>
        <w:t>COD19500mg/L、BOD8000mg/L、SS16000mg/L、NH</w:t>
      </w:r>
      <w:r>
        <w:rPr>
          <w:bCs/>
          <w:color w:val="auto"/>
          <w:vertAlign w:val="subscript"/>
        </w:rPr>
        <w:t>3</w:t>
      </w:r>
      <w:r>
        <w:rPr>
          <w:bCs/>
          <w:color w:val="auto"/>
        </w:rPr>
        <w:t>-N1200mg/L。</w:t>
      </w:r>
    </w:p>
    <w:p>
      <w:pPr>
        <w:ind w:firstLine="480"/>
        <w:rPr>
          <w:bCs/>
          <w:color w:val="auto"/>
        </w:rPr>
      </w:pPr>
      <w:r>
        <w:rPr>
          <w:color w:val="auto"/>
        </w:rPr>
        <w:t>（3）污水处理工艺及废水排放情况</w:t>
      </w:r>
    </w:p>
    <w:p>
      <w:pPr>
        <w:ind w:firstLine="480"/>
        <w:rPr>
          <w:bCs/>
          <w:color w:val="auto"/>
        </w:rPr>
      </w:pPr>
      <w:r>
        <w:rPr>
          <w:bCs/>
          <w:color w:val="auto"/>
        </w:rPr>
        <w:t>本项目采取“干清粪、黑膜沼气池、沼气沼液综合利用”处理工艺，养殖废水和生活污水进入黑膜沼气池进行3</w:t>
      </w:r>
      <w:r>
        <w:rPr>
          <w:rFonts w:hint="eastAsia"/>
          <w:bCs/>
          <w:color w:val="auto"/>
        </w:rPr>
        <w:t>0</w:t>
      </w:r>
      <w:r>
        <w:rPr>
          <w:bCs/>
          <w:color w:val="auto"/>
        </w:rPr>
        <w:t>d厌氧发酵处理。</w:t>
      </w:r>
      <w:r>
        <w:rPr>
          <w:rFonts w:hint="eastAsia"/>
          <w:bCs/>
          <w:color w:val="auto"/>
        </w:rPr>
        <w:t>类比《福建莆田鸿达牧业有限公司鸿达养殖小区（西区）环保验收调查项目竣工环境保护验收监测报告》对黑膜沼气池前废水污染物浓度的实际监测及《太康牧原农牧有限公司太康十八场生猪养殖项目环境影响报告书》（批复文号：周环审【</w:t>
      </w:r>
      <w:r>
        <w:rPr>
          <w:bCs/>
          <w:color w:val="auto"/>
        </w:rPr>
        <w:t>2016</w:t>
      </w:r>
      <w:r>
        <w:rPr>
          <w:rFonts w:hint="eastAsia"/>
          <w:bCs/>
          <w:color w:val="auto"/>
        </w:rPr>
        <w:t>】</w:t>
      </w:r>
      <w:r>
        <w:rPr>
          <w:bCs/>
          <w:color w:val="auto"/>
        </w:rPr>
        <w:t>188</w:t>
      </w:r>
      <w:r>
        <w:rPr>
          <w:rFonts w:hint="eastAsia"/>
          <w:bCs/>
          <w:color w:val="auto"/>
        </w:rPr>
        <w:t>号），结合监测数据和</w:t>
      </w:r>
      <w:r>
        <w:rPr>
          <w:bCs/>
          <w:color w:val="auto"/>
        </w:rPr>
        <w:t>《畜禽养殖废水达标处理新工艺》（朱杰、黄涛编著）</w:t>
      </w:r>
      <w:r>
        <w:rPr>
          <w:rFonts w:hint="eastAsia"/>
          <w:bCs/>
          <w:color w:val="auto"/>
        </w:rPr>
        <w:t>，</w:t>
      </w:r>
      <w:r>
        <w:rPr>
          <w:bCs/>
          <w:color w:val="auto"/>
        </w:rPr>
        <w:t>确定本项目猪场污水的污染物浓度。本项目废水主要污染物产生及排放情况见表3.3-</w:t>
      </w:r>
      <w:r>
        <w:rPr>
          <w:rFonts w:hint="eastAsia"/>
          <w:bCs/>
          <w:color w:val="auto"/>
        </w:rPr>
        <w:t>8</w:t>
      </w:r>
      <w:r>
        <w:rPr>
          <w:bCs/>
          <w:color w:val="auto"/>
        </w:rPr>
        <w:t>。</w:t>
      </w:r>
    </w:p>
    <w:p>
      <w:pPr>
        <w:spacing w:after="154" w:afterLines="30"/>
        <w:ind w:firstLine="482"/>
        <w:jc w:val="left"/>
        <w:rPr>
          <w:b/>
          <w:color w:val="auto"/>
          <w:szCs w:val="21"/>
        </w:rPr>
      </w:pPr>
      <w:r>
        <w:rPr>
          <w:b/>
          <w:color w:val="auto"/>
          <w:szCs w:val="21"/>
        </w:rPr>
        <w:t>表3.3-</w:t>
      </w:r>
      <w:r>
        <w:rPr>
          <w:rFonts w:hint="eastAsia"/>
          <w:b/>
          <w:color w:val="auto"/>
          <w:szCs w:val="21"/>
        </w:rPr>
        <w:t>8</w:t>
      </w:r>
      <w:r>
        <w:rPr>
          <w:b/>
          <w:color w:val="auto"/>
          <w:szCs w:val="21"/>
        </w:rPr>
        <w:t xml:space="preserve">                 工程废水主要污染物产生及排放情况一览表</w:t>
      </w:r>
    </w:p>
    <w:tbl>
      <w:tblPr>
        <w:tblStyle w:val="27"/>
        <w:tblW w:w="5000" w:type="pct"/>
        <w:jc w:val="center"/>
        <w:tblBorders>
          <w:top w:val="single" w:color="auto" w:sz="2" w:space="0"/>
          <w:left w:val="none" w:color="auto" w:sz="0" w:space="0"/>
          <w:bottom w:val="single" w:color="auto" w:sz="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431"/>
        <w:gridCol w:w="1140"/>
        <w:gridCol w:w="1139"/>
        <w:gridCol w:w="1286"/>
        <w:gridCol w:w="1137"/>
        <w:gridCol w:w="1599"/>
        <w:gridCol w:w="1226"/>
      </w:tblGrid>
      <w:tr>
        <w:tblPrEx>
          <w:tblBorders>
            <w:top w:val="single" w:color="auto" w:sz="2" w:space="0"/>
            <w:left w:val="none" w:color="auto" w:sz="0" w:space="0"/>
            <w:bottom w:val="sing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798" w:type="pct"/>
            <w:tcMar>
              <w:left w:w="0" w:type="dxa"/>
              <w:right w:w="0" w:type="dxa"/>
            </w:tcMar>
            <w:vAlign w:val="center"/>
          </w:tcPr>
          <w:p>
            <w:pPr>
              <w:spacing w:line="240" w:lineRule="auto"/>
              <w:ind w:firstLine="0" w:firstLineChars="0"/>
              <w:jc w:val="center"/>
              <w:rPr>
                <w:b/>
                <w:color w:val="auto"/>
                <w:sz w:val="21"/>
                <w:szCs w:val="21"/>
              </w:rPr>
            </w:pPr>
            <w:bookmarkStart w:id="369" w:name="_Toc269400718"/>
            <w:bookmarkStart w:id="370" w:name="_Toc407001410"/>
            <w:bookmarkStart w:id="371" w:name="_Toc311979863"/>
            <w:bookmarkStart w:id="372" w:name="_Toc311979931"/>
            <w:bookmarkStart w:id="373" w:name="_Toc388881918"/>
            <w:bookmarkStart w:id="374" w:name="_Toc311979818"/>
            <w:bookmarkStart w:id="375" w:name="_Toc413166137"/>
            <w:bookmarkStart w:id="376" w:name="_Toc406847417"/>
            <w:r>
              <w:rPr>
                <w:b/>
                <w:color w:val="auto"/>
                <w:sz w:val="21"/>
                <w:szCs w:val="21"/>
              </w:rPr>
              <w:t>污染源</w:t>
            </w:r>
          </w:p>
        </w:tc>
        <w:tc>
          <w:tcPr>
            <w:tcW w:w="636" w:type="pct"/>
            <w:vAlign w:val="center"/>
          </w:tcPr>
          <w:p>
            <w:pPr>
              <w:spacing w:line="240" w:lineRule="auto"/>
              <w:ind w:firstLine="0" w:firstLineChars="0"/>
              <w:jc w:val="center"/>
              <w:rPr>
                <w:b/>
                <w:color w:val="auto"/>
                <w:sz w:val="21"/>
                <w:szCs w:val="21"/>
              </w:rPr>
            </w:pPr>
            <w:r>
              <w:rPr>
                <w:b/>
                <w:color w:val="auto"/>
                <w:sz w:val="21"/>
                <w:szCs w:val="21"/>
              </w:rPr>
              <w:t>废水量（m</w:t>
            </w:r>
            <w:r>
              <w:rPr>
                <w:b/>
                <w:color w:val="auto"/>
                <w:sz w:val="21"/>
                <w:szCs w:val="21"/>
                <w:vertAlign w:val="superscript"/>
              </w:rPr>
              <w:t>3</w:t>
            </w:r>
            <w:r>
              <w:rPr>
                <w:b/>
                <w:color w:val="auto"/>
                <w:sz w:val="21"/>
                <w:szCs w:val="21"/>
              </w:rPr>
              <w:t>/a）</w:t>
            </w:r>
          </w:p>
        </w:tc>
        <w:tc>
          <w:tcPr>
            <w:tcW w:w="635" w:type="pct"/>
            <w:tcMar>
              <w:left w:w="0" w:type="dxa"/>
              <w:right w:w="0" w:type="dxa"/>
            </w:tcMar>
            <w:vAlign w:val="center"/>
          </w:tcPr>
          <w:p>
            <w:pPr>
              <w:spacing w:line="240" w:lineRule="auto"/>
              <w:ind w:firstLine="0" w:firstLineChars="0"/>
              <w:jc w:val="center"/>
              <w:rPr>
                <w:b/>
                <w:color w:val="auto"/>
                <w:sz w:val="21"/>
                <w:szCs w:val="21"/>
              </w:rPr>
            </w:pPr>
            <w:r>
              <w:rPr>
                <w:b/>
                <w:color w:val="auto"/>
                <w:sz w:val="21"/>
                <w:szCs w:val="21"/>
              </w:rPr>
              <w:t>污染因子</w:t>
            </w:r>
          </w:p>
        </w:tc>
        <w:tc>
          <w:tcPr>
            <w:tcW w:w="717" w:type="pct"/>
            <w:vAlign w:val="center"/>
          </w:tcPr>
          <w:p>
            <w:pPr>
              <w:spacing w:line="240" w:lineRule="auto"/>
              <w:ind w:firstLine="0" w:firstLineChars="0"/>
              <w:jc w:val="center"/>
              <w:rPr>
                <w:b/>
                <w:color w:val="auto"/>
                <w:sz w:val="21"/>
                <w:szCs w:val="21"/>
              </w:rPr>
            </w:pPr>
            <w:r>
              <w:rPr>
                <w:b/>
                <w:color w:val="auto"/>
                <w:sz w:val="21"/>
                <w:szCs w:val="21"/>
              </w:rPr>
              <w:t>浓度</w:t>
            </w:r>
          </w:p>
          <w:p>
            <w:pPr>
              <w:spacing w:line="240" w:lineRule="auto"/>
              <w:ind w:firstLine="0" w:firstLineChars="0"/>
              <w:jc w:val="center"/>
              <w:rPr>
                <w:b/>
                <w:color w:val="auto"/>
                <w:sz w:val="21"/>
                <w:szCs w:val="21"/>
              </w:rPr>
            </w:pPr>
            <w:r>
              <w:rPr>
                <w:b/>
                <w:color w:val="auto"/>
                <w:sz w:val="21"/>
                <w:szCs w:val="21"/>
              </w:rPr>
              <w:t>mg/L</w:t>
            </w:r>
          </w:p>
        </w:tc>
        <w:tc>
          <w:tcPr>
            <w:tcW w:w="634" w:type="pct"/>
            <w:tcMar>
              <w:left w:w="0" w:type="dxa"/>
              <w:right w:w="0" w:type="dxa"/>
            </w:tcMar>
            <w:vAlign w:val="center"/>
          </w:tcPr>
          <w:p>
            <w:pPr>
              <w:spacing w:line="240" w:lineRule="auto"/>
              <w:ind w:firstLine="0" w:firstLineChars="0"/>
              <w:jc w:val="center"/>
              <w:rPr>
                <w:b/>
                <w:color w:val="auto"/>
                <w:sz w:val="21"/>
                <w:szCs w:val="21"/>
              </w:rPr>
            </w:pPr>
            <w:r>
              <w:rPr>
                <w:b/>
                <w:color w:val="auto"/>
                <w:sz w:val="21"/>
                <w:szCs w:val="21"/>
              </w:rPr>
              <w:t>产生量</w:t>
            </w:r>
          </w:p>
          <w:p>
            <w:pPr>
              <w:spacing w:line="240" w:lineRule="auto"/>
              <w:ind w:firstLine="0" w:firstLineChars="0"/>
              <w:jc w:val="center"/>
              <w:rPr>
                <w:b/>
                <w:color w:val="auto"/>
                <w:sz w:val="21"/>
                <w:szCs w:val="21"/>
              </w:rPr>
            </w:pPr>
            <w:r>
              <w:rPr>
                <w:b/>
                <w:color w:val="auto"/>
                <w:sz w:val="21"/>
                <w:szCs w:val="21"/>
              </w:rPr>
              <w:t>t/a</w:t>
            </w:r>
          </w:p>
        </w:tc>
        <w:tc>
          <w:tcPr>
            <w:tcW w:w="892" w:type="pct"/>
            <w:vAlign w:val="center"/>
          </w:tcPr>
          <w:p>
            <w:pPr>
              <w:spacing w:line="240" w:lineRule="auto"/>
              <w:ind w:firstLine="0" w:firstLineChars="0"/>
              <w:jc w:val="center"/>
              <w:rPr>
                <w:b/>
                <w:color w:val="auto"/>
                <w:sz w:val="21"/>
                <w:szCs w:val="21"/>
              </w:rPr>
            </w:pPr>
            <w:r>
              <w:rPr>
                <w:b/>
                <w:color w:val="auto"/>
                <w:sz w:val="21"/>
                <w:szCs w:val="21"/>
              </w:rPr>
              <w:t>处理措施及效率</w:t>
            </w:r>
          </w:p>
        </w:tc>
        <w:tc>
          <w:tcPr>
            <w:tcW w:w="684" w:type="pct"/>
            <w:tcMar>
              <w:left w:w="0" w:type="dxa"/>
              <w:right w:w="0" w:type="dxa"/>
            </w:tcMar>
            <w:vAlign w:val="center"/>
          </w:tcPr>
          <w:p>
            <w:pPr>
              <w:spacing w:line="240" w:lineRule="auto"/>
              <w:ind w:firstLine="0" w:firstLineChars="0"/>
              <w:jc w:val="center"/>
              <w:rPr>
                <w:b/>
                <w:color w:val="auto"/>
                <w:sz w:val="21"/>
                <w:szCs w:val="21"/>
              </w:rPr>
            </w:pPr>
            <w:r>
              <w:rPr>
                <w:b/>
                <w:color w:val="auto"/>
                <w:sz w:val="21"/>
                <w:szCs w:val="21"/>
              </w:rPr>
              <w:t>去向</w:t>
            </w:r>
          </w:p>
        </w:tc>
      </w:tr>
      <w:tr>
        <w:tblPrEx>
          <w:tblBorders>
            <w:top w:val="single" w:color="auto" w:sz="2" w:space="0"/>
            <w:left w:val="none" w:color="auto" w:sz="0" w:space="0"/>
            <w:bottom w:val="sing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4" w:hRule="atLeast"/>
          <w:jc w:val="center"/>
        </w:trPr>
        <w:tc>
          <w:tcPr>
            <w:tcW w:w="798" w:type="pct"/>
            <w:vMerge w:val="restart"/>
            <w:tcMar>
              <w:left w:w="0" w:type="dxa"/>
              <w:right w:w="0" w:type="dxa"/>
            </w:tcMar>
            <w:vAlign w:val="center"/>
          </w:tcPr>
          <w:p>
            <w:pPr>
              <w:spacing w:line="240" w:lineRule="auto"/>
              <w:ind w:firstLine="0" w:firstLineChars="0"/>
              <w:jc w:val="center"/>
              <w:rPr>
                <w:bCs/>
                <w:color w:val="auto"/>
                <w:sz w:val="21"/>
                <w:szCs w:val="21"/>
              </w:rPr>
            </w:pPr>
            <w:r>
              <w:rPr>
                <w:bCs/>
                <w:color w:val="auto"/>
                <w:sz w:val="21"/>
                <w:szCs w:val="21"/>
              </w:rPr>
              <w:t>养殖废水</w:t>
            </w:r>
          </w:p>
          <w:p>
            <w:pPr>
              <w:spacing w:line="240" w:lineRule="auto"/>
              <w:ind w:firstLine="0" w:firstLineChars="0"/>
              <w:jc w:val="center"/>
              <w:rPr>
                <w:bCs/>
                <w:color w:val="auto"/>
                <w:sz w:val="21"/>
                <w:szCs w:val="21"/>
              </w:rPr>
            </w:pPr>
            <w:r>
              <w:rPr>
                <w:bCs/>
                <w:color w:val="auto"/>
                <w:sz w:val="21"/>
                <w:szCs w:val="21"/>
              </w:rPr>
              <w:t>（尿液、猪舍冲洗废水、水帘废水等）</w:t>
            </w:r>
          </w:p>
        </w:tc>
        <w:tc>
          <w:tcPr>
            <w:tcW w:w="636" w:type="pct"/>
            <w:vMerge w:val="restart"/>
            <w:vAlign w:val="center"/>
          </w:tcPr>
          <w:p>
            <w:pPr>
              <w:spacing w:line="240" w:lineRule="auto"/>
              <w:ind w:firstLine="0" w:firstLineChars="0"/>
              <w:jc w:val="center"/>
              <w:rPr>
                <w:bCs/>
                <w:color w:val="auto"/>
                <w:sz w:val="21"/>
                <w:szCs w:val="21"/>
              </w:rPr>
            </w:pPr>
            <w:r>
              <w:rPr>
                <w:rFonts w:hint="eastAsia"/>
                <w:bCs/>
                <w:color w:val="auto"/>
                <w:sz w:val="21"/>
                <w:szCs w:val="21"/>
              </w:rPr>
              <w:t>46710.145</w:t>
            </w:r>
          </w:p>
        </w:tc>
        <w:tc>
          <w:tcPr>
            <w:tcW w:w="635" w:type="pct"/>
            <w:tcMar>
              <w:left w:w="0" w:type="dxa"/>
              <w:right w:w="0" w:type="dxa"/>
            </w:tcMar>
            <w:vAlign w:val="center"/>
          </w:tcPr>
          <w:p>
            <w:pPr>
              <w:spacing w:line="240" w:lineRule="auto"/>
              <w:ind w:firstLine="0" w:firstLineChars="0"/>
              <w:jc w:val="center"/>
              <w:rPr>
                <w:bCs/>
                <w:color w:val="auto"/>
                <w:sz w:val="21"/>
                <w:szCs w:val="21"/>
              </w:rPr>
            </w:pPr>
            <w:r>
              <w:rPr>
                <w:bCs/>
                <w:color w:val="auto"/>
                <w:sz w:val="21"/>
                <w:szCs w:val="21"/>
              </w:rPr>
              <w:t>COD</w:t>
            </w:r>
          </w:p>
        </w:tc>
        <w:tc>
          <w:tcPr>
            <w:tcW w:w="717" w:type="pct"/>
            <w:vAlign w:val="center"/>
          </w:tcPr>
          <w:p>
            <w:pPr>
              <w:spacing w:line="240" w:lineRule="auto"/>
              <w:ind w:firstLine="0" w:firstLineChars="0"/>
              <w:jc w:val="center"/>
              <w:rPr>
                <w:bCs/>
                <w:color w:val="auto"/>
                <w:sz w:val="21"/>
                <w:szCs w:val="21"/>
              </w:rPr>
            </w:pPr>
            <w:r>
              <w:rPr>
                <w:bCs/>
                <w:color w:val="auto"/>
                <w:sz w:val="21"/>
                <w:szCs w:val="21"/>
              </w:rPr>
              <w:t>19500</w:t>
            </w:r>
          </w:p>
        </w:tc>
        <w:tc>
          <w:tcPr>
            <w:tcW w:w="634" w:type="pct"/>
            <w:tcMar>
              <w:left w:w="0" w:type="dxa"/>
              <w:right w:w="0" w:type="dxa"/>
            </w:tcMar>
            <w:vAlign w:val="center"/>
          </w:tcPr>
          <w:p>
            <w:pPr>
              <w:spacing w:line="240" w:lineRule="auto"/>
              <w:ind w:firstLine="0" w:firstLineChars="0"/>
              <w:jc w:val="center"/>
              <w:rPr>
                <w:bCs/>
                <w:color w:val="auto"/>
                <w:sz w:val="21"/>
                <w:szCs w:val="21"/>
              </w:rPr>
            </w:pPr>
            <w:r>
              <w:rPr>
                <w:rFonts w:hint="eastAsia"/>
                <w:bCs/>
                <w:color w:val="auto"/>
                <w:sz w:val="21"/>
                <w:szCs w:val="21"/>
              </w:rPr>
              <w:t xml:space="preserve">910.848 </w:t>
            </w:r>
          </w:p>
        </w:tc>
        <w:tc>
          <w:tcPr>
            <w:tcW w:w="892" w:type="pct"/>
            <w:vMerge w:val="restart"/>
            <w:vAlign w:val="center"/>
          </w:tcPr>
          <w:p>
            <w:pPr>
              <w:spacing w:line="240" w:lineRule="auto"/>
              <w:ind w:firstLine="0" w:firstLineChars="0"/>
              <w:jc w:val="center"/>
              <w:rPr>
                <w:bCs/>
                <w:color w:val="auto"/>
                <w:sz w:val="21"/>
                <w:szCs w:val="21"/>
              </w:rPr>
            </w:pPr>
            <w:r>
              <w:rPr>
                <w:bCs/>
                <w:color w:val="auto"/>
                <w:sz w:val="21"/>
                <w:szCs w:val="21"/>
              </w:rPr>
              <w:t>采用“固液分离+黑膜沼气池厌氧处理”工艺，废水猪粪带走</w:t>
            </w:r>
            <w:r>
              <w:rPr>
                <w:rFonts w:hint="eastAsia"/>
                <w:bCs/>
                <w:color w:val="auto"/>
                <w:sz w:val="21"/>
                <w:szCs w:val="21"/>
              </w:rPr>
              <w:t>1016.89</w:t>
            </w:r>
            <w:r>
              <w:rPr>
                <w:bCs/>
                <w:color w:val="auto"/>
                <w:sz w:val="21"/>
                <w:szCs w:val="21"/>
              </w:rPr>
              <w:t>m</w:t>
            </w:r>
            <w:r>
              <w:rPr>
                <w:bCs/>
                <w:color w:val="auto"/>
                <w:sz w:val="21"/>
                <w:szCs w:val="21"/>
                <w:vertAlign w:val="superscript"/>
              </w:rPr>
              <w:t>3</w:t>
            </w:r>
            <w:r>
              <w:rPr>
                <w:bCs/>
                <w:color w:val="auto"/>
                <w:sz w:val="21"/>
                <w:szCs w:val="21"/>
              </w:rPr>
              <w:t>/a</w:t>
            </w:r>
            <w:r>
              <w:rPr>
                <w:rFonts w:hint="eastAsia"/>
                <w:bCs/>
                <w:color w:val="auto"/>
                <w:sz w:val="21"/>
                <w:szCs w:val="21"/>
              </w:rPr>
              <w:t>、</w:t>
            </w:r>
            <w:r>
              <w:rPr>
                <w:bCs/>
                <w:color w:val="auto"/>
                <w:sz w:val="21"/>
                <w:szCs w:val="21"/>
              </w:rPr>
              <w:t>沼渣带走</w:t>
            </w:r>
            <w:r>
              <w:rPr>
                <w:rFonts w:hint="eastAsia"/>
                <w:bCs/>
                <w:color w:val="auto"/>
                <w:sz w:val="21"/>
                <w:szCs w:val="21"/>
              </w:rPr>
              <w:t>1091.35</w:t>
            </w:r>
            <w:r>
              <w:rPr>
                <w:bCs/>
                <w:color w:val="auto"/>
                <w:sz w:val="21"/>
                <w:szCs w:val="21"/>
              </w:rPr>
              <w:t>m</w:t>
            </w:r>
            <w:r>
              <w:rPr>
                <w:bCs/>
                <w:color w:val="auto"/>
                <w:sz w:val="21"/>
                <w:szCs w:val="21"/>
                <w:vertAlign w:val="superscript"/>
              </w:rPr>
              <w:t>3</w:t>
            </w:r>
            <w:r>
              <w:rPr>
                <w:bCs/>
                <w:color w:val="auto"/>
                <w:sz w:val="21"/>
                <w:szCs w:val="21"/>
              </w:rPr>
              <w:t>/a；</w:t>
            </w:r>
          </w:p>
          <w:p>
            <w:pPr>
              <w:spacing w:line="240" w:lineRule="auto"/>
              <w:ind w:firstLine="0" w:firstLineChars="0"/>
              <w:jc w:val="center"/>
              <w:rPr>
                <w:bCs/>
                <w:color w:val="auto"/>
                <w:sz w:val="21"/>
                <w:szCs w:val="21"/>
              </w:rPr>
            </w:pPr>
            <w:r>
              <w:rPr>
                <w:bCs/>
                <w:color w:val="auto"/>
                <w:sz w:val="21"/>
                <w:szCs w:val="21"/>
              </w:rPr>
              <w:t>各污染物去除效率：</w:t>
            </w:r>
          </w:p>
          <w:p>
            <w:pPr>
              <w:spacing w:line="240" w:lineRule="auto"/>
              <w:ind w:firstLine="0" w:firstLineChars="0"/>
              <w:jc w:val="center"/>
              <w:rPr>
                <w:bCs/>
                <w:color w:val="auto"/>
                <w:sz w:val="21"/>
                <w:szCs w:val="21"/>
              </w:rPr>
            </w:pPr>
            <w:r>
              <w:rPr>
                <w:bCs/>
                <w:color w:val="auto"/>
                <w:sz w:val="21"/>
                <w:szCs w:val="21"/>
              </w:rPr>
              <w:t>COD</w:t>
            </w:r>
            <w:r>
              <w:rPr>
                <w:rFonts w:hint="eastAsia"/>
                <w:bCs/>
                <w:color w:val="auto"/>
                <w:sz w:val="21"/>
                <w:szCs w:val="21"/>
              </w:rPr>
              <w:t>84.</w:t>
            </w:r>
            <w:r>
              <w:rPr>
                <w:bCs/>
                <w:color w:val="auto"/>
                <w:sz w:val="21"/>
                <w:szCs w:val="21"/>
              </w:rPr>
              <w:t>3%、</w:t>
            </w:r>
          </w:p>
          <w:p>
            <w:pPr>
              <w:spacing w:line="240" w:lineRule="auto"/>
              <w:ind w:firstLine="0" w:firstLineChars="0"/>
              <w:jc w:val="center"/>
              <w:rPr>
                <w:bCs/>
                <w:color w:val="auto"/>
                <w:sz w:val="21"/>
                <w:szCs w:val="21"/>
              </w:rPr>
            </w:pPr>
            <w:r>
              <w:rPr>
                <w:bCs/>
                <w:color w:val="auto"/>
                <w:sz w:val="21"/>
                <w:szCs w:val="21"/>
              </w:rPr>
              <w:t>BOD5</w:t>
            </w:r>
            <w:r>
              <w:rPr>
                <w:rFonts w:hint="eastAsia"/>
                <w:bCs/>
                <w:color w:val="auto"/>
                <w:sz w:val="21"/>
                <w:szCs w:val="21"/>
              </w:rPr>
              <w:t>82.</w:t>
            </w:r>
            <w:r>
              <w:rPr>
                <w:bCs/>
                <w:color w:val="auto"/>
                <w:sz w:val="21"/>
                <w:szCs w:val="21"/>
              </w:rPr>
              <w:t>2%、</w:t>
            </w:r>
          </w:p>
          <w:p>
            <w:pPr>
              <w:spacing w:line="240" w:lineRule="auto"/>
              <w:ind w:firstLine="0" w:firstLineChars="0"/>
              <w:jc w:val="center"/>
              <w:rPr>
                <w:bCs/>
                <w:color w:val="auto"/>
                <w:sz w:val="21"/>
                <w:szCs w:val="21"/>
              </w:rPr>
            </w:pPr>
            <w:r>
              <w:rPr>
                <w:bCs/>
                <w:color w:val="auto"/>
                <w:sz w:val="21"/>
                <w:szCs w:val="21"/>
              </w:rPr>
              <w:t xml:space="preserve">SS </w:t>
            </w:r>
            <w:r>
              <w:rPr>
                <w:rFonts w:hint="eastAsia"/>
                <w:bCs/>
                <w:color w:val="auto"/>
                <w:sz w:val="21"/>
                <w:szCs w:val="21"/>
              </w:rPr>
              <w:t>87.</w:t>
            </w:r>
            <w:r>
              <w:rPr>
                <w:bCs/>
                <w:color w:val="auto"/>
                <w:sz w:val="21"/>
                <w:szCs w:val="21"/>
              </w:rPr>
              <w:t>3%、</w:t>
            </w:r>
          </w:p>
          <w:p>
            <w:pPr>
              <w:spacing w:line="240" w:lineRule="auto"/>
              <w:ind w:firstLine="0" w:firstLineChars="0"/>
              <w:jc w:val="center"/>
              <w:rPr>
                <w:bCs/>
                <w:color w:val="auto"/>
                <w:sz w:val="21"/>
                <w:szCs w:val="21"/>
              </w:rPr>
            </w:pPr>
            <w:r>
              <w:rPr>
                <w:bCs/>
                <w:color w:val="auto"/>
                <w:sz w:val="21"/>
                <w:szCs w:val="21"/>
              </w:rPr>
              <w:t>NH3-N</w:t>
            </w:r>
            <w:r>
              <w:rPr>
                <w:rFonts w:hint="eastAsia"/>
                <w:bCs/>
                <w:color w:val="auto"/>
                <w:sz w:val="21"/>
                <w:szCs w:val="21"/>
              </w:rPr>
              <w:t>2</w:t>
            </w:r>
            <w:r>
              <w:rPr>
                <w:bCs/>
                <w:color w:val="auto"/>
                <w:sz w:val="21"/>
                <w:szCs w:val="21"/>
              </w:rPr>
              <w:t>3.7%</w:t>
            </w:r>
            <w:r>
              <w:rPr>
                <w:rFonts w:hint="eastAsia"/>
                <w:bCs/>
                <w:color w:val="auto"/>
                <w:sz w:val="21"/>
                <w:szCs w:val="21"/>
              </w:rPr>
              <w:t>、TP2</w:t>
            </w:r>
            <w:r>
              <w:rPr>
                <w:bCs/>
                <w:color w:val="auto"/>
                <w:sz w:val="21"/>
                <w:szCs w:val="21"/>
              </w:rPr>
              <w:t>2.</w:t>
            </w:r>
            <w:r>
              <w:rPr>
                <w:rFonts w:hint="eastAsia"/>
                <w:bCs/>
                <w:color w:val="auto"/>
                <w:sz w:val="21"/>
                <w:szCs w:val="21"/>
              </w:rPr>
              <w:t>4%</w:t>
            </w:r>
          </w:p>
        </w:tc>
        <w:tc>
          <w:tcPr>
            <w:tcW w:w="684" w:type="pct"/>
            <w:vMerge w:val="restart"/>
            <w:tcMar>
              <w:left w:w="0" w:type="dxa"/>
              <w:right w:w="0" w:type="dxa"/>
            </w:tcMar>
            <w:vAlign w:val="center"/>
          </w:tcPr>
          <w:p>
            <w:pPr>
              <w:spacing w:line="240" w:lineRule="auto"/>
              <w:ind w:firstLine="0" w:firstLineChars="0"/>
              <w:jc w:val="center"/>
              <w:rPr>
                <w:bCs/>
                <w:color w:val="auto"/>
                <w:sz w:val="21"/>
                <w:szCs w:val="21"/>
              </w:rPr>
            </w:pPr>
            <w:r>
              <w:rPr>
                <w:bCs/>
                <w:color w:val="auto"/>
                <w:sz w:val="21"/>
                <w:szCs w:val="21"/>
              </w:rPr>
              <w:t>施肥季节做农肥，非耕作期由沼液暂存池暂时贮存，不外排</w:t>
            </w:r>
          </w:p>
        </w:tc>
      </w:tr>
      <w:tr>
        <w:tblPrEx>
          <w:tblBorders>
            <w:top w:val="single" w:color="auto" w:sz="2" w:space="0"/>
            <w:left w:val="none" w:color="auto" w:sz="0" w:space="0"/>
            <w:bottom w:val="sing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4" w:hRule="atLeast"/>
          <w:jc w:val="center"/>
        </w:trPr>
        <w:tc>
          <w:tcPr>
            <w:tcW w:w="798" w:type="pct"/>
            <w:vMerge w:val="continue"/>
            <w:tcMar>
              <w:left w:w="0" w:type="dxa"/>
              <w:right w:w="0" w:type="dxa"/>
            </w:tcMar>
            <w:vAlign w:val="center"/>
          </w:tcPr>
          <w:p>
            <w:pPr>
              <w:spacing w:line="240" w:lineRule="auto"/>
              <w:ind w:firstLine="0" w:firstLineChars="0"/>
              <w:jc w:val="center"/>
              <w:rPr>
                <w:bCs/>
                <w:color w:val="auto"/>
                <w:sz w:val="21"/>
                <w:szCs w:val="21"/>
              </w:rPr>
            </w:pPr>
          </w:p>
        </w:tc>
        <w:tc>
          <w:tcPr>
            <w:tcW w:w="636" w:type="pct"/>
            <w:vMerge w:val="continue"/>
            <w:vAlign w:val="center"/>
          </w:tcPr>
          <w:p>
            <w:pPr>
              <w:spacing w:line="240" w:lineRule="auto"/>
              <w:ind w:firstLine="0" w:firstLineChars="0"/>
              <w:jc w:val="center"/>
              <w:rPr>
                <w:bCs/>
                <w:color w:val="auto"/>
                <w:sz w:val="21"/>
                <w:szCs w:val="21"/>
              </w:rPr>
            </w:pPr>
          </w:p>
        </w:tc>
        <w:tc>
          <w:tcPr>
            <w:tcW w:w="635" w:type="pct"/>
            <w:tcMar>
              <w:left w:w="0" w:type="dxa"/>
              <w:right w:w="0" w:type="dxa"/>
            </w:tcMar>
            <w:vAlign w:val="center"/>
          </w:tcPr>
          <w:p>
            <w:pPr>
              <w:spacing w:line="240" w:lineRule="auto"/>
              <w:ind w:firstLine="0" w:firstLineChars="0"/>
              <w:jc w:val="center"/>
              <w:rPr>
                <w:bCs/>
                <w:color w:val="auto"/>
                <w:sz w:val="21"/>
                <w:szCs w:val="21"/>
              </w:rPr>
            </w:pPr>
            <w:r>
              <w:rPr>
                <w:bCs/>
                <w:color w:val="auto"/>
                <w:sz w:val="21"/>
                <w:szCs w:val="21"/>
              </w:rPr>
              <w:t>BOD5</w:t>
            </w:r>
          </w:p>
        </w:tc>
        <w:tc>
          <w:tcPr>
            <w:tcW w:w="717" w:type="pct"/>
            <w:vAlign w:val="center"/>
          </w:tcPr>
          <w:p>
            <w:pPr>
              <w:spacing w:line="240" w:lineRule="auto"/>
              <w:ind w:firstLine="0" w:firstLineChars="0"/>
              <w:jc w:val="center"/>
              <w:rPr>
                <w:bCs/>
                <w:color w:val="auto"/>
                <w:sz w:val="21"/>
                <w:szCs w:val="21"/>
              </w:rPr>
            </w:pPr>
            <w:r>
              <w:rPr>
                <w:bCs/>
                <w:color w:val="auto"/>
                <w:sz w:val="21"/>
                <w:szCs w:val="21"/>
              </w:rPr>
              <w:t>8000</w:t>
            </w:r>
          </w:p>
        </w:tc>
        <w:tc>
          <w:tcPr>
            <w:tcW w:w="634" w:type="pct"/>
            <w:tcMar>
              <w:left w:w="0" w:type="dxa"/>
              <w:right w:w="0" w:type="dxa"/>
            </w:tcMar>
            <w:vAlign w:val="center"/>
          </w:tcPr>
          <w:p>
            <w:pPr>
              <w:spacing w:line="240" w:lineRule="auto"/>
              <w:ind w:firstLine="0" w:firstLineChars="0"/>
              <w:jc w:val="center"/>
              <w:rPr>
                <w:bCs/>
                <w:color w:val="auto"/>
                <w:sz w:val="21"/>
                <w:szCs w:val="21"/>
              </w:rPr>
            </w:pPr>
            <w:r>
              <w:rPr>
                <w:rFonts w:hint="eastAsia"/>
                <w:bCs/>
                <w:color w:val="auto"/>
                <w:sz w:val="21"/>
                <w:szCs w:val="21"/>
              </w:rPr>
              <w:t xml:space="preserve">373.681 </w:t>
            </w:r>
          </w:p>
        </w:tc>
        <w:tc>
          <w:tcPr>
            <w:tcW w:w="892" w:type="pct"/>
            <w:vMerge w:val="continue"/>
            <w:vAlign w:val="center"/>
          </w:tcPr>
          <w:p>
            <w:pPr>
              <w:ind w:firstLine="420"/>
              <w:jc w:val="center"/>
              <w:rPr>
                <w:bCs/>
                <w:color w:val="auto"/>
                <w:sz w:val="21"/>
                <w:szCs w:val="21"/>
                <w:u w:val="single"/>
              </w:rPr>
            </w:pPr>
          </w:p>
        </w:tc>
        <w:tc>
          <w:tcPr>
            <w:tcW w:w="684" w:type="pct"/>
            <w:vMerge w:val="continue"/>
            <w:tcMar>
              <w:left w:w="0" w:type="dxa"/>
              <w:right w:w="0" w:type="dxa"/>
            </w:tcMar>
            <w:vAlign w:val="center"/>
          </w:tcPr>
          <w:p>
            <w:pPr>
              <w:ind w:firstLine="420"/>
              <w:jc w:val="center"/>
              <w:rPr>
                <w:bCs/>
                <w:color w:val="auto"/>
                <w:sz w:val="21"/>
                <w:szCs w:val="21"/>
                <w:u w:val="single"/>
              </w:rPr>
            </w:pPr>
          </w:p>
        </w:tc>
      </w:tr>
      <w:tr>
        <w:tblPrEx>
          <w:tblBorders>
            <w:top w:val="single" w:color="auto" w:sz="2" w:space="0"/>
            <w:left w:val="none" w:color="auto" w:sz="0" w:space="0"/>
            <w:bottom w:val="sing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1" w:hRule="atLeast"/>
          <w:jc w:val="center"/>
        </w:trPr>
        <w:tc>
          <w:tcPr>
            <w:tcW w:w="798" w:type="pct"/>
            <w:vMerge w:val="continue"/>
            <w:tcMar>
              <w:left w:w="0" w:type="dxa"/>
              <w:right w:w="0" w:type="dxa"/>
            </w:tcMar>
            <w:vAlign w:val="center"/>
          </w:tcPr>
          <w:p>
            <w:pPr>
              <w:spacing w:line="240" w:lineRule="auto"/>
              <w:ind w:firstLine="0" w:firstLineChars="0"/>
              <w:jc w:val="center"/>
              <w:rPr>
                <w:bCs/>
                <w:color w:val="auto"/>
                <w:sz w:val="21"/>
                <w:szCs w:val="21"/>
              </w:rPr>
            </w:pPr>
          </w:p>
        </w:tc>
        <w:tc>
          <w:tcPr>
            <w:tcW w:w="636" w:type="pct"/>
            <w:vMerge w:val="continue"/>
            <w:vAlign w:val="center"/>
          </w:tcPr>
          <w:p>
            <w:pPr>
              <w:spacing w:line="240" w:lineRule="auto"/>
              <w:ind w:firstLine="0" w:firstLineChars="0"/>
              <w:jc w:val="center"/>
              <w:rPr>
                <w:bCs/>
                <w:color w:val="auto"/>
                <w:sz w:val="21"/>
                <w:szCs w:val="21"/>
              </w:rPr>
            </w:pPr>
          </w:p>
        </w:tc>
        <w:tc>
          <w:tcPr>
            <w:tcW w:w="635" w:type="pct"/>
            <w:tcMar>
              <w:left w:w="0" w:type="dxa"/>
              <w:right w:w="0" w:type="dxa"/>
            </w:tcMar>
            <w:vAlign w:val="center"/>
          </w:tcPr>
          <w:p>
            <w:pPr>
              <w:spacing w:line="240" w:lineRule="auto"/>
              <w:ind w:firstLine="0" w:firstLineChars="0"/>
              <w:jc w:val="center"/>
              <w:rPr>
                <w:bCs/>
                <w:color w:val="auto"/>
                <w:sz w:val="21"/>
                <w:szCs w:val="21"/>
              </w:rPr>
            </w:pPr>
            <w:r>
              <w:rPr>
                <w:bCs/>
                <w:color w:val="auto"/>
                <w:sz w:val="21"/>
                <w:szCs w:val="21"/>
              </w:rPr>
              <w:t>SS</w:t>
            </w:r>
          </w:p>
        </w:tc>
        <w:tc>
          <w:tcPr>
            <w:tcW w:w="717" w:type="pct"/>
            <w:vAlign w:val="center"/>
          </w:tcPr>
          <w:p>
            <w:pPr>
              <w:spacing w:line="240" w:lineRule="auto"/>
              <w:ind w:firstLine="0" w:firstLineChars="0"/>
              <w:jc w:val="center"/>
              <w:rPr>
                <w:bCs/>
                <w:color w:val="auto"/>
                <w:sz w:val="21"/>
                <w:szCs w:val="21"/>
              </w:rPr>
            </w:pPr>
            <w:r>
              <w:rPr>
                <w:bCs/>
                <w:color w:val="auto"/>
                <w:sz w:val="21"/>
                <w:szCs w:val="21"/>
              </w:rPr>
              <w:t>16000</w:t>
            </w:r>
          </w:p>
        </w:tc>
        <w:tc>
          <w:tcPr>
            <w:tcW w:w="634" w:type="pct"/>
            <w:tcMar>
              <w:left w:w="0" w:type="dxa"/>
              <w:right w:w="0" w:type="dxa"/>
            </w:tcMar>
            <w:vAlign w:val="center"/>
          </w:tcPr>
          <w:p>
            <w:pPr>
              <w:spacing w:line="240" w:lineRule="auto"/>
              <w:ind w:firstLine="0" w:firstLineChars="0"/>
              <w:jc w:val="center"/>
              <w:rPr>
                <w:bCs/>
                <w:color w:val="auto"/>
                <w:sz w:val="21"/>
                <w:szCs w:val="21"/>
              </w:rPr>
            </w:pPr>
            <w:r>
              <w:rPr>
                <w:rFonts w:hint="eastAsia"/>
                <w:bCs/>
                <w:color w:val="auto"/>
                <w:sz w:val="21"/>
                <w:szCs w:val="21"/>
              </w:rPr>
              <w:t xml:space="preserve">747.362 </w:t>
            </w:r>
          </w:p>
        </w:tc>
        <w:tc>
          <w:tcPr>
            <w:tcW w:w="892" w:type="pct"/>
            <w:vMerge w:val="continue"/>
            <w:vAlign w:val="center"/>
          </w:tcPr>
          <w:p>
            <w:pPr>
              <w:ind w:firstLine="420"/>
              <w:jc w:val="center"/>
              <w:rPr>
                <w:bCs/>
                <w:color w:val="auto"/>
                <w:sz w:val="21"/>
                <w:szCs w:val="21"/>
                <w:u w:val="single"/>
              </w:rPr>
            </w:pPr>
          </w:p>
        </w:tc>
        <w:tc>
          <w:tcPr>
            <w:tcW w:w="684" w:type="pct"/>
            <w:vMerge w:val="continue"/>
            <w:tcMar>
              <w:left w:w="0" w:type="dxa"/>
              <w:right w:w="0" w:type="dxa"/>
            </w:tcMar>
            <w:vAlign w:val="center"/>
          </w:tcPr>
          <w:p>
            <w:pPr>
              <w:ind w:firstLine="420"/>
              <w:jc w:val="center"/>
              <w:rPr>
                <w:bCs/>
                <w:color w:val="auto"/>
                <w:sz w:val="21"/>
                <w:szCs w:val="21"/>
                <w:u w:val="single"/>
              </w:rPr>
            </w:pPr>
          </w:p>
        </w:tc>
      </w:tr>
      <w:tr>
        <w:tblPrEx>
          <w:tblBorders>
            <w:top w:val="single" w:color="auto" w:sz="2" w:space="0"/>
            <w:left w:val="none" w:color="auto" w:sz="0" w:space="0"/>
            <w:bottom w:val="sing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1" w:hRule="atLeast"/>
          <w:jc w:val="center"/>
        </w:trPr>
        <w:tc>
          <w:tcPr>
            <w:tcW w:w="798" w:type="pct"/>
            <w:vMerge w:val="continue"/>
            <w:tcMar>
              <w:left w:w="0" w:type="dxa"/>
              <w:right w:w="0" w:type="dxa"/>
            </w:tcMar>
            <w:vAlign w:val="center"/>
          </w:tcPr>
          <w:p>
            <w:pPr>
              <w:spacing w:line="240" w:lineRule="auto"/>
              <w:ind w:firstLine="0" w:firstLineChars="0"/>
              <w:jc w:val="center"/>
              <w:rPr>
                <w:bCs/>
                <w:color w:val="auto"/>
                <w:sz w:val="21"/>
                <w:szCs w:val="21"/>
              </w:rPr>
            </w:pPr>
          </w:p>
        </w:tc>
        <w:tc>
          <w:tcPr>
            <w:tcW w:w="636" w:type="pct"/>
            <w:vMerge w:val="continue"/>
            <w:vAlign w:val="center"/>
          </w:tcPr>
          <w:p>
            <w:pPr>
              <w:spacing w:line="240" w:lineRule="auto"/>
              <w:ind w:firstLine="0" w:firstLineChars="0"/>
              <w:jc w:val="center"/>
              <w:rPr>
                <w:bCs/>
                <w:color w:val="auto"/>
                <w:sz w:val="21"/>
                <w:szCs w:val="21"/>
              </w:rPr>
            </w:pPr>
          </w:p>
        </w:tc>
        <w:tc>
          <w:tcPr>
            <w:tcW w:w="635" w:type="pct"/>
            <w:tcBorders>
              <w:bottom w:val="single" w:color="auto" w:sz="4" w:space="0"/>
            </w:tcBorders>
            <w:tcMar>
              <w:left w:w="0" w:type="dxa"/>
              <w:right w:w="0" w:type="dxa"/>
            </w:tcMar>
            <w:vAlign w:val="center"/>
          </w:tcPr>
          <w:p>
            <w:pPr>
              <w:spacing w:line="240" w:lineRule="auto"/>
              <w:ind w:firstLine="0" w:firstLineChars="0"/>
              <w:jc w:val="center"/>
              <w:rPr>
                <w:bCs/>
                <w:color w:val="auto"/>
                <w:sz w:val="21"/>
                <w:szCs w:val="21"/>
              </w:rPr>
            </w:pPr>
            <w:r>
              <w:rPr>
                <w:bCs/>
                <w:color w:val="auto"/>
                <w:sz w:val="21"/>
                <w:szCs w:val="21"/>
              </w:rPr>
              <w:t>NH3-N</w:t>
            </w:r>
          </w:p>
        </w:tc>
        <w:tc>
          <w:tcPr>
            <w:tcW w:w="717" w:type="pct"/>
            <w:tcBorders>
              <w:bottom w:val="single" w:color="auto" w:sz="4" w:space="0"/>
            </w:tcBorders>
            <w:vAlign w:val="center"/>
          </w:tcPr>
          <w:p>
            <w:pPr>
              <w:spacing w:line="240" w:lineRule="auto"/>
              <w:ind w:firstLine="0" w:firstLineChars="0"/>
              <w:jc w:val="center"/>
              <w:rPr>
                <w:bCs/>
                <w:color w:val="auto"/>
                <w:sz w:val="21"/>
                <w:szCs w:val="21"/>
              </w:rPr>
            </w:pPr>
            <w:r>
              <w:rPr>
                <w:bCs/>
                <w:color w:val="auto"/>
                <w:sz w:val="21"/>
                <w:szCs w:val="21"/>
              </w:rPr>
              <w:t>1200</w:t>
            </w:r>
          </w:p>
        </w:tc>
        <w:tc>
          <w:tcPr>
            <w:tcW w:w="634" w:type="pct"/>
            <w:tcBorders>
              <w:bottom w:val="single" w:color="auto" w:sz="4" w:space="0"/>
            </w:tcBorders>
            <w:tcMar>
              <w:left w:w="0" w:type="dxa"/>
              <w:right w:w="0" w:type="dxa"/>
            </w:tcMar>
            <w:vAlign w:val="center"/>
          </w:tcPr>
          <w:p>
            <w:pPr>
              <w:spacing w:line="240" w:lineRule="auto"/>
              <w:ind w:firstLine="0" w:firstLineChars="0"/>
              <w:jc w:val="center"/>
              <w:rPr>
                <w:bCs/>
                <w:color w:val="auto"/>
                <w:sz w:val="21"/>
                <w:szCs w:val="21"/>
              </w:rPr>
            </w:pPr>
            <w:r>
              <w:rPr>
                <w:rFonts w:hint="eastAsia"/>
                <w:bCs/>
                <w:color w:val="auto"/>
                <w:sz w:val="21"/>
                <w:szCs w:val="21"/>
              </w:rPr>
              <w:t xml:space="preserve">56.052 </w:t>
            </w:r>
          </w:p>
        </w:tc>
        <w:tc>
          <w:tcPr>
            <w:tcW w:w="892" w:type="pct"/>
            <w:vMerge w:val="continue"/>
            <w:vAlign w:val="center"/>
          </w:tcPr>
          <w:p>
            <w:pPr>
              <w:ind w:firstLine="420"/>
              <w:jc w:val="center"/>
              <w:rPr>
                <w:bCs/>
                <w:color w:val="auto"/>
                <w:sz w:val="21"/>
                <w:szCs w:val="21"/>
                <w:u w:val="single"/>
              </w:rPr>
            </w:pPr>
          </w:p>
        </w:tc>
        <w:tc>
          <w:tcPr>
            <w:tcW w:w="684" w:type="pct"/>
            <w:vMerge w:val="continue"/>
            <w:tcMar>
              <w:left w:w="0" w:type="dxa"/>
              <w:right w:w="0" w:type="dxa"/>
            </w:tcMar>
            <w:vAlign w:val="center"/>
          </w:tcPr>
          <w:p>
            <w:pPr>
              <w:ind w:firstLine="420"/>
              <w:jc w:val="center"/>
              <w:rPr>
                <w:bCs/>
                <w:color w:val="auto"/>
                <w:sz w:val="21"/>
                <w:szCs w:val="21"/>
                <w:u w:val="single"/>
              </w:rPr>
            </w:pPr>
          </w:p>
        </w:tc>
      </w:tr>
      <w:tr>
        <w:tblPrEx>
          <w:tblBorders>
            <w:top w:val="single" w:color="auto" w:sz="2" w:space="0"/>
            <w:left w:val="none" w:color="auto" w:sz="0" w:space="0"/>
            <w:bottom w:val="sing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8" w:hRule="atLeast"/>
          <w:jc w:val="center"/>
        </w:trPr>
        <w:tc>
          <w:tcPr>
            <w:tcW w:w="798" w:type="pct"/>
            <w:vMerge w:val="continue"/>
            <w:tcMar>
              <w:left w:w="0" w:type="dxa"/>
              <w:right w:w="0" w:type="dxa"/>
            </w:tcMar>
            <w:vAlign w:val="center"/>
          </w:tcPr>
          <w:p>
            <w:pPr>
              <w:spacing w:line="240" w:lineRule="auto"/>
              <w:ind w:firstLine="0" w:firstLineChars="0"/>
              <w:jc w:val="center"/>
              <w:rPr>
                <w:bCs/>
                <w:color w:val="auto"/>
                <w:sz w:val="21"/>
                <w:szCs w:val="21"/>
              </w:rPr>
            </w:pPr>
          </w:p>
        </w:tc>
        <w:tc>
          <w:tcPr>
            <w:tcW w:w="636" w:type="pct"/>
            <w:vMerge w:val="continue"/>
            <w:vAlign w:val="center"/>
          </w:tcPr>
          <w:p>
            <w:pPr>
              <w:spacing w:line="240" w:lineRule="auto"/>
              <w:ind w:firstLine="0" w:firstLineChars="0"/>
              <w:jc w:val="center"/>
              <w:rPr>
                <w:bCs/>
                <w:color w:val="auto"/>
                <w:sz w:val="21"/>
                <w:szCs w:val="21"/>
              </w:rPr>
            </w:pPr>
          </w:p>
        </w:tc>
        <w:tc>
          <w:tcPr>
            <w:tcW w:w="635" w:type="pct"/>
            <w:tcBorders>
              <w:top w:val="single" w:color="auto" w:sz="4" w:space="0"/>
            </w:tcBorders>
            <w:tcMar>
              <w:left w:w="0" w:type="dxa"/>
              <w:right w:w="0" w:type="dxa"/>
            </w:tcMar>
            <w:vAlign w:val="center"/>
          </w:tcPr>
          <w:p>
            <w:pPr>
              <w:spacing w:line="240" w:lineRule="auto"/>
              <w:ind w:firstLine="0" w:firstLineChars="0"/>
              <w:jc w:val="center"/>
              <w:rPr>
                <w:bCs/>
                <w:color w:val="auto"/>
                <w:sz w:val="21"/>
                <w:szCs w:val="21"/>
              </w:rPr>
            </w:pPr>
            <w:r>
              <w:rPr>
                <w:bCs/>
                <w:color w:val="auto"/>
                <w:sz w:val="21"/>
                <w:szCs w:val="21"/>
              </w:rPr>
              <w:t>TP</w:t>
            </w:r>
          </w:p>
        </w:tc>
        <w:tc>
          <w:tcPr>
            <w:tcW w:w="717" w:type="pct"/>
            <w:tcBorders>
              <w:top w:val="single" w:color="auto" w:sz="4" w:space="0"/>
            </w:tcBorders>
            <w:vAlign w:val="center"/>
          </w:tcPr>
          <w:p>
            <w:pPr>
              <w:spacing w:line="240" w:lineRule="auto"/>
              <w:ind w:firstLine="0" w:firstLineChars="0"/>
              <w:jc w:val="center"/>
              <w:rPr>
                <w:bCs/>
                <w:color w:val="auto"/>
                <w:sz w:val="21"/>
                <w:szCs w:val="21"/>
              </w:rPr>
            </w:pPr>
            <w:r>
              <w:rPr>
                <w:bCs/>
                <w:color w:val="auto"/>
                <w:sz w:val="21"/>
                <w:szCs w:val="21"/>
              </w:rPr>
              <w:t>50</w:t>
            </w:r>
          </w:p>
        </w:tc>
        <w:tc>
          <w:tcPr>
            <w:tcW w:w="634" w:type="pct"/>
            <w:tcBorders>
              <w:top w:val="single" w:color="auto" w:sz="4" w:space="0"/>
            </w:tcBorders>
            <w:tcMar>
              <w:left w:w="0" w:type="dxa"/>
              <w:right w:w="0" w:type="dxa"/>
            </w:tcMar>
            <w:vAlign w:val="center"/>
          </w:tcPr>
          <w:p>
            <w:pPr>
              <w:spacing w:line="240" w:lineRule="auto"/>
              <w:ind w:firstLine="0" w:firstLineChars="0"/>
              <w:jc w:val="center"/>
              <w:rPr>
                <w:bCs/>
                <w:color w:val="auto"/>
                <w:sz w:val="21"/>
                <w:szCs w:val="21"/>
              </w:rPr>
            </w:pPr>
            <w:r>
              <w:rPr>
                <w:rFonts w:hint="eastAsia"/>
                <w:bCs/>
                <w:color w:val="auto"/>
                <w:sz w:val="21"/>
                <w:szCs w:val="21"/>
              </w:rPr>
              <w:t xml:space="preserve">2.336 </w:t>
            </w:r>
          </w:p>
        </w:tc>
        <w:tc>
          <w:tcPr>
            <w:tcW w:w="892" w:type="pct"/>
            <w:vMerge w:val="continue"/>
            <w:vAlign w:val="center"/>
          </w:tcPr>
          <w:p>
            <w:pPr>
              <w:ind w:firstLine="420"/>
              <w:jc w:val="center"/>
              <w:rPr>
                <w:bCs/>
                <w:color w:val="auto"/>
                <w:sz w:val="21"/>
                <w:szCs w:val="21"/>
                <w:u w:val="single"/>
              </w:rPr>
            </w:pPr>
          </w:p>
        </w:tc>
        <w:tc>
          <w:tcPr>
            <w:tcW w:w="684" w:type="pct"/>
            <w:vMerge w:val="continue"/>
            <w:tcMar>
              <w:left w:w="0" w:type="dxa"/>
              <w:right w:w="0" w:type="dxa"/>
            </w:tcMar>
            <w:vAlign w:val="center"/>
          </w:tcPr>
          <w:p>
            <w:pPr>
              <w:ind w:firstLine="420"/>
              <w:jc w:val="center"/>
              <w:rPr>
                <w:bCs/>
                <w:color w:val="auto"/>
                <w:sz w:val="21"/>
                <w:szCs w:val="21"/>
                <w:u w:val="single"/>
              </w:rPr>
            </w:pPr>
          </w:p>
        </w:tc>
      </w:tr>
      <w:tr>
        <w:tblPrEx>
          <w:tblBorders>
            <w:top w:val="single" w:color="auto" w:sz="2" w:space="0"/>
            <w:left w:val="none" w:color="auto" w:sz="0" w:space="0"/>
            <w:bottom w:val="sing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8" w:type="pct"/>
            <w:vMerge w:val="restart"/>
            <w:tcMar>
              <w:left w:w="0" w:type="dxa"/>
              <w:right w:w="0" w:type="dxa"/>
            </w:tcMar>
            <w:vAlign w:val="center"/>
          </w:tcPr>
          <w:p>
            <w:pPr>
              <w:spacing w:line="240" w:lineRule="auto"/>
              <w:ind w:firstLine="0" w:firstLineChars="0"/>
              <w:jc w:val="center"/>
              <w:rPr>
                <w:bCs/>
                <w:color w:val="auto"/>
                <w:sz w:val="21"/>
                <w:szCs w:val="21"/>
              </w:rPr>
            </w:pPr>
            <w:r>
              <w:rPr>
                <w:bCs/>
                <w:color w:val="auto"/>
                <w:sz w:val="21"/>
                <w:szCs w:val="21"/>
              </w:rPr>
              <w:t>生活污水</w:t>
            </w:r>
          </w:p>
        </w:tc>
        <w:tc>
          <w:tcPr>
            <w:tcW w:w="636" w:type="pct"/>
            <w:vMerge w:val="restart"/>
            <w:vAlign w:val="center"/>
          </w:tcPr>
          <w:p>
            <w:pPr>
              <w:spacing w:line="240" w:lineRule="auto"/>
              <w:ind w:firstLine="0" w:firstLineChars="0"/>
              <w:jc w:val="center"/>
              <w:rPr>
                <w:bCs/>
                <w:color w:val="auto"/>
                <w:sz w:val="21"/>
                <w:szCs w:val="21"/>
              </w:rPr>
            </w:pPr>
            <w:r>
              <w:rPr>
                <w:rFonts w:hint="eastAsia"/>
                <w:bCs/>
                <w:color w:val="auto"/>
                <w:sz w:val="21"/>
                <w:szCs w:val="21"/>
              </w:rPr>
              <w:t>1226.4</w:t>
            </w:r>
          </w:p>
        </w:tc>
        <w:tc>
          <w:tcPr>
            <w:tcW w:w="635" w:type="pct"/>
            <w:tcMar>
              <w:left w:w="0" w:type="dxa"/>
              <w:right w:w="0" w:type="dxa"/>
            </w:tcMar>
            <w:vAlign w:val="center"/>
          </w:tcPr>
          <w:p>
            <w:pPr>
              <w:spacing w:line="240" w:lineRule="auto"/>
              <w:ind w:firstLine="0" w:firstLineChars="0"/>
              <w:jc w:val="center"/>
              <w:rPr>
                <w:bCs/>
                <w:color w:val="auto"/>
                <w:sz w:val="21"/>
                <w:szCs w:val="21"/>
              </w:rPr>
            </w:pPr>
            <w:r>
              <w:rPr>
                <w:bCs/>
                <w:color w:val="auto"/>
                <w:sz w:val="21"/>
                <w:szCs w:val="21"/>
              </w:rPr>
              <w:t>COD</w:t>
            </w:r>
          </w:p>
        </w:tc>
        <w:tc>
          <w:tcPr>
            <w:tcW w:w="717" w:type="pct"/>
            <w:vAlign w:val="center"/>
          </w:tcPr>
          <w:p>
            <w:pPr>
              <w:spacing w:line="240" w:lineRule="auto"/>
              <w:ind w:firstLine="0" w:firstLineChars="0"/>
              <w:jc w:val="center"/>
              <w:rPr>
                <w:bCs/>
                <w:color w:val="auto"/>
                <w:sz w:val="21"/>
                <w:szCs w:val="21"/>
              </w:rPr>
            </w:pPr>
            <w:r>
              <w:rPr>
                <w:bCs/>
                <w:color w:val="auto"/>
                <w:sz w:val="21"/>
                <w:szCs w:val="21"/>
              </w:rPr>
              <w:t>300</w:t>
            </w:r>
          </w:p>
        </w:tc>
        <w:tc>
          <w:tcPr>
            <w:tcW w:w="634" w:type="pct"/>
            <w:tcMar>
              <w:left w:w="0" w:type="dxa"/>
              <w:right w:w="0" w:type="dxa"/>
            </w:tcMar>
            <w:vAlign w:val="center"/>
          </w:tcPr>
          <w:p>
            <w:pPr>
              <w:spacing w:line="240" w:lineRule="auto"/>
              <w:ind w:firstLine="0" w:firstLineChars="0"/>
              <w:jc w:val="center"/>
              <w:rPr>
                <w:bCs/>
                <w:color w:val="auto"/>
                <w:sz w:val="21"/>
                <w:szCs w:val="21"/>
              </w:rPr>
            </w:pPr>
            <w:r>
              <w:rPr>
                <w:rFonts w:hint="eastAsia"/>
                <w:bCs/>
                <w:color w:val="auto"/>
                <w:sz w:val="21"/>
                <w:szCs w:val="21"/>
              </w:rPr>
              <w:t xml:space="preserve">0.368 </w:t>
            </w:r>
          </w:p>
        </w:tc>
        <w:tc>
          <w:tcPr>
            <w:tcW w:w="892" w:type="pct"/>
            <w:vMerge w:val="continue"/>
            <w:vAlign w:val="center"/>
          </w:tcPr>
          <w:p>
            <w:pPr>
              <w:ind w:firstLine="420"/>
              <w:jc w:val="center"/>
              <w:rPr>
                <w:bCs/>
                <w:color w:val="auto"/>
                <w:sz w:val="21"/>
                <w:szCs w:val="21"/>
                <w:u w:val="single"/>
              </w:rPr>
            </w:pPr>
          </w:p>
        </w:tc>
        <w:tc>
          <w:tcPr>
            <w:tcW w:w="684" w:type="pct"/>
            <w:vMerge w:val="continue"/>
            <w:tcMar>
              <w:left w:w="0" w:type="dxa"/>
              <w:right w:w="0" w:type="dxa"/>
            </w:tcMar>
            <w:vAlign w:val="center"/>
          </w:tcPr>
          <w:p>
            <w:pPr>
              <w:ind w:firstLine="420"/>
              <w:jc w:val="center"/>
              <w:rPr>
                <w:bCs/>
                <w:color w:val="auto"/>
                <w:sz w:val="21"/>
                <w:szCs w:val="21"/>
                <w:u w:val="single"/>
              </w:rPr>
            </w:pPr>
          </w:p>
        </w:tc>
      </w:tr>
      <w:tr>
        <w:tblPrEx>
          <w:tblBorders>
            <w:top w:val="single" w:color="auto" w:sz="2" w:space="0"/>
            <w:left w:val="none" w:color="auto" w:sz="0" w:space="0"/>
            <w:bottom w:val="sing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8" w:type="pct"/>
            <w:vMerge w:val="continue"/>
            <w:tcMar>
              <w:left w:w="0" w:type="dxa"/>
              <w:right w:w="0" w:type="dxa"/>
            </w:tcMar>
            <w:vAlign w:val="center"/>
          </w:tcPr>
          <w:p>
            <w:pPr>
              <w:spacing w:line="240" w:lineRule="auto"/>
              <w:ind w:firstLine="0" w:firstLineChars="0"/>
              <w:jc w:val="center"/>
              <w:rPr>
                <w:bCs/>
                <w:color w:val="auto"/>
                <w:sz w:val="21"/>
                <w:szCs w:val="21"/>
              </w:rPr>
            </w:pPr>
          </w:p>
        </w:tc>
        <w:tc>
          <w:tcPr>
            <w:tcW w:w="636" w:type="pct"/>
            <w:vMerge w:val="continue"/>
            <w:vAlign w:val="center"/>
          </w:tcPr>
          <w:p>
            <w:pPr>
              <w:spacing w:line="240" w:lineRule="auto"/>
              <w:ind w:firstLine="0" w:firstLineChars="0"/>
              <w:jc w:val="center"/>
              <w:rPr>
                <w:bCs/>
                <w:color w:val="auto"/>
                <w:sz w:val="21"/>
                <w:szCs w:val="21"/>
              </w:rPr>
            </w:pPr>
          </w:p>
        </w:tc>
        <w:tc>
          <w:tcPr>
            <w:tcW w:w="635" w:type="pct"/>
            <w:tcMar>
              <w:left w:w="0" w:type="dxa"/>
              <w:right w:w="0" w:type="dxa"/>
            </w:tcMar>
            <w:vAlign w:val="center"/>
          </w:tcPr>
          <w:p>
            <w:pPr>
              <w:spacing w:line="240" w:lineRule="auto"/>
              <w:ind w:firstLine="0" w:firstLineChars="0"/>
              <w:jc w:val="center"/>
              <w:rPr>
                <w:bCs/>
                <w:color w:val="auto"/>
                <w:sz w:val="21"/>
                <w:szCs w:val="21"/>
              </w:rPr>
            </w:pPr>
            <w:r>
              <w:rPr>
                <w:bCs/>
                <w:color w:val="auto"/>
                <w:sz w:val="21"/>
                <w:szCs w:val="21"/>
              </w:rPr>
              <w:t>BOD5</w:t>
            </w:r>
          </w:p>
        </w:tc>
        <w:tc>
          <w:tcPr>
            <w:tcW w:w="717" w:type="pct"/>
            <w:vAlign w:val="center"/>
          </w:tcPr>
          <w:p>
            <w:pPr>
              <w:spacing w:line="240" w:lineRule="auto"/>
              <w:ind w:firstLine="0" w:firstLineChars="0"/>
              <w:jc w:val="center"/>
              <w:rPr>
                <w:bCs/>
                <w:color w:val="auto"/>
                <w:sz w:val="21"/>
                <w:szCs w:val="21"/>
              </w:rPr>
            </w:pPr>
            <w:r>
              <w:rPr>
                <w:bCs/>
                <w:color w:val="auto"/>
                <w:sz w:val="21"/>
                <w:szCs w:val="21"/>
              </w:rPr>
              <w:t>150</w:t>
            </w:r>
          </w:p>
        </w:tc>
        <w:tc>
          <w:tcPr>
            <w:tcW w:w="634" w:type="pct"/>
            <w:tcMar>
              <w:left w:w="0" w:type="dxa"/>
              <w:right w:w="0" w:type="dxa"/>
            </w:tcMar>
            <w:vAlign w:val="center"/>
          </w:tcPr>
          <w:p>
            <w:pPr>
              <w:spacing w:line="240" w:lineRule="auto"/>
              <w:ind w:firstLine="0" w:firstLineChars="0"/>
              <w:jc w:val="center"/>
              <w:rPr>
                <w:bCs/>
                <w:color w:val="auto"/>
                <w:sz w:val="21"/>
                <w:szCs w:val="21"/>
              </w:rPr>
            </w:pPr>
            <w:r>
              <w:rPr>
                <w:rFonts w:hint="eastAsia"/>
                <w:bCs/>
                <w:color w:val="auto"/>
                <w:sz w:val="21"/>
                <w:szCs w:val="21"/>
              </w:rPr>
              <w:t xml:space="preserve">0.184 </w:t>
            </w:r>
          </w:p>
        </w:tc>
        <w:tc>
          <w:tcPr>
            <w:tcW w:w="892" w:type="pct"/>
            <w:vMerge w:val="continue"/>
            <w:vAlign w:val="center"/>
          </w:tcPr>
          <w:p>
            <w:pPr>
              <w:ind w:firstLine="420"/>
              <w:jc w:val="center"/>
              <w:rPr>
                <w:bCs/>
                <w:color w:val="auto"/>
                <w:sz w:val="21"/>
                <w:szCs w:val="21"/>
                <w:u w:val="single"/>
              </w:rPr>
            </w:pPr>
          </w:p>
        </w:tc>
        <w:tc>
          <w:tcPr>
            <w:tcW w:w="684" w:type="pct"/>
            <w:vMerge w:val="continue"/>
            <w:tcMar>
              <w:left w:w="0" w:type="dxa"/>
              <w:right w:w="0" w:type="dxa"/>
            </w:tcMar>
            <w:vAlign w:val="center"/>
          </w:tcPr>
          <w:p>
            <w:pPr>
              <w:ind w:firstLine="420"/>
              <w:jc w:val="center"/>
              <w:rPr>
                <w:bCs/>
                <w:color w:val="auto"/>
                <w:sz w:val="21"/>
                <w:szCs w:val="21"/>
                <w:u w:val="single"/>
              </w:rPr>
            </w:pPr>
          </w:p>
        </w:tc>
      </w:tr>
      <w:tr>
        <w:tblPrEx>
          <w:tblBorders>
            <w:top w:val="single" w:color="auto" w:sz="2" w:space="0"/>
            <w:left w:val="none" w:color="auto" w:sz="0" w:space="0"/>
            <w:bottom w:val="sing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8" w:type="pct"/>
            <w:vMerge w:val="continue"/>
            <w:tcMar>
              <w:left w:w="0" w:type="dxa"/>
              <w:right w:w="0" w:type="dxa"/>
            </w:tcMar>
            <w:vAlign w:val="center"/>
          </w:tcPr>
          <w:p>
            <w:pPr>
              <w:spacing w:line="240" w:lineRule="auto"/>
              <w:ind w:firstLine="0" w:firstLineChars="0"/>
              <w:jc w:val="center"/>
              <w:rPr>
                <w:bCs/>
                <w:color w:val="auto"/>
                <w:sz w:val="21"/>
                <w:szCs w:val="21"/>
              </w:rPr>
            </w:pPr>
          </w:p>
        </w:tc>
        <w:tc>
          <w:tcPr>
            <w:tcW w:w="636" w:type="pct"/>
            <w:vMerge w:val="continue"/>
            <w:vAlign w:val="center"/>
          </w:tcPr>
          <w:p>
            <w:pPr>
              <w:spacing w:line="240" w:lineRule="auto"/>
              <w:ind w:firstLine="0" w:firstLineChars="0"/>
              <w:jc w:val="center"/>
              <w:rPr>
                <w:bCs/>
                <w:color w:val="auto"/>
                <w:sz w:val="21"/>
                <w:szCs w:val="21"/>
              </w:rPr>
            </w:pPr>
          </w:p>
        </w:tc>
        <w:tc>
          <w:tcPr>
            <w:tcW w:w="635" w:type="pct"/>
            <w:tcMar>
              <w:left w:w="0" w:type="dxa"/>
              <w:right w:w="0" w:type="dxa"/>
            </w:tcMar>
            <w:vAlign w:val="center"/>
          </w:tcPr>
          <w:p>
            <w:pPr>
              <w:spacing w:line="240" w:lineRule="auto"/>
              <w:ind w:firstLine="0" w:firstLineChars="0"/>
              <w:jc w:val="center"/>
              <w:rPr>
                <w:bCs/>
                <w:color w:val="auto"/>
                <w:sz w:val="21"/>
                <w:szCs w:val="21"/>
              </w:rPr>
            </w:pPr>
            <w:r>
              <w:rPr>
                <w:bCs/>
                <w:color w:val="auto"/>
                <w:sz w:val="21"/>
                <w:szCs w:val="21"/>
              </w:rPr>
              <w:t>SS</w:t>
            </w:r>
          </w:p>
        </w:tc>
        <w:tc>
          <w:tcPr>
            <w:tcW w:w="717" w:type="pct"/>
            <w:vAlign w:val="center"/>
          </w:tcPr>
          <w:p>
            <w:pPr>
              <w:spacing w:line="240" w:lineRule="auto"/>
              <w:ind w:firstLine="0" w:firstLineChars="0"/>
              <w:jc w:val="center"/>
              <w:rPr>
                <w:bCs/>
                <w:color w:val="auto"/>
                <w:sz w:val="21"/>
                <w:szCs w:val="21"/>
              </w:rPr>
            </w:pPr>
            <w:r>
              <w:rPr>
                <w:bCs/>
                <w:color w:val="auto"/>
                <w:sz w:val="21"/>
                <w:szCs w:val="21"/>
              </w:rPr>
              <w:t>200</w:t>
            </w:r>
          </w:p>
        </w:tc>
        <w:tc>
          <w:tcPr>
            <w:tcW w:w="634" w:type="pct"/>
            <w:tcMar>
              <w:left w:w="0" w:type="dxa"/>
              <w:right w:w="0" w:type="dxa"/>
            </w:tcMar>
            <w:vAlign w:val="center"/>
          </w:tcPr>
          <w:p>
            <w:pPr>
              <w:spacing w:line="240" w:lineRule="auto"/>
              <w:ind w:firstLine="0" w:firstLineChars="0"/>
              <w:jc w:val="center"/>
              <w:rPr>
                <w:bCs/>
                <w:color w:val="auto"/>
                <w:sz w:val="21"/>
                <w:szCs w:val="21"/>
              </w:rPr>
            </w:pPr>
            <w:r>
              <w:rPr>
                <w:rFonts w:hint="eastAsia"/>
                <w:bCs/>
                <w:color w:val="auto"/>
                <w:sz w:val="21"/>
                <w:szCs w:val="21"/>
              </w:rPr>
              <w:t xml:space="preserve">0.245 </w:t>
            </w:r>
          </w:p>
        </w:tc>
        <w:tc>
          <w:tcPr>
            <w:tcW w:w="892" w:type="pct"/>
            <w:vMerge w:val="continue"/>
            <w:vAlign w:val="center"/>
          </w:tcPr>
          <w:p>
            <w:pPr>
              <w:ind w:firstLine="420"/>
              <w:jc w:val="center"/>
              <w:rPr>
                <w:bCs/>
                <w:color w:val="auto"/>
                <w:sz w:val="21"/>
                <w:szCs w:val="21"/>
                <w:u w:val="single"/>
              </w:rPr>
            </w:pPr>
          </w:p>
        </w:tc>
        <w:tc>
          <w:tcPr>
            <w:tcW w:w="684" w:type="pct"/>
            <w:vMerge w:val="continue"/>
            <w:tcMar>
              <w:left w:w="0" w:type="dxa"/>
              <w:right w:w="0" w:type="dxa"/>
            </w:tcMar>
            <w:vAlign w:val="center"/>
          </w:tcPr>
          <w:p>
            <w:pPr>
              <w:ind w:firstLine="420"/>
              <w:jc w:val="center"/>
              <w:rPr>
                <w:bCs/>
                <w:color w:val="auto"/>
                <w:sz w:val="21"/>
                <w:szCs w:val="21"/>
                <w:u w:val="single"/>
              </w:rPr>
            </w:pPr>
          </w:p>
        </w:tc>
      </w:tr>
      <w:tr>
        <w:tblPrEx>
          <w:tblBorders>
            <w:top w:val="single" w:color="auto" w:sz="2" w:space="0"/>
            <w:left w:val="none" w:color="auto" w:sz="0" w:space="0"/>
            <w:bottom w:val="sing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798" w:type="pct"/>
            <w:vMerge w:val="continue"/>
            <w:tcMar>
              <w:left w:w="0" w:type="dxa"/>
              <w:right w:w="0" w:type="dxa"/>
            </w:tcMar>
            <w:vAlign w:val="center"/>
          </w:tcPr>
          <w:p>
            <w:pPr>
              <w:spacing w:line="240" w:lineRule="auto"/>
              <w:ind w:firstLine="0" w:firstLineChars="0"/>
              <w:jc w:val="center"/>
              <w:rPr>
                <w:bCs/>
                <w:color w:val="auto"/>
                <w:sz w:val="21"/>
                <w:szCs w:val="21"/>
              </w:rPr>
            </w:pPr>
          </w:p>
        </w:tc>
        <w:tc>
          <w:tcPr>
            <w:tcW w:w="636" w:type="pct"/>
            <w:vMerge w:val="continue"/>
            <w:vAlign w:val="center"/>
          </w:tcPr>
          <w:p>
            <w:pPr>
              <w:spacing w:line="240" w:lineRule="auto"/>
              <w:ind w:firstLine="0" w:firstLineChars="0"/>
              <w:jc w:val="center"/>
              <w:rPr>
                <w:bCs/>
                <w:color w:val="auto"/>
                <w:sz w:val="21"/>
                <w:szCs w:val="21"/>
              </w:rPr>
            </w:pPr>
          </w:p>
        </w:tc>
        <w:tc>
          <w:tcPr>
            <w:tcW w:w="635" w:type="pct"/>
            <w:tcBorders>
              <w:bottom w:val="single" w:color="auto" w:sz="4" w:space="0"/>
            </w:tcBorders>
            <w:tcMar>
              <w:left w:w="0" w:type="dxa"/>
              <w:right w:w="0" w:type="dxa"/>
            </w:tcMar>
            <w:vAlign w:val="center"/>
          </w:tcPr>
          <w:p>
            <w:pPr>
              <w:spacing w:line="240" w:lineRule="auto"/>
              <w:ind w:firstLine="0" w:firstLineChars="0"/>
              <w:jc w:val="center"/>
              <w:rPr>
                <w:bCs/>
                <w:color w:val="auto"/>
                <w:sz w:val="21"/>
                <w:szCs w:val="21"/>
              </w:rPr>
            </w:pPr>
            <w:r>
              <w:rPr>
                <w:bCs/>
                <w:color w:val="auto"/>
                <w:sz w:val="21"/>
                <w:szCs w:val="21"/>
              </w:rPr>
              <w:t>NH3-N</w:t>
            </w:r>
          </w:p>
        </w:tc>
        <w:tc>
          <w:tcPr>
            <w:tcW w:w="717" w:type="pct"/>
            <w:tcBorders>
              <w:bottom w:val="single" w:color="auto" w:sz="4" w:space="0"/>
            </w:tcBorders>
            <w:vAlign w:val="center"/>
          </w:tcPr>
          <w:p>
            <w:pPr>
              <w:spacing w:line="240" w:lineRule="auto"/>
              <w:ind w:firstLine="0" w:firstLineChars="0"/>
              <w:jc w:val="center"/>
              <w:rPr>
                <w:bCs/>
                <w:color w:val="auto"/>
                <w:sz w:val="21"/>
                <w:szCs w:val="21"/>
              </w:rPr>
            </w:pPr>
            <w:r>
              <w:rPr>
                <w:bCs/>
                <w:color w:val="auto"/>
                <w:sz w:val="21"/>
                <w:szCs w:val="21"/>
              </w:rPr>
              <w:t>30</w:t>
            </w:r>
          </w:p>
        </w:tc>
        <w:tc>
          <w:tcPr>
            <w:tcW w:w="634" w:type="pct"/>
            <w:tcBorders>
              <w:bottom w:val="single" w:color="auto" w:sz="4" w:space="0"/>
            </w:tcBorders>
            <w:tcMar>
              <w:left w:w="0" w:type="dxa"/>
              <w:right w:w="0" w:type="dxa"/>
            </w:tcMar>
            <w:vAlign w:val="center"/>
          </w:tcPr>
          <w:p>
            <w:pPr>
              <w:spacing w:line="240" w:lineRule="auto"/>
              <w:ind w:firstLine="0" w:firstLineChars="0"/>
              <w:jc w:val="center"/>
              <w:rPr>
                <w:bCs/>
                <w:color w:val="auto"/>
                <w:sz w:val="21"/>
                <w:szCs w:val="21"/>
              </w:rPr>
            </w:pPr>
            <w:r>
              <w:rPr>
                <w:rFonts w:hint="eastAsia"/>
                <w:bCs/>
                <w:color w:val="auto"/>
                <w:sz w:val="21"/>
                <w:szCs w:val="21"/>
              </w:rPr>
              <w:t xml:space="preserve">0.037 </w:t>
            </w:r>
          </w:p>
        </w:tc>
        <w:tc>
          <w:tcPr>
            <w:tcW w:w="892" w:type="pct"/>
            <w:vMerge w:val="continue"/>
            <w:vAlign w:val="center"/>
          </w:tcPr>
          <w:p>
            <w:pPr>
              <w:ind w:firstLine="420"/>
              <w:jc w:val="center"/>
              <w:rPr>
                <w:bCs/>
                <w:color w:val="auto"/>
                <w:sz w:val="21"/>
                <w:szCs w:val="21"/>
                <w:u w:val="single"/>
              </w:rPr>
            </w:pPr>
          </w:p>
        </w:tc>
        <w:tc>
          <w:tcPr>
            <w:tcW w:w="684" w:type="pct"/>
            <w:vMerge w:val="continue"/>
            <w:tcMar>
              <w:left w:w="0" w:type="dxa"/>
              <w:right w:w="0" w:type="dxa"/>
            </w:tcMar>
            <w:vAlign w:val="center"/>
          </w:tcPr>
          <w:p>
            <w:pPr>
              <w:ind w:firstLine="420"/>
              <w:jc w:val="center"/>
              <w:rPr>
                <w:bCs/>
                <w:color w:val="auto"/>
                <w:sz w:val="21"/>
                <w:szCs w:val="21"/>
                <w:u w:val="single"/>
              </w:rPr>
            </w:pPr>
          </w:p>
        </w:tc>
      </w:tr>
      <w:tr>
        <w:tblPrEx>
          <w:tblBorders>
            <w:top w:val="single" w:color="auto" w:sz="2" w:space="0"/>
            <w:left w:val="none" w:color="auto" w:sz="0" w:space="0"/>
            <w:bottom w:val="sing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7" w:hRule="atLeast"/>
          <w:jc w:val="center"/>
        </w:trPr>
        <w:tc>
          <w:tcPr>
            <w:tcW w:w="798" w:type="pct"/>
            <w:vMerge w:val="continue"/>
            <w:tcMar>
              <w:left w:w="0" w:type="dxa"/>
              <w:right w:w="0" w:type="dxa"/>
            </w:tcMar>
            <w:vAlign w:val="center"/>
          </w:tcPr>
          <w:p>
            <w:pPr>
              <w:spacing w:line="240" w:lineRule="auto"/>
              <w:ind w:firstLine="0" w:firstLineChars="0"/>
              <w:jc w:val="center"/>
              <w:rPr>
                <w:bCs/>
                <w:color w:val="auto"/>
                <w:sz w:val="21"/>
                <w:szCs w:val="21"/>
              </w:rPr>
            </w:pPr>
          </w:p>
        </w:tc>
        <w:tc>
          <w:tcPr>
            <w:tcW w:w="636" w:type="pct"/>
            <w:vMerge w:val="continue"/>
            <w:vAlign w:val="center"/>
          </w:tcPr>
          <w:p>
            <w:pPr>
              <w:spacing w:line="240" w:lineRule="auto"/>
              <w:ind w:firstLine="0" w:firstLineChars="0"/>
              <w:jc w:val="center"/>
              <w:rPr>
                <w:bCs/>
                <w:color w:val="auto"/>
                <w:sz w:val="21"/>
                <w:szCs w:val="21"/>
              </w:rPr>
            </w:pPr>
          </w:p>
        </w:tc>
        <w:tc>
          <w:tcPr>
            <w:tcW w:w="635" w:type="pct"/>
            <w:tcBorders>
              <w:top w:val="single" w:color="auto" w:sz="4" w:space="0"/>
            </w:tcBorders>
            <w:tcMar>
              <w:left w:w="0" w:type="dxa"/>
              <w:right w:w="0" w:type="dxa"/>
            </w:tcMar>
            <w:vAlign w:val="center"/>
          </w:tcPr>
          <w:p>
            <w:pPr>
              <w:spacing w:line="240" w:lineRule="auto"/>
              <w:ind w:firstLine="0" w:firstLineChars="0"/>
              <w:jc w:val="center"/>
              <w:rPr>
                <w:bCs/>
                <w:color w:val="auto"/>
                <w:sz w:val="21"/>
                <w:szCs w:val="21"/>
              </w:rPr>
            </w:pPr>
            <w:r>
              <w:rPr>
                <w:bCs/>
                <w:color w:val="auto"/>
                <w:sz w:val="21"/>
                <w:szCs w:val="21"/>
              </w:rPr>
              <w:t>TP</w:t>
            </w:r>
          </w:p>
        </w:tc>
        <w:tc>
          <w:tcPr>
            <w:tcW w:w="717" w:type="pct"/>
            <w:tcBorders>
              <w:top w:val="single" w:color="auto" w:sz="4" w:space="0"/>
            </w:tcBorders>
            <w:vAlign w:val="center"/>
          </w:tcPr>
          <w:p>
            <w:pPr>
              <w:spacing w:line="240" w:lineRule="auto"/>
              <w:ind w:firstLine="0" w:firstLineChars="0"/>
              <w:jc w:val="center"/>
              <w:rPr>
                <w:bCs/>
                <w:color w:val="auto"/>
                <w:sz w:val="21"/>
                <w:szCs w:val="21"/>
              </w:rPr>
            </w:pPr>
            <w:r>
              <w:rPr>
                <w:bCs/>
                <w:color w:val="auto"/>
                <w:sz w:val="21"/>
                <w:szCs w:val="21"/>
              </w:rPr>
              <w:t>4</w:t>
            </w:r>
          </w:p>
        </w:tc>
        <w:tc>
          <w:tcPr>
            <w:tcW w:w="634" w:type="pct"/>
            <w:tcBorders>
              <w:top w:val="single" w:color="auto" w:sz="4" w:space="0"/>
            </w:tcBorders>
            <w:tcMar>
              <w:left w:w="0" w:type="dxa"/>
              <w:right w:w="0" w:type="dxa"/>
            </w:tcMar>
            <w:vAlign w:val="center"/>
          </w:tcPr>
          <w:p>
            <w:pPr>
              <w:spacing w:line="240" w:lineRule="auto"/>
              <w:ind w:firstLine="0" w:firstLineChars="0"/>
              <w:jc w:val="center"/>
              <w:rPr>
                <w:bCs/>
                <w:color w:val="auto"/>
                <w:sz w:val="21"/>
                <w:szCs w:val="21"/>
              </w:rPr>
            </w:pPr>
            <w:r>
              <w:rPr>
                <w:rFonts w:hint="eastAsia"/>
                <w:bCs/>
                <w:color w:val="auto"/>
                <w:sz w:val="21"/>
                <w:szCs w:val="21"/>
              </w:rPr>
              <w:t xml:space="preserve">0.005 </w:t>
            </w:r>
          </w:p>
        </w:tc>
        <w:tc>
          <w:tcPr>
            <w:tcW w:w="892" w:type="pct"/>
            <w:vMerge w:val="continue"/>
            <w:vAlign w:val="center"/>
          </w:tcPr>
          <w:p>
            <w:pPr>
              <w:ind w:firstLine="420"/>
              <w:jc w:val="center"/>
              <w:rPr>
                <w:bCs/>
                <w:color w:val="auto"/>
                <w:sz w:val="21"/>
                <w:szCs w:val="21"/>
                <w:u w:val="single"/>
              </w:rPr>
            </w:pPr>
          </w:p>
        </w:tc>
        <w:tc>
          <w:tcPr>
            <w:tcW w:w="684" w:type="pct"/>
            <w:vMerge w:val="continue"/>
            <w:tcMar>
              <w:left w:w="0" w:type="dxa"/>
              <w:right w:w="0" w:type="dxa"/>
            </w:tcMar>
            <w:vAlign w:val="center"/>
          </w:tcPr>
          <w:p>
            <w:pPr>
              <w:ind w:firstLine="420"/>
              <w:jc w:val="center"/>
              <w:rPr>
                <w:bCs/>
                <w:color w:val="auto"/>
                <w:sz w:val="21"/>
                <w:szCs w:val="21"/>
                <w:u w:val="single"/>
              </w:rPr>
            </w:pPr>
          </w:p>
        </w:tc>
      </w:tr>
      <w:tr>
        <w:tblPrEx>
          <w:tblBorders>
            <w:top w:val="single" w:color="auto" w:sz="2" w:space="0"/>
            <w:left w:val="none" w:color="auto" w:sz="0" w:space="0"/>
            <w:bottom w:val="sing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8" w:type="pct"/>
            <w:vMerge w:val="restart"/>
            <w:tcMar>
              <w:left w:w="0" w:type="dxa"/>
              <w:right w:w="0" w:type="dxa"/>
            </w:tcMar>
            <w:vAlign w:val="center"/>
          </w:tcPr>
          <w:p>
            <w:pPr>
              <w:spacing w:line="240" w:lineRule="auto"/>
              <w:ind w:firstLine="0" w:firstLineChars="0"/>
              <w:jc w:val="center"/>
              <w:rPr>
                <w:bCs/>
                <w:color w:val="auto"/>
                <w:sz w:val="21"/>
                <w:szCs w:val="21"/>
              </w:rPr>
            </w:pPr>
            <w:r>
              <w:rPr>
                <w:bCs/>
                <w:color w:val="auto"/>
                <w:sz w:val="21"/>
                <w:szCs w:val="21"/>
              </w:rPr>
              <w:t>污水处理系统进口（固液分离前）</w:t>
            </w:r>
          </w:p>
        </w:tc>
        <w:tc>
          <w:tcPr>
            <w:tcW w:w="636" w:type="pct"/>
            <w:vMerge w:val="restart"/>
            <w:vAlign w:val="center"/>
          </w:tcPr>
          <w:p>
            <w:pPr>
              <w:spacing w:line="240" w:lineRule="auto"/>
              <w:ind w:firstLine="0" w:firstLineChars="0"/>
              <w:jc w:val="center"/>
              <w:rPr>
                <w:bCs/>
                <w:color w:val="auto"/>
                <w:sz w:val="21"/>
                <w:szCs w:val="21"/>
              </w:rPr>
            </w:pPr>
            <w:r>
              <w:rPr>
                <w:rFonts w:hint="eastAsia"/>
                <w:bCs/>
                <w:color w:val="auto"/>
                <w:sz w:val="21"/>
                <w:szCs w:val="21"/>
              </w:rPr>
              <w:t>47936.545</w:t>
            </w:r>
          </w:p>
        </w:tc>
        <w:tc>
          <w:tcPr>
            <w:tcW w:w="635" w:type="pct"/>
            <w:tcMar>
              <w:left w:w="0" w:type="dxa"/>
              <w:right w:w="0" w:type="dxa"/>
            </w:tcMar>
            <w:vAlign w:val="center"/>
          </w:tcPr>
          <w:p>
            <w:pPr>
              <w:spacing w:line="240" w:lineRule="auto"/>
              <w:ind w:firstLine="0" w:firstLineChars="0"/>
              <w:jc w:val="center"/>
              <w:rPr>
                <w:bCs/>
                <w:color w:val="auto"/>
                <w:sz w:val="21"/>
                <w:szCs w:val="21"/>
              </w:rPr>
            </w:pPr>
            <w:r>
              <w:rPr>
                <w:bCs/>
                <w:color w:val="auto"/>
                <w:sz w:val="21"/>
                <w:szCs w:val="21"/>
              </w:rPr>
              <w:t>COD</w:t>
            </w:r>
          </w:p>
        </w:tc>
        <w:tc>
          <w:tcPr>
            <w:tcW w:w="717" w:type="pct"/>
            <w:vAlign w:val="center"/>
          </w:tcPr>
          <w:p>
            <w:pPr>
              <w:spacing w:line="240" w:lineRule="auto"/>
              <w:ind w:firstLine="0" w:firstLineChars="0"/>
              <w:jc w:val="center"/>
              <w:rPr>
                <w:bCs/>
                <w:color w:val="auto"/>
                <w:sz w:val="21"/>
                <w:szCs w:val="21"/>
              </w:rPr>
            </w:pPr>
            <w:r>
              <w:rPr>
                <w:rFonts w:hint="eastAsia"/>
                <w:bCs/>
                <w:color w:val="auto"/>
                <w:sz w:val="21"/>
                <w:szCs w:val="21"/>
              </w:rPr>
              <w:t>19156</w:t>
            </w:r>
          </w:p>
        </w:tc>
        <w:tc>
          <w:tcPr>
            <w:tcW w:w="634" w:type="pct"/>
            <w:tcMar>
              <w:left w:w="0" w:type="dxa"/>
              <w:right w:w="0" w:type="dxa"/>
            </w:tcMar>
            <w:vAlign w:val="center"/>
          </w:tcPr>
          <w:p>
            <w:pPr>
              <w:spacing w:line="240" w:lineRule="auto"/>
              <w:ind w:firstLine="0" w:firstLineChars="0"/>
              <w:jc w:val="center"/>
              <w:rPr>
                <w:bCs/>
                <w:color w:val="auto"/>
                <w:sz w:val="21"/>
                <w:szCs w:val="21"/>
              </w:rPr>
            </w:pPr>
            <w:r>
              <w:rPr>
                <w:rFonts w:hint="eastAsia"/>
                <w:bCs/>
                <w:color w:val="auto"/>
                <w:sz w:val="21"/>
                <w:szCs w:val="21"/>
              </w:rPr>
              <w:t xml:space="preserve">918.272 </w:t>
            </w:r>
          </w:p>
        </w:tc>
        <w:tc>
          <w:tcPr>
            <w:tcW w:w="892" w:type="pct"/>
            <w:vMerge w:val="continue"/>
            <w:vAlign w:val="center"/>
          </w:tcPr>
          <w:p>
            <w:pPr>
              <w:ind w:firstLine="420"/>
              <w:jc w:val="center"/>
              <w:rPr>
                <w:bCs/>
                <w:color w:val="auto"/>
                <w:sz w:val="21"/>
                <w:szCs w:val="21"/>
                <w:u w:val="single"/>
              </w:rPr>
            </w:pPr>
          </w:p>
        </w:tc>
        <w:tc>
          <w:tcPr>
            <w:tcW w:w="684" w:type="pct"/>
            <w:vMerge w:val="continue"/>
            <w:tcMar>
              <w:left w:w="0" w:type="dxa"/>
              <w:right w:w="0" w:type="dxa"/>
            </w:tcMar>
            <w:vAlign w:val="center"/>
          </w:tcPr>
          <w:p>
            <w:pPr>
              <w:ind w:firstLine="420"/>
              <w:jc w:val="center"/>
              <w:rPr>
                <w:bCs/>
                <w:color w:val="auto"/>
                <w:sz w:val="21"/>
                <w:szCs w:val="21"/>
                <w:u w:val="single"/>
              </w:rPr>
            </w:pPr>
          </w:p>
        </w:tc>
      </w:tr>
      <w:tr>
        <w:tblPrEx>
          <w:tblBorders>
            <w:top w:val="single" w:color="auto" w:sz="2" w:space="0"/>
            <w:left w:val="none" w:color="auto" w:sz="0" w:space="0"/>
            <w:bottom w:val="sing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8" w:type="pct"/>
            <w:vMerge w:val="continue"/>
            <w:tcMar>
              <w:left w:w="0" w:type="dxa"/>
              <w:right w:w="0" w:type="dxa"/>
            </w:tcMar>
            <w:vAlign w:val="center"/>
          </w:tcPr>
          <w:p>
            <w:pPr>
              <w:spacing w:line="240" w:lineRule="auto"/>
              <w:ind w:firstLine="0" w:firstLineChars="0"/>
              <w:jc w:val="center"/>
              <w:rPr>
                <w:bCs/>
                <w:color w:val="auto"/>
                <w:sz w:val="21"/>
                <w:szCs w:val="21"/>
              </w:rPr>
            </w:pPr>
          </w:p>
        </w:tc>
        <w:tc>
          <w:tcPr>
            <w:tcW w:w="636" w:type="pct"/>
            <w:vMerge w:val="continue"/>
            <w:vAlign w:val="center"/>
          </w:tcPr>
          <w:p>
            <w:pPr>
              <w:spacing w:line="240" w:lineRule="auto"/>
              <w:ind w:firstLine="0" w:firstLineChars="0"/>
              <w:jc w:val="center"/>
              <w:rPr>
                <w:bCs/>
                <w:color w:val="auto"/>
                <w:sz w:val="21"/>
                <w:szCs w:val="21"/>
              </w:rPr>
            </w:pPr>
          </w:p>
        </w:tc>
        <w:tc>
          <w:tcPr>
            <w:tcW w:w="635" w:type="pct"/>
            <w:tcMar>
              <w:left w:w="0" w:type="dxa"/>
              <w:right w:w="0" w:type="dxa"/>
            </w:tcMar>
            <w:vAlign w:val="center"/>
          </w:tcPr>
          <w:p>
            <w:pPr>
              <w:spacing w:line="240" w:lineRule="auto"/>
              <w:ind w:firstLine="0" w:firstLineChars="0"/>
              <w:jc w:val="center"/>
              <w:rPr>
                <w:bCs/>
                <w:color w:val="auto"/>
                <w:sz w:val="21"/>
                <w:szCs w:val="21"/>
              </w:rPr>
            </w:pPr>
            <w:r>
              <w:rPr>
                <w:bCs/>
                <w:color w:val="auto"/>
                <w:sz w:val="21"/>
                <w:szCs w:val="21"/>
              </w:rPr>
              <w:t>BOD5</w:t>
            </w:r>
          </w:p>
        </w:tc>
        <w:tc>
          <w:tcPr>
            <w:tcW w:w="717" w:type="pct"/>
            <w:vAlign w:val="center"/>
          </w:tcPr>
          <w:p>
            <w:pPr>
              <w:spacing w:line="240" w:lineRule="auto"/>
              <w:ind w:firstLine="0" w:firstLineChars="0"/>
              <w:jc w:val="center"/>
              <w:rPr>
                <w:bCs/>
                <w:color w:val="auto"/>
                <w:sz w:val="21"/>
                <w:szCs w:val="21"/>
              </w:rPr>
            </w:pPr>
            <w:r>
              <w:rPr>
                <w:rFonts w:hint="eastAsia"/>
                <w:bCs/>
                <w:color w:val="auto"/>
                <w:sz w:val="21"/>
                <w:szCs w:val="21"/>
              </w:rPr>
              <w:t>7859</w:t>
            </w:r>
          </w:p>
        </w:tc>
        <w:tc>
          <w:tcPr>
            <w:tcW w:w="634" w:type="pct"/>
            <w:tcMar>
              <w:left w:w="0" w:type="dxa"/>
              <w:right w:w="0" w:type="dxa"/>
            </w:tcMar>
            <w:vAlign w:val="center"/>
          </w:tcPr>
          <w:p>
            <w:pPr>
              <w:spacing w:line="240" w:lineRule="auto"/>
              <w:ind w:firstLine="0" w:firstLineChars="0"/>
              <w:jc w:val="center"/>
              <w:rPr>
                <w:bCs/>
                <w:color w:val="auto"/>
                <w:sz w:val="21"/>
                <w:szCs w:val="21"/>
              </w:rPr>
            </w:pPr>
            <w:r>
              <w:rPr>
                <w:rFonts w:hint="eastAsia"/>
                <w:bCs/>
                <w:color w:val="auto"/>
                <w:sz w:val="21"/>
                <w:szCs w:val="21"/>
              </w:rPr>
              <w:t xml:space="preserve">376.733 </w:t>
            </w:r>
          </w:p>
        </w:tc>
        <w:tc>
          <w:tcPr>
            <w:tcW w:w="892" w:type="pct"/>
            <w:vMerge w:val="continue"/>
            <w:vAlign w:val="center"/>
          </w:tcPr>
          <w:p>
            <w:pPr>
              <w:ind w:firstLine="420"/>
              <w:jc w:val="center"/>
              <w:rPr>
                <w:bCs/>
                <w:color w:val="auto"/>
                <w:sz w:val="21"/>
                <w:szCs w:val="21"/>
                <w:u w:val="single"/>
              </w:rPr>
            </w:pPr>
          </w:p>
        </w:tc>
        <w:tc>
          <w:tcPr>
            <w:tcW w:w="684" w:type="pct"/>
            <w:vMerge w:val="continue"/>
            <w:tcMar>
              <w:left w:w="0" w:type="dxa"/>
              <w:right w:w="0" w:type="dxa"/>
            </w:tcMar>
            <w:vAlign w:val="center"/>
          </w:tcPr>
          <w:p>
            <w:pPr>
              <w:ind w:firstLine="420"/>
              <w:jc w:val="center"/>
              <w:rPr>
                <w:bCs/>
                <w:color w:val="auto"/>
                <w:sz w:val="21"/>
                <w:szCs w:val="21"/>
                <w:u w:val="single"/>
              </w:rPr>
            </w:pPr>
          </w:p>
        </w:tc>
      </w:tr>
      <w:tr>
        <w:tblPrEx>
          <w:tblBorders>
            <w:top w:val="single" w:color="auto" w:sz="2" w:space="0"/>
            <w:left w:val="none" w:color="auto" w:sz="0" w:space="0"/>
            <w:bottom w:val="sing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8" w:type="pct"/>
            <w:vMerge w:val="continue"/>
            <w:tcMar>
              <w:left w:w="0" w:type="dxa"/>
              <w:right w:w="0" w:type="dxa"/>
            </w:tcMar>
            <w:vAlign w:val="center"/>
          </w:tcPr>
          <w:p>
            <w:pPr>
              <w:spacing w:line="240" w:lineRule="auto"/>
              <w:ind w:firstLine="0" w:firstLineChars="0"/>
              <w:jc w:val="center"/>
              <w:rPr>
                <w:bCs/>
                <w:color w:val="auto"/>
                <w:sz w:val="21"/>
                <w:szCs w:val="21"/>
              </w:rPr>
            </w:pPr>
          </w:p>
        </w:tc>
        <w:tc>
          <w:tcPr>
            <w:tcW w:w="636" w:type="pct"/>
            <w:vMerge w:val="continue"/>
            <w:vAlign w:val="center"/>
          </w:tcPr>
          <w:p>
            <w:pPr>
              <w:spacing w:line="240" w:lineRule="auto"/>
              <w:ind w:firstLine="0" w:firstLineChars="0"/>
              <w:jc w:val="center"/>
              <w:rPr>
                <w:bCs/>
                <w:color w:val="auto"/>
                <w:sz w:val="21"/>
                <w:szCs w:val="21"/>
              </w:rPr>
            </w:pPr>
          </w:p>
        </w:tc>
        <w:tc>
          <w:tcPr>
            <w:tcW w:w="635" w:type="pct"/>
            <w:tcMar>
              <w:left w:w="0" w:type="dxa"/>
              <w:right w:w="0" w:type="dxa"/>
            </w:tcMar>
            <w:vAlign w:val="center"/>
          </w:tcPr>
          <w:p>
            <w:pPr>
              <w:spacing w:line="240" w:lineRule="auto"/>
              <w:ind w:firstLine="0" w:firstLineChars="0"/>
              <w:jc w:val="center"/>
              <w:rPr>
                <w:bCs/>
                <w:color w:val="auto"/>
                <w:sz w:val="21"/>
                <w:szCs w:val="21"/>
              </w:rPr>
            </w:pPr>
            <w:r>
              <w:rPr>
                <w:bCs/>
                <w:color w:val="auto"/>
                <w:sz w:val="21"/>
                <w:szCs w:val="21"/>
              </w:rPr>
              <w:t>SS</w:t>
            </w:r>
          </w:p>
        </w:tc>
        <w:tc>
          <w:tcPr>
            <w:tcW w:w="717" w:type="pct"/>
            <w:vAlign w:val="center"/>
          </w:tcPr>
          <w:p>
            <w:pPr>
              <w:spacing w:line="240" w:lineRule="auto"/>
              <w:ind w:firstLine="0" w:firstLineChars="0"/>
              <w:jc w:val="center"/>
              <w:rPr>
                <w:bCs/>
                <w:color w:val="auto"/>
                <w:sz w:val="21"/>
                <w:szCs w:val="21"/>
              </w:rPr>
            </w:pPr>
            <w:r>
              <w:rPr>
                <w:rFonts w:hint="eastAsia"/>
                <w:bCs/>
                <w:color w:val="auto"/>
                <w:sz w:val="21"/>
                <w:szCs w:val="21"/>
              </w:rPr>
              <w:t>15717</w:t>
            </w:r>
          </w:p>
        </w:tc>
        <w:tc>
          <w:tcPr>
            <w:tcW w:w="634" w:type="pct"/>
            <w:tcMar>
              <w:left w:w="0" w:type="dxa"/>
              <w:right w:w="0" w:type="dxa"/>
            </w:tcMar>
            <w:vAlign w:val="center"/>
          </w:tcPr>
          <w:p>
            <w:pPr>
              <w:spacing w:line="240" w:lineRule="auto"/>
              <w:ind w:firstLine="0" w:firstLineChars="0"/>
              <w:jc w:val="center"/>
              <w:rPr>
                <w:bCs/>
                <w:color w:val="auto"/>
                <w:sz w:val="21"/>
                <w:szCs w:val="21"/>
              </w:rPr>
            </w:pPr>
            <w:r>
              <w:rPr>
                <w:rFonts w:hint="eastAsia"/>
                <w:bCs/>
                <w:color w:val="auto"/>
                <w:sz w:val="21"/>
                <w:szCs w:val="21"/>
              </w:rPr>
              <w:t xml:space="preserve">753.419 </w:t>
            </w:r>
          </w:p>
        </w:tc>
        <w:tc>
          <w:tcPr>
            <w:tcW w:w="892" w:type="pct"/>
            <w:vMerge w:val="continue"/>
            <w:vAlign w:val="center"/>
          </w:tcPr>
          <w:p>
            <w:pPr>
              <w:ind w:firstLine="420"/>
              <w:jc w:val="center"/>
              <w:rPr>
                <w:bCs/>
                <w:color w:val="auto"/>
                <w:sz w:val="21"/>
                <w:szCs w:val="21"/>
                <w:u w:val="single"/>
              </w:rPr>
            </w:pPr>
          </w:p>
        </w:tc>
        <w:tc>
          <w:tcPr>
            <w:tcW w:w="684" w:type="pct"/>
            <w:vMerge w:val="continue"/>
            <w:tcMar>
              <w:left w:w="0" w:type="dxa"/>
              <w:right w:w="0" w:type="dxa"/>
            </w:tcMar>
            <w:vAlign w:val="center"/>
          </w:tcPr>
          <w:p>
            <w:pPr>
              <w:ind w:firstLine="420"/>
              <w:jc w:val="center"/>
              <w:rPr>
                <w:bCs/>
                <w:color w:val="auto"/>
                <w:sz w:val="21"/>
                <w:szCs w:val="21"/>
                <w:u w:val="single"/>
              </w:rPr>
            </w:pPr>
          </w:p>
        </w:tc>
      </w:tr>
      <w:tr>
        <w:tblPrEx>
          <w:tblBorders>
            <w:top w:val="single" w:color="auto" w:sz="2" w:space="0"/>
            <w:left w:val="none" w:color="auto" w:sz="0" w:space="0"/>
            <w:bottom w:val="sing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3" w:hRule="atLeast"/>
          <w:jc w:val="center"/>
        </w:trPr>
        <w:tc>
          <w:tcPr>
            <w:tcW w:w="798" w:type="pct"/>
            <w:vMerge w:val="continue"/>
            <w:tcMar>
              <w:left w:w="0" w:type="dxa"/>
              <w:right w:w="0" w:type="dxa"/>
            </w:tcMar>
            <w:vAlign w:val="center"/>
          </w:tcPr>
          <w:p>
            <w:pPr>
              <w:spacing w:line="240" w:lineRule="auto"/>
              <w:ind w:firstLine="0" w:firstLineChars="0"/>
              <w:jc w:val="center"/>
              <w:rPr>
                <w:bCs/>
                <w:color w:val="auto"/>
                <w:sz w:val="21"/>
                <w:szCs w:val="21"/>
              </w:rPr>
            </w:pPr>
          </w:p>
        </w:tc>
        <w:tc>
          <w:tcPr>
            <w:tcW w:w="636" w:type="pct"/>
            <w:vMerge w:val="continue"/>
            <w:vAlign w:val="center"/>
          </w:tcPr>
          <w:p>
            <w:pPr>
              <w:spacing w:line="240" w:lineRule="auto"/>
              <w:ind w:firstLine="0" w:firstLineChars="0"/>
              <w:jc w:val="center"/>
              <w:rPr>
                <w:bCs/>
                <w:color w:val="auto"/>
                <w:sz w:val="21"/>
                <w:szCs w:val="21"/>
              </w:rPr>
            </w:pPr>
          </w:p>
        </w:tc>
        <w:tc>
          <w:tcPr>
            <w:tcW w:w="635" w:type="pct"/>
            <w:tcBorders>
              <w:bottom w:val="single" w:color="auto" w:sz="4" w:space="0"/>
            </w:tcBorders>
            <w:tcMar>
              <w:left w:w="0" w:type="dxa"/>
              <w:right w:w="0" w:type="dxa"/>
            </w:tcMar>
            <w:vAlign w:val="center"/>
          </w:tcPr>
          <w:p>
            <w:pPr>
              <w:spacing w:line="240" w:lineRule="auto"/>
              <w:ind w:firstLine="0" w:firstLineChars="0"/>
              <w:jc w:val="center"/>
              <w:rPr>
                <w:bCs/>
                <w:color w:val="auto"/>
                <w:sz w:val="21"/>
                <w:szCs w:val="21"/>
              </w:rPr>
            </w:pPr>
            <w:r>
              <w:rPr>
                <w:bCs/>
                <w:color w:val="auto"/>
                <w:sz w:val="21"/>
                <w:szCs w:val="21"/>
              </w:rPr>
              <w:t>NH3-N</w:t>
            </w:r>
          </w:p>
        </w:tc>
        <w:tc>
          <w:tcPr>
            <w:tcW w:w="717" w:type="pct"/>
            <w:tcBorders>
              <w:bottom w:val="single" w:color="auto" w:sz="4" w:space="0"/>
            </w:tcBorders>
            <w:vAlign w:val="center"/>
          </w:tcPr>
          <w:p>
            <w:pPr>
              <w:spacing w:line="240" w:lineRule="auto"/>
              <w:ind w:firstLine="0" w:firstLineChars="0"/>
              <w:jc w:val="center"/>
              <w:rPr>
                <w:bCs/>
                <w:color w:val="auto"/>
                <w:sz w:val="21"/>
                <w:szCs w:val="21"/>
              </w:rPr>
            </w:pPr>
            <w:r>
              <w:rPr>
                <w:rFonts w:hint="eastAsia"/>
                <w:bCs/>
                <w:color w:val="auto"/>
                <w:sz w:val="21"/>
                <w:szCs w:val="21"/>
              </w:rPr>
              <w:t>1179</w:t>
            </w:r>
          </w:p>
        </w:tc>
        <w:tc>
          <w:tcPr>
            <w:tcW w:w="634" w:type="pct"/>
            <w:tcBorders>
              <w:bottom w:val="single" w:color="auto" w:sz="4" w:space="0"/>
            </w:tcBorders>
            <w:tcMar>
              <w:left w:w="0" w:type="dxa"/>
              <w:right w:w="0" w:type="dxa"/>
            </w:tcMar>
            <w:vAlign w:val="center"/>
          </w:tcPr>
          <w:p>
            <w:pPr>
              <w:spacing w:line="240" w:lineRule="auto"/>
              <w:ind w:firstLine="0" w:firstLineChars="0"/>
              <w:jc w:val="center"/>
              <w:rPr>
                <w:bCs/>
                <w:color w:val="auto"/>
                <w:sz w:val="21"/>
                <w:szCs w:val="21"/>
              </w:rPr>
            </w:pPr>
            <w:r>
              <w:rPr>
                <w:rFonts w:hint="eastAsia"/>
                <w:bCs/>
                <w:color w:val="auto"/>
                <w:sz w:val="21"/>
                <w:szCs w:val="21"/>
              </w:rPr>
              <w:t xml:space="preserve">56.517 </w:t>
            </w:r>
          </w:p>
        </w:tc>
        <w:tc>
          <w:tcPr>
            <w:tcW w:w="892" w:type="pct"/>
            <w:vMerge w:val="continue"/>
            <w:vAlign w:val="center"/>
          </w:tcPr>
          <w:p>
            <w:pPr>
              <w:ind w:firstLine="420"/>
              <w:jc w:val="center"/>
              <w:rPr>
                <w:bCs/>
                <w:color w:val="auto"/>
                <w:sz w:val="21"/>
                <w:szCs w:val="21"/>
                <w:u w:val="single"/>
              </w:rPr>
            </w:pPr>
          </w:p>
        </w:tc>
        <w:tc>
          <w:tcPr>
            <w:tcW w:w="684" w:type="pct"/>
            <w:vMerge w:val="continue"/>
            <w:tcMar>
              <w:left w:w="0" w:type="dxa"/>
              <w:right w:w="0" w:type="dxa"/>
            </w:tcMar>
            <w:vAlign w:val="center"/>
          </w:tcPr>
          <w:p>
            <w:pPr>
              <w:ind w:firstLine="420"/>
              <w:jc w:val="center"/>
              <w:rPr>
                <w:bCs/>
                <w:color w:val="auto"/>
                <w:sz w:val="21"/>
                <w:szCs w:val="21"/>
                <w:u w:val="single"/>
              </w:rPr>
            </w:pPr>
          </w:p>
        </w:tc>
      </w:tr>
      <w:tr>
        <w:tblPrEx>
          <w:tblBorders>
            <w:top w:val="single" w:color="auto" w:sz="2" w:space="0"/>
            <w:left w:val="none" w:color="auto" w:sz="0" w:space="0"/>
            <w:bottom w:val="sing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8" w:hRule="atLeast"/>
          <w:jc w:val="center"/>
        </w:trPr>
        <w:tc>
          <w:tcPr>
            <w:tcW w:w="798" w:type="pct"/>
            <w:vMerge w:val="continue"/>
            <w:tcMar>
              <w:left w:w="0" w:type="dxa"/>
              <w:right w:w="0" w:type="dxa"/>
            </w:tcMar>
            <w:vAlign w:val="center"/>
          </w:tcPr>
          <w:p>
            <w:pPr>
              <w:spacing w:line="240" w:lineRule="auto"/>
              <w:ind w:firstLine="0" w:firstLineChars="0"/>
              <w:jc w:val="center"/>
              <w:rPr>
                <w:bCs/>
                <w:color w:val="auto"/>
                <w:sz w:val="21"/>
                <w:szCs w:val="21"/>
              </w:rPr>
            </w:pPr>
          </w:p>
        </w:tc>
        <w:tc>
          <w:tcPr>
            <w:tcW w:w="636" w:type="pct"/>
            <w:vMerge w:val="continue"/>
            <w:vAlign w:val="center"/>
          </w:tcPr>
          <w:p>
            <w:pPr>
              <w:spacing w:line="240" w:lineRule="auto"/>
              <w:ind w:firstLine="0" w:firstLineChars="0"/>
              <w:jc w:val="center"/>
              <w:rPr>
                <w:bCs/>
                <w:color w:val="auto"/>
                <w:sz w:val="21"/>
                <w:szCs w:val="21"/>
              </w:rPr>
            </w:pPr>
          </w:p>
        </w:tc>
        <w:tc>
          <w:tcPr>
            <w:tcW w:w="635" w:type="pct"/>
            <w:tcBorders>
              <w:top w:val="single" w:color="auto" w:sz="4" w:space="0"/>
            </w:tcBorders>
            <w:tcMar>
              <w:left w:w="0" w:type="dxa"/>
              <w:right w:w="0" w:type="dxa"/>
            </w:tcMar>
            <w:vAlign w:val="center"/>
          </w:tcPr>
          <w:p>
            <w:pPr>
              <w:spacing w:line="240" w:lineRule="auto"/>
              <w:ind w:firstLine="0" w:firstLineChars="0"/>
              <w:jc w:val="center"/>
              <w:rPr>
                <w:bCs/>
                <w:color w:val="auto"/>
                <w:sz w:val="21"/>
                <w:szCs w:val="21"/>
              </w:rPr>
            </w:pPr>
            <w:r>
              <w:rPr>
                <w:bCs/>
                <w:color w:val="auto"/>
                <w:sz w:val="21"/>
                <w:szCs w:val="21"/>
              </w:rPr>
              <w:t>TP</w:t>
            </w:r>
          </w:p>
        </w:tc>
        <w:tc>
          <w:tcPr>
            <w:tcW w:w="717" w:type="pct"/>
            <w:tcBorders>
              <w:top w:val="single" w:color="auto" w:sz="4" w:space="0"/>
            </w:tcBorders>
            <w:vAlign w:val="center"/>
          </w:tcPr>
          <w:p>
            <w:pPr>
              <w:spacing w:line="240" w:lineRule="auto"/>
              <w:ind w:firstLine="0" w:firstLineChars="0"/>
              <w:jc w:val="center"/>
              <w:rPr>
                <w:bCs/>
                <w:color w:val="auto"/>
                <w:sz w:val="21"/>
                <w:szCs w:val="21"/>
              </w:rPr>
            </w:pPr>
            <w:r>
              <w:rPr>
                <w:rFonts w:hint="eastAsia"/>
                <w:bCs/>
                <w:color w:val="auto"/>
                <w:sz w:val="21"/>
                <w:szCs w:val="21"/>
              </w:rPr>
              <w:t>49</w:t>
            </w:r>
          </w:p>
        </w:tc>
        <w:tc>
          <w:tcPr>
            <w:tcW w:w="634" w:type="pct"/>
            <w:tcBorders>
              <w:top w:val="single" w:color="auto" w:sz="4" w:space="0"/>
            </w:tcBorders>
            <w:tcMar>
              <w:left w:w="0" w:type="dxa"/>
              <w:right w:w="0" w:type="dxa"/>
            </w:tcMar>
            <w:vAlign w:val="center"/>
          </w:tcPr>
          <w:p>
            <w:pPr>
              <w:spacing w:line="240" w:lineRule="auto"/>
              <w:ind w:firstLine="0" w:firstLineChars="0"/>
              <w:jc w:val="center"/>
              <w:rPr>
                <w:bCs/>
                <w:color w:val="auto"/>
                <w:sz w:val="21"/>
                <w:szCs w:val="21"/>
              </w:rPr>
            </w:pPr>
            <w:r>
              <w:rPr>
                <w:rFonts w:hint="eastAsia"/>
                <w:bCs/>
                <w:color w:val="auto"/>
                <w:sz w:val="21"/>
                <w:szCs w:val="21"/>
              </w:rPr>
              <w:t xml:space="preserve">2.349 </w:t>
            </w:r>
          </w:p>
        </w:tc>
        <w:tc>
          <w:tcPr>
            <w:tcW w:w="892" w:type="pct"/>
            <w:vMerge w:val="continue"/>
            <w:vAlign w:val="center"/>
          </w:tcPr>
          <w:p>
            <w:pPr>
              <w:ind w:firstLine="420"/>
              <w:jc w:val="center"/>
              <w:rPr>
                <w:bCs/>
                <w:color w:val="auto"/>
                <w:sz w:val="21"/>
                <w:szCs w:val="21"/>
                <w:u w:val="single"/>
              </w:rPr>
            </w:pPr>
          </w:p>
        </w:tc>
        <w:tc>
          <w:tcPr>
            <w:tcW w:w="684" w:type="pct"/>
            <w:vMerge w:val="continue"/>
            <w:tcMar>
              <w:left w:w="0" w:type="dxa"/>
              <w:right w:w="0" w:type="dxa"/>
            </w:tcMar>
            <w:vAlign w:val="center"/>
          </w:tcPr>
          <w:p>
            <w:pPr>
              <w:ind w:firstLine="420"/>
              <w:jc w:val="center"/>
              <w:rPr>
                <w:bCs/>
                <w:color w:val="auto"/>
                <w:sz w:val="21"/>
                <w:szCs w:val="21"/>
                <w:u w:val="single"/>
              </w:rPr>
            </w:pPr>
          </w:p>
        </w:tc>
      </w:tr>
      <w:tr>
        <w:tblPrEx>
          <w:tblBorders>
            <w:top w:val="single" w:color="auto" w:sz="2" w:space="0"/>
            <w:left w:val="none" w:color="auto" w:sz="0" w:space="0"/>
            <w:bottom w:val="sing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8" w:type="pct"/>
            <w:vMerge w:val="restart"/>
            <w:tcMar>
              <w:left w:w="0" w:type="dxa"/>
              <w:right w:w="0" w:type="dxa"/>
            </w:tcMar>
            <w:vAlign w:val="center"/>
          </w:tcPr>
          <w:p>
            <w:pPr>
              <w:spacing w:line="240" w:lineRule="auto"/>
              <w:ind w:firstLine="0" w:firstLineChars="0"/>
              <w:jc w:val="center"/>
              <w:rPr>
                <w:bCs/>
                <w:color w:val="auto"/>
                <w:sz w:val="21"/>
                <w:szCs w:val="21"/>
              </w:rPr>
            </w:pPr>
            <w:r>
              <w:rPr>
                <w:bCs/>
                <w:color w:val="auto"/>
                <w:sz w:val="21"/>
                <w:szCs w:val="21"/>
              </w:rPr>
              <w:t>固液分离后进入黑膜沼气池进水浓度</w:t>
            </w:r>
          </w:p>
        </w:tc>
        <w:tc>
          <w:tcPr>
            <w:tcW w:w="636" w:type="pct"/>
            <w:vMerge w:val="restart"/>
            <w:vAlign w:val="center"/>
          </w:tcPr>
          <w:p>
            <w:pPr>
              <w:spacing w:line="240" w:lineRule="auto"/>
              <w:ind w:firstLine="0" w:firstLineChars="0"/>
              <w:jc w:val="center"/>
              <w:rPr>
                <w:bCs/>
                <w:color w:val="auto"/>
                <w:sz w:val="21"/>
                <w:szCs w:val="21"/>
              </w:rPr>
            </w:pPr>
            <w:r>
              <w:rPr>
                <w:rFonts w:hint="eastAsia"/>
                <w:bCs/>
                <w:color w:val="auto"/>
                <w:sz w:val="21"/>
                <w:szCs w:val="21"/>
              </w:rPr>
              <w:t>46919.655</w:t>
            </w:r>
          </w:p>
        </w:tc>
        <w:tc>
          <w:tcPr>
            <w:tcW w:w="635" w:type="pct"/>
            <w:tcMar>
              <w:left w:w="0" w:type="dxa"/>
              <w:right w:w="0" w:type="dxa"/>
            </w:tcMar>
            <w:vAlign w:val="center"/>
          </w:tcPr>
          <w:p>
            <w:pPr>
              <w:spacing w:line="240" w:lineRule="auto"/>
              <w:ind w:firstLine="0" w:firstLineChars="0"/>
              <w:jc w:val="center"/>
              <w:rPr>
                <w:bCs/>
                <w:color w:val="auto"/>
                <w:sz w:val="21"/>
                <w:szCs w:val="21"/>
              </w:rPr>
            </w:pPr>
            <w:r>
              <w:rPr>
                <w:bCs/>
                <w:color w:val="auto"/>
                <w:sz w:val="21"/>
                <w:szCs w:val="21"/>
              </w:rPr>
              <w:t>COD</w:t>
            </w:r>
          </w:p>
        </w:tc>
        <w:tc>
          <w:tcPr>
            <w:tcW w:w="717" w:type="pct"/>
            <w:vAlign w:val="center"/>
          </w:tcPr>
          <w:p>
            <w:pPr>
              <w:spacing w:line="240" w:lineRule="auto"/>
              <w:ind w:firstLine="0" w:firstLineChars="0"/>
              <w:jc w:val="center"/>
              <w:rPr>
                <w:bCs/>
                <w:color w:val="auto"/>
                <w:sz w:val="21"/>
                <w:szCs w:val="21"/>
              </w:rPr>
            </w:pPr>
            <w:r>
              <w:rPr>
                <w:rFonts w:hint="eastAsia"/>
                <w:bCs/>
                <w:color w:val="auto"/>
                <w:sz w:val="21"/>
                <w:szCs w:val="21"/>
              </w:rPr>
              <w:t>14000</w:t>
            </w:r>
          </w:p>
        </w:tc>
        <w:tc>
          <w:tcPr>
            <w:tcW w:w="634" w:type="pct"/>
            <w:tcMar>
              <w:left w:w="0" w:type="dxa"/>
              <w:right w:w="0" w:type="dxa"/>
            </w:tcMar>
            <w:vAlign w:val="center"/>
          </w:tcPr>
          <w:p>
            <w:pPr>
              <w:spacing w:line="240" w:lineRule="auto"/>
              <w:ind w:firstLine="0" w:firstLineChars="0"/>
              <w:jc w:val="center"/>
              <w:rPr>
                <w:bCs/>
                <w:color w:val="auto"/>
                <w:sz w:val="21"/>
                <w:szCs w:val="21"/>
              </w:rPr>
            </w:pPr>
            <w:r>
              <w:rPr>
                <w:rFonts w:hint="eastAsia"/>
                <w:bCs/>
                <w:color w:val="auto"/>
                <w:sz w:val="21"/>
                <w:szCs w:val="21"/>
              </w:rPr>
              <w:t xml:space="preserve">656.875 </w:t>
            </w:r>
          </w:p>
        </w:tc>
        <w:tc>
          <w:tcPr>
            <w:tcW w:w="892" w:type="pct"/>
            <w:vMerge w:val="continue"/>
            <w:vAlign w:val="center"/>
          </w:tcPr>
          <w:p>
            <w:pPr>
              <w:ind w:firstLine="420"/>
              <w:jc w:val="center"/>
              <w:rPr>
                <w:bCs/>
                <w:color w:val="auto"/>
                <w:sz w:val="21"/>
                <w:szCs w:val="21"/>
                <w:u w:val="single"/>
              </w:rPr>
            </w:pPr>
          </w:p>
        </w:tc>
        <w:tc>
          <w:tcPr>
            <w:tcW w:w="684" w:type="pct"/>
            <w:vMerge w:val="continue"/>
            <w:tcMar>
              <w:left w:w="0" w:type="dxa"/>
              <w:right w:w="0" w:type="dxa"/>
            </w:tcMar>
            <w:vAlign w:val="center"/>
          </w:tcPr>
          <w:p>
            <w:pPr>
              <w:ind w:firstLine="420"/>
              <w:jc w:val="center"/>
              <w:rPr>
                <w:bCs/>
                <w:color w:val="auto"/>
                <w:sz w:val="21"/>
                <w:szCs w:val="21"/>
                <w:u w:val="single"/>
              </w:rPr>
            </w:pPr>
          </w:p>
        </w:tc>
      </w:tr>
      <w:tr>
        <w:tblPrEx>
          <w:tblBorders>
            <w:top w:val="single" w:color="auto" w:sz="2" w:space="0"/>
            <w:left w:val="none" w:color="auto" w:sz="0" w:space="0"/>
            <w:bottom w:val="sing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8" w:type="pct"/>
            <w:vMerge w:val="continue"/>
            <w:tcMar>
              <w:left w:w="0" w:type="dxa"/>
              <w:right w:w="0" w:type="dxa"/>
            </w:tcMar>
            <w:vAlign w:val="center"/>
          </w:tcPr>
          <w:p>
            <w:pPr>
              <w:spacing w:line="240" w:lineRule="auto"/>
              <w:ind w:firstLine="0" w:firstLineChars="0"/>
              <w:jc w:val="center"/>
              <w:rPr>
                <w:bCs/>
                <w:color w:val="auto"/>
                <w:sz w:val="21"/>
                <w:szCs w:val="21"/>
              </w:rPr>
            </w:pPr>
          </w:p>
        </w:tc>
        <w:tc>
          <w:tcPr>
            <w:tcW w:w="636" w:type="pct"/>
            <w:vMerge w:val="continue"/>
            <w:vAlign w:val="center"/>
          </w:tcPr>
          <w:p>
            <w:pPr>
              <w:spacing w:line="240" w:lineRule="auto"/>
              <w:ind w:firstLine="0" w:firstLineChars="0"/>
              <w:jc w:val="center"/>
              <w:rPr>
                <w:bCs/>
                <w:color w:val="auto"/>
                <w:sz w:val="21"/>
                <w:szCs w:val="21"/>
              </w:rPr>
            </w:pPr>
          </w:p>
        </w:tc>
        <w:tc>
          <w:tcPr>
            <w:tcW w:w="635" w:type="pct"/>
            <w:tcMar>
              <w:left w:w="0" w:type="dxa"/>
              <w:right w:w="0" w:type="dxa"/>
            </w:tcMar>
            <w:vAlign w:val="center"/>
          </w:tcPr>
          <w:p>
            <w:pPr>
              <w:spacing w:line="240" w:lineRule="auto"/>
              <w:ind w:firstLine="0" w:firstLineChars="0"/>
              <w:jc w:val="center"/>
              <w:rPr>
                <w:bCs/>
                <w:color w:val="auto"/>
                <w:sz w:val="21"/>
                <w:szCs w:val="21"/>
              </w:rPr>
            </w:pPr>
            <w:r>
              <w:rPr>
                <w:bCs/>
                <w:color w:val="auto"/>
                <w:sz w:val="21"/>
                <w:szCs w:val="21"/>
              </w:rPr>
              <w:t>BOD5</w:t>
            </w:r>
          </w:p>
        </w:tc>
        <w:tc>
          <w:tcPr>
            <w:tcW w:w="717" w:type="pct"/>
            <w:vAlign w:val="center"/>
          </w:tcPr>
          <w:p>
            <w:pPr>
              <w:spacing w:line="240" w:lineRule="auto"/>
              <w:ind w:firstLine="0" w:firstLineChars="0"/>
              <w:jc w:val="center"/>
              <w:rPr>
                <w:bCs/>
                <w:color w:val="auto"/>
                <w:sz w:val="21"/>
                <w:szCs w:val="21"/>
              </w:rPr>
            </w:pPr>
            <w:r>
              <w:rPr>
                <w:rFonts w:hint="eastAsia"/>
                <w:bCs/>
                <w:color w:val="auto"/>
                <w:sz w:val="21"/>
                <w:szCs w:val="21"/>
              </w:rPr>
              <w:t>6000</w:t>
            </w:r>
          </w:p>
        </w:tc>
        <w:tc>
          <w:tcPr>
            <w:tcW w:w="634" w:type="pct"/>
            <w:tcMar>
              <w:left w:w="0" w:type="dxa"/>
              <w:right w:w="0" w:type="dxa"/>
            </w:tcMar>
            <w:vAlign w:val="center"/>
          </w:tcPr>
          <w:p>
            <w:pPr>
              <w:spacing w:line="240" w:lineRule="auto"/>
              <w:ind w:firstLine="0" w:firstLineChars="0"/>
              <w:jc w:val="center"/>
              <w:rPr>
                <w:bCs/>
                <w:color w:val="auto"/>
                <w:sz w:val="21"/>
                <w:szCs w:val="21"/>
              </w:rPr>
            </w:pPr>
            <w:r>
              <w:rPr>
                <w:rFonts w:hint="eastAsia"/>
                <w:bCs/>
                <w:color w:val="auto"/>
                <w:sz w:val="21"/>
                <w:szCs w:val="21"/>
              </w:rPr>
              <w:t xml:space="preserve">281.518 </w:t>
            </w:r>
          </w:p>
        </w:tc>
        <w:tc>
          <w:tcPr>
            <w:tcW w:w="892" w:type="pct"/>
            <w:vMerge w:val="continue"/>
            <w:vAlign w:val="center"/>
          </w:tcPr>
          <w:p>
            <w:pPr>
              <w:ind w:firstLine="420"/>
              <w:jc w:val="center"/>
              <w:rPr>
                <w:bCs/>
                <w:color w:val="auto"/>
                <w:sz w:val="21"/>
                <w:szCs w:val="21"/>
                <w:u w:val="single"/>
              </w:rPr>
            </w:pPr>
          </w:p>
        </w:tc>
        <w:tc>
          <w:tcPr>
            <w:tcW w:w="684" w:type="pct"/>
            <w:vMerge w:val="continue"/>
            <w:tcMar>
              <w:left w:w="0" w:type="dxa"/>
              <w:right w:w="0" w:type="dxa"/>
            </w:tcMar>
            <w:vAlign w:val="center"/>
          </w:tcPr>
          <w:p>
            <w:pPr>
              <w:ind w:firstLine="420"/>
              <w:jc w:val="center"/>
              <w:rPr>
                <w:bCs/>
                <w:color w:val="auto"/>
                <w:sz w:val="21"/>
                <w:szCs w:val="21"/>
                <w:u w:val="single"/>
              </w:rPr>
            </w:pPr>
          </w:p>
        </w:tc>
      </w:tr>
      <w:tr>
        <w:tblPrEx>
          <w:tblBorders>
            <w:top w:val="single" w:color="auto" w:sz="2" w:space="0"/>
            <w:left w:val="none" w:color="auto" w:sz="0" w:space="0"/>
            <w:bottom w:val="sing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8" w:type="pct"/>
            <w:vMerge w:val="continue"/>
            <w:tcMar>
              <w:left w:w="0" w:type="dxa"/>
              <w:right w:w="0" w:type="dxa"/>
            </w:tcMar>
            <w:vAlign w:val="center"/>
          </w:tcPr>
          <w:p>
            <w:pPr>
              <w:spacing w:line="240" w:lineRule="auto"/>
              <w:ind w:firstLine="0" w:firstLineChars="0"/>
              <w:jc w:val="center"/>
              <w:rPr>
                <w:bCs/>
                <w:color w:val="auto"/>
                <w:sz w:val="21"/>
                <w:szCs w:val="21"/>
              </w:rPr>
            </w:pPr>
          </w:p>
        </w:tc>
        <w:tc>
          <w:tcPr>
            <w:tcW w:w="636" w:type="pct"/>
            <w:vMerge w:val="continue"/>
            <w:vAlign w:val="center"/>
          </w:tcPr>
          <w:p>
            <w:pPr>
              <w:spacing w:line="240" w:lineRule="auto"/>
              <w:ind w:firstLine="0" w:firstLineChars="0"/>
              <w:jc w:val="center"/>
              <w:rPr>
                <w:bCs/>
                <w:color w:val="auto"/>
                <w:sz w:val="21"/>
                <w:szCs w:val="21"/>
              </w:rPr>
            </w:pPr>
          </w:p>
        </w:tc>
        <w:tc>
          <w:tcPr>
            <w:tcW w:w="635" w:type="pct"/>
            <w:tcMar>
              <w:left w:w="0" w:type="dxa"/>
              <w:right w:w="0" w:type="dxa"/>
            </w:tcMar>
            <w:vAlign w:val="center"/>
          </w:tcPr>
          <w:p>
            <w:pPr>
              <w:spacing w:line="240" w:lineRule="auto"/>
              <w:ind w:firstLine="0" w:firstLineChars="0"/>
              <w:jc w:val="center"/>
              <w:rPr>
                <w:bCs/>
                <w:color w:val="auto"/>
                <w:sz w:val="21"/>
                <w:szCs w:val="21"/>
              </w:rPr>
            </w:pPr>
            <w:r>
              <w:rPr>
                <w:bCs/>
                <w:color w:val="auto"/>
                <w:sz w:val="21"/>
                <w:szCs w:val="21"/>
              </w:rPr>
              <w:t>SS</w:t>
            </w:r>
          </w:p>
        </w:tc>
        <w:tc>
          <w:tcPr>
            <w:tcW w:w="717" w:type="pct"/>
            <w:vAlign w:val="center"/>
          </w:tcPr>
          <w:p>
            <w:pPr>
              <w:spacing w:line="240" w:lineRule="auto"/>
              <w:ind w:firstLine="0" w:firstLineChars="0"/>
              <w:jc w:val="center"/>
              <w:rPr>
                <w:bCs/>
                <w:color w:val="auto"/>
                <w:sz w:val="21"/>
                <w:szCs w:val="21"/>
              </w:rPr>
            </w:pPr>
            <w:r>
              <w:rPr>
                <w:rFonts w:hint="eastAsia"/>
                <w:bCs/>
                <w:color w:val="auto"/>
                <w:sz w:val="21"/>
                <w:szCs w:val="21"/>
              </w:rPr>
              <w:t>7800</w:t>
            </w:r>
          </w:p>
        </w:tc>
        <w:tc>
          <w:tcPr>
            <w:tcW w:w="634" w:type="pct"/>
            <w:tcMar>
              <w:left w:w="0" w:type="dxa"/>
              <w:right w:w="0" w:type="dxa"/>
            </w:tcMar>
            <w:vAlign w:val="center"/>
          </w:tcPr>
          <w:p>
            <w:pPr>
              <w:spacing w:line="240" w:lineRule="auto"/>
              <w:ind w:firstLine="0" w:firstLineChars="0"/>
              <w:jc w:val="center"/>
              <w:rPr>
                <w:bCs/>
                <w:color w:val="auto"/>
                <w:sz w:val="21"/>
                <w:szCs w:val="21"/>
              </w:rPr>
            </w:pPr>
            <w:r>
              <w:rPr>
                <w:rFonts w:hint="eastAsia"/>
                <w:bCs/>
                <w:color w:val="auto"/>
                <w:sz w:val="21"/>
                <w:szCs w:val="21"/>
              </w:rPr>
              <w:t xml:space="preserve">365.973 </w:t>
            </w:r>
          </w:p>
        </w:tc>
        <w:tc>
          <w:tcPr>
            <w:tcW w:w="892" w:type="pct"/>
            <w:vMerge w:val="continue"/>
            <w:vAlign w:val="center"/>
          </w:tcPr>
          <w:p>
            <w:pPr>
              <w:ind w:firstLine="420"/>
              <w:jc w:val="center"/>
              <w:rPr>
                <w:bCs/>
                <w:color w:val="auto"/>
                <w:sz w:val="21"/>
                <w:szCs w:val="21"/>
                <w:u w:val="single"/>
              </w:rPr>
            </w:pPr>
          </w:p>
        </w:tc>
        <w:tc>
          <w:tcPr>
            <w:tcW w:w="684" w:type="pct"/>
            <w:vMerge w:val="continue"/>
            <w:tcMar>
              <w:left w:w="0" w:type="dxa"/>
              <w:right w:w="0" w:type="dxa"/>
            </w:tcMar>
            <w:vAlign w:val="center"/>
          </w:tcPr>
          <w:p>
            <w:pPr>
              <w:ind w:firstLine="420"/>
              <w:jc w:val="center"/>
              <w:rPr>
                <w:bCs/>
                <w:color w:val="auto"/>
                <w:sz w:val="21"/>
                <w:szCs w:val="21"/>
                <w:u w:val="single"/>
              </w:rPr>
            </w:pPr>
          </w:p>
        </w:tc>
      </w:tr>
      <w:tr>
        <w:tblPrEx>
          <w:tblBorders>
            <w:top w:val="single" w:color="auto" w:sz="2" w:space="0"/>
            <w:left w:val="none" w:color="auto" w:sz="0" w:space="0"/>
            <w:bottom w:val="sing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3" w:hRule="atLeast"/>
          <w:jc w:val="center"/>
        </w:trPr>
        <w:tc>
          <w:tcPr>
            <w:tcW w:w="798" w:type="pct"/>
            <w:vMerge w:val="continue"/>
            <w:tcMar>
              <w:left w:w="0" w:type="dxa"/>
              <w:right w:w="0" w:type="dxa"/>
            </w:tcMar>
            <w:vAlign w:val="center"/>
          </w:tcPr>
          <w:p>
            <w:pPr>
              <w:spacing w:line="240" w:lineRule="auto"/>
              <w:ind w:firstLine="0" w:firstLineChars="0"/>
              <w:jc w:val="center"/>
              <w:rPr>
                <w:bCs/>
                <w:color w:val="auto"/>
                <w:sz w:val="21"/>
                <w:szCs w:val="21"/>
              </w:rPr>
            </w:pPr>
          </w:p>
        </w:tc>
        <w:tc>
          <w:tcPr>
            <w:tcW w:w="636" w:type="pct"/>
            <w:vMerge w:val="continue"/>
            <w:vAlign w:val="center"/>
          </w:tcPr>
          <w:p>
            <w:pPr>
              <w:spacing w:line="240" w:lineRule="auto"/>
              <w:ind w:firstLine="0" w:firstLineChars="0"/>
              <w:jc w:val="center"/>
              <w:rPr>
                <w:bCs/>
                <w:color w:val="auto"/>
                <w:sz w:val="21"/>
                <w:szCs w:val="21"/>
              </w:rPr>
            </w:pPr>
          </w:p>
        </w:tc>
        <w:tc>
          <w:tcPr>
            <w:tcW w:w="635" w:type="pct"/>
            <w:tcBorders>
              <w:bottom w:val="single" w:color="auto" w:sz="4" w:space="0"/>
            </w:tcBorders>
            <w:tcMar>
              <w:left w:w="0" w:type="dxa"/>
              <w:right w:w="0" w:type="dxa"/>
            </w:tcMar>
            <w:vAlign w:val="center"/>
          </w:tcPr>
          <w:p>
            <w:pPr>
              <w:spacing w:line="240" w:lineRule="auto"/>
              <w:ind w:firstLine="0" w:firstLineChars="0"/>
              <w:jc w:val="center"/>
              <w:rPr>
                <w:bCs/>
                <w:color w:val="auto"/>
                <w:sz w:val="21"/>
                <w:szCs w:val="21"/>
              </w:rPr>
            </w:pPr>
            <w:r>
              <w:rPr>
                <w:bCs/>
                <w:color w:val="auto"/>
                <w:sz w:val="21"/>
                <w:szCs w:val="21"/>
              </w:rPr>
              <w:t>NH3-N</w:t>
            </w:r>
          </w:p>
        </w:tc>
        <w:tc>
          <w:tcPr>
            <w:tcW w:w="717" w:type="pct"/>
            <w:tcBorders>
              <w:bottom w:val="single" w:color="auto" w:sz="4" w:space="0"/>
            </w:tcBorders>
            <w:vAlign w:val="center"/>
          </w:tcPr>
          <w:p>
            <w:pPr>
              <w:spacing w:line="240" w:lineRule="auto"/>
              <w:ind w:firstLine="0" w:firstLineChars="0"/>
              <w:jc w:val="center"/>
              <w:rPr>
                <w:bCs/>
                <w:color w:val="auto"/>
                <w:sz w:val="21"/>
                <w:szCs w:val="21"/>
              </w:rPr>
            </w:pPr>
            <w:r>
              <w:rPr>
                <w:rFonts w:hint="eastAsia"/>
                <w:bCs/>
                <w:color w:val="auto"/>
                <w:sz w:val="21"/>
                <w:szCs w:val="21"/>
              </w:rPr>
              <w:t>1000</w:t>
            </w:r>
          </w:p>
        </w:tc>
        <w:tc>
          <w:tcPr>
            <w:tcW w:w="634" w:type="pct"/>
            <w:tcBorders>
              <w:bottom w:val="single" w:color="auto" w:sz="4" w:space="0"/>
            </w:tcBorders>
            <w:tcMar>
              <w:left w:w="0" w:type="dxa"/>
              <w:right w:w="0" w:type="dxa"/>
            </w:tcMar>
            <w:vAlign w:val="center"/>
          </w:tcPr>
          <w:p>
            <w:pPr>
              <w:spacing w:line="240" w:lineRule="auto"/>
              <w:ind w:firstLine="0" w:firstLineChars="0"/>
              <w:jc w:val="center"/>
              <w:rPr>
                <w:bCs/>
                <w:color w:val="auto"/>
                <w:sz w:val="21"/>
                <w:szCs w:val="21"/>
              </w:rPr>
            </w:pPr>
            <w:r>
              <w:rPr>
                <w:rFonts w:hint="eastAsia"/>
                <w:bCs/>
                <w:color w:val="auto"/>
                <w:sz w:val="21"/>
                <w:szCs w:val="21"/>
              </w:rPr>
              <w:t xml:space="preserve">46.920 </w:t>
            </w:r>
          </w:p>
        </w:tc>
        <w:tc>
          <w:tcPr>
            <w:tcW w:w="892" w:type="pct"/>
            <w:vMerge w:val="continue"/>
            <w:vAlign w:val="center"/>
          </w:tcPr>
          <w:p>
            <w:pPr>
              <w:ind w:firstLine="420"/>
              <w:jc w:val="center"/>
              <w:rPr>
                <w:bCs/>
                <w:color w:val="auto"/>
                <w:sz w:val="21"/>
                <w:szCs w:val="21"/>
                <w:u w:val="single"/>
              </w:rPr>
            </w:pPr>
          </w:p>
        </w:tc>
        <w:tc>
          <w:tcPr>
            <w:tcW w:w="684" w:type="pct"/>
            <w:vMerge w:val="continue"/>
            <w:tcMar>
              <w:left w:w="0" w:type="dxa"/>
              <w:right w:w="0" w:type="dxa"/>
            </w:tcMar>
            <w:vAlign w:val="center"/>
          </w:tcPr>
          <w:p>
            <w:pPr>
              <w:ind w:firstLine="420"/>
              <w:jc w:val="center"/>
              <w:rPr>
                <w:bCs/>
                <w:color w:val="auto"/>
                <w:sz w:val="21"/>
                <w:szCs w:val="21"/>
                <w:u w:val="single"/>
              </w:rPr>
            </w:pPr>
          </w:p>
        </w:tc>
      </w:tr>
      <w:tr>
        <w:tblPrEx>
          <w:tblBorders>
            <w:top w:val="single" w:color="auto" w:sz="2" w:space="0"/>
            <w:left w:val="none" w:color="auto" w:sz="0" w:space="0"/>
            <w:bottom w:val="sing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8" w:hRule="atLeast"/>
          <w:jc w:val="center"/>
        </w:trPr>
        <w:tc>
          <w:tcPr>
            <w:tcW w:w="798" w:type="pct"/>
            <w:vMerge w:val="continue"/>
            <w:tcMar>
              <w:left w:w="0" w:type="dxa"/>
              <w:right w:w="0" w:type="dxa"/>
            </w:tcMar>
            <w:vAlign w:val="center"/>
          </w:tcPr>
          <w:p>
            <w:pPr>
              <w:spacing w:line="240" w:lineRule="auto"/>
              <w:ind w:firstLine="0" w:firstLineChars="0"/>
              <w:jc w:val="center"/>
              <w:rPr>
                <w:bCs/>
                <w:color w:val="auto"/>
                <w:sz w:val="21"/>
                <w:szCs w:val="21"/>
              </w:rPr>
            </w:pPr>
          </w:p>
        </w:tc>
        <w:tc>
          <w:tcPr>
            <w:tcW w:w="636" w:type="pct"/>
            <w:vMerge w:val="continue"/>
            <w:vAlign w:val="center"/>
          </w:tcPr>
          <w:p>
            <w:pPr>
              <w:spacing w:line="240" w:lineRule="auto"/>
              <w:ind w:firstLine="0" w:firstLineChars="0"/>
              <w:jc w:val="center"/>
              <w:rPr>
                <w:bCs/>
                <w:color w:val="auto"/>
                <w:sz w:val="21"/>
                <w:szCs w:val="21"/>
              </w:rPr>
            </w:pPr>
          </w:p>
        </w:tc>
        <w:tc>
          <w:tcPr>
            <w:tcW w:w="635" w:type="pct"/>
            <w:tcBorders>
              <w:top w:val="single" w:color="auto" w:sz="4" w:space="0"/>
            </w:tcBorders>
            <w:tcMar>
              <w:left w:w="0" w:type="dxa"/>
              <w:right w:w="0" w:type="dxa"/>
            </w:tcMar>
            <w:vAlign w:val="center"/>
          </w:tcPr>
          <w:p>
            <w:pPr>
              <w:spacing w:line="240" w:lineRule="auto"/>
              <w:ind w:firstLine="0" w:firstLineChars="0"/>
              <w:jc w:val="center"/>
              <w:rPr>
                <w:bCs/>
                <w:color w:val="auto"/>
                <w:sz w:val="21"/>
                <w:szCs w:val="21"/>
              </w:rPr>
            </w:pPr>
            <w:r>
              <w:rPr>
                <w:bCs/>
                <w:color w:val="auto"/>
                <w:sz w:val="21"/>
                <w:szCs w:val="21"/>
              </w:rPr>
              <w:t>TP</w:t>
            </w:r>
          </w:p>
        </w:tc>
        <w:tc>
          <w:tcPr>
            <w:tcW w:w="717" w:type="pct"/>
            <w:tcBorders>
              <w:top w:val="single" w:color="auto" w:sz="4" w:space="0"/>
            </w:tcBorders>
            <w:vAlign w:val="center"/>
          </w:tcPr>
          <w:p>
            <w:pPr>
              <w:spacing w:line="240" w:lineRule="auto"/>
              <w:ind w:firstLine="0" w:firstLineChars="0"/>
              <w:jc w:val="center"/>
              <w:rPr>
                <w:bCs/>
                <w:color w:val="auto"/>
                <w:sz w:val="21"/>
                <w:szCs w:val="21"/>
              </w:rPr>
            </w:pPr>
            <w:r>
              <w:rPr>
                <w:rFonts w:hint="eastAsia"/>
                <w:bCs/>
                <w:color w:val="auto"/>
                <w:sz w:val="21"/>
                <w:szCs w:val="21"/>
              </w:rPr>
              <w:t>40</w:t>
            </w:r>
          </w:p>
        </w:tc>
        <w:tc>
          <w:tcPr>
            <w:tcW w:w="634" w:type="pct"/>
            <w:tcBorders>
              <w:top w:val="single" w:color="auto" w:sz="4" w:space="0"/>
            </w:tcBorders>
            <w:tcMar>
              <w:left w:w="0" w:type="dxa"/>
              <w:right w:w="0" w:type="dxa"/>
            </w:tcMar>
            <w:vAlign w:val="center"/>
          </w:tcPr>
          <w:p>
            <w:pPr>
              <w:spacing w:line="240" w:lineRule="auto"/>
              <w:ind w:firstLine="0" w:firstLineChars="0"/>
              <w:jc w:val="center"/>
              <w:rPr>
                <w:bCs/>
                <w:color w:val="auto"/>
                <w:sz w:val="21"/>
                <w:szCs w:val="21"/>
              </w:rPr>
            </w:pPr>
            <w:r>
              <w:rPr>
                <w:rFonts w:hint="eastAsia"/>
                <w:bCs/>
                <w:color w:val="auto"/>
                <w:sz w:val="21"/>
                <w:szCs w:val="21"/>
              </w:rPr>
              <w:t xml:space="preserve">1.877 </w:t>
            </w:r>
          </w:p>
        </w:tc>
        <w:tc>
          <w:tcPr>
            <w:tcW w:w="892" w:type="pct"/>
            <w:vMerge w:val="continue"/>
            <w:vAlign w:val="center"/>
          </w:tcPr>
          <w:p>
            <w:pPr>
              <w:ind w:firstLine="420"/>
              <w:jc w:val="center"/>
              <w:rPr>
                <w:bCs/>
                <w:color w:val="auto"/>
                <w:sz w:val="21"/>
                <w:szCs w:val="21"/>
                <w:u w:val="single"/>
              </w:rPr>
            </w:pPr>
          </w:p>
        </w:tc>
        <w:tc>
          <w:tcPr>
            <w:tcW w:w="684" w:type="pct"/>
            <w:vMerge w:val="continue"/>
            <w:tcMar>
              <w:left w:w="0" w:type="dxa"/>
              <w:right w:w="0" w:type="dxa"/>
            </w:tcMar>
            <w:vAlign w:val="center"/>
          </w:tcPr>
          <w:p>
            <w:pPr>
              <w:ind w:firstLine="420"/>
              <w:jc w:val="center"/>
              <w:rPr>
                <w:bCs/>
                <w:color w:val="auto"/>
                <w:sz w:val="21"/>
                <w:szCs w:val="21"/>
                <w:u w:val="single"/>
              </w:rPr>
            </w:pPr>
          </w:p>
        </w:tc>
      </w:tr>
      <w:tr>
        <w:tblPrEx>
          <w:tblBorders>
            <w:top w:val="single" w:color="auto" w:sz="2" w:space="0"/>
            <w:left w:val="none" w:color="auto" w:sz="0" w:space="0"/>
            <w:bottom w:val="sing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8" w:type="pct"/>
            <w:vMerge w:val="restart"/>
            <w:tcMar>
              <w:left w:w="0" w:type="dxa"/>
              <w:right w:w="0" w:type="dxa"/>
            </w:tcMar>
            <w:vAlign w:val="center"/>
          </w:tcPr>
          <w:p>
            <w:pPr>
              <w:spacing w:line="240" w:lineRule="auto"/>
              <w:ind w:firstLine="0" w:firstLineChars="0"/>
              <w:jc w:val="center"/>
              <w:rPr>
                <w:bCs/>
                <w:color w:val="auto"/>
                <w:sz w:val="21"/>
                <w:szCs w:val="21"/>
              </w:rPr>
            </w:pPr>
            <w:r>
              <w:rPr>
                <w:bCs/>
                <w:color w:val="auto"/>
                <w:sz w:val="21"/>
                <w:szCs w:val="21"/>
              </w:rPr>
              <w:t>污水处理系统</w:t>
            </w:r>
          </w:p>
          <w:p>
            <w:pPr>
              <w:spacing w:line="240" w:lineRule="auto"/>
              <w:ind w:firstLine="0" w:firstLineChars="0"/>
              <w:jc w:val="center"/>
              <w:rPr>
                <w:bCs/>
                <w:color w:val="auto"/>
                <w:sz w:val="21"/>
                <w:szCs w:val="21"/>
              </w:rPr>
            </w:pPr>
            <w:r>
              <w:rPr>
                <w:bCs/>
                <w:color w:val="auto"/>
                <w:sz w:val="21"/>
                <w:szCs w:val="21"/>
              </w:rPr>
              <w:t>出口</w:t>
            </w:r>
          </w:p>
        </w:tc>
        <w:tc>
          <w:tcPr>
            <w:tcW w:w="636" w:type="pct"/>
            <w:vMerge w:val="restart"/>
            <w:vAlign w:val="center"/>
          </w:tcPr>
          <w:p>
            <w:pPr>
              <w:spacing w:line="240" w:lineRule="auto"/>
              <w:ind w:firstLine="0" w:firstLineChars="0"/>
              <w:jc w:val="center"/>
              <w:rPr>
                <w:bCs/>
                <w:color w:val="auto"/>
                <w:sz w:val="21"/>
                <w:szCs w:val="21"/>
              </w:rPr>
            </w:pPr>
            <w:r>
              <w:rPr>
                <w:rFonts w:hint="eastAsia"/>
                <w:bCs/>
                <w:color w:val="auto"/>
                <w:sz w:val="21"/>
                <w:szCs w:val="21"/>
              </w:rPr>
              <w:t>45828.305</w:t>
            </w:r>
          </w:p>
        </w:tc>
        <w:tc>
          <w:tcPr>
            <w:tcW w:w="635" w:type="pct"/>
            <w:tcMar>
              <w:left w:w="0" w:type="dxa"/>
              <w:right w:w="0" w:type="dxa"/>
            </w:tcMar>
            <w:vAlign w:val="center"/>
          </w:tcPr>
          <w:p>
            <w:pPr>
              <w:spacing w:line="240" w:lineRule="auto"/>
              <w:ind w:firstLine="0" w:firstLineChars="0"/>
              <w:jc w:val="center"/>
              <w:rPr>
                <w:bCs/>
                <w:color w:val="auto"/>
                <w:sz w:val="21"/>
                <w:szCs w:val="21"/>
              </w:rPr>
            </w:pPr>
            <w:r>
              <w:rPr>
                <w:bCs/>
                <w:color w:val="auto"/>
                <w:sz w:val="21"/>
                <w:szCs w:val="21"/>
              </w:rPr>
              <w:t>COD</w:t>
            </w:r>
          </w:p>
        </w:tc>
        <w:tc>
          <w:tcPr>
            <w:tcW w:w="717" w:type="pct"/>
            <w:vAlign w:val="center"/>
          </w:tcPr>
          <w:p>
            <w:pPr>
              <w:spacing w:line="240" w:lineRule="auto"/>
              <w:ind w:firstLine="0" w:firstLineChars="0"/>
              <w:jc w:val="center"/>
              <w:rPr>
                <w:bCs/>
                <w:color w:val="auto"/>
                <w:sz w:val="21"/>
                <w:szCs w:val="21"/>
              </w:rPr>
            </w:pPr>
            <w:r>
              <w:rPr>
                <w:rFonts w:hint="eastAsia"/>
                <w:bCs/>
                <w:color w:val="auto"/>
                <w:sz w:val="21"/>
                <w:szCs w:val="21"/>
              </w:rPr>
              <w:t>3000</w:t>
            </w:r>
          </w:p>
        </w:tc>
        <w:tc>
          <w:tcPr>
            <w:tcW w:w="634" w:type="pct"/>
            <w:tcMar>
              <w:left w:w="0" w:type="dxa"/>
              <w:right w:w="0" w:type="dxa"/>
            </w:tcMar>
            <w:vAlign w:val="center"/>
          </w:tcPr>
          <w:p>
            <w:pPr>
              <w:spacing w:line="240" w:lineRule="auto"/>
              <w:ind w:firstLine="0" w:firstLineChars="0"/>
              <w:jc w:val="center"/>
              <w:rPr>
                <w:bCs/>
                <w:color w:val="auto"/>
                <w:sz w:val="21"/>
                <w:szCs w:val="21"/>
              </w:rPr>
            </w:pPr>
            <w:r>
              <w:rPr>
                <w:rFonts w:hint="eastAsia"/>
                <w:bCs/>
                <w:color w:val="auto"/>
                <w:sz w:val="21"/>
                <w:szCs w:val="21"/>
              </w:rPr>
              <w:t xml:space="preserve">137.485 </w:t>
            </w:r>
          </w:p>
        </w:tc>
        <w:tc>
          <w:tcPr>
            <w:tcW w:w="892" w:type="pct"/>
            <w:vMerge w:val="continue"/>
            <w:vAlign w:val="center"/>
          </w:tcPr>
          <w:p>
            <w:pPr>
              <w:ind w:firstLine="420"/>
              <w:jc w:val="center"/>
              <w:rPr>
                <w:bCs/>
                <w:color w:val="auto"/>
                <w:sz w:val="21"/>
                <w:szCs w:val="21"/>
                <w:u w:val="single"/>
              </w:rPr>
            </w:pPr>
          </w:p>
        </w:tc>
        <w:tc>
          <w:tcPr>
            <w:tcW w:w="684" w:type="pct"/>
            <w:vMerge w:val="continue"/>
            <w:tcMar>
              <w:left w:w="0" w:type="dxa"/>
              <w:right w:w="0" w:type="dxa"/>
            </w:tcMar>
            <w:vAlign w:val="center"/>
          </w:tcPr>
          <w:p>
            <w:pPr>
              <w:ind w:firstLine="420"/>
              <w:jc w:val="center"/>
              <w:rPr>
                <w:bCs/>
                <w:color w:val="auto"/>
                <w:sz w:val="21"/>
                <w:szCs w:val="21"/>
                <w:u w:val="single"/>
              </w:rPr>
            </w:pPr>
          </w:p>
        </w:tc>
      </w:tr>
      <w:tr>
        <w:tblPrEx>
          <w:tblBorders>
            <w:top w:val="single" w:color="auto" w:sz="2" w:space="0"/>
            <w:left w:val="none" w:color="auto" w:sz="0" w:space="0"/>
            <w:bottom w:val="sing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8" w:type="pct"/>
            <w:vMerge w:val="continue"/>
            <w:tcMar>
              <w:left w:w="0" w:type="dxa"/>
              <w:right w:w="0" w:type="dxa"/>
            </w:tcMar>
            <w:vAlign w:val="center"/>
          </w:tcPr>
          <w:p>
            <w:pPr>
              <w:spacing w:line="240" w:lineRule="auto"/>
              <w:ind w:firstLine="0" w:firstLineChars="0"/>
              <w:jc w:val="center"/>
              <w:rPr>
                <w:bCs/>
                <w:color w:val="auto"/>
                <w:sz w:val="21"/>
                <w:szCs w:val="21"/>
              </w:rPr>
            </w:pPr>
          </w:p>
        </w:tc>
        <w:tc>
          <w:tcPr>
            <w:tcW w:w="636" w:type="pct"/>
            <w:vMerge w:val="continue"/>
            <w:vAlign w:val="center"/>
          </w:tcPr>
          <w:p>
            <w:pPr>
              <w:spacing w:line="240" w:lineRule="auto"/>
              <w:ind w:firstLine="0" w:firstLineChars="0"/>
              <w:jc w:val="center"/>
              <w:rPr>
                <w:bCs/>
                <w:color w:val="auto"/>
                <w:sz w:val="21"/>
                <w:szCs w:val="21"/>
              </w:rPr>
            </w:pPr>
          </w:p>
        </w:tc>
        <w:tc>
          <w:tcPr>
            <w:tcW w:w="635" w:type="pct"/>
            <w:tcMar>
              <w:left w:w="0" w:type="dxa"/>
              <w:right w:w="0" w:type="dxa"/>
            </w:tcMar>
            <w:vAlign w:val="center"/>
          </w:tcPr>
          <w:p>
            <w:pPr>
              <w:spacing w:line="240" w:lineRule="auto"/>
              <w:ind w:firstLine="0" w:firstLineChars="0"/>
              <w:jc w:val="center"/>
              <w:rPr>
                <w:bCs/>
                <w:color w:val="auto"/>
                <w:sz w:val="21"/>
                <w:szCs w:val="21"/>
              </w:rPr>
            </w:pPr>
            <w:r>
              <w:rPr>
                <w:bCs/>
                <w:color w:val="auto"/>
                <w:sz w:val="21"/>
                <w:szCs w:val="21"/>
              </w:rPr>
              <w:t>BOD5</w:t>
            </w:r>
          </w:p>
        </w:tc>
        <w:tc>
          <w:tcPr>
            <w:tcW w:w="717" w:type="pct"/>
            <w:vAlign w:val="center"/>
          </w:tcPr>
          <w:p>
            <w:pPr>
              <w:spacing w:line="240" w:lineRule="auto"/>
              <w:ind w:firstLine="0" w:firstLineChars="0"/>
              <w:jc w:val="center"/>
              <w:rPr>
                <w:bCs/>
                <w:color w:val="auto"/>
                <w:sz w:val="21"/>
                <w:szCs w:val="21"/>
              </w:rPr>
            </w:pPr>
            <w:r>
              <w:rPr>
                <w:rFonts w:hint="eastAsia"/>
                <w:bCs/>
                <w:color w:val="auto"/>
                <w:sz w:val="21"/>
                <w:szCs w:val="21"/>
              </w:rPr>
              <w:t>1400</w:t>
            </w:r>
          </w:p>
        </w:tc>
        <w:tc>
          <w:tcPr>
            <w:tcW w:w="634" w:type="pct"/>
            <w:tcMar>
              <w:left w:w="0" w:type="dxa"/>
              <w:right w:w="0" w:type="dxa"/>
            </w:tcMar>
            <w:vAlign w:val="center"/>
          </w:tcPr>
          <w:p>
            <w:pPr>
              <w:spacing w:line="240" w:lineRule="auto"/>
              <w:ind w:firstLine="0" w:firstLineChars="0"/>
              <w:jc w:val="center"/>
              <w:rPr>
                <w:bCs/>
                <w:color w:val="auto"/>
                <w:sz w:val="21"/>
                <w:szCs w:val="21"/>
              </w:rPr>
            </w:pPr>
            <w:r>
              <w:rPr>
                <w:rFonts w:hint="eastAsia"/>
                <w:bCs/>
                <w:color w:val="auto"/>
                <w:sz w:val="21"/>
                <w:szCs w:val="21"/>
              </w:rPr>
              <w:t xml:space="preserve">64.160 </w:t>
            </w:r>
          </w:p>
        </w:tc>
        <w:tc>
          <w:tcPr>
            <w:tcW w:w="892" w:type="pct"/>
            <w:vMerge w:val="continue"/>
            <w:vAlign w:val="center"/>
          </w:tcPr>
          <w:p>
            <w:pPr>
              <w:ind w:firstLine="420"/>
              <w:jc w:val="center"/>
              <w:rPr>
                <w:bCs/>
                <w:color w:val="auto"/>
                <w:sz w:val="21"/>
                <w:szCs w:val="21"/>
                <w:u w:val="single"/>
              </w:rPr>
            </w:pPr>
          </w:p>
        </w:tc>
        <w:tc>
          <w:tcPr>
            <w:tcW w:w="684" w:type="pct"/>
            <w:vMerge w:val="continue"/>
            <w:tcMar>
              <w:left w:w="0" w:type="dxa"/>
              <w:right w:w="0" w:type="dxa"/>
            </w:tcMar>
            <w:vAlign w:val="center"/>
          </w:tcPr>
          <w:p>
            <w:pPr>
              <w:ind w:firstLine="420"/>
              <w:jc w:val="center"/>
              <w:rPr>
                <w:bCs/>
                <w:color w:val="auto"/>
                <w:sz w:val="21"/>
                <w:szCs w:val="21"/>
                <w:u w:val="single"/>
              </w:rPr>
            </w:pPr>
          </w:p>
        </w:tc>
      </w:tr>
      <w:tr>
        <w:tblPrEx>
          <w:tblBorders>
            <w:top w:val="single" w:color="auto" w:sz="2" w:space="0"/>
            <w:left w:val="none" w:color="auto" w:sz="0" w:space="0"/>
            <w:bottom w:val="sing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8" w:type="pct"/>
            <w:vMerge w:val="continue"/>
            <w:tcMar>
              <w:left w:w="0" w:type="dxa"/>
              <w:right w:w="0" w:type="dxa"/>
            </w:tcMar>
            <w:vAlign w:val="center"/>
          </w:tcPr>
          <w:p>
            <w:pPr>
              <w:spacing w:line="240" w:lineRule="auto"/>
              <w:ind w:firstLine="0" w:firstLineChars="0"/>
              <w:jc w:val="center"/>
              <w:rPr>
                <w:bCs/>
                <w:color w:val="auto"/>
                <w:sz w:val="21"/>
                <w:szCs w:val="21"/>
              </w:rPr>
            </w:pPr>
          </w:p>
        </w:tc>
        <w:tc>
          <w:tcPr>
            <w:tcW w:w="636" w:type="pct"/>
            <w:vMerge w:val="continue"/>
            <w:vAlign w:val="center"/>
          </w:tcPr>
          <w:p>
            <w:pPr>
              <w:spacing w:line="240" w:lineRule="auto"/>
              <w:ind w:firstLine="0" w:firstLineChars="0"/>
              <w:jc w:val="center"/>
              <w:rPr>
                <w:bCs/>
                <w:color w:val="auto"/>
                <w:sz w:val="21"/>
                <w:szCs w:val="21"/>
              </w:rPr>
            </w:pPr>
          </w:p>
        </w:tc>
        <w:tc>
          <w:tcPr>
            <w:tcW w:w="635" w:type="pct"/>
            <w:tcMar>
              <w:left w:w="0" w:type="dxa"/>
              <w:right w:w="0" w:type="dxa"/>
            </w:tcMar>
            <w:vAlign w:val="center"/>
          </w:tcPr>
          <w:p>
            <w:pPr>
              <w:spacing w:line="240" w:lineRule="auto"/>
              <w:ind w:firstLine="0" w:firstLineChars="0"/>
              <w:jc w:val="center"/>
              <w:rPr>
                <w:bCs/>
                <w:color w:val="auto"/>
                <w:sz w:val="21"/>
                <w:szCs w:val="21"/>
              </w:rPr>
            </w:pPr>
            <w:r>
              <w:rPr>
                <w:bCs/>
                <w:color w:val="auto"/>
                <w:sz w:val="21"/>
                <w:szCs w:val="21"/>
              </w:rPr>
              <w:t>SS</w:t>
            </w:r>
          </w:p>
        </w:tc>
        <w:tc>
          <w:tcPr>
            <w:tcW w:w="717" w:type="pct"/>
            <w:vAlign w:val="center"/>
          </w:tcPr>
          <w:p>
            <w:pPr>
              <w:spacing w:line="240" w:lineRule="auto"/>
              <w:ind w:firstLine="0" w:firstLineChars="0"/>
              <w:jc w:val="center"/>
              <w:rPr>
                <w:bCs/>
                <w:color w:val="auto"/>
                <w:sz w:val="21"/>
                <w:szCs w:val="21"/>
              </w:rPr>
            </w:pPr>
            <w:r>
              <w:rPr>
                <w:rFonts w:hint="eastAsia"/>
                <w:bCs/>
                <w:color w:val="auto"/>
                <w:sz w:val="21"/>
                <w:szCs w:val="21"/>
              </w:rPr>
              <w:t>2000</w:t>
            </w:r>
          </w:p>
        </w:tc>
        <w:tc>
          <w:tcPr>
            <w:tcW w:w="634" w:type="pct"/>
            <w:tcMar>
              <w:left w:w="0" w:type="dxa"/>
              <w:right w:w="0" w:type="dxa"/>
            </w:tcMar>
            <w:vAlign w:val="center"/>
          </w:tcPr>
          <w:p>
            <w:pPr>
              <w:spacing w:line="240" w:lineRule="auto"/>
              <w:ind w:firstLine="0" w:firstLineChars="0"/>
              <w:jc w:val="center"/>
              <w:rPr>
                <w:bCs/>
                <w:color w:val="auto"/>
                <w:sz w:val="21"/>
                <w:szCs w:val="21"/>
              </w:rPr>
            </w:pPr>
            <w:r>
              <w:rPr>
                <w:rFonts w:hint="eastAsia"/>
                <w:bCs/>
                <w:color w:val="auto"/>
                <w:sz w:val="21"/>
                <w:szCs w:val="21"/>
              </w:rPr>
              <w:t xml:space="preserve">91.657 </w:t>
            </w:r>
          </w:p>
        </w:tc>
        <w:tc>
          <w:tcPr>
            <w:tcW w:w="892" w:type="pct"/>
            <w:vMerge w:val="continue"/>
            <w:vAlign w:val="center"/>
          </w:tcPr>
          <w:p>
            <w:pPr>
              <w:ind w:firstLine="420"/>
              <w:jc w:val="center"/>
              <w:rPr>
                <w:bCs/>
                <w:color w:val="auto"/>
                <w:sz w:val="21"/>
                <w:szCs w:val="21"/>
                <w:u w:val="single"/>
              </w:rPr>
            </w:pPr>
          </w:p>
        </w:tc>
        <w:tc>
          <w:tcPr>
            <w:tcW w:w="684" w:type="pct"/>
            <w:vMerge w:val="continue"/>
            <w:tcMar>
              <w:left w:w="0" w:type="dxa"/>
              <w:right w:w="0" w:type="dxa"/>
            </w:tcMar>
            <w:vAlign w:val="center"/>
          </w:tcPr>
          <w:p>
            <w:pPr>
              <w:ind w:firstLine="420"/>
              <w:jc w:val="center"/>
              <w:rPr>
                <w:bCs/>
                <w:color w:val="auto"/>
                <w:sz w:val="21"/>
                <w:szCs w:val="21"/>
                <w:u w:val="single"/>
              </w:rPr>
            </w:pPr>
          </w:p>
        </w:tc>
      </w:tr>
      <w:tr>
        <w:tblPrEx>
          <w:tblBorders>
            <w:top w:val="single" w:color="auto" w:sz="2" w:space="0"/>
            <w:left w:val="none" w:color="auto" w:sz="0" w:space="0"/>
            <w:bottom w:val="sing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9" w:hRule="atLeast"/>
          <w:jc w:val="center"/>
        </w:trPr>
        <w:tc>
          <w:tcPr>
            <w:tcW w:w="798" w:type="pct"/>
            <w:vMerge w:val="continue"/>
            <w:tcMar>
              <w:left w:w="0" w:type="dxa"/>
              <w:right w:w="0" w:type="dxa"/>
            </w:tcMar>
            <w:vAlign w:val="center"/>
          </w:tcPr>
          <w:p>
            <w:pPr>
              <w:spacing w:line="240" w:lineRule="auto"/>
              <w:ind w:firstLine="0" w:firstLineChars="0"/>
              <w:jc w:val="center"/>
              <w:rPr>
                <w:bCs/>
                <w:color w:val="auto"/>
                <w:sz w:val="21"/>
                <w:szCs w:val="21"/>
              </w:rPr>
            </w:pPr>
          </w:p>
        </w:tc>
        <w:tc>
          <w:tcPr>
            <w:tcW w:w="636" w:type="pct"/>
            <w:vMerge w:val="continue"/>
            <w:vAlign w:val="center"/>
          </w:tcPr>
          <w:p>
            <w:pPr>
              <w:spacing w:line="240" w:lineRule="auto"/>
              <w:ind w:firstLine="0" w:firstLineChars="0"/>
              <w:jc w:val="center"/>
              <w:rPr>
                <w:bCs/>
                <w:color w:val="auto"/>
                <w:sz w:val="21"/>
                <w:szCs w:val="21"/>
              </w:rPr>
            </w:pPr>
          </w:p>
        </w:tc>
        <w:tc>
          <w:tcPr>
            <w:tcW w:w="635" w:type="pct"/>
            <w:tcBorders>
              <w:bottom w:val="single" w:color="auto" w:sz="4" w:space="0"/>
            </w:tcBorders>
            <w:tcMar>
              <w:left w:w="0" w:type="dxa"/>
              <w:right w:w="0" w:type="dxa"/>
            </w:tcMar>
            <w:vAlign w:val="center"/>
          </w:tcPr>
          <w:p>
            <w:pPr>
              <w:spacing w:line="240" w:lineRule="auto"/>
              <w:ind w:firstLine="0" w:firstLineChars="0"/>
              <w:jc w:val="center"/>
              <w:rPr>
                <w:bCs/>
                <w:color w:val="auto"/>
                <w:sz w:val="21"/>
                <w:szCs w:val="21"/>
              </w:rPr>
            </w:pPr>
            <w:r>
              <w:rPr>
                <w:bCs/>
                <w:color w:val="auto"/>
                <w:sz w:val="21"/>
                <w:szCs w:val="21"/>
              </w:rPr>
              <w:t>NH3-N</w:t>
            </w:r>
          </w:p>
        </w:tc>
        <w:tc>
          <w:tcPr>
            <w:tcW w:w="717" w:type="pct"/>
            <w:tcBorders>
              <w:bottom w:val="single" w:color="auto" w:sz="4" w:space="0"/>
            </w:tcBorders>
            <w:vAlign w:val="center"/>
          </w:tcPr>
          <w:p>
            <w:pPr>
              <w:spacing w:line="240" w:lineRule="auto"/>
              <w:ind w:firstLine="0" w:firstLineChars="0"/>
              <w:jc w:val="center"/>
              <w:rPr>
                <w:bCs/>
                <w:color w:val="auto"/>
                <w:sz w:val="21"/>
                <w:szCs w:val="21"/>
              </w:rPr>
            </w:pPr>
            <w:r>
              <w:rPr>
                <w:rFonts w:hint="eastAsia"/>
                <w:bCs/>
                <w:color w:val="auto"/>
                <w:sz w:val="21"/>
                <w:szCs w:val="21"/>
              </w:rPr>
              <w:t>900</w:t>
            </w:r>
          </w:p>
        </w:tc>
        <w:tc>
          <w:tcPr>
            <w:tcW w:w="634" w:type="pct"/>
            <w:tcBorders>
              <w:bottom w:val="single" w:color="auto" w:sz="4" w:space="0"/>
            </w:tcBorders>
            <w:tcMar>
              <w:left w:w="0" w:type="dxa"/>
              <w:right w:w="0" w:type="dxa"/>
            </w:tcMar>
            <w:vAlign w:val="center"/>
          </w:tcPr>
          <w:p>
            <w:pPr>
              <w:spacing w:line="240" w:lineRule="auto"/>
              <w:ind w:firstLine="0" w:firstLineChars="0"/>
              <w:jc w:val="center"/>
              <w:rPr>
                <w:bCs/>
                <w:color w:val="auto"/>
                <w:sz w:val="21"/>
                <w:szCs w:val="21"/>
              </w:rPr>
            </w:pPr>
            <w:r>
              <w:rPr>
                <w:rFonts w:hint="eastAsia"/>
                <w:bCs/>
                <w:color w:val="auto"/>
                <w:sz w:val="21"/>
                <w:szCs w:val="21"/>
              </w:rPr>
              <w:t xml:space="preserve">41.245 </w:t>
            </w:r>
          </w:p>
        </w:tc>
        <w:tc>
          <w:tcPr>
            <w:tcW w:w="892" w:type="pct"/>
            <w:vMerge w:val="continue"/>
            <w:vAlign w:val="center"/>
          </w:tcPr>
          <w:p>
            <w:pPr>
              <w:ind w:firstLine="420"/>
              <w:jc w:val="center"/>
              <w:rPr>
                <w:bCs/>
                <w:color w:val="auto"/>
                <w:sz w:val="21"/>
                <w:szCs w:val="21"/>
                <w:u w:val="single"/>
              </w:rPr>
            </w:pPr>
          </w:p>
        </w:tc>
        <w:tc>
          <w:tcPr>
            <w:tcW w:w="684" w:type="pct"/>
            <w:vMerge w:val="continue"/>
            <w:tcMar>
              <w:left w:w="0" w:type="dxa"/>
              <w:right w:w="0" w:type="dxa"/>
            </w:tcMar>
            <w:vAlign w:val="center"/>
          </w:tcPr>
          <w:p>
            <w:pPr>
              <w:ind w:firstLine="420"/>
              <w:jc w:val="center"/>
              <w:rPr>
                <w:bCs/>
                <w:color w:val="auto"/>
                <w:sz w:val="21"/>
                <w:szCs w:val="21"/>
                <w:u w:val="single"/>
              </w:rPr>
            </w:pPr>
          </w:p>
        </w:tc>
      </w:tr>
      <w:tr>
        <w:tblPrEx>
          <w:tblBorders>
            <w:top w:val="single" w:color="auto" w:sz="2" w:space="0"/>
            <w:left w:val="none" w:color="auto" w:sz="0" w:space="0"/>
            <w:bottom w:val="sing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5" w:hRule="atLeast"/>
          <w:jc w:val="center"/>
        </w:trPr>
        <w:tc>
          <w:tcPr>
            <w:tcW w:w="798" w:type="pct"/>
            <w:vMerge w:val="continue"/>
            <w:tcMar>
              <w:left w:w="0" w:type="dxa"/>
              <w:right w:w="0" w:type="dxa"/>
            </w:tcMar>
            <w:vAlign w:val="center"/>
          </w:tcPr>
          <w:p>
            <w:pPr>
              <w:spacing w:line="240" w:lineRule="auto"/>
              <w:ind w:firstLine="0" w:firstLineChars="0"/>
              <w:jc w:val="center"/>
              <w:rPr>
                <w:bCs/>
                <w:color w:val="auto"/>
                <w:sz w:val="21"/>
                <w:szCs w:val="21"/>
              </w:rPr>
            </w:pPr>
          </w:p>
        </w:tc>
        <w:tc>
          <w:tcPr>
            <w:tcW w:w="636" w:type="pct"/>
            <w:vMerge w:val="continue"/>
            <w:vAlign w:val="center"/>
          </w:tcPr>
          <w:p>
            <w:pPr>
              <w:spacing w:line="240" w:lineRule="auto"/>
              <w:ind w:firstLine="0" w:firstLineChars="0"/>
              <w:jc w:val="center"/>
              <w:rPr>
                <w:bCs/>
                <w:color w:val="auto"/>
                <w:sz w:val="21"/>
                <w:szCs w:val="21"/>
              </w:rPr>
            </w:pPr>
          </w:p>
        </w:tc>
        <w:tc>
          <w:tcPr>
            <w:tcW w:w="635" w:type="pct"/>
            <w:tcBorders>
              <w:top w:val="single" w:color="auto" w:sz="4" w:space="0"/>
            </w:tcBorders>
            <w:tcMar>
              <w:left w:w="0" w:type="dxa"/>
              <w:right w:w="0" w:type="dxa"/>
            </w:tcMar>
            <w:vAlign w:val="center"/>
          </w:tcPr>
          <w:p>
            <w:pPr>
              <w:spacing w:line="240" w:lineRule="auto"/>
              <w:ind w:firstLine="0" w:firstLineChars="0"/>
              <w:jc w:val="center"/>
              <w:rPr>
                <w:bCs/>
                <w:color w:val="auto"/>
                <w:sz w:val="21"/>
                <w:szCs w:val="21"/>
              </w:rPr>
            </w:pPr>
            <w:r>
              <w:rPr>
                <w:bCs/>
                <w:color w:val="auto"/>
                <w:sz w:val="21"/>
                <w:szCs w:val="21"/>
              </w:rPr>
              <w:t>TP</w:t>
            </w:r>
          </w:p>
        </w:tc>
        <w:tc>
          <w:tcPr>
            <w:tcW w:w="717" w:type="pct"/>
            <w:tcBorders>
              <w:top w:val="single" w:color="auto" w:sz="4" w:space="0"/>
            </w:tcBorders>
            <w:vAlign w:val="center"/>
          </w:tcPr>
          <w:p>
            <w:pPr>
              <w:spacing w:line="240" w:lineRule="auto"/>
              <w:ind w:firstLine="0" w:firstLineChars="0"/>
              <w:jc w:val="center"/>
              <w:rPr>
                <w:bCs/>
                <w:color w:val="auto"/>
                <w:sz w:val="21"/>
                <w:szCs w:val="21"/>
              </w:rPr>
            </w:pPr>
            <w:r>
              <w:rPr>
                <w:rFonts w:hint="eastAsia"/>
                <w:bCs/>
                <w:color w:val="auto"/>
                <w:sz w:val="21"/>
                <w:szCs w:val="21"/>
              </w:rPr>
              <w:t>38</w:t>
            </w:r>
          </w:p>
        </w:tc>
        <w:tc>
          <w:tcPr>
            <w:tcW w:w="634" w:type="pct"/>
            <w:tcBorders>
              <w:top w:val="single" w:color="auto" w:sz="4" w:space="0"/>
            </w:tcBorders>
            <w:tcMar>
              <w:left w:w="0" w:type="dxa"/>
              <w:right w:w="0" w:type="dxa"/>
            </w:tcMar>
            <w:vAlign w:val="center"/>
          </w:tcPr>
          <w:p>
            <w:pPr>
              <w:spacing w:line="240" w:lineRule="auto"/>
              <w:ind w:firstLine="0" w:firstLineChars="0"/>
              <w:jc w:val="center"/>
              <w:rPr>
                <w:bCs/>
                <w:color w:val="auto"/>
                <w:sz w:val="21"/>
                <w:szCs w:val="21"/>
              </w:rPr>
            </w:pPr>
            <w:r>
              <w:rPr>
                <w:rFonts w:hint="eastAsia"/>
                <w:bCs/>
                <w:color w:val="auto"/>
                <w:sz w:val="21"/>
                <w:szCs w:val="21"/>
              </w:rPr>
              <w:t xml:space="preserve">1.741 </w:t>
            </w:r>
          </w:p>
        </w:tc>
        <w:tc>
          <w:tcPr>
            <w:tcW w:w="892" w:type="pct"/>
            <w:vMerge w:val="continue"/>
            <w:vAlign w:val="center"/>
          </w:tcPr>
          <w:p>
            <w:pPr>
              <w:ind w:firstLine="420"/>
              <w:jc w:val="center"/>
              <w:rPr>
                <w:bCs/>
                <w:color w:val="auto"/>
                <w:sz w:val="21"/>
                <w:szCs w:val="21"/>
                <w:u w:val="single"/>
              </w:rPr>
            </w:pPr>
          </w:p>
        </w:tc>
        <w:tc>
          <w:tcPr>
            <w:tcW w:w="684" w:type="pct"/>
            <w:vMerge w:val="continue"/>
            <w:tcMar>
              <w:left w:w="0" w:type="dxa"/>
              <w:right w:w="0" w:type="dxa"/>
            </w:tcMar>
            <w:vAlign w:val="center"/>
          </w:tcPr>
          <w:p>
            <w:pPr>
              <w:ind w:firstLine="420"/>
              <w:jc w:val="center"/>
              <w:rPr>
                <w:bCs/>
                <w:color w:val="auto"/>
                <w:sz w:val="21"/>
                <w:szCs w:val="21"/>
                <w:u w:val="single"/>
              </w:rPr>
            </w:pPr>
          </w:p>
        </w:tc>
      </w:tr>
    </w:tbl>
    <w:p>
      <w:pPr>
        <w:ind w:firstLine="480"/>
        <w:outlineLvl w:val="3"/>
        <w:rPr>
          <w:bCs/>
          <w:color w:val="auto"/>
        </w:rPr>
      </w:pPr>
      <w:r>
        <w:rPr>
          <w:bCs/>
          <w:color w:val="auto"/>
        </w:rPr>
        <w:t>项目</w:t>
      </w:r>
      <w:r>
        <w:rPr>
          <w:rFonts w:hint="eastAsia"/>
          <w:bCs/>
          <w:color w:val="auto"/>
        </w:rPr>
        <w:t>厂区</w:t>
      </w:r>
      <w:r>
        <w:rPr>
          <w:bCs/>
          <w:color w:val="auto"/>
        </w:rPr>
        <w:t>废水经过厌氧发酵处理后通过污水管道排入</w:t>
      </w:r>
      <w:r>
        <w:rPr>
          <w:rFonts w:hint="eastAsia"/>
          <w:bCs/>
          <w:color w:val="auto"/>
        </w:rPr>
        <w:t>黑膜沼气池</w:t>
      </w:r>
      <w:r>
        <w:rPr>
          <w:bCs/>
          <w:color w:val="auto"/>
        </w:rPr>
        <w:t>内。沼液在耕作施肥期用于配套消纳地进行综合利用，在非施肥期在</w:t>
      </w:r>
      <w:r>
        <w:rPr>
          <w:rFonts w:hint="eastAsia"/>
          <w:bCs/>
          <w:color w:val="auto"/>
        </w:rPr>
        <w:t>厂</w:t>
      </w:r>
      <w:r>
        <w:rPr>
          <w:bCs/>
          <w:color w:val="auto"/>
        </w:rPr>
        <w:t>内</w:t>
      </w:r>
      <w:r>
        <w:rPr>
          <w:rFonts w:hint="eastAsia"/>
          <w:bCs/>
          <w:color w:val="auto"/>
        </w:rPr>
        <w:t>黑膜沼气池</w:t>
      </w:r>
      <w:r>
        <w:rPr>
          <w:bCs/>
          <w:color w:val="auto"/>
        </w:rPr>
        <w:t>中暂存，不外排。</w:t>
      </w:r>
    </w:p>
    <w:p>
      <w:pPr>
        <w:pStyle w:val="39"/>
        <w:ind w:firstLine="480"/>
        <w:rPr>
          <w:color w:val="auto"/>
        </w:rPr>
      </w:pPr>
      <w:r>
        <w:rPr>
          <w:color w:val="auto"/>
        </w:rPr>
        <w:t>3.3.2.3噪声</w:t>
      </w:r>
      <w:bookmarkEnd w:id="369"/>
      <w:r>
        <w:rPr>
          <w:color w:val="auto"/>
        </w:rPr>
        <w:t>排放情况</w:t>
      </w:r>
      <w:bookmarkEnd w:id="370"/>
      <w:bookmarkEnd w:id="371"/>
      <w:bookmarkEnd w:id="372"/>
      <w:bookmarkEnd w:id="373"/>
      <w:bookmarkEnd w:id="374"/>
      <w:bookmarkEnd w:id="375"/>
      <w:bookmarkEnd w:id="376"/>
    </w:p>
    <w:p>
      <w:pPr>
        <w:ind w:firstLine="480"/>
        <w:rPr>
          <w:bCs/>
          <w:color w:val="auto"/>
        </w:rPr>
      </w:pPr>
      <w:bookmarkStart w:id="377" w:name="_Toc269400719"/>
      <w:bookmarkStart w:id="378" w:name="_Toc311979864"/>
      <w:bookmarkStart w:id="379" w:name="_Toc311979932"/>
      <w:bookmarkStart w:id="380" w:name="_Toc311979819"/>
      <w:r>
        <w:rPr>
          <w:bCs/>
          <w:color w:val="auto"/>
        </w:rPr>
        <w:t>噪声主要为猪叫声、猪舍配套风机、固液分离机等设备运行时产生的噪声，根据类比调查，其源强为70～85dB(A)。工程主要噪声设施源强情况见表3.3-</w:t>
      </w:r>
      <w:r>
        <w:rPr>
          <w:rFonts w:hint="eastAsia"/>
          <w:bCs/>
          <w:color w:val="auto"/>
        </w:rPr>
        <w:t>9</w:t>
      </w:r>
      <w:r>
        <w:rPr>
          <w:bCs/>
          <w:color w:val="auto"/>
        </w:rPr>
        <w:t>。</w:t>
      </w:r>
    </w:p>
    <w:p>
      <w:pPr>
        <w:ind w:firstLine="482"/>
        <w:jc w:val="center"/>
        <w:rPr>
          <w:b/>
          <w:color w:val="auto"/>
          <w:szCs w:val="21"/>
        </w:rPr>
      </w:pPr>
      <w:r>
        <w:rPr>
          <w:b/>
          <w:color w:val="auto"/>
          <w:szCs w:val="21"/>
        </w:rPr>
        <w:t>表3.3-</w:t>
      </w:r>
      <w:r>
        <w:rPr>
          <w:rFonts w:hint="eastAsia"/>
          <w:b/>
          <w:color w:val="auto"/>
          <w:szCs w:val="21"/>
        </w:rPr>
        <w:t>9</w:t>
      </w:r>
      <w:r>
        <w:rPr>
          <w:b/>
          <w:color w:val="auto"/>
          <w:szCs w:val="21"/>
        </w:rPr>
        <w:t xml:space="preserve">                 工程主要噪声源强一览表</w:t>
      </w:r>
    </w:p>
    <w:tbl>
      <w:tblPr>
        <w:tblStyle w:val="27"/>
        <w:tblW w:w="4997"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1605"/>
        <w:gridCol w:w="1354"/>
        <w:gridCol w:w="1368"/>
        <w:gridCol w:w="650"/>
        <w:gridCol w:w="2838"/>
        <w:gridCol w:w="125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455" w:hRule="atLeast"/>
        </w:trPr>
        <w:tc>
          <w:tcPr>
            <w:tcW w:w="885" w:type="pct"/>
            <w:vAlign w:val="center"/>
          </w:tcPr>
          <w:p>
            <w:pPr>
              <w:spacing w:line="240" w:lineRule="auto"/>
              <w:ind w:firstLine="0" w:firstLineChars="0"/>
              <w:jc w:val="center"/>
              <w:rPr>
                <w:bCs/>
                <w:color w:val="auto"/>
                <w:sz w:val="21"/>
                <w:szCs w:val="21"/>
              </w:rPr>
            </w:pPr>
            <w:r>
              <w:rPr>
                <w:bCs/>
                <w:color w:val="auto"/>
                <w:sz w:val="21"/>
                <w:szCs w:val="21"/>
              </w:rPr>
              <w:t>污染物来源</w:t>
            </w:r>
          </w:p>
        </w:tc>
        <w:tc>
          <w:tcPr>
            <w:tcW w:w="746" w:type="pct"/>
            <w:vAlign w:val="center"/>
          </w:tcPr>
          <w:p>
            <w:pPr>
              <w:spacing w:line="240" w:lineRule="auto"/>
              <w:ind w:firstLine="0" w:firstLineChars="0"/>
              <w:jc w:val="center"/>
              <w:rPr>
                <w:bCs/>
                <w:color w:val="auto"/>
                <w:sz w:val="21"/>
                <w:szCs w:val="21"/>
              </w:rPr>
            </w:pPr>
            <w:r>
              <w:rPr>
                <w:bCs/>
                <w:color w:val="auto"/>
                <w:sz w:val="21"/>
                <w:szCs w:val="21"/>
              </w:rPr>
              <w:t>种类</w:t>
            </w:r>
          </w:p>
        </w:tc>
        <w:tc>
          <w:tcPr>
            <w:tcW w:w="754" w:type="pct"/>
            <w:vAlign w:val="center"/>
          </w:tcPr>
          <w:p>
            <w:pPr>
              <w:spacing w:line="240" w:lineRule="auto"/>
              <w:ind w:firstLine="0" w:firstLineChars="0"/>
              <w:jc w:val="center"/>
              <w:rPr>
                <w:bCs/>
                <w:color w:val="auto"/>
                <w:sz w:val="21"/>
                <w:szCs w:val="21"/>
              </w:rPr>
            </w:pPr>
            <w:r>
              <w:rPr>
                <w:bCs/>
                <w:color w:val="auto"/>
                <w:sz w:val="21"/>
                <w:szCs w:val="21"/>
              </w:rPr>
              <w:t>产生方式</w:t>
            </w:r>
          </w:p>
        </w:tc>
        <w:tc>
          <w:tcPr>
            <w:tcW w:w="358" w:type="pct"/>
            <w:vAlign w:val="center"/>
          </w:tcPr>
          <w:p>
            <w:pPr>
              <w:spacing w:line="240" w:lineRule="auto"/>
              <w:ind w:firstLine="0" w:firstLineChars="0"/>
              <w:jc w:val="center"/>
              <w:rPr>
                <w:bCs/>
                <w:color w:val="auto"/>
                <w:sz w:val="21"/>
                <w:szCs w:val="21"/>
              </w:rPr>
            </w:pPr>
            <w:r>
              <w:rPr>
                <w:bCs/>
                <w:color w:val="auto"/>
                <w:sz w:val="21"/>
                <w:szCs w:val="21"/>
              </w:rPr>
              <w:t>源强</w:t>
            </w:r>
          </w:p>
        </w:tc>
        <w:tc>
          <w:tcPr>
            <w:tcW w:w="1564" w:type="pct"/>
            <w:vAlign w:val="center"/>
          </w:tcPr>
          <w:p>
            <w:pPr>
              <w:spacing w:line="240" w:lineRule="auto"/>
              <w:ind w:firstLine="0" w:firstLineChars="0"/>
              <w:jc w:val="center"/>
              <w:rPr>
                <w:bCs/>
                <w:color w:val="auto"/>
                <w:sz w:val="21"/>
                <w:szCs w:val="21"/>
              </w:rPr>
            </w:pPr>
            <w:r>
              <w:rPr>
                <w:bCs/>
                <w:color w:val="auto"/>
                <w:sz w:val="21"/>
                <w:szCs w:val="21"/>
              </w:rPr>
              <w:t>治理措施</w:t>
            </w:r>
          </w:p>
        </w:tc>
        <w:tc>
          <w:tcPr>
            <w:tcW w:w="690" w:type="pct"/>
            <w:vAlign w:val="center"/>
          </w:tcPr>
          <w:p>
            <w:pPr>
              <w:spacing w:line="240" w:lineRule="auto"/>
              <w:ind w:firstLine="0" w:firstLineChars="0"/>
              <w:jc w:val="center"/>
              <w:rPr>
                <w:bCs/>
                <w:color w:val="auto"/>
                <w:sz w:val="21"/>
                <w:szCs w:val="21"/>
              </w:rPr>
            </w:pPr>
            <w:r>
              <w:rPr>
                <w:bCs/>
                <w:color w:val="auto"/>
                <w:sz w:val="21"/>
                <w:szCs w:val="21"/>
              </w:rPr>
              <w:t>排放源强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20" w:hRule="atLeast"/>
        </w:trPr>
        <w:tc>
          <w:tcPr>
            <w:tcW w:w="885" w:type="pct"/>
            <w:vMerge w:val="restart"/>
            <w:vAlign w:val="center"/>
          </w:tcPr>
          <w:p>
            <w:pPr>
              <w:spacing w:line="240" w:lineRule="auto"/>
              <w:ind w:firstLine="0" w:firstLineChars="0"/>
              <w:jc w:val="center"/>
              <w:rPr>
                <w:bCs/>
                <w:color w:val="auto"/>
                <w:sz w:val="21"/>
                <w:szCs w:val="21"/>
              </w:rPr>
            </w:pPr>
            <w:r>
              <w:rPr>
                <w:bCs/>
                <w:color w:val="auto"/>
                <w:sz w:val="21"/>
                <w:szCs w:val="21"/>
              </w:rPr>
              <w:t>猪舍</w:t>
            </w:r>
          </w:p>
        </w:tc>
        <w:tc>
          <w:tcPr>
            <w:tcW w:w="746" w:type="pct"/>
            <w:vAlign w:val="center"/>
          </w:tcPr>
          <w:p>
            <w:pPr>
              <w:spacing w:line="240" w:lineRule="auto"/>
              <w:ind w:firstLine="0" w:firstLineChars="0"/>
              <w:jc w:val="center"/>
              <w:rPr>
                <w:bCs/>
                <w:color w:val="auto"/>
                <w:sz w:val="21"/>
                <w:szCs w:val="21"/>
              </w:rPr>
            </w:pPr>
            <w:r>
              <w:rPr>
                <w:bCs/>
                <w:color w:val="auto"/>
                <w:sz w:val="21"/>
                <w:szCs w:val="21"/>
              </w:rPr>
              <w:t>猪叫</w:t>
            </w:r>
          </w:p>
        </w:tc>
        <w:tc>
          <w:tcPr>
            <w:tcW w:w="754" w:type="pct"/>
            <w:vAlign w:val="center"/>
          </w:tcPr>
          <w:p>
            <w:pPr>
              <w:spacing w:line="240" w:lineRule="auto"/>
              <w:ind w:firstLine="0" w:firstLineChars="0"/>
              <w:jc w:val="center"/>
              <w:rPr>
                <w:bCs/>
                <w:color w:val="auto"/>
                <w:sz w:val="21"/>
                <w:szCs w:val="21"/>
              </w:rPr>
            </w:pPr>
            <w:r>
              <w:rPr>
                <w:bCs/>
                <w:color w:val="auto"/>
                <w:sz w:val="21"/>
                <w:szCs w:val="21"/>
              </w:rPr>
              <w:t>间断</w:t>
            </w:r>
          </w:p>
        </w:tc>
        <w:tc>
          <w:tcPr>
            <w:tcW w:w="358" w:type="pct"/>
            <w:vAlign w:val="center"/>
          </w:tcPr>
          <w:p>
            <w:pPr>
              <w:spacing w:line="240" w:lineRule="auto"/>
              <w:ind w:firstLine="0" w:firstLineChars="0"/>
              <w:jc w:val="center"/>
              <w:rPr>
                <w:bCs/>
                <w:color w:val="auto"/>
                <w:sz w:val="21"/>
                <w:szCs w:val="21"/>
              </w:rPr>
            </w:pPr>
            <w:r>
              <w:rPr>
                <w:bCs/>
                <w:color w:val="auto"/>
                <w:sz w:val="21"/>
                <w:szCs w:val="21"/>
              </w:rPr>
              <w:t>70</w:t>
            </w:r>
          </w:p>
        </w:tc>
        <w:tc>
          <w:tcPr>
            <w:tcW w:w="1564" w:type="pct"/>
            <w:vAlign w:val="center"/>
          </w:tcPr>
          <w:p>
            <w:pPr>
              <w:spacing w:line="240" w:lineRule="auto"/>
              <w:ind w:firstLine="0" w:firstLineChars="0"/>
              <w:jc w:val="center"/>
              <w:rPr>
                <w:bCs/>
                <w:color w:val="auto"/>
                <w:sz w:val="21"/>
                <w:szCs w:val="21"/>
              </w:rPr>
            </w:pPr>
            <w:r>
              <w:rPr>
                <w:bCs/>
                <w:color w:val="auto"/>
                <w:sz w:val="21"/>
                <w:szCs w:val="21"/>
              </w:rPr>
              <w:t>隔声降噪</w:t>
            </w:r>
          </w:p>
        </w:tc>
        <w:tc>
          <w:tcPr>
            <w:tcW w:w="690" w:type="pct"/>
            <w:vAlign w:val="center"/>
          </w:tcPr>
          <w:p>
            <w:pPr>
              <w:spacing w:line="240" w:lineRule="auto"/>
              <w:ind w:firstLine="0" w:firstLineChars="0"/>
              <w:jc w:val="center"/>
              <w:rPr>
                <w:bCs/>
                <w:color w:val="auto"/>
                <w:sz w:val="21"/>
                <w:szCs w:val="21"/>
              </w:rPr>
            </w:pPr>
            <w:r>
              <w:rPr>
                <w:bCs/>
                <w:color w:val="auto"/>
                <w:sz w:val="21"/>
                <w:szCs w:val="21"/>
              </w:rPr>
              <w:t>55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20" w:hRule="atLeast"/>
        </w:trPr>
        <w:tc>
          <w:tcPr>
            <w:tcW w:w="885" w:type="pct"/>
            <w:vMerge w:val="continue"/>
            <w:vAlign w:val="center"/>
          </w:tcPr>
          <w:p>
            <w:pPr>
              <w:spacing w:line="240" w:lineRule="auto"/>
              <w:ind w:firstLine="0" w:firstLineChars="0"/>
              <w:jc w:val="center"/>
              <w:rPr>
                <w:bCs/>
                <w:color w:val="auto"/>
                <w:sz w:val="21"/>
                <w:szCs w:val="21"/>
              </w:rPr>
            </w:pPr>
          </w:p>
        </w:tc>
        <w:tc>
          <w:tcPr>
            <w:tcW w:w="746" w:type="pct"/>
            <w:vAlign w:val="center"/>
          </w:tcPr>
          <w:p>
            <w:pPr>
              <w:spacing w:line="240" w:lineRule="auto"/>
              <w:ind w:firstLine="0" w:firstLineChars="0"/>
              <w:jc w:val="center"/>
              <w:rPr>
                <w:bCs/>
                <w:color w:val="auto"/>
                <w:sz w:val="21"/>
                <w:szCs w:val="21"/>
              </w:rPr>
            </w:pPr>
            <w:r>
              <w:rPr>
                <w:bCs/>
                <w:color w:val="auto"/>
                <w:sz w:val="21"/>
                <w:szCs w:val="21"/>
              </w:rPr>
              <w:t>风机</w:t>
            </w:r>
          </w:p>
        </w:tc>
        <w:tc>
          <w:tcPr>
            <w:tcW w:w="754" w:type="pct"/>
            <w:vAlign w:val="center"/>
          </w:tcPr>
          <w:p>
            <w:pPr>
              <w:spacing w:line="240" w:lineRule="auto"/>
              <w:ind w:firstLine="0" w:firstLineChars="0"/>
              <w:jc w:val="center"/>
              <w:rPr>
                <w:bCs/>
                <w:color w:val="auto"/>
                <w:sz w:val="21"/>
                <w:szCs w:val="21"/>
              </w:rPr>
            </w:pPr>
            <w:r>
              <w:rPr>
                <w:bCs/>
                <w:color w:val="auto"/>
                <w:sz w:val="21"/>
                <w:szCs w:val="21"/>
              </w:rPr>
              <w:t>连续</w:t>
            </w:r>
          </w:p>
        </w:tc>
        <w:tc>
          <w:tcPr>
            <w:tcW w:w="358" w:type="pct"/>
            <w:vAlign w:val="center"/>
          </w:tcPr>
          <w:p>
            <w:pPr>
              <w:spacing w:line="240" w:lineRule="auto"/>
              <w:ind w:firstLine="0" w:firstLineChars="0"/>
              <w:jc w:val="center"/>
              <w:rPr>
                <w:bCs/>
                <w:color w:val="auto"/>
                <w:sz w:val="21"/>
                <w:szCs w:val="21"/>
              </w:rPr>
            </w:pPr>
            <w:r>
              <w:rPr>
                <w:bCs/>
                <w:color w:val="auto"/>
                <w:sz w:val="21"/>
                <w:szCs w:val="21"/>
              </w:rPr>
              <w:t>80</w:t>
            </w:r>
          </w:p>
        </w:tc>
        <w:tc>
          <w:tcPr>
            <w:tcW w:w="1564" w:type="pct"/>
            <w:vAlign w:val="center"/>
          </w:tcPr>
          <w:p>
            <w:pPr>
              <w:spacing w:line="240" w:lineRule="auto"/>
              <w:ind w:firstLine="0" w:firstLineChars="0"/>
              <w:jc w:val="center"/>
              <w:rPr>
                <w:bCs/>
                <w:color w:val="auto"/>
                <w:sz w:val="21"/>
                <w:szCs w:val="21"/>
              </w:rPr>
            </w:pPr>
            <w:r>
              <w:rPr>
                <w:bCs/>
                <w:color w:val="auto"/>
                <w:sz w:val="21"/>
                <w:szCs w:val="21"/>
              </w:rPr>
              <w:t>厂房隔声</w:t>
            </w:r>
          </w:p>
        </w:tc>
        <w:tc>
          <w:tcPr>
            <w:tcW w:w="690" w:type="pct"/>
            <w:vAlign w:val="center"/>
          </w:tcPr>
          <w:p>
            <w:pPr>
              <w:spacing w:line="240" w:lineRule="auto"/>
              <w:ind w:firstLine="0" w:firstLineChars="0"/>
              <w:jc w:val="center"/>
              <w:rPr>
                <w:bCs/>
                <w:color w:val="auto"/>
                <w:sz w:val="21"/>
                <w:szCs w:val="21"/>
              </w:rPr>
            </w:pPr>
            <w:r>
              <w:rPr>
                <w:bCs/>
                <w:color w:val="auto"/>
                <w:sz w:val="21"/>
                <w:szCs w:val="21"/>
              </w:rPr>
              <w:t>60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20" w:hRule="atLeast"/>
        </w:trPr>
        <w:tc>
          <w:tcPr>
            <w:tcW w:w="885" w:type="pct"/>
            <w:vAlign w:val="center"/>
          </w:tcPr>
          <w:p>
            <w:pPr>
              <w:spacing w:line="240" w:lineRule="auto"/>
              <w:ind w:firstLine="0" w:firstLineChars="0"/>
              <w:jc w:val="center"/>
              <w:rPr>
                <w:bCs/>
                <w:color w:val="auto"/>
                <w:sz w:val="21"/>
                <w:szCs w:val="21"/>
              </w:rPr>
            </w:pPr>
            <w:r>
              <w:rPr>
                <w:bCs/>
                <w:color w:val="auto"/>
                <w:sz w:val="21"/>
                <w:szCs w:val="21"/>
              </w:rPr>
              <w:t>污水处理区</w:t>
            </w:r>
          </w:p>
        </w:tc>
        <w:tc>
          <w:tcPr>
            <w:tcW w:w="746" w:type="pct"/>
            <w:vAlign w:val="center"/>
          </w:tcPr>
          <w:p>
            <w:pPr>
              <w:spacing w:line="240" w:lineRule="auto"/>
              <w:ind w:firstLine="0" w:firstLineChars="0"/>
              <w:jc w:val="center"/>
              <w:rPr>
                <w:bCs/>
                <w:color w:val="auto"/>
                <w:sz w:val="21"/>
                <w:szCs w:val="21"/>
              </w:rPr>
            </w:pPr>
            <w:r>
              <w:rPr>
                <w:bCs/>
                <w:color w:val="auto"/>
                <w:sz w:val="21"/>
                <w:szCs w:val="21"/>
              </w:rPr>
              <w:t>水泵</w:t>
            </w:r>
          </w:p>
        </w:tc>
        <w:tc>
          <w:tcPr>
            <w:tcW w:w="754" w:type="pct"/>
            <w:vAlign w:val="center"/>
          </w:tcPr>
          <w:p>
            <w:pPr>
              <w:spacing w:line="240" w:lineRule="auto"/>
              <w:ind w:firstLine="0" w:firstLineChars="0"/>
              <w:jc w:val="center"/>
              <w:rPr>
                <w:bCs/>
                <w:color w:val="auto"/>
                <w:sz w:val="21"/>
                <w:szCs w:val="21"/>
              </w:rPr>
            </w:pPr>
            <w:r>
              <w:rPr>
                <w:bCs/>
                <w:color w:val="auto"/>
                <w:sz w:val="21"/>
                <w:szCs w:val="21"/>
              </w:rPr>
              <w:t>连续</w:t>
            </w:r>
          </w:p>
        </w:tc>
        <w:tc>
          <w:tcPr>
            <w:tcW w:w="358" w:type="pct"/>
            <w:vAlign w:val="center"/>
          </w:tcPr>
          <w:p>
            <w:pPr>
              <w:spacing w:line="240" w:lineRule="auto"/>
              <w:ind w:firstLine="0" w:firstLineChars="0"/>
              <w:jc w:val="center"/>
              <w:rPr>
                <w:bCs/>
                <w:color w:val="auto"/>
                <w:sz w:val="21"/>
                <w:szCs w:val="21"/>
              </w:rPr>
            </w:pPr>
            <w:r>
              <w:rPr>
                <w:bCs/>
                <w:color w:val="auto"/>
                <w:sz w:val="21"/>
                <w:szCs w:val="21"/>
              </w:rPr>
              <w:t>85</w:t>
            </w:r>
          </w:p>
        </w:tc>
        <w:tc>
          <w:tcPr>
            <w:tcW w:w="1564" w:type="pct"/>
            <w:vAlign w:val="center"/>
          </w:tcPr>
          <w:p>
            <w:pPr>
              <w:spacing w:line="240" w:lineRule="auto"/>
              <w:ind w:firstLine="0" w:firstLineChars="0"/>
              <w:jc w:val="center"/>
              <w:rPr>
                <w:bCs/>
                <w:color w:val="auto"/>
                <w:sz w:val="21"/>
                <w:szCs w:val="21"/>
              </w:rPr>
            </w:pPr>
            <w:r>
              <w:rPr>
                <w:bCs/>
                <w:color w:val="auto"/>
                <w:sz w:val="21"/>
                <w:szCs w:val="21"/>
              </w:rPr>
              <w:t>选低噪声设备、隔声、减振</w:t>
            </w:r>
          </w:p>
        </w:tc>
        <w:tc>
          <w:tcPr>
            <w:tcW w:w="690" w:type="pct"/>
            <w:vAlign w:val="center"/>
          </w:tcPr>
          <w:p>
            <w:pPr>
              <w:spacing w:line="240" w:lineRule="auto"/>
              <w:ind w:firstLine="0" w:firstLineChars="0"/>
              <w:jc w:val="center"/>
              <w:rPr>
                <w:bCs/>
                <w:color w:val="auto"/>
                <w:sz w:val="21"/>
                <w:szCs w:val="21"/>
              </w:rPr>
            </w:pPr>
            <w:r>
              <w:rPr>
                <w:bCs/>
                <w:color w:val="auto"/>
                <w:sz w:val="21"/>
                <w:szCs w:val="21"/>
              </w:rPr>
              <w:t>65</w:t>
            </w:r>
          </w:p>
        </w:tc>
      </w:tr>
    </w:tbl>
    <w:p>
      <w:pPr>
        <w:pStyle w:val="39"/>
        <w:ind w:firstLine="480"/>
        <w:rPr>
          <w:color w:val="auto"/>
        </w:rPr>
      </w:pPr>
      <w:bookmarkStart w:id="381" w:name="_Toc413166138"/>
      <w:bookmarkStart w:id="382" w:name="_Toc388881919"/>
      <w:bookmarkStart w:id="383" w:name="_Toc406847418"/>
      <w:bookmarkStart w:id="384" w:name="_Toc407001411"/>
      <w:r>
        <w:rPr>
          <w:color w:val="auto"/>
        </w:rPr>
        <w:t>3.3.2.4固体废物</w:t>
      </w:r>
      <w:bookmarkEnd w:id="377"/>
      <w:r>
        <w:rPr>
          <w:color w:val="auto"/>
        </w:rPr>
        <w:t>排放情况</w:t>
      </w:r>
      <w:bookmarkEnd w:id="378"/>
      <w:bookmarkEnd w:id="379"/>
      <w:bookmarkEnd w:id="380"/>
      <w:bookmarkEnd w:id="381"/>
      <w:bookmarkEnd w:id="382"/>
      <w:bookmarkEnd w:id="383"/>
      <w:bookmarkEnd w:id="384"/>
    </w:p>
    <w:p>
      <w:pPr>
        <w:ind w:firstLine="480"/>
        <w:rPr>
          <w:bCs/>
          <w:color w:val="auto"/>
        </w:rPr>
      </w:pPr>
      <w:r>
        <w:rPr>
          <w:bCs/>
          <w:color w:val="auto"/>
        </w:rPr>
        <w:t>本项目产生的固体废物主要包括猪粪固形物、养殖过程产生的少量病死猪尸、疾病防疫产生的医疗废物、</w:t>
      </w:r>
      <w:r>
        <w:rPr>
          <w:rFonts w:hint="eastAsia"/>
          <w:bCs/>
          <w:color w:val="auto"/>
        </w:rPr>
        <w:t>厌氧发酵后的沼渣、</w:t>
      </w:r>
      <w:r>
        <w:rPr>
          <w:bCs/>
          <w:color w:val="auto"/>
        </w:rPr>
        <w:t>废脱硫剂</w:t>
      </w:r>
      <w:r>
        <w:rPr>
          <w:color w:val="auto"/>
        </w:rPr>
        <w:t>及</w:t>
      </w:r>
      <w:r>
        <w:rPr>
          <w:bCs/>
          <w:color w:val="auto"/>
        </w:rPr>
        <w:t>职工生活垃圾</w:t>
      </w:r>
      <w:r>
        <w:rPr>
          <w:rFonts w:hint="eastAsia"/>
          <w:bCs/>
          <w:color w:val="auto"/>
        </w:rPr>
        <w:t>、废导热油</w:t>
      </w:r>
      <w:r>
        <w:rPr>
          <w:bCs/>
          <w:color w:val="auto"/>
        </w:rPr>
        <w:t>等。</w:t>
      </w:r>
    </w:p>
    <w:p>
      <w:pPr>
        <w:ind w:firstLine="480"/>
        <w:rPr>
          <w:bCs/>
          <w:color w:val="auto"/>
        </w:rPr>
      </w:pPr>
      <w:r>
        <w:rPr>
          <w:bCs/>
          <w:color w:val="auto"/>
        </w:rPr>
        <w:t>（1）猪粪</w:t>
      </w:r>
    </w:p>
    <w:p>
      <w:pPr>
        <w:ind w:firstLine="480"/>
        <w:rPr>
          <w:bCs/>
          <w:color w:val="auto"/>
        </w:rPr>
      </w:pPr>
      <w:r>
        <w:rPr>
          <w:bCs/>
          <w:color w:val="auto"/>
        </w:rPr>
        <w:t>根据</w:t>
      </w:r>
      <w:r>
        <w:rPr>
          <w:color w:val="auto"/>
        </w:rPr>
        <w:t>《规模畜禽养殖场污染防治最佳可行技术指南（试行）》（HJ-BAT-10）</w:t>
      </w:r>
      <w:r>
        <w:rPr>
          <w:bCs/>
          <w:color w:val="auto"/>
        </w:rPr>
        <w:t>，猪粪排泄量计算公式为：Yf=0.530F-0.049，式中，Yf为猪粪排泄量，F为饲料采食量。</w:t>
      </w:r>
    </w:p>
    <w:p>
      <w:pPr>
        <w:ind w:firstLine="480"/>
        <w:rPr>
          <w:bCs/>
          <w:color w:val="auto"/>
        </w:rPr>
      </w:pPr>
      <w:r>
        <w:rPr>
          <w:bCs/>
          <w:color w:val="auto"/>
        </w:rPr>
        <w:t>通过计算，项目猪粪产生情况见表3.3-1</w:t>
      </w:r>
      <w:r>
        <w:rPr>
          <w:rFonts w:hint="eastAsia"/>
          <w:bCs/>
          <w:color w:val="auto"/>
        </w:rPr>
        <w:t>0</w:t>
      </w:r>
      <w:r>
        <w:rPr>
          <w:bCs/>
          <w:color w:val="auto"/>
        </w:rPr>
        <w:t>。</w:t>
      </w:r>
    </w:p>
    <w:p>
      <w:pPr>
        <w:ind w:firstLine="482"/>
        <w:jc w:val="center"/>
        <w:rPr>
          <w:b/>
          <w:color w:val="auto"/>
          <w:szCs w:val="21"/>
        </w:rPr>
      </w:pPr>
      <w:r>
        <w:rPr>
          <w:b/>
          <w:color w:val="auto"/>
          <w:szCs w:val="21"/>
        </w:rPr>
        <w:t>表3.3-1</w:t>
      </w:r>
      <w:r>
        <w:rPr>
          <w:rFonts w:hint="eastAsia"/>
          <w:b/>
          <w:color w:val="auto"/>
          <w:szCs w:val="21"/>
        </w:rPr>
        <w:t>0</w:t>
      </w:r>
      <w:r>
        <w:rPr>
          <w:b/>
          <w:color w:val="auto"/>
          <w:szCs w:val="21"/>
        </w:rPr>
        <w:t xml:space="preserve">                     猪粪产生情况一览表</w:t>
      </w:r>
    </w:p>
    <w:tbl>
      <w:tblPr>
        <w:tblStyle w:val="27"/>
        <w:tblW w:w="5241"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65"/>
        <w:gridCol w:w="1369"/>
        <w:gridCol w:w="1365"/>
        <w:gridCol w:w="2063"/>
        <w:gridCol w:w="1761"/>
        <w:gridCol w:w="158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8" w:type="pct"/>
            <w:vMerge w:val="restart"/>
            <w:tcMar>
              <w:left w:w="0" w:type="dxa"/>
              <w:right w:w="0" w:type="dxa"/>
            </w:tcMar>
            <w:vAlign w:val="center"/>
          </w:tcPr>
          <w:p>
            <w:pPr>
              <w:spacing w:line="240" w:lineRule="auto"/>
              <w:ind w:firstLine="0" w:firstLineChars="0"/>
              <w:jc w:val="center"/>
              <w:rPr>
                <w:color w:val="auto"/>
                <w:sz w:val="21"/>
                <w:szCs w:val="21"/>
              </w:rPr>
            </w:pPr>
            <w:r>
              <w:rPr>
                <w:color w:val="auto"/>
                <w:sz w:val="21"/>
                <w:szCs w:val="21"/>
              </w:rPr>
              <w:t>种类</w:t>
            </w:r>
          </w:p>
        </w:tc>
        <w:tc>
          <w:tcPr>
            <w:tcW w:w="720" w:type="pct"/>
            <w:vMerge w:val="restart"/>
            <w:tcMar>
              <w:left w:w="0" w:type="dxa"/>
              <w:right w:w="0" w:type="dxa"/>
            </w:tcMar>
            <w:vAlign w:val="center"/>
          </w:tcPr>
          <w:p>
            <w:pPr>
              <w:spacing w:line="240" w:lineRule="auto"/>
              <w:ind w:firstLine="0" w:firstLineChars="0"/>
              <w:jc w:val="center"/>
              <w:rPr>
                <w:color w:val="auto"/>
                <w:sz w:val="21"/>
                <w:szCs w:val="21"/>
              </w:rPr>
            </w:pPr>
            <w:r>
              <w:rPr>
                <w:color w:val="auto"/>
                <w:sz w:val="21"/>
                <w:szCs w:val="21"/>
              </w:rPr>
              <w:t>存栏数（头）</w:t>
            </w:r>
          </w:p>
        </w:tc>
        <w:tc>
          <w:tcPr>
            <w:tcW w:w="718" w:type="pct"/>
            <w:vMerge w:val="restart"/>
            <w:vAlign w:val="center"/>
          </w:tcPr>
          <w:p>
            <w:pPr>
              <w:spacing w:line="240" w:lineRule="auto"/>
              <w:ind w:firstLine="0" w:firstLineChars="0"/>
              <w:jc w:val="center"/>
              <w:rPr>
                <w:color w:val="auto"/>
                <w:sz w:val="21"/>
                <w:szCs w:val="21"/>
              </w:rPr>
            </w:pPr>
            <w:r>
              <w:rPr>
                <w:color w:val="auto"/>
                <w:sz w:val="21"/>
                <w:szCs w:val="21"/>
              </w:rPr>
              <w:t>饲料定额</w:t>
            </w:r>
          </w:p>
          <w:p>
            <w:pPr>
              <w:spacing w:line="240" w:lineRule="auto"/>
              <w:ind w:firstLine="0" w:firstLineChars="0"/>
              <w:jc w:val="center"/>
              <w:rPr>
                <w:color w:val="auto"/>
                <w:sz w:val="21"/>
                <w:szCs w:val="21"/>
              </w:rPr>
            </w:pPr>
            <w:r>
              <w:rPr>
                <w:color w:val="auto"/>
                <w:sz w:val="21"/>
                <w:szCs w:val="21"/>
              </w:rPr>
              <w:t>（kg/头.d）</w:t>
            </w:r>
          </w:p>
        </w:tc>
        <w:tc>
          <w:tcPr>
            <w:tcW w:w="1085" w:type="pct"/>
            <w:vMerge w:val="restart"/>
            <w:tcMar>
              <w:left w:w="0" w:type="dxa"/>
              <w:right w:w="0" w:type="dxa"/>
            </w:tcMar>
            <w:vAlign w:val="center"/>
          </w:tcPr>
          <w:p>
            <w:pPr>
              <w:spacing w:line="240" w:lineRule="auto"/>
              <w:ind w:firstLine="0" w:firstLineChars="0"/>
              <w:jc w:val="center"/>
              <w:rPr>
                <w:color w:val="auto"/>
                <w:sz w:val="21"/>
                <w:szCs w:val="21"/>
              </w:rPr>
            </w:pPr>
            <w:r>
              <w:rPr>
                <w:color w:val="auto"/>
                <w:sz w:val="21"/>
                <w:szCs w:val="21"/>
              </w:rPr>
              <w:t>单头猪粪便产生量</w:t>
            </w:r>
          </w:p>
          <w:p>
            <w:pPr>
              <w:spacing w:line="240" w:lineRule="auto"/>
              <w:ind w:firstLine="0" w:firstLineChars="0"/>
              <w:jc w:val="center"/>
              <w:rPr>
                <w:color w:val="auto"/>
                <w:sz w:val="21"/>
                <w:szCs w:val="21"/>
              </w:rPr>
            </w:pPr>
            <w:r>
              <w:rPr>
                <w:color w:val="auto"/>
                <w:sz w:val="21"/>
                <w:szCs w:val="21"/>
              </w:rPr>
              <w:t>（kg/头.d）</w:t>
            </w:r>
          </w:p>
        </w:tc>
        <w:tc>
          <w:tcPr>
            <w:tcW w:w="1757" w:type="pct"/>
            <w:gridSpan w:val="2"/>
            <w:vAlign w:val="center"/>
          </w:tcPr>
          <w:p>
            <w:pPr>
              <w:spacing w:line="240" w:lineRule="auto"/>
              <w:ind w:firstLine="0" w:firstLineChars="0"/>
              <w:jc w:val="center"/>
              <w:rPr>
                <w:color w:val="auto"/>
                <w:sz w:val="21"/>
                <w:szCs w:val="21"/>
              </w:rPr>
            </w:pPr>
            <w:r>
              <w:rPr>
                <w:color w:val="auto"/>
                <w:sz w:val="21"/>
                <w:szCs w:val="21"/>
              </w:rPr>
              <w:t>猪粪便产生量</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8" w:type="pct"/>
            <w:vMerge w:val="continue"/>
            <w:tcMar>
              <w:left w:w="0" w:type="dxa"/>
              <w:right w:w="0" w:type="dxa"/>
            </w:tcMar>
            <w:vAlign w:val="center"/>
          </w:tcPr>
          <w:p>
            <w:pPr>
              <w:spacing w:line="240" w:lineRule="auto"/>
              <w:ind w:firstLine="0" w:firstLineChars="0"/>
              <w:jc w:val="center"/>
              <w:rPr>
                <w:color w:val="auto"/>
                <w:sz w:val="21"/>
                <w:szCs w:val="21"/>
              </w:rPr>
            </w:pPr>
          </w:p>
        </w:tc>
        <w:tc>
          <w:tcPr>
            <w:tcW w:w="720" w:type="pct"/>
            <w:vMerge w:val="continue"/>
            <w:tcMar>
              <w:left w:w="0" w:type="dxa"/>
              <w:right w:w="0" w:type="dxa"/>
            </w:tcMar>
            <w:vAlign w:val="center"/>
          </w:tcPr>
          <w:p>
            <w:pPr>
              <w:spacing w:line="240" w:lineRule="auto"/>
              <w:ind w:firstLine="0" w:firstLineChars="0"/>
              <w:jc w:val="center"/>
              <w:rPr>
                <w:color w:val="auto"/>
                <w:sz w:val="21"/>
                <w:szCs w:val="21"/>
              </w:rPr>
            </w:pPr>
          </w:p>
        </w:tc>
        <w:tc>
          <w:tcPr>
            <w:tcW w:w="718" w:type="pct"/>
            <w:vMerge w:val="continue"/>
            <w:vAlign w:val="center"/>
          </w:tcPr>
          <w:p>
            <w:pPr>
              <w:spacing w:line="240" w:lineRule="auto"/>
              <w:ind w:firstLine="0" w:firstLineChars="0"/>
              <w:jc w:val="center"/>
              <w:rPr>
                <w:color w:val="auto"/>
                <w:sz w:val="21"/>
                <w:szCs w:val="21"/>
              </w:rPr>
            </w:pPr>
          </w:p>
        </w:tc>
        <w:tc>
          <w:tcPr>
            <w:tcW w:w="1085" w:type="pct"/>
            <w:vMerge w:val="continue"/>
            <w:tcMar>
              <w:left w:w="0" w:type="dxa"/>
              <w:right w:w="0" w:type="dxa"/>
            </w:tcMar>
            <w:vAlign w:val="center"/>
          </w:tcPr>
          <w:p>
            <w:pPr>
              <w:spacing w:line="240" w:lineRule="auto"/>
              <w:ind w:firstLine="0" w:firstLineChars="0"/>
              <w:jc w:val="center"/>
              <w:rPr>
                <w:color w:val="auto"/>
                <w:sz w:val="21"/>
                <w:szCs w:val="21"/>
              </w:rPr>
            </w:pPr>
          </w:p>
        </w:tc>
        <w:tc>
          <w:tcPr>
            <w:tcW w:w="926" w:type="pct"/>
            <w:vAlign w:val="center"/>
          </w:tcPr>
          <w:p>
            <w:pPr>
              <w:spacing w:line="240" w:lineRule="auto"/>
              <w:ind w:firstLine="0" w:firstLineChars="0"/>
              <w:jc w:val="center"/>
              <w:rPr>
                <w:color w:val="auto"/>
                <w:sz w:val="21"/>
                <w:szCs w:val="21"/>
              </w:rPr>
            </w:pPr>
            <w:r>
              <w:rPr>
                <w:color w:val="auto"/>
                <w:sz w:val="21"/>
                <w:szCs w:val="21"/>
              </w:rPr>
              <w:t>（t/d）</w:t>
            </w:r>
          </w:p>
        </w:tc>
        <w:tc>
          <w:tcPr>
            <w:tcW w:w="831" w:type="pct"/>
            <w:vAlign w:val="center"/>
          </w:tcPr>
          <w:p>
            <w:pPr>
              <w:spacing w:line="240" w:lineRule="auto"/>
              <w:ind w:firstLine="0" w:firstLineChars="0"/>
              <w:jc w:val="center"/>
              <w:rPr>
                <w:color w:val="auto"/>
                <w:sz w:val="21"/>
                <w:szCs w:val="21"/>
              </w:rPr>
            </w:pPr>
            <w:r>
              <w:rPr>
                <w:color w:val="auto"/>
                <w:sz w:val="21"/>
                <w:szCs w:val="21"/>
              </w:rPr>
              <w:t>（t/a）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8" w:type="pct"/>
            <w:tcMar>
              <w:left w:w="0" w:type="dxa"/>
              <w:right w:w="0" w:type="dxa"/>
            </w:tcMar>
            <w:vAlign w:val="center"/>
          </w:tcPr>
          <w:p>
            <w:pPr>
              <w:spacing w:line="240" w:lineRule="auto"/>
              <w:ind w:firstLine="0" w:firstLineChars="0"/>
              <w:jc w:val="center"/>
              <w:rPr>
                <w:color w:val="auto"/>
                <w:sz w:val="21"/>
                <w:szCs w:val="21"/>
              </w:rPr>
            </w:pPr>
            <w:r>
              <w:rPr>
                <w:rFonts w:hint="eastAsia"/>
                <w:color w:val="auto"/>
                <w:sz w:val="21"/>
                <w:szCs w:val="21"/>
              </w:rPr>
              <w:t>保育育肥猪</w:t>
            </w:r>
          </w:p>
        </w:tc>
        <w:tc>
          <w:tcPr>
            <w:tcW w:w="720" w:type="pct"/>
            <w:tcMar>
              <w:left w:w="0" w:type="dxa"/>
              <w:right w:w="0" w:type="dxa"/>
            </w:tcMar>
            <w:vAlign w:val="center"/>
          </w:tcPr>
          <w:p>
            <w:pPr>
              <w:spacing w:line="240" w:lineRule="auto"/>
              <w:ind w:firstLine="0" w:firstLineChars="0"/>
              <w:jc w:val="center"/>
              <w:rPr>
                <w:color w:val="auto"/>
                <w:sz w:val="21"/>
                <w:szCs w:val="21"/>
              </w:rPr>
            </w:pPr>
            <w:r>
              <w:rPr>
                <w:rFonts w:hint="eastAsia"/>
                <w:color w:val="auto"/>
                <w:sz w:val="21"/>
                <w:szCs w:val="21"/>
              </w:rPr>
              <w:t>20000</w:t>
            </w:r>
          </w:p>
        </w:tc>
        <w:tc>
          <w:tcPr>
            <w:tcW w:w="718" w:type="pct"/>
            <w:vAlign w:val="center"/>
          </w:tcPr>
          <w:p>
            <w:pPr>
              <w:spacing w:line="240" w:lineRule="auto"/>
              <w:ind w:firstLine="0" w:firstLineChars="0"/>
              <w:jc w:val="center"/>
              <w:rPr>
                <w:color w:val="auto"/>
                <w:sz w:val="21"/>
                <w:szCs w:val="21"/>
              </w:rPr>
            </w:pPr>
            <w:r>
              <w:rPr>
                <w:rFonts w:hint="eastAsia"/>
                <w:color w:val="auto"/>
                <w:sz w:val="21"/>
                <w:szCs w:val="21"/>
              </w:rPr>
              <w:t>1.5</w:t>
            </w:r>
          </w:p>
        </w:tc>
        <w:tc>
          <w:tcPr>
            <w:tcW w:w="1085" w:type="pct"/>
            <w:tcMar>
              <w:left w:w="0" w:type="dxa"/>
              <w:right w:w="0" w:type="dxa"/>
            </w:tcMar>
            <w:vAlign w:val="center"/>
          </w:tcPr>
          <w:p>
            <w:pPr>
              <w:spacing w:line="240" w:lineRule="auto"/>
              <w:ind w:firstLine="0" w:firstLineChars="0"/>
              <w:jc w:val="center"/>
              <w:rPr>
                <w:color w:val="auto"/>
                <w:sz w:val="21"/>
                <w:szCs w:val="21"/>
              </w:rPr>
            </w:pPr>
            <w:r>
              <w:rPr>
                <w:rFonts w:hint="eastAsia"/>
                <w:color w:val="auto"/>
                <w:sz w:val="21"/>
                <w:szCs w:val="21"/>
              </w:rPr>
              <w:t>0.75</w:t>
            </w:r>
          </w:p>
        </w:tc>
        <w:tc>
          <w:tcPr>
            <w:tcW w:w="926" w:type="pct"/>
            <w:vAlign w:val="center"/>
          </w:tcPr>
          <w:p>
            <w:pPr>
              <w:spacing w:line="240" w:lineRule="auto"/>
              <w:ind w:firstLine="0" w:firstLineChars="0"/>
              <w:jc w:val="center"/>
              <w:rPr>
                <w:color w:val="auto"/>
                <w:sz w:val="21"/>
                <w:szCs w:val="21"/>
              </w:rPr>
            </w:pPr>
            <w:r>
              <w:rPr>
                <w:rFonts w:hint="eastAsia"/>
                <w:color w:val="auto"/>
                <w:sz w:val="21"/>
                <w:szCs w:val="21"/>
              </w:rPr>
              <w:t>15</w:t>
            </w:r>
          </w:p>
        </w:tc>
        <w:tc>
          <w:tcPr>
            <w:tcW w:w="831" w:type="pct"/>
            <w:vAlign w:val="center"/>
          </w:tcPr>
          <w:p>
            <w:pPr>
              <w:spacing w:line="240" w:lineRule="auto"/>
              <w:ind w:firstLine="0" w:firstLineChars="0"/>
              <w:jc w:val="center"/>
              <w:rPr>
                <w:color w:val="auto"/>
                <w:sz w:val="21"/>
                <w:szCs w:val="21"/>
              </w:rPr>
            </w:pPr>
            <w:r>
              <w:rPr>
                <w:rFonts w:hint="eastAsia"/>
                <w:color w:val="auto"/>
                <w:sz w:val="21"/>
                <w:szCs w:val="21"/>
              </w:rPr>
              <w:t>5475</w:t>
            </w:r>
          </w:p>
        </w:tc>
      </w:tr>
    </w:tbl>
    <w:p>
      <w:pPr>
        <w:ind w:firstLine="480"/>
        <w:rPr>
          <w:bCs/>
          <w:color w:val="auto"/>
        </w:rPr>
      </w:pPr>
      <w:r>
        <w:rPr>
          <w:color w:val="auto"/>
          <w:szCs w:val="20"/>
        </w:rPr>
        <w:t>项目年产生猪</w:t>
      </w:r>
      <w:r>
        <w:rPr>
          <w:color w:val="auto"/>
        </w:rPr>
        <w:t>粪</w:t>
      </w:r>
      <w:r>
        <w:rPr>
          <w:rFonts w:hint="eastAsia"/>
          <w:color w:val="auto"/>
          <w:spacing w:val="-6"/>
          <w:kern w:val="0"/>
        </w:rPr>
        <w:t>5475</w:t>
      </w:r>
      <w:r>
        <w:rPr>
          <w:color w:val="auto"/>
        </w:rPr>
        <w:t>t/a，</w:t>
      </w:r>
      <w:r>
        <w:rPr>
          <w:color w:val="auto"/>
          <w:szCs w:val="20"/>
        </w:rPr>
        <w:t>猪粪含水率80%，猪粪干重为</w:t>
      </w:r>
      <w:r>
        <w:rPr>
          <w:rFonts w:hint="eastAsia"/>
          <w:color w:val="auto"/>
          <w:szCs w:val="20"/>
        </w:rPr>
        <w:t>1095</w:t>
      </w:r>
      <w:r>
        <w:rPr>
          <w:color w:val="auto"/>
          <w:szCs w:val="20"/>
        </w:rPr>
        <w:t>t/a。项目采用干清粪工艺，</w:t>
      </w:r>
      <w:r>
        <w:rPr>
          <w:bCs/>
          <w:color w:val="auto"/>
          <w:szCs w:val="20"/>
        </w:rPr>
        <w:t>经固液分离机分离出猪粪，分离率为50%，被分离出来的猪粪量为干重为</w:t>
      </w:r>
      <w:r>
        <w:rPr>
          <w:rFonts w:hint="eastAsia"/>
          <w:bCs/>
          <w:color w:val="auto"/>
          <w:szCs w:val="20"/>
        </w:rPr>
        <w:t>547.5</w:t>
      </w:r>
      <w:r>
        <w:rPr>
          <w:bCs/>
          <w:color w:val="auto"/>
          <w:szCs w:val="20"/>
        </w:rPr>
        <w:t>t/a，总重为</w:t>
      </w:r>
      <w:r>
        <w:rPr>
          <w:rFonts w:hint="eastAsia"/>
          <w:bCs/>
          <w:color w:val="auto"/>
          <w:szCs w:val="20"/>
        </w:rPr>
        <w:t>1564.3</w:t>
      </w:r>
      <w:r>
        <w:rPr>
          <w:bCs/>
          <w:color w:val="auto"/>
          <w:szCs w:val="20"/>
        </w:rPr>
        <w:t>t/a（含水率为65%）</w:t>
      </w:r>
      <w:r>
        <w:rPr>
          <w:color w:val="auto"/>
          <w:szCs w:val="20"/>
        </w:rPr>
        <w:t>，剩余的猪粪（干重为</w:t>
      </w:r>
      <w:r>
        <w:rPr>
          <w:rFonts w:hint="eastAsia"/>
          <w:bCs/>
          <w:color w:val="auto"/>
          <w:szCs w:val="20"/>
        </w:rPr>
        <w:t>547.5</w:t>
      </w:r>
      <w:r>
        <w:rPr>
          <w:color w:val="auto"/>
          <w:szCs w:val="20"/>
        </w:rPr>
        <w:t>t/a）进入黑膜沼气池进行厌氧反应。</w:t>
      </w:r>
      <w:r>
        <w:rPr>
          <w:bCs/>
          <w:color w:val="auto"/>
          <w:szCs w:val="20"/>
        </w:rPr>
        <w:t>固液分离机分离出来的猪粪产生后经收集运往</w:t>
      </w:r>
      <w:r>
        <w:rPr>
          <w:rFonts w:hint="eastAsia"/>
          <w:bCs/>
          <w:color w:val="auto"/>
          <w:szCs w:val="20"/>
        </w:rPr>
        <w:t>固粪处理区</w:t>
      </w:r>
      <w:r>
        <w:rPr>
          <w:bCs/>
          <w:color w:val="auto"/>
          <w:szCs w:val="20"/>
        </w:rPr>
        <w:t>堆肥处理后</w:t>
      </w:r>
      <w:r>
        <w:rPr>
          <w:color w:val="auto"/>
          <w:szCs w:val="20"/>
        </w:rPr>
        <w:t>作为有机肥</w:t>
      </w:r>
      <w:r>
        <w:rPr>
          <w:rFonts w:hint="eastAsia"/>
          <w:color w:val="auto"/>
          <w:szCs w:val="20"/>
        </w:rPr>
        <w:t>基料</w:t>
      </w:r>
      <w:r>
        <w:rPr>
          <w:color w:val="auto"/>
          <w:szCs w:val="20"/>
        </w:rPr>
        <w:t>外售</w:t>
      </w:r>
      <w:r>
        <w:rPr>
          <w:bCs/>
          <w:color w:val="auto"/>
        </w:rPr>
        <w:t>。</w:t>
      </w:r>
    </w:p>
    <w:p>
      <w:pPr>
        <w:ind w:firstLine="480"/>
        <w:rPr>
          <w:bCs/>
          <w:color w:val="auto"/>
        </w:rPr>
      </w:pPr>
      <w:r>
        <w:rPr>
          <w:rFonts w:hint="eastAsia"/>
          <w:bCs/>
          <w:color w:val="auto"/>
        </w:rPr>
        <w:t>（2）沼渣</w:t>
      </w:r>
    </w:p>
    <w:p>
      <w:pPr>
        <w:ind w:firstLine="480"/>
        <w:rPr>
          <w:bCs/>
          <w:color w:val="auto"/>
        </w:rPr>
      </w:pPr>
      <w:r>
        <w:rPr>
          <w:rFonts w:hint="eastAsia"/>
          <w:bCs/>
          <w:color w:val="auto"/>
        </w:rPr>
        <w:t>废水</w:t>
      </w:r>
      <w:r>
        <w:rPr>
          <w:bCs/>
          <w:color w:val="auto"/>
        </w:rPr>
        <w:t>经固液分离后，有干重为</w:t>
      </w:r>
      <w:r>
        <w:rPr>
          <w:rFonts w:hint="eastAsia"/>
          <w:bCs/>
          <w:color w:val="auto"/>
        </w:rPr>
        <w:t>547.5</w:t>
      </w:r>
      <w:r>
        <w:rPr>
          <w:bCs/>
          <w:color w:val="auto"/>
        </w:rPr>
        <w:t>t/a（</w:t>
      </w:r>
      <w:r>
        <w:rPr>
          <w:rFonts w:hint="eastAsia"/>
          <w:bCs/>
          <w:color w:val="auto"/>
        </w:rPr>
        <w:t>1.5</w:t>
      </w:r>
      <w:r>
        <w:rPr>
          <w:bCs/>
          <w:color w:val="auto"/>
        </w:rPr>
        <w:t>t/d）的猪粪进入沼气池，有机物质在厌氧反应阶段被降解50%</w:t>
      </w:r>
      <w:r>
        <w:rPr>
          <w:rFonts w:hint="eastAsia"/>
          <w:bCs/>
          <w:color w:val="auto"/>
        </w:rPr>
        <w:t>为273.75</w:t>
      </w:r>
      <w:r>
        <w:rPr>
          <w:bCs/>
          <w:color w:val="auto"/>
        </w:rPr>
        <w:t>t/a（干重</w:t>
      </w:r>
      <w:r>
        <w:rPr>
          <w:rFonts w:hint="eastAsia"/>
          <w:bCs/>
          <w:color w:val="auto"/>
        </w:rPr>
        <w:t>0.75</w:t>
      </w:r>
      <w:r>
        <w:rPr>
          <w:bCs/>
          <w:color w:val="auto"/>
        </w:rPr>
        <w:t>t</w:t>
      </w:r>
      <w:r>
        <w:rPr>
          <w:rFonts w:hint="eastAsia"/>
          <w:bCs/>
          <w:color w:val="auto"/>
        </w:rPr>
        <w:t>/</w:t>
      </w:r>
      <w:r>
        <w:rPr>
          <w:bCs/>
          <w:color w:val="auto"/>
        </w:rPr>
        <w:t>d），20%（干重</w:t>
      </w:r>
      <w:r>
        <w:rPr>
          <w:rFonts w:hint="eastAsia"/>
          <w:bCs/>
          <w:color w:val="auto"/>
        </w:rPr>
        <w:t>0.3</w:t>
      </w:r>
      <w:r>
        <w:rPr>
          <w:bCs/>
          <w:color w:val="auto"/>
        </w:rPr>
        <w:t>t/d）进入沼液，30%（干重</w:t>
      </w:r>
      <w:r>
        <w:rPr>
          <w:rFonts w:hint="eastAsia"/>
          <w:bCs/>
          <w:color w:val="auto"/>
        </w:rPr>
        <w:t>0.45</w:t>
      </w:r>
      <w:r>
        <w:rPr>
          <w:bCs/>
          <w:color w:val="auto"/>
        </w:rPr>
        <w:t>t/d）转化为沼渣，厌氧反应处理后沼渣实际含水率为93%，故沼渣实际产生量为</w:t>
      </w:r>
      <w:r>
        <w:rPr>
          <w:rFonts w:hint="eastAsia"/>
          <w:bCs/>
          <w:color w:val="auto"/>
        </w:rPr>
        <w:t>6.43</w:t>
      </w:r>
      <w:r>
        <w:rPr>
          <w:bCs/>
          <w:color w:val="auto"/>
        </w:rPr>
        <w:t>t/d、</w:t>
      </w:r>
      <w:r>
        <w:rPr>
          <w:rFonts w:hint="eastAsia"/>
          <w:bCs/>
          <w:color w:val="auto"/>
        </w:rPr>
        <w:t>2346.95t</w:t>
      </w:r>
      <w:r>
        <w:rPr>
          <w:bCs/>
          <w:color w:val="auto"/>
        </w:rPr>
        <w:t>/a同发酵后的猪粪一同作为有机肥半成品外售。</w:t>
      </w:r>
    </w:p>
    <w:p>
      <w:pPr>
        <w:ind w:firstLine="480"/>
        <w:rPr>
          <w:bCs/>
          <w:color w:val="auto"/>
        </w:rPr>
      </w:pPr>
      <w:r>
        <w:rPr>
          <w:bCs/>
          <w:color w:val="auto"/>
        </w:rPr>
        <w:t>（</w:t>
      </w:r>
      <w:r>
        <w:rPr>
          <w:rFonts w:hint="eastAsia"/>
          <w:bCs/>
          <w:color w:val="auto"/>
        </w:rPr>
        <w:t>3</w:t>
      </w:r>
      <w:r>
        <w:rPr>
          <w:bCs/>
          <w:color w:val="auto"/>
        </w:rPr>
        <w:t>）病死猪</w:t>
      </w:r>
    </w:p>
    <w:p>
      <w:pPr>
        <w:ind w:firstLine="480"/>
        <w:rPr>
          <w:bCs/>
          <w:color w:val="auto"/>
        </w:rPr>
      </w:pPr>
      <w:r>
        <w:rPr>
          <w:bCs/>
          <w:color w:val="auto"/>
        </w:rPr>
        <w:t>由于养殖场采用科学化管理与养殖，死猪主要来源为病死猪，根据目前规模化养殖场的管理水平，出现病死猪的几率和数量较低。类比牧原食品股份有限公司现有已运营养殖场的具体情况，本项目猪死亡率及病死猪产生情况见下表：</w:t>
      </w:r>
    </w:p>
    <w:p>
      <w:pPr>
        <w:ind w:firstLine="482"/>
        <w:jc w:val="left"/>
        <w:rPr>
          <w:b/>
          <w:color w:val="auto"/>
          <w:szCs w:val="21"/>
        </w:rPr>
      </w:pPr>
      <w:r>
        <w:rPr>
          <w:b/>
          <w:color w:val="auto"/>
          <w:szCs w:val="21"/>
        </w:rPr>
        <w:t>表3.3-1</w:t>
      </w:r>
      <w:r>
        <w:rPr>
          <w:rFonts w:hint="eastAsia"/>
          <w:b/>
          <w:color w:val="auto"/>
          <w:szCs w:val="21"/>
        </w:rPr>
        <w:t>1</w:t>
      </w:r>
      <w:r>
        <w:rPr>
          <w:b/>
          <w:color w:val="auto"/>
          <w:szCs w:val="21"/>
        </w:rPr>
        <w:t xml:space="preserve">                 各种类猪死亡率及平均重量一览表</w:t>
      </w:r>
    </w:p>
    <w:tbl>
      <w:tblPr>
        <w:tblStyle w:val="27"/>
        <w:tblW w:w="4997"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03"/>
        <w:gridCol w:w="1250"/>
        <w:gridCol w:w="1182"/>
        <w:gridCol w:w="1290"/>
        <w:gridCol w:w="1530"/>
        <w:gridCol w:w="241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819" w:type="pct"/>
            <w:tcMar>
              <w:top w:w="57" w:type="dxa"/>
              <w:bottom w:w="57" w:type="dxa"/>
            </w:tcMar>
            <w:vAlign w:val="center"/>
          </w:tcPr>
          <w:p>
            <w:pPr>
              <w:spacing w:line="240" w:lineRule="auto"/>
              <w:ind w:firstLine="0" w:firstLineChars="0"/>
              <w:jc w:val="center"/>
              <w:rPr>
                <w:color w:val="auto"/>
                <w:sz w:val="21"/>
                <w:szCs w:val="21"/>
              </w:rPr>
            </w:pPr>
            <w:r>
              <w:rPr>
                <w:color w:val="auto"/>
                <w:sz w:val="21"/>
                <w:szCs w:val="21"/>
              </w:rPr>
              <w:t>种类</w:t>
            </w:r>
          </w:p>
        </w:tc>
        <w:tc>
          <w:tcPr>
            <w:tcW w:w="681" w:type="pct"/>
            <w:tcMar>
              <w:top w:w="57" w:type="dxa"/>
              <w:bottom w:w="57" w:type="dxa"/>
            </w:tcMar>
            <w:vAlign w:val="center"/>
          </w:tcPr>
          <w:p>
            <w:pPr>
              <w:spacing w:line="240" w:lineRule="auto"/>
              <w:ind w:firstLine="0" w:firstLineChars="0"/>
              <w:jc w:val="center"/>
              <w:rPr>
                <w:color w:val="auto"/>
                <w:sz w:val="21"/>
                <w:szCs w:val="21"/>
              </w:rPr>
            </w:pPr>
            <w:r>
              <w:rPr>
                <w:color w:val="auto"/>
                <w:sz w:val="21"/>
                <w:szCs w:val="21"/>
              </w:rPr>
              <w:t>存栏量</w:t>
            </w:r>
          </w:p>
          <w:p>
            <w:pPr>
              <w:spacing w:line="240" w:lineRule="auto"/>
              <w:ind w:firstLine="0" w:firstLineChars="0"/>
              <w:jc w:val="center"/>
              <w:rPr>
                <w:color w:val="auto"/>
                <w:sz w:val="21"/>
                <w:szCs w:val="21"/>
              </w:rPr>
            </w:pPr>
            <w:r>
              <w:rPr>
                <w:color w:val="auto"/>
                <w:sz w:val="21"/>
                <w:szCs w:val="21"/>
              </w:rPr>
              <w:t>（头）</w:t>
            </w:r>
          </w:p>
        </w:tc>
        <w:tc>
          <w:tcPr>
            <w:tcW w:w="644" w:type="pct"/>
            <w:tcMar>
              <w:top w:w="57" w:type="dxa"/>
              <w:bottom w:w="57" w:type="dxa"/>
            </w:tcMar>
            <w:vAlign w:val="center"/>
          </w:tcPr>
          <w:p>
            <w:pPr>
              <w:spacing w:line="240" w:lineRule="auto"/>
              <w:ind w:firstLine="0" w:firstLineChars="0"/>
              <w:rPr>
                <w:color w:val="auto"/>
                <w:sz w:val="21"/>
                <w:szCs w:val="21"/>
              </w:rPr>
            </w:pPr>
            <w:r>
              <w:rPr>
                <w:color w:val="auto"/>
                <w:sz w:val="21"/>
                <w:szCs w:val="21"/>
              </w:rPr>
              <w:t>死亡率</w:t>
            </w:r>
          </w:p>
          <w:p>
            <w:pPr>
              <w:spacing w:line="240" w:lineRule="auto"/>
              <w:ind w:firstLine="0" w:firstLineChars="0"/>
              <w:jc w:val="center"/>
              <w:rPr>
                <w:color w:val="auto"/>
                <w:sz w:val="21"/>
                <w:szCs w:val="21"/>
              </w:rPr>
            </w:pPr>
            <w:r>
              <w:rPr>
                <w:color w:val="auto"/>
                <w:sz w:val="21"/>
                <w:szCs w:val="21"/>
              </w:rPr>
              <w:t>（%）</w:t>
            </w:r>
          </w:p>
        </w:tc>
        <w:tc>
          <w:tcPr>
            <w:tcW w:w="703" w:type="pct"/>
            <w:tcMar>
              <w:top w:w="57" w:type="dxa"/>
              <w:bottom w:w="57" w:type="dxa"/>
            </w:tcMar>
            <w:vAlign w:val="center"/>
          </w:tcPr>
          <w:p>
            <w:pPr>
              <w:spacing w:line="240" w:lineRule="auto"/>
              <w:ind w:firstLine="0" w:firstLineChars="0"/>
              <w:jc w:val="center"/>
              <w:rPr>
                <w:color w:val="auto"/>
                <w:sz w:val="21"/>
                <w:szCs w:val="21"/>
              </w:rPr>
            </w:pPr>
            <w:r>
              <w:rPr>
                <w:color w:val="auto"/>
                <w:sz w:val="21"/>
                <w:szCs w:val="21"/>
              </w:rPr>
              <w:t>死亡数</w:t>
            </w:r>
          </w:p>
          <w:p>
            <w:pPr>
              <w:spacing w:line="240" w:lineRule="auto"/>
              <w:ind w:firstLine="0" w:firstLineChars="0"/>
              <w:jc w:val="center"/>
              <w:rPr>
                <w:color w:val="auto"/>
                <w:sz w:val="21"/>
                <w:szCs w:val="21"/>
              </w:rPr>
            </w:pPr>
            <w:r>
              <w:rPr>
                <w:color w:val="auto"/>
                <w:sz w:val="21"/>
                <w:szCs w:val="21"/>
              </w:rPr>
              <w:t>（头）</w:t>
            </w:r>
          </w:p>
        </w:tc>
        <w:tc>
          <w:tcPr>
            <w:tcW w:w="834" w:type="pct"/>
            <w:tcMar>
              <w:top w:w="57" w:type="dxa"/>
              <w:bottom w:w="57" w:type="dxa"/>
            </w:tcMar>
            <w:vAlign w:val="center"/>
          </w:tcPr>
          <w:p>
            <w:pPr>
              <w:spacing w:line="240" w:lineRule="auto"/>
              <w:ind w:firstLine="0" w:firstLineChars="0"/>
              <w:jc w:val="center"/>
              <w:rPr>
                <w:color w:val="auto"/>
                <w:sz w:val="21"/>
                <w:szCs w:val="21"/>
              </w:rPr>
            </w:pPr>
            <w:r>
              <w:rPr>
                <w:color w:val="auto"/>
                <w:sz w:val="21"/>
                <w:szCs w:val="21"/>
              </w:rPr>
              <w:t>平均重量</w:t>
            </w:r>
          </w:p>
          <w:p>
            <w:pPr>
              <w:spacing w:line="240" w:lineRule="auto"/>
              <w:ind w:firstLine="0" w:firstLineChars="0"/>
              <w:jc w:val="center"/>
              <w:rPr>
                <w:color w:val="auto"/>
                <w:sz w:val="21"/>
                <w:szCs w:val="21"/>
              </w:rPr>
            </w:pPr>
            <w:r>
              <w:rPr>
                <w:color w:val="auto"/>
                <w:sz w:val="21"/>
                <w:szCs w:val="21"/>
              </w:rPr>
              <w:t>（kg/头）</w:t>
            </w:r>
          </w:p>
        </w:tc>
        <w:tc>
          <w:tcPr>
            <w:tcW w:w="1315" w:type="pct"/>
            <w:tcMar>
              <w:top w:w="57" w:type="dxa"/>
              <w:bottom w:w="57" w:type="dxa"/>
            </w:tcMar>
            <w:vAlign w:val="center"/>
          </w:tcPr>
          <w:p>
            <w:pPr>
              <w:spacing w:line="240" w:lineRule="auto"/>
              <w:ind w:firstLine="0" w:firstLineChars="0"/>
              <w:jc w:val="center"/>
              <w:rPr>
                <w:color w:val="auto"/>
                <w:sz w:val="21"/>
                <w:szCs w:val="21"/>
              </w:rPr>
            </w:pPr>
            <w:r>
              <w:rPr>
                <w:color w:val="auto"/>
                <w:sz w:val="21"/>
                <w:szCs w:val="21"/>
              </w:rPr>
              <w:t>病死猪重量（t/a）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819" w:type="pct"/>
            <w:tcMar>
              <w:top w:w="57" w:type="dxa"/>
              <w:bottom w:w="57" w:type="dxa"/>
            </w:tcMar>
            <w:vAlign w:val="center"/>
          </w:tcPr>
          <w:p>
            <w:pPr>
              <w:spacing w:line="240" w:lineRule="auto"/>
              <w:ind w:firstLine="0" w:firstLineChars="0"/>
              <w:jc w:val="center"/>
              <w:rPr>
                <w:color w:val="auto"/>
                <w:sz w:val="21"/>
                <w:szCs w:val="21"/>
              </w:rPr>
            </w:pPr>
            <w:r>
              <w:rPr>
                <w:rFonts w:hint="eastAsia"/>
                <w:color w:val="auto"/>
                <w:sz w:val="21"/>
                <w:szCs w:val="21"/>
              </w:rPr>
              <w:t>保育猪</w:t>
            </w:r>
          </w:p>
        </w:tc>
        <w:tc>
          <w:tcPr>
            <w:tcW w:w="681" w:type="pct"/>
            <w:tcMar>
              <w:top w:w="57" w:type="dxa"/>
              <w:bottom w:w="57" w:type="dxa"/>
            </w:tcMar>
            <w:vAlign w:val="center"/>
          </w:tcPr>
          <w:p>
            <w:pPr>
              <w:spacing w:line="240" w:lineRule="auto"/>
              <w:ind w:firstLine="0" w:firstLineChars="0"/>
              <w:jc w:val="center"/>
              <w:rPr>
                <w:color w:val="auto"/>
                <w:sz w:val="21"/>
                <w:szCs w:val="21"/>
              </w:rPr>
            </w:pPr>
            <w:r>
              <w:rPr>
                <w:rFonts w:hint="eastAsia"/>
                <w:color w:val="auto"/>
                <w:sz w:val="21"/>
                <w:szCs w:val="21"/>
              </w:rPr>
              <w:t>20000</w:t>
            </w:r>
          </w:p>
        </w:tc>
        <w:tc>
          <w:tcPr>
            <w:tcW w:w="644" w:type="pct"/>
            <w:tcMar>
              <w:top w:w="57" w:type="dxa"/>
              <w:bottom w:w="57" w:type="dxa"/>
            </w:tcMar>
            <w:vAlign w:val="center"/>
          </w:tcPr>
          <w:p>
            <w:pPr>
              <w:spacing w:line="240" w:lineRule="auto"/>
              <w:ind w:firstLine="0" w:firstLineChars="0"/>
              <w:jc w:val="center"/>
              <w:rPr>
                <w:color w:val="auto"/>
                <w:sz w:val="21"/>
                <w:szCs w:val="21"/>
              </w:rPr>
            </w:pPr>
            <w:r>
              <w:rPr>
                <w:rFonts w:hint="eastAsia"/>
                <w:color w:val="auto"/>
                <w:sz w:val="21"/>
                <w:szCs w:val="21"/>
              </w:rPr>
              <w:t>2</w:t>
            </w:r>
          </w:p>
        </w:tc>
        <w:tc>
          <w:tcPr>
            <w:tcW w:w="703" w:type="pct"/>
            <w:tcMar>
              <w:top w:w="57" w:type="dxa"/>
              <w:bottom w:w="57" w:type="dxa"/>
            </w:tcMar>
            <w:vAlign w:val="center"/>
          </w:tcPr>
          <w:p>
            <w:pPr>
              <w:spacing w:line="240" w:lineRule="auto"/>
              <w:ind w:firstLine="0" w:firstLineChars="0"/>
              <w:jc w:val="center"/>
              <w:rPr>
                <w:color w:val="auto"/>
                <w:sz w:val="21"/>
                <w:szCs w:val="21"/>
              </w:rPr>
            </w:pPr>
            <w:r>
              <w:rPr>
                <w:rFonts w:hint="eastAsia"/>
                <w:color w:val="auto"/>
                <w:sz w:val="21"/>
                <w:szCs w:val="21"/>
              </w:rPr>
              <w:t>400</w:t>
            </w:r>
          </w:p>
        </w:tc>
        <w:tc>
          <w:tcPr>
            <w:tcW w:w="834" w:type="pct"/>
            <w:tcMar>
              <w:top w:w="57" w:type="dxa"/>
              <w:bottom w:w="57" w:type="dxa"/>
            </w:tcMar>
            <w:vAlign w:val="center"/>
          </w:tcPr>
          <w:p>
            <w:pPr>
              <w:spacing w:line="240" w:lineRule="auto"/>
              <w:ind w:firstLine="0" w:firstLineChars="0"/>
              <w:jc w:val="center"/>
              <w:rPr>
                <w:color w:val="auto"/>
                <w:sz w:val="21"/>
                <w:szCs w:val="21"/>
              </w:rPr>
            </w:pPr>
            <w:r>
              <w:rPr>
                <w:rFonts w:hint="eastAsia"/>
                <w:color w:val="auto"/>
                <w:sz w:val="21"/>
                <w:szCs w:val="21"/>
              </w:rPr>
              <w:t>10</w:t>
            </w:r>
          </w:p>
        </w:tc>
        <w:tc>
          <w:tcPr>
            <w:tcW w:w="1315" w:type="pct"/>
            <w:tcMar>
              <w:top w:w="57" w:type="dxa"/>
              <w:bottom w:w="57" w:type="dxa"/>
            </w:tcMar>
            <w:vAlign w:val="center"/>
          </w:tcPr>
          <w:p>
            <w:pPr>
              <w:spacing w:line="240" w:lineRule="auto"/>
              <w:ind w:firstLine="0" w:firstLineChars="0"/>
              <w:jc w:val="center"/>
              <w:rPr>
                <w:color w:val="auto"/>
                <w:sz w:val="21"/>
                <w:szCs w:val="21"/>
              </w:rPr>
            </w:pPr>
            <w:r>
              <w:rPr>
                <w:rFonts w:hint="eastAsia"/>
                <w:color w:val="auto"/>
                <w:sz w:val="21"/>
                <w:szCs w:val="21"/>
              </w:rPr>
              <w:t>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819" w:type="pct"/>
            <w:tcMar>
              <w:top w:w="57" w:type="dxa"/>
              <w:bottom w:w="57" w:type="dxa"/>
            </w:tcMar>
            <w:vAlign w:val="center"/>
          </w:tcPr>
          <w:p>
            <w:pPr>
              <w:spacing w:line="240" w:lineRule="auto"/>
              <w:ind w:firstLine="0" w:firstLineChars="0"/>
              <w:jc w:val="center"/>
              <w:rPr>
                <w:color w:val="auto"/>
                <w:sz w:val="21"/>
                <w:szCs w:val="21"/>
              </w:rPr>
            </w:pPr>
            <w:r>
              <w:rPr>
                <w:rFonts w:hint="eastAsia"/>
                <w:color w:val="auto"/>
                <w:sz w:val="21"/>
                <w:szCs w:val="21"/>
              </w:rPr>
              <w:t>育肥猪</w:t>
            </w:r>
          </w:p>
        </w:tc>
        <w:tc>
          <w:tcPr>
            <w:tcW w:w="681" w:type="pct"/>
            <w:tcMar>
              <w:top w:w="57" w:type="dxa"/>
              <w:bottom w:w="57" w:type="dxa"/>
            </w:tcMar>
            <w:vAlign w:val="center"/>
          </w:tcPr>
          <w:p>
            <w:pPr>
              <w:spacing w:line="240" w:lineRule="auto"/>
              <w:ind w:firstLine="0" w:firstLineChars="0"/>
              <w:jc w:val="center"/>
              <w:rPr>
                <w:color w:val="auto"/>
                <w:sz w:val="21"/>
                <w:szCs w:val="21"/>
              </w:rPr>
            </w:pPr>
            <w:r>
              <w:rPr>
                <w:rFonts w:hint="eastAsia"/>
                <w:color w:val="auto"/>
                <w:sz w:val="21"/>
                <w:szCs w:val="21"/>
              </w:rPr>
              <w:t>20000</w:t>
            </w:r>
          </w:p>
        </w:tc>
        <w:tc>
          <w:tcPr>
            <w:tcW w:w="644" w:type="pct"/>
            <w:tcMar>
              <w:top w:w="57" w:type="dxa"/>
              <w:bottom w:w="57" w:type="dxa"/>
            </w:tcMar>
            <w:vAlign w:val="center"/>
          </w:tcPr>
          <w:p>
            <w:pPr>
              <w:spacing w:line="240" w:lineRule="auto"/>
              <w:ind w:firstLine="0" w:firstLineChars="0"/>
              <w:jc w:val="center"/>
              <w:rPr>
                <w:color w:val="auto"/>
                <w:sz w:val="21"/>
                <w:szCs w:val="21"/>
              </w:rPr>
            </w:pPr>
            <w:r>
              <w:rPr>
                <w:rFonts w:hint="eastAsia"/>
                <w:color w:val="auto"/>
                <w:sz w:val="21"/>
                <w:szCs w:val="21"/>
              </w:rPr>
              <w:t>1</w:t>
            </w:r>
          </w:p>
        </w:tc>
        <w:tc>
          <w:tcPr>
            <w:tcW w:w="703" w:type="pct"/>
            <w:tcMar>
              <w:top w:w="57" w:type="dxa"/>
              <w:bottom w:w="57" w:type="dxa"/>
            </w:tcMar>
            <w:vAlign w:val="center"/>
          </w:tcPr>
          <w:p>
            <w:pPr>
              <w:spacing w:line="240" w:lineRule="auto"/>
              <w:ind w:firstLine="0" w:firstLineChars="0"/>
              <w:jc w:val="center"/>
              <w:rPr>
                <w:color w:val="auto"/>
                <w:sz w:val="21"/>
                <w:szCs w:val="21"/>
              </w:rPr>
            </w:pPr>
            <w:r>
              <w:rPr>
                <w:rFonts w:hint="eastAsia"/>
                <w:color w:val="auto"/>
                <w:sz w:val="21"/>
                <w:szCs w:val="21"/>
              </w:rPr>
              <w:t>200</w:t>
            </w:r>
          </w:p>
        </w:tc>
        <w:tc>
          <w:tcPr>
            <w:tcW w:w="834" w:type="pct"/>
            <w:tcMar>
              <w:top w:w="57" w:type="dxa"/>
              <w:bottom w:w="57" w:type="dxa"/>
            </w:tcMar>
            <w:vAlign w:val="center"/>
          </w:tcPr>
          <w:p>
            <w:pPr>
              <w:spacing w:line="240" w:lineRule="auto"/>
              <w:ind w:firstLine="0" w:firstLineChars="0"/>
              <w:jc w:val="center"/>
              <w:rPr>
                <w:color w:val="auto"/>
                <w:sz w:val="21"/>
                <w:szCs w:val="21"/>
              </w:rPr>
            </w:pPr>
            <w:r>
              <w:rPr>
                <w:rFonts w:hint="eastAsia"/>
                <w:color w:val="auto"/>
                <w:sz w:val="21"/>
                <w:szCs w:val="21"/>
              </w:rPr>
              <w:t>40</w:t>
            </w:r>
          </w:p>
        </w:tc>
        <w:tc>
          <w:tcPr>
            <w:tcW w:w="1315" w:type="pct"/>
            <w:tcMar>
              <w:top w:w="57" w:type="dxa"/>
              <w:bottom w:w="57" w:type="dxa"/>
            </w:tcMar>
            <w:vAlign w:val="center"/>
          </w:tcPr>
          <w:p>
            <w:pPr>
              <w:spacing w:line="240" w:lineRule="auto"/>
              <w:ind w:firstLine="0" w:firstLineChars="0"/>
              <w:jc w:val="center"/>
              <w:rPr>
                <w:color w:val="auto"/>
                <w:sz w:val="21"/>
                <w:szCs w:val="21"/>
              </w:rPr>
            </w:pPr>
            <w:r>
              <w:rPr>
                <w:rFonts w:hint="eastAsia"/>
                <w:color w:val="auto"/>
                <w:sz w:val="21"/>
                <w:szCs w:val="21"/>
              </w:rPr>
              <w:t>8</w:t>
            </w:r>
          </w:p>
        </w:tc>
      </w:tr>
    </w:tbl>
    <w:p>
      <w:pPr>
        <w:ind w:firstLine="480"/>
        <w:rPr>
          <w:bCs/>
          <w:color w:val="auto"/>
        </w:rPr>
      </w:pPr>
      <w:r>
        <w:rPr>
          <w:bCs/>
          <w:color w:val="auto"/>
        </w:rPr>
        <w:t>由上表计算结果可知，本项目病死猪的产生量为</w:t>
      </w:r>
      <w:r>
        <w:rPr>
          <w:rFonts w:hint="eastAsia"/>
          <w:bCs/>
          <w:color w:val="auto"/>
        </w:rPr>
        <w:t>12t</w:t>
      </w:r>
      <w:r>
        <w:rPr>
          <w:bCs/>
          <w:color w:val="auto"/>
        </w:rPr>
        <w:t>/a。项目在厂区设置一台病死猪高温</w:t>
      </w:r>
      <w:r>
        <w:rPr>
          <w:rFonts w:hint="eastAsia"/>
          <w:bCs/>
          <w:color w:val="auto"/>
        </w:rPr>
        <w:t>化制</w:t>
      </w:r>
      <w:r>
        <w:rPr>
          <w:bCs/>
          <w:color w:val="auto"/>
        </w:rPr>
        <w:t>机，处理后固体残渣产生量约为处理前重量的80%，即为</w:t>
      </w:r>
      <w:r>
        <w:rPr>
          <w:rFonts w:hint="eastAsia"/>
          <w:bCs/>
          <w:color w:val="auto"/>
        </w:rPr>
        <w:t>9.6</w:t>
      </w:r>
      <w:r>
        <w:rPr>
          <w:bCs/>
          <w:color w:val="auto"/>
        </w:rPr>
        <w:t>t/a。该部分残渣作为有机肥原料，外售给有机肥生产厂家。</w:t>
      </w:r>
    </w:p>
    <w:p>
      <w:pPr>
        <w:ind w:firstLine="480"/>
        <w:rPr>
          <w:bCs/>
          <w:color w:val="auto"/>
        </w:rPr>
      </w:pPr>
      <w:r>
        <w:rPr>
          <w:bCs/>
          <w:color w:val="auto"/>
        </w:rPr>
        <w:t>（</w:t>
      </w:r>
      <w:r>
        <w:rPr>
          <w:rFonts w:hint="eastAsia"/>
          <w:bCs/>
          <w:color w:val="auto"/>
        </w:rPr>
        <w:t>4</w:t>
      </w:r>
      <w:r>
        <w:rPr>
          <w:bCs/>
          <w:color w:val="auto"/>
        </w:rPr>
        <w:t>）疾病防疫产生的医疗废物</w:t>
      </w:r>
    </w:p>
    <w:p>
      <w:pPr>
        <w:ind w:firstLine="480"/>
        <w:rPr>
          <w:bCs/>
          <w:color w:val="auto"/>
        </w:rPr>
      </w:pPr>
      <w:r>
        <w:rPr>
          <w:bCs/>
          <w:color w:val="auto"/>
        </w:rPr>
        <w:t>生猪在生长过程接种免疫或发病期接受治疗产生的少量医疗废物，每头猪防疫产生医疗量约为0.005kg/a，全场产生量约为0.</w:t>
      </w:r>
      <w:r>
        <w:rPr>
          <w:rFonts w:hint="eastAsia"/>
          <w:bCs/>
          <w:color w:val="auto"/>
        </w:rPr>
        <w:t>25</w:t>
      </w:r>
      <w:r>
        <w:rPr>
          <w:bCs/>
          <w:color w:val="auto"/>
        </w:rPr>
        <w:t>t/a，</w:t>
      </w:r>
      <w:r>
        <w:rPr>
          <w:rFonts w:hint="eastAsia"/>
          <w:bCs/>
          <w:color w:val="auto"/>
        </w:rPr>
        <w:t>厂区</w:t>
      </w:r>
      <w:r>
        <w:rPr>
          <w:bCs/>
          <w:color w:val="auto"/>
        </w:rPr>
        <w:t>内拟建1座</w:t>
      </w:r>
      <w:r>
        <w:rPr>
          <w:rFonts w:hint="eastAsia"/>
          <w:bCs/>
          <w:color w:val="auto"/>
        </w:rPr>
        <w:t>5</w:t>
      </w:r>
      <w:r>
        <w:rPr>
          <w:bCs/>
          <w:color w:val="auto"/>
        </w:rPr>
        <w:t>m</w:t>
      </w:r>
      <w:r>
        <w:rPr>
          <w:bCs/>
          <w:color w:val="auto"/>
          <w:vertAlign w:val="superscript"/>
        </w:rPr>
        <w:t>2</w:t>
      </w:r>
      <w:r>
        <w:rPr>
          <w:bCs/>
          <w:color w:val="auto"/>
        </w:rPr>
        <w:t>医疗废物暂存间，医疗废物暂存后定期交由有资质单位进行处置。</w:t>
      </w:r>
    </w:p>
    <w:p>
      <w:pPr>
        <w:ind w:firstLine="480"/>
        <w:rPr>
          <w:bCs/>
          <w:color w:val="auto"/>
        </w:rPr>
      </w:pPr>
      <w:r>
        <w:rPr>
          <w:bCs/>
          <w:color w:val="auto"/>
        </w:rPr>
        <w:t>（</w:t>
      </w:r>
      <w:r>
        <w:rPr>
          <w:rFonts w:hint="eastAsia"/>
          <w:bCs/>
          <w:color w:val="auto"/>
        </w:rPr>
        <w:t>5</w:t>
      </w:r>
      <w:r>
        <w:rPr>
          <w:bCs/>
          <w:color w:val="auto"/>
        </w:rPr>
        <w:t>）脱硫剂</w:t>
      </w:r>
    </w:p>
    <w:p>
      <w:pPr>
        <w:ind w:firstLine="480"/>
        <w:rPr>
          <w:b/>
          <w:color w:val="auto"/>
          <w:u w:val="single"/>
        </w:rPr>
      </w:pPr>
      <w:r>
        <w:rPr>
          <w:bCs/>
          <w:color w:val="auto"/>
        </w:rPr>
        <w:t>项目采用干法对沼气中硫化氢进行去除，沼气通过氧化铁等构成的填料层，使硫化氢氧化成单质硫或硫氧化物。根据《沼气常温氧化铁脱硫催化剂的研制》（武汉工程大学学报2010.07）可知：常温下，理论上每100g活性氧化铁一次可吸收脱除57.5g硫化氢气体。本项目硫化氢的吸收量为</w:t>
      </w:r>
      <w:r>
        <w:rPr>
          <w:rFonts w:hint="eastAsia"/>
          <w:bCs/>
          <w:color w:val="auto"/>
        </w:rPr>
        <w:t>3.6</w:t>
      </w:r>
      <w:r>
        <w:rPr>
          <w:bCs/>
          <w:color w:val="auto"/>
        </w:rPr>
        <w:t>kg/a，则废脱硫剂产生量约为0.</w:t>
      </w:r>
      <w:r>
        <w:rPr>
          <w:rFonts w:hint="eastAsia"/>
          <w:bCs/>
          <w:color w:val="auto"/>
        </w:rPr>
        <w:t>006</w:t>
      </w:r>
      <w:r>
        <w:rPr>
          <w:bCs/>
          <w:color w:val="auto"/>
        </w:rPr>
        <w:t>t/a。沼气脱硫装置中失去活性的废脱硫剂（主要成分为氧化铁）由生产厂家统一回收处置。</w:t>
      </w:r>
    </w:p>
    <w:p>
      <w:pPr>
        <w:ind w:firstLine="480"/>
        <w:rPr>
          <w:bCs/>
          <w:color w:val="auto"/>
        </w:rPr>
      </w:pPr>
      <w:r>
        <w:rPr>
          <w:bCs/>
          <w:color w:val="auto"/>
        </w:rPr>
        <w:t>（</w:t>
      </w:r>
      <w:r>
        <w:rPr>
          <w:rFonts w:hint="eastAsia"/>
          <w:bCs/>
          <w:color w:val="auto"/>
        </w:rPr>
        <w:t>6</w:t>
      </w:r>
      <w:r>
        <w:rPr>
          <w:bCs/>
          <w:color w:val="auto"/>
        </w:rPr>
        <w:t>）生活垃圾</w:t>
      </w:r>
    </w:p>
    <w:p>
      <w:pPr>
        <w:ind w:firstLine="480" w:firstLineChars="0"/>
        <w:rPr>
          <w:bCs/>
          <w:color w:val="auto"/>
        </w:rPr>
      </w:pPr>
      <w:r>
        <w:rPr>
          <w:bCs/>
          <w:color w:val="auto"/>
        </w:rPr>
        <w:t>生活垃圾产生系数按0.5kg/d人计，本项目建成后拟聘职工</w:t>
      </w:r>
      <w:r>
        <w:rPr>
          <w:rFonts w:hint="eastAsia"/>
          <w:bCs/>
          <w:color w:val="auto"/>
        </w:rPr>
        <w:t>35</w:t>
      </w:r>
      <w:r>
        <w:rPr>
          <w:bCs/>
          <w:color w:val="auto"/>
        </w:rPr>
        <w:t>人，则</w:t>
      </w:r>
      <w:r>
        <w:rPr>
          <w:rFonts w:hint="eastAsia"/>
          <w:bCs/>
          <w:color w:val="auto"/>
        </w:rPr>
        <w:t>厂区</w:t>
      </w:r>
      <w:r>
        <w:rPr>
          <w:bCs/>
          <w:color w:val="auto"/>
        </w:rPr>
        <w:t>职工生活垃圾产生量为</w:t>
      </w:r>
      <w:r>
        <w:rPr>
          <w:rFonts w:hint="eastAsia"/>
          <w:bCs/>
          <w:color w:val="auto"/>
        </w:rPr>
        <w:t>17.5</w:t>
      </w:r>
      <w:r>
        <w:rPr>
          <w:bCs/>
          <w:color w:val="auto"/>
        </w:rPr>
        <w:t>kg/d、</w:t>
      </w:r>
      <w:r>
        <w:rPr>
          <w:rFonts w:hint="eastAsia"/>
          <w:bCs/>
          <w:color w:val="auto"/>
        </w:rPr>
        <w:t>6.39</w:t>
      </w:r>
      <w:r>
        <w:rPr>
          <w:bCs/>
          <w:color w:val="auto"/>
        </w:rPr>
        <w:t>t/a。生活垃圾由环卫部门定期收集后运往当地生活垃圾填埋场处置。</w:t>
      </w:r>
    </w:p>
    <w:p>
      <w:pPr>
        <w:ind w:left="352" w:leftChars="147" w:firstLine="0" w:firstLineChars="0"/>
        <w:rPr>
          <w:bCs/>
          <w:color w:val="auto"/>
        </w:rPr>
      </w:pPr>
      <w:r>
        <w:rPr>
          <w:rFonts w:hint="eastAsia"/>
          <w:bCs/>
          <w:color w:val="auto"/>
        </w:rPr>
        <w:t>（7）废导热油</w:t>
      </w:r>
    </w:p>
    <w:p>
      <w:pPr>
        <w:ind w:firstLine="480" w:firstLineChars="0"/>
        <w:rPr>
          <w:bCs/>
          <w:color w:val="auto"/>
        </w:rPr>
      </w:pPr>
      <w:r>
        <w:rPr>
          <w:rFonts w:hint="eastAsia"/>
          <w:bCs/>
          <w:color w:val="auto"/>
        </w:rPr>
        <w:t>本项目病死猪高温化制机，采用导热油加热，设备中导热油一次冲注量为250kg，导热油使用一段时间后其中杂质增多，由于多次循环使用其导热性能也逐渐降低，故需要更换，更换周期为两年，每次更换量为250kg。即年更换量为125kg。更换下来的导热油属于危险废物，应交由有资质单位处理。</w:t>
      </w:r>
    </w:p>
    <w:p>
      <w:pPr>
        <w:ind w:firstLine="480"/>
        <w:rPr>
          <w:bCs/>
          <w:color w:val="auto"/>
        </w:rPr>
      </w:pPr>
      <w:r>
        <w:rPr>
          <w:bCs/>
          <w:color w:val="auto"/>
        </w:rPr>
        <w:t>综上，本项目固体废物产排情况及处置措施见表3.3-1</w:t>
      </w:r>
      <w:r>
        <w:rPr>
          <w:rFonts w:hint="eastAsia"/>
          <w:bCs/>
          <w:color w:val="auto"/>
        </w:rPr>
        <w:t>2</w:t>
      </w:r>
      <w:r>
        <w:rPr>
          <w:bCs/>
          <w:color w:val="auto"/>
        </w:rPr>
        <w:t>。</w:t>
      </w:r>
    </w:p>
    <w:p>
      <w:pPr>
        <w:ind w:firstLine="482"/>
        <w:jc w:val="center"/>
        <w:rPr>
          <w:b/>
          <w:color w:val="auto"/>
          <w:szCs w:val="21"/>
        </w:rPr>
      </w:pPr>
      <w:r>
        <w:rPr>
          <w:b/>
          <w:color w:val="auto"/>
          <w:szCs w:val="21"/>
        </w:rPr>
        <w:t>表3.3-1</w:t>
      </w:r>
      <w:r>
        <w:rPr>
          <w:rFonts w:hint="eastAsia"/>
          <w:b/>
          <w:color w:val="auto"/>
          <w:szCs w:val="21"/>
        </w:rPr>
        <w:t>2</w:t>
      </w:r>
      <w:r>
        <w:rPr>
          <w:b/>
          <w:color w:val="auto"/>
          <w:szCs w:val="21"/>
        </w:rPr>
        <w:t xml:space="preserve">             固体废物产排情况及处置措施一览表</w:t>
      </w:r>
    </w:p>
    <w:tbl>
      <w:tblPr>
        <w:tblStyle w:val="27"/>
        <w:tblW w:w="8946" w:type="dxa"/>
        <w:tblInd w:w="137" w:type="dxa"/>
        <w:tblLayout w:type="fixed"/>
        <w:tblCellMar>
          <w:top w:w="0" w:type="dxa"/>
          <w:left w:w="0" w:type="dxa"/>
          <w:bottom w:w="0" w:type="dxa"/>
          <w:right w:w="0" w:type="dxa"/>
        </w:tblCellMar>
      </w:tblPr>
      <w:tblGrid>
        <w:gridCol w:w="701"/>
        <w:gridCol w:w="1533"/>
        <w:gridCol w:w="1419"/>
        <w:gridCol w:w="1196"/>
        <w:gridCol w:w="930"/>
        <w:gridCol w:w="2213"/>
        <w:gridCol w:w="954"/>
      </w:tblGrid>
      <w:tr>
        <w:tblPrEx>
          <w:tblCellMar>
            <w:top w:w="0" w:type="dxa"/>
            <w:left w:w="0" w:type="dxa"/>
            <w:bottom w:w="0" w:type="dxa"/>
            <w:right w:w="0" w:type="dxa"/>
          </w:tblCellMar>
        </w:tblPrEx>
        <w:trPr>
          <w:trHeight w:val="634" w:hRule="exact"/>
        </w:trPr>
        <w:tc>
          <w:tcPr>
            <w:tcW w:w="701" w:type="dxa"/>
            <w:tcBorders>
              <w:top w:val="single" w:color="000000" w:sz="2" w:space="0"/>
              <w:left w:val="nil"/>
              <w:bottom w:val="single" w:color="000000" w:sz="6" w:space="0"/>
              <w:right w:val="single" w:color="000000" w:sz="6" w:space="0"/>
            </w:tcBorders>
            <w:vAlign w:val="center"/>
          </w:tcPr>
          <w:p>
            <w:pPr>
              <w:pStyle w:val="42"/>
              <w:adjustRightInd/>
              <w:snapToGrid/>
              <w:spacing w:line="240" w:lineRule="auto"/>
              <w:ind w:firstLine="0" w:firstLineChars="0"/>
              <w:jc w:val="center"/>
              <w:rPr>
                <w:rFonts w:ascii="宋体" w:hAnsi="宋体" w:cs="宋体"/>
                <w:color w:val="auto"/>
                <w:sz w:val="21"/>
                <w:szCs w:val="21"/>
              </w:rPr>
            </w:pPr>
            <w:bookmarkStart w:id="385" w:name="_Toc407001412"/>
            <w:bookmarkStart w:id="386" w:name="_Toc311979820"/>
            <w:bookmarkStart w:id="387" w:name="_Toc388881920"/>
            <w:bookmarkStart w:id="388" w:name="_Toc468115369"/>
            <w:bookmarkStart w:id="389" w:name="_Toc311979933"/>
            <w:bookmarkStart w:id="390" w:name="_Toc413166139"/>
            <w:bookmarkStart w:id="391" w:name="_Toc311979865"/>
            <w:bookmarkStart w:id="392" w:name="_Toc443924636"/>
            <w:bookmarkStart w:id="393" w:name="_Toc485579836"/>
            <w:bookmarkStart w:id="394" w:name="_Toc406847419"/>
            <w:r>
              <w:rPr>
                <w:rFonts w:ascii="宋体" w:hAnsi="宋体" w:cs="宋体"/>
                <w:b/>
                <w:bCs/>
                <w:color w:val="auto"/>
                <w:sz w:val="21"/>
                <w:szCs w:val="21"/>
              </w:rPr>
              <w:t>序号</w:t>
            </w:r>
          </w:p>
        </w:tc>
        <w:tc>
          <w:tcPr>
            <w:tcW w:w="1533" w:type="dxa"/>
            <w:tcBorders>
              <w:top w:val="single" w:color="000000" w:sz="2" w:space="0"/>
              <w:left w:val="single" w:color="000000" w:sz="6" w:space="0"/>
              <w:bottom w:val="single" w:color="000000" w:sz="6" w:space="0"/>
              <w:right w:val="single" w:color="000000" w:sz="6" w:space="0"/>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b/>
                <w:bCs/>
                <w:color w:val="auto"/>
                <w:sz w:val="21"/>
                <w:szCs w:val="21"/>
              </w:rPr>
              <w:t>产生环节</w:t>
            </w:r>
          </w:p>
        </w:tc>
        <w:tc>
          <w:tcPr>
            <w:tcW w:w="1419" w:type="dxa"/>
            <w:tcBorders>
              <w:top w:val="single" w:color="000000" w:sz="2" w:space="0"/>
              <w:left w:val="single" w:color="000000" w:sz="6" w:space="0"/>
              <w:bottom w:val="single" w:color="000000" w:sz="6" w:space="0"/>
              <w:right w:val="single" w:color="000000" w:sz="6" w:space="0"/>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b/>
                <w:bCs/>
                <w:color w:val="auto"/>
                <w:sz w:val="21"/>
                <w:szCs w:val="21"/>
              </w:rPr>
              <w:t>名称</w:t>
            </w:r>
          </w:p>
        </w:tc>
        <w:tc>
          <w:tcPr>
            <w:tcW w:w="1196" w:type="dxa"/>
            <w:tcBorders>
              <w:top w:val="single" w:color="000000" w:sz="2" w:space="0"/>
              <w:left w:val="single" w:color="000000" w:sz="6" w:space="0"/>
              <w:bottom w:val="single" w:color="000000" w:sz="6" w:space="0"/>
              <w:right w:val="single" w:color="000000" w:sz="6" w:space="0"/>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b/>
                <w:bCs/>
                <w:color w:val="auto"/>
                <w:sz w:val="21"/>
                <w:szCs w:val="21"/>
              </w:rPr>
              <w:t>固废性质</w:t>
            </w:r>
          </w:p>
        </w:tc>
        <w:tc>
          <w:tcPr>
            <w:tcW w:w="930" w:type="dxa"/>
            <w:tcBorders>
              <w:top w:val="single" w:color="000000" w:sz="2" w:space="0"/>
              <w:left w:val="single" w:color="000000" w:sz="6" w:space="0"/>
              <w:bottom w:val="single" w:color="000000" w:sz="6" w:space="0"/>
              <w:right w:val="single" w:color="000000" w:sz="6" w:space="0"/>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b/>
                <w:bCs/>
                <w:color w:val="auto"/>
                <w:sz w:val="21"/>
                <w:szCs w:val="21"/>
              </w:rPr>
              <w:t>产生量</w:t>
            </w:r>
            <w:r>
              <w:rPr>
                <w:rFonts w:hint="eastAsia"/>
                <w:color w:val="auto"/>
                <w:sz w:val="21"/>
                <w:szCs w:val="21"/>
              </w:rPr>
              <w:t>t/a</w:t>
            </w:r>
          </w:p>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b/>
                <w:bCs/>
                <w:color w:val="auto"/>
                <w:sz w:val="21"/>
                <w:szCs w:val="21"/>
              </w:rPr>
              <w:t>（</w:t>
            </w:r>
            <w:r>
              <w:rPr>
                <w:rFonts w:eastAsia="Times New Roman"/>
                <w:b/>
                <w:bCs/>
                <w:color w:val="auto"/>
                <w:sz w:val="21"/>
                <w:szCs w:val="21"/>
              </w:rPr>
              <w:t>t/a</w:t>
            </w:r>
            <w:r>
              <w:rPr>
                <w:rFonts w:ascii="宋体" w:hAnsi="宋体" w:cs="宋体"/>
                <w:b/>
                <w:bCs/>
                <w:color w:val="auto"/>
                <w:sz w:val="21"/>
                <w:szCs w:val="21"/>
              </w:rPr>
              <w:t>）</w:t>
            </w:r>
          </w:p>
        </w:tc>
        <w:tc>
          <w:tcPr>
            <w:tcW w:w="2213" w:type="dxa"/>
            <w:tcBorders>
              <w:top w:val="single" w:color="000000" w:sz="2" w:space="0"/>
              <w:left w:val="single" w:color="000000" w:sz="6" w:space="0"/>
              <w:bottom w:val="single" w:color="000000" w:sz="6" w:space="0"/>
              <w:right w:val="single" w:color="000000" w:sz="6" w:space="0"/>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b/>
                <w:bCs/>
                <w:color w:val="auto"/>
                <w:sz w:val="21"/>
                <w:szCs w:val="21"/>
              </w:rPr>
              <w:t>处置措施</w:t>
            </w:r>
          </w:p>
        </w:tc>
        <w:tc>
          <w:tcPr>
            <w:tcW w:w="954" w:type="dxa"/>
            <w:tcBorders>
              <w:top w:val="single" w:color="000000" w:sz="2" w:space="0"/>
              <w:left w:val="single" w:color="000000" w:sz="6" w:space="0"/>
              <w:bottom w:val="single" w:color="000000" w:sz="6" w:space="0"/>
              <w:right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b/>
                <w:bCs/>
                <w:color w:val="auto"/>
                <w:sz w:val="21"/>
                <w:szCs w:val="21"/>
              </w:rPr>
              <w:t>排放量</w:t>
            </w:r>
            <w:r>
              <w:rPr>
                <w:rFonts w:hint="eastAsia"/>
                <w:color w:val="auto"/>
                <w:sz w:val="21"/>
                <w:szCs w:val="21"/>
              </w:rPr>
              <w:t>t/a</w:t>
            </w:r>
          </w:p>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b/>
                <w:bCs/>
                <w:color w:val="auto"/>
                <w:sz w:val="21"/>
                <w:szCs w:val="21"/>
              </w:rPr>
              <w:t>（</w:t>
            </w:r>
            <w:r>
              <w:rPr>
                <w:rFonts w:eastAsia="Times New Roman"/>
                <w:b/>
                <w:bCs/>
                <w:color w:val="auto"/>
                <w:sz w:val="21"/>
                <w:szCs w:val="21"/>
              </w:rPr>
              <w:t>t/a</w:t>
            </w:r>
            <w:r>
              <w:rPr>
                <w:rFonts w:ascii="宋体" w:hAnsi="宋体" w:cs="宋体"/>
                <w:b/>
                <w:bCs/>
                <w:color w:val="auto"/>
                <w:sz w:val="21"/>
                <w:szCs w:val="21"/>
              </w:rPr>
              <w:t>）</w:t>
            </w:r>
          </w:p>
        </w:tc>
      </w:tr>
      <w:tr>
        <w:tblPrEx>
          <w:tblCellMar>
            <w:top w:w="0" w:type="dxa"/>
            <w:left w:w="0" w:type="dxa"/>
            <w:bottom w:w="0" w:type="dxa"/>
            <w:right w:w="0" w:type="dxa"/>
          </w:tblCellMar>
        </w:tblPrEx>
        <w:trPr>
          <w:trHeight w:val="639" w:hRule="exact"/>
        </w:trPr>
        <w:tc>
          <w:tcPr>
            <w:tcW w:w="701" w:type="dxa"/>
            <w:tcBorders>
              <w:top w:val="single" w:color="000000" w:sz="6" w:space="0"/>
              <w:left w:val="nil"/>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1</w:t>
            </w:r>
          </w:p>
        </w:tc>
        <w:tc>
          <w:tcPr>
            <w:tcW w:w="1533"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防疫</w:t>
            </w:r>
          </w:p>
        </w:tc>
        <w:tc>
          <w:tcPr>
            <w:tcW w:w="1419"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医疗固废</w:t>
            </w:r>
          </w:p>
        </w:tc>
        <w:tc>
          <w:tcPr>
            <w:tcW w:w="1196"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危险废物</w:t>
            </w:r>
          </w:p>
          <w:p>
            <w:pPr>
              <w:spacing w:line="240" w:lineRule="auto"/>
              <w:ind w:firstLine="0" w:firstLineChars="0"/>
              <w:jc w:val="center"/>
              <w:rPr>
                <w:color w:val="auto"/>
                <w:sz w:val="21"/>
                <w:szCs w:val="21"/>
              </w:rPr>
            </w:pPr>
            <w:r>
              <w:rPr>
                <w:rFonts w:hint="eastAsia"/>
                <w:color w:val="auto"/>
                <w:sz w:val="21"/>
                <w:szCs w:val="21"/>
              </w:rPr>
              <w:t>（HW01）</w:t>
            </w:r>
          </w:p>
        </w:tc>
        <w:tc>
          <w:tcPr>
            <w:tcW w:w="930"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0.25</w:t>
            </w:r>
          </w:p>
        </w:tc>
        <w:tc>
          <w:tcPr>
            <w:tcW w:w="2213"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定期交由有资质单位</w:t>
            </w:r>
          </w:p>
          <w:p>
            <w:pPr>
              <w:spacing w:line="240" w:lineRule="auto"/>
              <w:ind w:firstLine="0" w:firstLineChars="0"/>
              <w:jc w:val="center"/>
              <w:rPr>
                <w:color w:val="auto"/>
                <w:sz w:val="21"/>
                <w:szCs w:val="21"/>
              </w:rPr>
            </w:pPr>
            <w:r>
              <w:rPr>
                <w:rFonts w:hint="eastAsia"/>
                <w:color w:val="auto"/>
                <w:sz w:val="21"/>
                <w:szCs w:val="21"/>
              </w:rPr>
              <w:t>处理</w:t>
            </w:r>
          </w:p>
        </w:tc>
        <w:tc>
          <w:tcPr>
            <w:tcW w:w="954" w:type="dxa"/>
            <w:tcBorders>
              <w:top w:val="single" w:color="000000" w:sz="6" w:space="0"/>
              <w:left w:val="single" w:color="000000" w:sz="6" w:space="0"/>
              <w:bottom w:val="single" w:color="000000" w:sz="6" w:space="0"/>
              <w:right w:val="nil"/>
            </w:tcBorders>
            <w:vAlign w:val="center"/>
          </w:tcPr>
          <w:p>
            <w:pPr>
              <w:spacing w:line="240" w:lineRule="auto"/>
              <w:ind w:firstLine="0" w:firstLineChars="0"/>
              <w:jc w:val="center"/>
              <w:rPr>
                <w:color w:val="auto"/>
                <w:sz w:val="21"/>
                <w:szCs w:val="21"/>
              </w:rPr>
            </w:pPr>
            <w:r>
              <w:rPr>
                <w:rFonts w:hint="eastAsia"/>
                <w:color w:val="auto"/>
                <w:sz w:val="21"/>
                <w:szCs w:val="21"/>
              </w:rPr>
              <w:t>0</w:t>
            </w:r>
          </w:p>
        </w:tc>
      </w:tr>
      <w:tr>
        <w:trPr>
          <w:trHeight w:val="1246" w:hRule="exact"/>
        </w:trPr>
        <w:tc>
          <w:tcPr>
            <w:tcW w:w="701" w:type="dxa"/>
            <w:tcBorders>
              <w:top w:val="single" w:color="000000" w:sz="6" w:space="0"/>
              <w:left w:val="nil"/>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2</w:t>
            </w:r>
          </w:p>
        </w:tc>
        <w:tc>
          <w:tcPr>
            <w:tcW w:w="1533"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养殖</w:t>
            </w:r>
          </w:p>
        </w:tc>
        <w:tc>
          <w:tcPr>
            <w:tcW w:w="1419"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病死猪</w:t>
            </w:r>
          </w:p>
        </w:tc>
        <w:tc>
          <w:tcPr>
            <w:tcW w:w="1196"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危险废物</w:t>
            </w:r>
          </w:p>
          <w:p>
            <w:pPr>
              <w:spacing w:line="240" w:lineRule="auto"/>
              <w:ind w:firstLine="0" w:firstLineChars="0"/>
              <w:jc w:val="center"/>
              <w:rPr>
                <w:color w:val="auto"/>
                <w:sz w:val="21"/>
                <w:szCs w:val="21"/>
              </w:rPr>
            </w:pPr>
            <w:r>
              <w:rPr>
                <w:rFonts w:hint="eastAsia"/>
                <w:color w:val="auto"/>
                <w:sz w:val="21"/>
                <w:szCs w:val="21"/>
              </w:rPr>
              <w:t>（HW01）</w:t>
            </w:r>
          </w:p>
        </w:tc>
        <w:tc>
          <w:tcPr>
            <w:tcW w:w="930"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9.6</w:t>
            </w:r>
          </w:p>
        </w:tc>
        <w:tc>
          <w:tcPr>
            <w:tcW w:w="2213"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在厂区内无害化处理后，残渣作为有机肥原料外售</w:t>
            </w:r>
          </w:p>
        </w:tc>
        <w:tc>
          <w:tcPr>
            <w:tcW w:w="954" w:type="dxa"/>
            <w:tcBorders>
              <w:top w:val="single" w:color="000000" w:sz="6" w:space="0"/>
              <w:left w:val="single" w:color="000000" w:sz="6" w:space="0"/>
              <w:bottom w:val="single" w:color="000000" w:sz="6" w:space="0"/>
              <w:right w:val="nil"/>
            </w:tcBorders>
            <w:vAlign w:val="center"/>
          </w:tcPr>
          <w:p>
            <w:pPr>
              <w:spacing w:line="240" w:lineRule="auto"/>
              <w:ind w:firstLine="0" w:firstLineChars="0"/>
              <w:jc w:val="center"/>
              <w:rPr>
                <w:color w:val="auto"/>
                <w:sz w:val="21"/>
                <w:szCs w:val="21"/>
              </w:rPr>
            </w:pPr>
            <w:r>
              <w:rPr>
                <w:rFonts w:hint="eastAsia"/>
                <w:color w:val="auto"/>
                <w:sz w:val="21"/>
                <w:szCs w:val="21"/>
              </w:rPr>
              <w:t>0</w:t>
            </w:r>
          </w:p>
        </w:tc>
      </w:tr>
      <w:tr>
        <w:trPr>
          <w:trHeight w:val="639" w:hRule="exact"/>
        </w:trPr>
        <w:tc>
          <w:tcPr>
            <w:tcW w:w="701" w:type="dxa"/>
            <w:tcBorders>
              <w:top w:val="single" w:color="000000" w:sz="6" w:space="0"/>
              <w:left w:val="nil"/>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3</w:t>
            </w:r>
          </w:p>
        </w:tc>
        <w:tc>
          <w:tcPr>
            <w:tcW w:w="1533"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固液分离</w:t>
            </w:r>
          </w:p>
        </w:tc>
        <w:tc>
          <w:tcPr>
            <w:tcW w:w="1419"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猪粪</w:t>
            </w:r>
          </w:p>
        </w:tc>
        <w:tc>
          <w:tcPr>
            <w:tcW w:w="1196"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一般固废</w:t>
            </w:r>
          </w:p>
        </w:tc>
        <w:tc>
          <w:tcPr>
            <w:tcW w:w="930"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1564.3</w:t>
            </w:r>
          </w:p>
        </w:tc>
        <w:tc>
          <w:tcPr>
            <w:tcW w:w="2213"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经发酵后作为制有机</w:t>
            </w:r>
          </w:p>
          <w:p>
            <w:pPr>
              <w:spacing w:line="240" w:lineRule="auto"/>
              <w:ind w:firstLine="0" w:firstLineChars="0"/>
              <w:jc w:val="center"/>
              <w:rPr>
                <w:color w:val="auto"/>
                <w:sz w:val="21"/>
                <w:szCs w:val="21"/>
              </w:rPr>
            </w:pPr>
            <w:r>
              <w:rPr>
                <w:rFonts w:hint="eastAsia"/>
                <w:color w:val="auto"/>
                <w:sz w:val="21"/>
                <w:szCs w:val="21"/>
              </w:rPr>
              <w:t>肥基料外售</w:t>
            </w:r>
          </w:p>
        </w:tc>
        <w:tc>
          <w:tcPr>
            <w:tcW w:w="954" w:type="dxa"/>
            <w:tcBorders>
              <w:top w:val="single" w:color="000000" w:sz="6" w:space="0"/>
              <w:left w:val="single" w:color="000000" w:sz="6" w:space="0"/>
              <w:bottom w:val="single" w:color="000000" w:sz="6" w:space="0"/>
              <w:right w:val="nil"/>
            </w:tcBorders>
            <w:vAlign w:val="center"/>
          </w:tcPr>
          <w:p>
            <w:pPr>
              <w:spacing w:line="240" w:lineRule="auto"/>
              <w:ind w:firstLine="0" w:firstLineChars="0"/>
              <w:jc w:val="center"/>
              <w:rPr>
                <w:color w:val="auto"/>
                <w:sz w:val="21"/>
                <w:szCs w:val="21"/>
              </w:rPr>
            </w:pPr>
            <w:r>
              <w:rPr>
                <w:rFonts w:hint="eastAsia"/>
                <w:color w:val="auto"/>
                <w:sz w:val="21"/>
                <w:szCs w:val="21"/>
              </w:rPr>
              <w:t>0</w:t>
            </w:r>
          </w:p>
        </w:tc>
      </w:tr>
      <w:tr>
        <w:trPr>
          <w:trHeight w:val="355" w:hRule="exact"/>
        </w:trPr>
        <w:tc>
          <w:tcPr>
            <w:tcW w:w="701" w:type="dxa"/>
            <w:tcBorders>
              <w:top w:val="single" w:color="000000" w:sz="6" w:space="0"/>
              <w:left w:val="nil"/>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4</w:t>
            </w:r>
          </w:p>
        </w:tc>
        <w:tc>
          <w:tcPr>
            <w:tcW w:w="1533"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沼气脱硫装置</w:t>
            </w:r>
          </w:p>
        </w:tc>
        <w:tc>
          <w:tcPr>
            <w:tcW w:w="1419"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废脱硫剂</w:t>
            </w:r>
          </w:p>
        </w:tc>
        <w:tc>
          <w:tcPr>
            <w:tcW w:w="1196"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一般固废</w:t>
            </w:r>
          </w:p>
        </w:tc>
        <w:tc>
          <w:tcPr>
            <w:tcW w:w="930"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0.006</w:t>
            </w:r>
          </w:p>
        </w:tc>
        <w:tc>
          <w:tcPr>
            <w:tcW w:w="2213"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生产厂家统一回收处置</w:t>
            </w:r>
          </w:p>
        </w:tc>
        <w:tc>
          <w:tcPr>
            <w:tcW w:w="954" w:type="dxa"/>
            <w:tcBorders>
              <w:top w:val="single" w:color="000000" w:sz="6" w:space="0"/>
              <w:left w:val="single" w:color="000000" w:sz="6" w:space="0"/>
              <w:bottom w:val="single" w:color="000000" w:sz="6" w:space="0"/>
              <w:right w:val="nil"/>
            </w:tcBorders>
            <w:vAlign w:val="center"/>
          </w:tcPr>
          <w:p>
            <w:pPr>
              <w:spacing w:line="240" w:lineRule="auto"/>
              <w:ind w:firstLine="0" w:firstLineChars="0"/>
              <w:jc w:val="center"/>
              <w:rPr>
                <w:color w:val="auto"/>
                <w:sz w:val="21"/>
                <w:szCs w:val="21"/>
              </w:rPr>
            </w:pPr>
            <w:r>
              <w:rPr>
                <w:rFonts w:hint="eastAsia"/>
                <w:color w:val="auto"/>
                <w:sz w:val="21"/>
                <w:szCs w:val="21"/>
              </w:rPr>
              <w:t>0</w:t>
            </w:r>
          </w:p>
        </w:tc>
      </w:tr>
      <w:tr>
        <w:trPr>
          <w:trHeight w:val="355" w:hRule="exact"/>
        </w:trPr>
        <w:tc>
          <w:tcPr>
            <w:tcW w:w="701" w:type="dxa"/>
            <w:tcBorders>
              <w:top w:val="single" w:color="000000" w:sz="6" w:space="0"/>
              <w:left w:val="nil"/>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5</w:t>
            </w:r>
          </w:p>
        </w:tc>
        <w:tc>
          <w:tcPr>
            <w:tcW w:w="1533"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职工生活</w:t>
            </w:r>
          </w:p>
        </w:tc>
        <w:tc>
          <w:tcPr>
            <w:tcW w:w="1419"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生活垃圾</w:t>
            </w:r>
          </w:p>
        </w:tc>
        <w:tc>
          <w:tcPr>
            <w:tcW w:w="1196"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一般固废</w:t>
            </w:r>
          </w:p>
        </w:tc>
        <w:tc>
          <w:tcPr>
            <w:tcW w:w="930"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6.39</w:t>
            </w:r>
          </w:p>
        </w:tc>
        <w:tc>
          <w:tcPr>
            <w:tcW w:w="2213"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送交环卫部门处理</w:t>
            </w:r>
          </w:p>
        </w:tc>
        <w:tc>
          <w:tcPr>
            <w:tcW w:w="954" w:type="dxa"/>
            <w:tcBorders>
              <w:top w:val="single" w:color="000000" w:sz="6" w:space="0"/>
              <w:left w:val="single" w:color="000000" w:sz="6" w:space="0"/>
              <w:bottom w:val="single" w:color="000000" w:sz="6" w:space="0"/>
              <w:right w:val="nil"/>
            </w:tcBorders>
            <w:vAlign w:val="center"/>
          </w:tcPr>
          <w:p>
            <w:pPr>
              <w:spacing w:line="240" w:lineRule="auto"/>
              <w:ind w:firstLine="0" w:firstLineChars="0"/>
              <w:jc w:val="center"/>
              <w:rPr>
                <w:color w:val="auto"/>
                <w:sz w:val="21"/>
                <w:szCs w:val="21"/>
              </w:rPr>
            </w:pPr>
            <w:r>
              <w:rPr>
                <w:rFonts w:hint="eastAsia"/>
                <w:color w:val="auto"/>
                <w:sz w:val="21"/>
                <w:szCs w:val="21"/>
              </w:rPr>
              <w:t>0</w:t>
            </w:r>
          </w:p>
        </w:tc>
      </w:tr>
      <w:tr>
        <w:trPr>
          <w:trHeight w:val="625" w:hRule="exact"/>
        </w:trPr>
        <w:tc>
          <w:tcPr>
            <w:tcW w:w="701" w:type="dxa"/>
            <w:tcBorders>
              <w:top w:val="single" w:color="000000" w:sz="6" w:space="0"/>
              <w:left w:val="nil"/>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6</w:t>
            </w:r>
          </w:p>
        </w:tc>
        <w:tc>
          <w:tcPr>
            <w:tcW w:w="1533"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无害化处理</w:t>
            </w:r>
          </w:p>
        </w:tc>
        <w:tc>
          <w:tcPr>
            <w:tcW w:w="1419"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废导热油</w:t>
            </w:r>
          </w:p>
        </w:tc>
        <w:tc>
          <w:tcPr>
            <w:tcW w:w="1196"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危险废物</w:t>
            </w:r>
          </w:p>
          <w:p>
            <w:pPr>
              <w:widowControl/>
              <w:ind w:firstLine="0" w:firstLineChars="0"/>
              <w:jc w:val="center"/>
              <w:rPr>
                <w:color w:val="auto"/>
              </w:rPr>
            </w:pPr>
            <w:r>
              <w:rPr>
                <w:rFonts w:hint="eastAsia" w:ascii="宋体" w:hAnsi="宋体" w:cs="宋体"/>
                <w:color w:val="auto"/>
                <w:kern w:val="0"/>
                <w:sz w:val="20"/>
                <w:szCs w:val="20"/>
                <w:lang w:bidi="ar"/>
              </w:rPr>
              <w:t>（</w:t>
            </w:r>
            <w:r>
              <w:rPr>
                <w:rFonts w:ascii="TimesNewRomanPSMT" w:hAnsi="TimesNewRomanPSMT" w:eastAsia="TimesNewRomanPSMT" w:cs="TimesNewRomanPSMT"/>
                <w:color w:val="auto"/>
                <w:kern w:val="0"/>
                <w:sz w:val="20"/>
                <w:szCs w:val="20"/>
                <w:lang w:bidi="ar"/>
              </w:rPr>
              <w:t>HW08</w:t>
            </w:r>
            <w:r>
              <w:rPr>
                <w:rFonts w:hint="eastAsia" w:ascii="宋体" w:hAnsi="宋体" w:cs="宋体"/>
                <w:color w:val="auto"/>
                <w:kern w:val="0"/>
                <w:sz w:val="20"/>
                <w:szCs w:val="20"/>
                <w:lang w:bidi="ar"/>
              </w:rPr>
              <w:t>）</w:t>
            </w:r>
          </w:p>
          <w:p>
            <w:pPr>
              <w:spacing w:line="240" w:lineRule="auto"/>
              <w:ind w:firstLine="0" w:firstLineChars="0"/>
              <w:jc w:val="center"/>
              <w:rPr>
                <w:color w:val="auto"/>
                <w:sz w:val="21"/>
                <w:szCs w:val="21"/>
              </w:rPr>
            </w:pPr>
          </w:p>
        </w:tc>
        <w:tc>
          <w:tcPr>
            <w:tcW w:w="930"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0.125</w:t>
            </w:r>
          </w:p>
        </w:tc>
        <w:tc>
          <w:tcPr>
            <w:tcW w:w="2213"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定期交由有资质单位</w:t>
            </w:r>
          </w:p>
          <w:p>
            <w:pPr>
              <w:spacing w:line="240" w:lineRule="auto"/>
              <w:ind w:firstLine="0" w:firstLineChars="0"/>
              <w:jc w:val="center"/>
              <w:rPr>
                <w:color w:val="auto"/>
                <w:sz w:val="21"/>
                <w:szCs w:val="21"/>
              </w:rPr>
            </w:pPr>
            <w:r>
              <w:rPr>
                <w:rFonts w:hint="eastAsia"/>
                <w:color w:val="auto"/>
                <w:sz w:val="21"/>
                <w:szCs w:val="21"/>
              </w:rPr>
              <w:t>处理</w:t>
            </w:r>
          </w:p>
        </w:tc>
        <w:tc>
          <w:tcPr>
            <w:tcW w:w="954" w:type="dxa"/>
            <w:tcBorders>
              <w:top w:val="single" w:color="000000" w:sz="6" w:space="0"/>
              <w:left w:val="single" w:color="000000" w:sz="6" w:space="0"/>
              <w:bottom w:val="single" w:color="000000" w:sz="6" w:space="0"/>
              <w:right w:val="nil"/>
            </w:tcBorders>
            <w:vAlign w:val="center"/>
          </w:tcPr>
          <w:p>
            <w:pPr>
              <w:spacing w:line="240" w:lineRule="auto"/>
              <w:ind w:firstLine="0" w:firstLineChars="0"/>
              <w:jc w:val="center"/>
              <w:rPr>
                <w:color w:val="auto"/>
                <w:sz w:val="21"/>
                <w:szCs w:val="21"/>
              </w:rPr>
            </w:pPr>
            <w:r>
              <w:rPr>
                <w:rFonts w:hint="eastAsia"/>
                <w:color w:val="auto"/>
                <w:sz w:val="21"/>
                <w:szCs w:val="21"/>
              </w:rPr>
              <w:t>0</w:t>
            </w:r>
          </w:p>
        </w:tc>
      </w:tr>
      <w:tr>
        <w:trPr>
          <w:trHeight w:val="860" w:hRule="exact"/>
        </w:trPr>
        <w:tc>
          <w:tcPr>
            <w:tcW w:w="701" w:type="dxa"/>
            <w:tcBorders>
              <w:top w:val="single" w:color="000000" w:sz="6" w:space="0"/>
              <w:left w:val="nil"/>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7</w:t>
            </w:r>
          </w:p>
        </w:tc>
        <w:tc>
          <w:tcPr>
            <w:tcW w:w="1533"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厌氧发酵</w:t>
            </w:r>
          </w:p>
        </w:tc>
        <w:tc>
          <w:tcPr>
            <w:tcW w:w="1419"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沼渣</w:t>
            </w:r>
          </w:p>
        </w:tc>
        <w:tc>
          <w:tcPr>
            <w:tcW w:w="1196"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一般固废</w:t>
            </w:r>
          </w:p>
        </w:tc>
        <w:tc>
          <w:tcPr>
            <w:tcW w:w="930"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2346.95</w:t>
            </w:r>
          </w:p>
        </w:tc>
        <w:tc>
          <w:tcPr>
            <w:tcW w:w="2213"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经固液分离发酵后作为制有机肥基料外售</w:t>
            </w:r>
          </w:p>
        </w:tc>
        <w:tc>
          <w:tcPr>
            <w:tcW w:w="954" w:type="dxa"/>
            <w:tcBorders>
              <w:top w:val="single" w:color="000000" w:sz="6" w:space="0"/>
              <w:left w:val="single" w:color="000000" w:sz="6" w:space="0"/>
              <w:bottom w:val="single" w:color="000000" w:sz="6" w:space="0"/>
              <w:right w:val="nil"/>
            </w:tcBorders>
            <w:vAlign w:val="center"/>
          </w:tcPr>
          <w:p>
            <w:pPr>
              <w:spacing w:line="240" w:lineRule="auto"/>
              <w:ind w:firstLine="0" w:firstLineChars="0"/>
              <w:jc w:val="center"/>
              <w:rPr>
                <w:color w:val="auto"/>
                <w:sz w:val="21"/>
                <w:szCs w:val="21"/>
              </w:rPr>
            </w:pPr>
            <w:r>
              <w:rPr>
                <w:rFonts w:hint="eastAsia"/>
                <w:color w:val="auto"/>
                <w:sz w:val="21"/>
                <w:szCs w:val="21"/>
              </w:rPr>
              <w:t>0</w:t>
            </w:r>
          </w:p>
        </w:tc>
      </w:tr>
    </w:tbl>
    <w:p>
      <w:pPr>
        <w:pStyle w:val="32"/>
        <w:rPr>
          <w:color w:val="auto"/>
        </w:rPr>
      </w:pPr>
      <w:bookmarkStart w:id="395" w:name="_Toc2470"/>
      <w:bookmarkStart w:id="396" w:name="_Toc11371"/>
      <w:r>
        <w:rPr>
          <w:color w:val="auto"/>
        </w:rPr>
        <w:t>3.4 项目主要污染物产排情况</w:t>
      </w:r>
      <w:bookmarkEnd w:id="385"/>
      <w:bookmarkEnd w:id="386"/>
      <w:bookmarkEnd w:id="387"/>
      <w:bookmarkEnd w:id="388"/>
      <w:bookmarkEnd w:id="389"/>
      <w:bookmarkEnd w:id="390"/>
      <w:bookmarkEnd w:id="391"/>
      <w:bookmarkEnd w:id="392"/>
      <w:bookmarkEnd w:id="393"/>
      <w:bookmarkEnd w:id="394"/>
      <w:bookmarkEnd w:id="395"/>
      <w:bookmarkEnd w:id="396"/>
    </w:p>
    <w:p>
      <w:pPr>
        <w:kinsoku w:val="0"/>
        <w:overflowPunct w:val="0"/>
        <w:ind w:firstLine="480"/>
        <w:jc w:val="left"/>
        <w:rPr>
          <w:color w:val="auto"/>
        </w:rPr>
      </w:pPr>
      <w:r>
        <w:rPr>
          <w:color w:val="auto"/>
        </w:rPr>
        <w:t>本项目污染物产排情况见表3.4-1。</w:t>
      </w:r>
    </w:p>
    <w:p>
      <w:pPr>
        <w:spacing w:after="154" w:afterLines="30" w:line="500" w:lineRule="exact"/>
        <w:ind w:firstLine="482"/>
        <w:jc w:val="left"/>
        <w:rPr>
          <w:b/>
          <w:color w:val="auto"/>
          <w:szCs w:val="21"/>
        </w:rPr>
      </w:pPr>
      <w:r>
        <w:rPr>
          <w:b/>
          <w:color w:val="auto"/>
          <w:szCs w:val="21"/>
        </w:rPr>
        <w:t>表3.4-1                  项目污染物产排汇总情况一览表</w:t>
      </w:r>
    </w:p>
    <w:tbl>
      <w:tblPr>
        <w:tblStyle w:val="27"/>
        <w:tblW w:w="4997" w:type="pct"/>
        <w:jc w:val="center"/>
        <w:tblBorders>
          <w:top w:val="single" w:color="000000" w:sz="2" w:space="0"/>
          <w:left w:val="none" w:color="auto" w:sz="0" w:space="0"/>
          <w:bottom w:val="single" w:color="000000" w:sz="6"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
      <w:tblGrid>
        <w:gridCol w:w="909"/>
        <w:gridCol w:w="740"/>
        <w:gridCol w:w="1619"/>
        <w:gridCol w:w="2383"/>
        <w:gridCol w:w="1415"/>
        <w:gridCol w:w="1887"/>
      </w:tblGrid>
      <w:tr>
        <w:tblPrEx>
          <w:tblBorders>
            <w:top w:val="single" w:color="000000" w:sz="2" w:space="0"/>
            <w:left w:val="none" w:color="auto" w:sz="0" w:space="0"/>
            <w:bottom w:val="single" w:color="000000" w:sz="6"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412" w:hRule="exact"/>
          <w:jc w:val="center"/>
        </w:trPr>
        <w:tc>
          <w:tcPr>
            <w:tcW w:w="50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种类</w:t>
            </w:r>
          </w:p>
        </w:tc>
        <w:tc>
          <w:tcPr>
            <w:tcW w:w="1316" w:type="pct"/>
            <w:gridSpan w:val="2"/>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污染因子</w:t>
            </w:r>
          </w:p>
        </w:tc>
        <w:tc>
          <w:tcPr>
            <w:tcW w:w="133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产生量</w:t>
            </w:r>
          </w:p>
        </w:tc>
        <w:tc>
          <w:tcPr>
            <w:tcW w:w="79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排放量</w:t>
            </w:r>
          </w:p>
        </w:tc>
        <w:tc>
          <w:tcPr>
            <w:tcW w:w="105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备注</w:t>
            </w:r>
          </w:p>
        </w:tc>
      </w:tr>
      <w:tr>
        <w:tblPrEx>
          <w:tblBorders>
            <w:top w:val="single" w:color="000000" w:sz="2" w:space="0"/>
            <w:left w:val="none" w:color="auto" w:sz="0" w:space="0"/>
            <w:bottom w:val="single" w:color="000000" w:sz="6"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29" w:hRule="exact"/>
          <w:jc w:val="center"/>
        </w:trPr>
        <w:tc>
          <w:tcPr>
            <w:tcW w:w="508"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废水(养殖废水与 生活污水 等混合)</w:t>
            </w:r>
          </w:p>
        </w:tc>
        <w:tc>
          <w:tcPr>
            <w:tcW w:w="1316" w:type="pct"/>
            <w:gridSpan w:val="2"/>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废水量</w:t>
            </w:r>
          </w:p>
        </w:tc>
        <w:tc>
          <w:tcPr>
            <w:tcW w:w="1330" w:type="pct"/>
            <w:tcBorders>
              <w:tl2br w:val="nil"/>
              <w:tr2bl w:val="nil"/>
            </w:tcBorders>
            <w:vAlign w:val="center"/>
          </w:tcPr>
          <w:p>
            <w:pPr>
              <w:spacing w:line="240" w:lineRule="auto"/>
              <w:ind w:firstLine="0" w:firstLineChars="0"/>
              <w:jc w:val="center"/>
              <w:rPr>
                <w:color w:val="auto"/>
                <w:sz w:val="21"/>
                <w:szCs w:val="21"/>
              </w:rPr>
            </w:pPr>
            <w:r>
              <w:rPr>
                <w:rFonts w:hint="eastAsia"/>
                <w:bCs/>
                <w:color w:val="auto"/>
                <w:sz w:val="21"/>
                <w:szCs w:val="21"/>
              </w:rPr>
              <w:t>46919.655</w:t>
            </w:r>
            <w:r>
              <w:rPr>
                <w:rFonts w:hint="eastAsia"/>
                <w:color w:val="auto"/>
                <w:sz w:val="21"/>
                <w:szCs w:val="21"/>
              </w:rPr>
              <w:t>m</w:t>
            </w:r>
            <w:r>
              <w:rPr>
                <w:rFonts w:hint="eastAsia"/>
                <w:color w:val="auto"/>
                <w:sz w:val="21"/>
                <w:szCs w:val="21"/>
                <w:vertAlign w:val="superscript"/>
              </w:rPr>
              <w:t>3</w:t>
            </w:r>
            <w:r>
              <w:rPr>
                <w:rFonts w:hint="eastAsia"/>
                <w:color w:val="auto"/>
                <w:sz w:val="21"/>
                <w:szCs w:val="21"/>
              </w:rPr>
              <w:t>/a</w:t>
            </w:r>
          </w:p>
        </w:tc>
        <w:tc>
          <w:tcPr>
            <w:tcW w:w="790"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w:t>
            </w:r>
          </w:p>
        </w:tc>
        <w:tc>
          <w:tcPr>
            <w:tcW w:w="1053"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经污水站处理后，做农肥；非耕作季节由黑膜沼气池储存，不外排</w:t>
            </w:r>
          </w:p>
        </w:tc>
      </w:tr>
      <w:tr>
        <w:tblPrEx>
          <w:tblBorders>
            <w:top w:val="single" w:color="000000" w:sz="2" w:space="0"/>
            <w:left w:val="none" w:color="auto" w:sz="0" w:space="0"/>
            <w:bottom w:val="single" w:color="000000" w:sz="6"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5" w:hRule="exact"/>
          <w:jc w:val="center"/>
        </w:trPr>
        <w:tc>
          <w:tcPr>
            <w:tcW w:w="508" w:type="pct"/>
            <w:vMerge w:val="continue"/>
            <w:tcBorders>
              <w:tl2br w:val="nil"/>
              <w:tr2bl w:val="nil"/>
            </w:tcBorders>
            <w:vAlign w:val="center"/>
          </w:tcPr>
          <w:p>
            <w:pPr>
              <w:spacing w:line="240" w:lineRule="auto"/>
              <w:ind w:firstLine="0" w:firstLineChars="0"/>
              <w:jc w:val="center"/>
              <w:rPr>
                <w:color w:val="auto"/>
                <w:sz w:val="21"/>
                <w:szCs w:val="21"/>
              </w:rPr>
            </w:pPr>
          </w:p>
        </w:tc>
        <w:tc>
          <w:tcPr>
            <w:tcW w:w="1316" w:type="pct"/>
            <w:gridSpan w:val="2"/>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COD</w:t>
            </w:r>
          </w:p>
        </w:tc>
        <w:tc>
          <w:tcPr>
            <w:tcW w:w="1330" w:type="pct"/>
            <w:tcBorders>
              <w:tl2br w:val="nil"/>
              <w:tr2bl w:val="nil"/>
            </w:tcBorders>
            <w:vAlign w:val="center"/>
          </w:tcPr>
          <w:p>
            <w:pPr>
              <w:spacing w:line="240" w:lineRule="auto"/>
              <w:ind w:firstLine="0" w:firstLineChars="0"/>
              <w:jc w:val="center"/>
              <w:rPr>
                <w:color w:val="auto"/>
                <w:sz w:val="21"/>
                <w:szCs w:val="21"/>
              </w:rPr>
            </w:pPr>
            <w:r>
              <w:rPr>
                <w:rFonts w:hint="eastAsia"/>
                <w:bCs/>
                <w:color w:val="auto"/>
                <w:sz w:val="21"/>
                <w:szCs w:val="21"/>
              </w:rPr>
              <w:t>14000</w:t>
            </w:r>
            <w:r>
              <w:rPr>
                <w:rFonts w:hint="eastAsia"/>
                <w:color w:val="auto"/>
                <w:sz w:val="21"/>
                <w:szCs w:val="21"/>
              </w:rPr>
              <w:t>mg/L，</w:t>
            </w:r>
            <w:r>
              <w:rPr>
                <w:rFonts w:hint="eastAsia"/>
                <w:bCs/>
                <w:color w:val="auto"/>
                <w:sz w:val="21"/>
                <w:szCs w:val="21"/>
              </w:rPr>
              <w:t>656.875</w:t>
            </w:r>
            <w:r>
              <w:rPr>
                <w:rFonts w:hint="eastAsia"/>
                <w:color w:val="auto"/>
                <w:sz w:val="21"/>
                <w:szCs w:val="21"/>
              </w:rPr>
              <w:t>t/a</w:t>
            </w:r>
          </w:p>
        </w:tc>
        <w:tc>
          <w:tcPr>
            <w:tcW w:w="790" w:type="pct"/>
            <w:vMerge w:val="continue"/>
            <w:tcBorders>
              <w:tl2br w:val="nil"/>
              <w:tr2bl w:val="nil"/>
            </w:tcBorders>
            <w:vAlign w:val="center"/>
          </w:tcPr>
          <w:p>
            <w:pPr>
              <w:spacing w:line="240" w:lineRule="auto"/>
              <w:ind w:firstLine="0" w:firstLineChars="0"/>
              <w:jc w:val="center"/>
              <w:rPr>
                <w:color w:val="auto"/>
                <w:sz w:val="21"/>
                <w:szCs w:val="21"/>
              </w:rPr>
            </w:pPr>
          </w:p>
        </w:tc>
        <w:tc>
          <w:tcPr>
            <w:tcW w:w="1053"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000000" w:sz="2" w:space="0"/>
            <w:left w:val="none" w:color="auto" w:sz="0" w:space="0"/>
            <w:bottom w:val="single" w:color="000000" w:sz="6"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5" w:hRule="exact"/>
          <w:jc w:val="center"/>
        </w:trPr>
        <w:tc>
          <w:tcPr>
            <w:tcW w:w="508" w:type="pct"/>
            <w:vMerge w:val="continue"/>
            <w:tcBorders>
              <w:tl2br w:val="nil"/>
              <w:tr2bl w:val="nil"/>
            </w:tcBorders>
            <w:vAlign w:val="center"/>
          </w:tcPr>
          <w:p>
            <w:pPr>
              <w:spacing w:line="240" w:lineRule="auto"/>
              <w:ind w:firstLine="0" w:firstLineChars="0"/>
              <w:jc w:val="center"/>
              <w:rPr>
                <w:color w:val="auto"/>
                <w:sz w:val="21"/>
                <w:szCs w:val="21"/>
              </w:rPr>
            </w:pPr>
          </w:p>
        </w:tc>
        <w:tc>
          <w:tcPr>
            <w:tcW w:w="1316" w:type="pct"/>
            <w:gridSpan w:val="2"/>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BOD</w:t>
            </w:r>
            <w:r>
              <w:rPr>
                <w:rFonts w:hint="eastAsia"/>
                <w:color w:val="auto"/>
                <w:sz w:val="21"/>
                <w:szCs w:val="21"/>
                <w:vertAlign w:val="subscript"/>
              </w:rPr>
              <w:t>5</w:t>
            </w:r>
          </w:p>
        </w:tc>
        <w:tc>
          <w:tcPr>
            <w:tcW w:w="1330" w:type="pct"/>
            <w:tcBorders>
              <w:tl2br w:val="nil"/>
              <w:tr2bl w:val="nil"/>
            </w:tcBorders>
            <w:vAlign w:val="center"/>
          </w:tcPr>
          <w:p>
            <w:pPr>
              <w:spacing w:line="240" w:lineRule="auto"/>
              <w:ind w:firstLine="0" w:firstLineChars="0"/>
              <w:jc w:val="center"/>
              <w:rPr>
                <w:color w:val="auto"/>
                <w:sz w:val="21"/>
                <w:szCs w:val="21"/>
              </w:rPr>
            </w:pPr>
            <w:r>
              <w:rPr>
                <w:rFonts w:hint="eastAsia"/>
                <w:bCs/>
                <w:color w:val="auto"/>
                <w:sz w:val="21"/>
                <w:szCs w:val="21"/>
              </w:rPr>
              <w:t>6000</w:t>
            </w:r>
            <w:r>
              <w:rPr>
                <w:rFonts w:hint="eastAsia"/>
                <w:color w:val="auto"/>
                <w:sz w:val="21"/>
                <w:szCs w:val="21"/>
              </w:rPr>
              <w:t>mg/L，</w:t>
            </w:r>
            <w:r>
              <w:rPr>
                <w:rFonts w:hint="eastAsia"/>
                <w:bCs/>
                <w:color w:val="auto"/>
                <w:sz w:val="21"/>
                <w:szCs w:val="21"/>
              </w:rPr>
              <w:t>281.518</w:t>
            </w:r>
            <w:r>
              <w:rPr>
                <w:rFonts w:hint="eastAsia"/>
                <w:color w:val="auto"/>
                <w:sz w:val="21"/>
                <w:szCs w:val="21"/>
              </w:rPr>
              <w:t>t/a</w:t>
            </w:r>
          </w:p>
        </w:tc>
        <w:tc>
          <w:tcPr>
            <w:tcW w:w="790" w:type="pct"/>
            <w:vMerge w:val="continue"/>
            <w:tcBorders>
              <w:tl2br w:val="nil"/>
              <w:tr2bl w:val="nil"/>
            </w:tcBorders>
            <w:vAlign w:val="center"/>
          </w:tcPr>
          <w:p>
            <w:pPr>
              <w:spacing w:line="240" w:lineRule="auto"/>
              <w:ind w:firstLine="0" w:firstLineChars="0"/>
              <w:jc w:val="center"/>
              <w:rPr>
                <w:color w:val="auto"/>
                <w:sz w:val="21"/>
                <w:szCs w:val="21"/>
              </w:rPr>
            </w:pPr>
          </w:p>
        </w:tc>
        <w:tc>
          <w:tcPr>
            <w:tcW w:w="1053"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000000" w:sz="2" w:space="0"/>
            <w:left w:val="none" w:color="auto" w:sz="0" w:space="0"/>
            <w:bottom w:val="single" w:color="000000" w:sz="6"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5" w:hRule="exact"/>
          <w:jc w:val="center"/>
        </w:trPr>
        <w:tc>
          <w:tcPr>
            <w:tcW w:w="508" w:type="pct"/>
            <w:vMerge w:val="continue"/>
            <w:tcBorders>
              <w:tl2br w:val="nil"/>
              <w:tr2bl w:val="nil"/>
            </w:tcBorders>
            <w:vAlign w:val="center"/>
          </w:tcPr>
          <w:p>
            <w:pPr>
              <w:spacing w:line="240" w:lineRule="auto"/>
              <w:ind w:firstLine="0" w:firstLineChars="0"/>
              <w:jc w:val="center"/>
              <w:rPr>
                <w:color w:val="auto"/>
                <w:sz w:val="21"/>
                <w:szCs w:val="21"/>
              </w:rPr>
            </w:pPr>
          </w:p>
        </w:tc>
        <w:tc>
          <w:tcPr>
            <w:tcW w:w="1316" w:type="pct"/>
            <w:gridSpan w:val="2"/>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SS</w:t>
            </w:r>
          </w:p>
        </w:tc>
        <w:tc>
          <w:tcPr>
            <w:tcW w:w="1330" w:type="pct"/>
            <w:tcBorders>
              <w:tl2br w:val="nil"/>
              <w:tr2bl w:val="nil"/>
            </w:tcBorders>
            <w:vAlign w:val="center"/>
          </w:tcPr>
          <w:p>
            <w:pPr>
              <w:spacing w:line="240" w:lineRule="auto"/>
              <w:ind w:firstLine="0" w:firstLineChars="0"/>
              <w:jc w:val="center"/>
              <w:rPr>
                <w:color w:val="auto"/>
                <w:sz w:val="21"/>
                <w:szCs w:val="21"/>
              </w:rPr>
            </w:pPr>
            <w:r>
              <w:rPr>
                <w:rFonts w:hint="eastAsia"/>
                <w:bCs/>
                <w:color w:val="auto"/>
                <w:sz w:val="21"/>
                <w:szCs w:val="21"/>
              </w:rPr>
              <w:t>7800</w:t>
            </w:r>
            <w:r>
              <w:rPr>
                <w:rFonts w:hint="eastAsia"/>
                <w:color w:val="auto"/>
                <w:sz w:val="21"/>
                <w:szCs w:val="21"/>
              </w:rPr>
              <w:t>mg/L，</w:t>
            </w:r>
            <w:r>
              <w:rPr>
                <w:rFonts w:hint="eastAsia"/>
                <w:bCs/>
                <w:color w:val="auto"/>
                <w:sz w:val="21"/>
                <w:szCs w:val="21"/>
              </w:rPr>
              <w:t>365.973</w:t>
            </w:r>
            <w:r>
              <w:rPr>
                <w:rFonts w:hint="eastAsia"/>
                <w:color w:val="auto"/>
                <w:sz w:val="21"/>
                <w:szCs w:val="21"/>
              </w:rPr>
              <w:t>t/a</w:t>
            </w:r>
          </w:p>
        </w:tc>
        <w:tc>
          <w:tcPr>
            <w:tcW w:w="790" w:type="pct"/>
            <w:vMerge w:val="continue"/>
            <w:tcBorders>
              <w:tl2br w:val="nil"/>
              <w:tr2bl w:val="nil"/>
            </w:tcBorders>
            <w:vAlign w:val="center"/>
          </w:tcPr>
          <w:p>
            <w:pPr>
              <w:spacing w:line="240" w:lineRule="auto"/>
              <w:ind w:firstLine="0" w:firstLineChars="0"/>
              <w:jc w:val="center"/>
              <w:rPr>
                <w:color w:val="auto"/>
                <w:sz w:val="21"/>
                <w:szCs w:val="21"/>
              </w:rPr>
            </w:pPr>
          </w:p>
        </w:tc>
        <w:tc>
          <w:tcPr>
            <w:tcW w:w="1053"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000000" w:sz="2" w:space="0"/>
            <w:left w:val="none" w:color="auto" w:sz="0" w:space="0"/>
            <w:bottom w:val="single" w:color="000000" w:sz="6"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490" w:hRule="exact"/>
          <w:jc w:val="center"/>
        </w:trPr>
        <w:tc>
          <w:tcPr>
            <w:tcW w:w="508" w:type="pct"/>
            <w:vMerge w:val="continue"/>
            <w:tcBorders>
              <w:tl2br w:val="nil"/>
              <w:tr2bl w:val="nil"/>
            </w:tcBorders>
            <w:vAlign w:val="center"/>
          </w:tcPr>
          <w:p>
            <w:pPr>
              <w:spacing w:line="240" w:lineRule="auto"/>
              <w:ind w:firstLine="0" w:firstLineChars="0"/>
              <w:jc w:val="center"/>
              <w:rPr>
                <w:color w:val="auto"/>
                <w:sz w:val="21"/>
                <w:szCs w:val="21"/>
              </w:rPr>
            </w:pPr>
          </w:p>
        </w:tc>
        <w:tc>
          <w:tcPr>
            <w:tcW w:w="1316" w:type="pct"/>
            <w:gridSpan w:val="2"/>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NH</w:t>
            </w:r>
            <w:r>
              <w:rPr>
                <w:rFonts w:hint="eastAsia"/>
                <w:color w:val="auto"/>
                <w:sz w:val="21"/>
                <w:szCs w:val="21"/>
                <w:vertAlign w:val="subscript"/>
              </w:rPr>
              <w:t>3</w:t>
            </w:r>
            <w:r>
              <w:rPr>
                <w:rFonts w:hint="eastAsia"/>
                <w:color w:val="auto"/>
                <w:sz w:val="21"/>
                <w:szCs w:val="21"/>
              </w:rPr>
              <w:t>-N</w:t>
            </w:r>
          </w:p>
        </w:tc>
        <w:tc>
          <w:tcPr>
            <w:tcW w:w="1330" w:type="pct"/>
            <w:tcBorders>
              <w:tl2br w:val="nil"/>
              <w:tr2bl w:val="nil"/>
            </w:tcBorders>
            <w:vAlign w:val="center"/>
          </w:tcPr>
          <w:p>
            <w:pPr>
              <w:spacing w:line="240" w:lineRule="auto"/>
              <w:ind w:firstLine="0" w:firstLineChars="0"/>
              <w:jc w:val="center"/>
              <w:rPr>
                <w:color w:val="auto"/>
                <w:sz w:val="21"/>
                <w:szCs w:val="21"/>
              </w:rPr>
            </w:pPr>
            <w:r>
              <w:rPr>
                <w:rFonts w:hint="eastAsia"/>
                <w:bCs/>
                <w:color w:val="auto"/>
                <w:sz w:val="21"/>
                <w:szCs w:val="21"/>
              </w:rPr>
              <w:t>1000</w:t>
            </w:r>
            <w:r>
              <w:rPr>
                <w:rFonts w:hint="eastAsia"/>
                <w:color w:val="auto"/>
                <w:sz w:val="21"/>
                <w:szCs w:val="21"/>
              </w:rPr>
              <w:t>mg/L，</w:t>
            </w:r>
            <w:r>
              <w:rPr>
                <w:rFonts w:hint="eastAsia"/>
                <w:bCs/>
                <w:color w:val="auto"/>
                <w:sz w:val="21"/>
                <w:szCs w:val="21"/>
              </w:rPr>
              <w:t>46.920</w:t>
            </w:r>
            <w:r>
              <w:rPr>
                <w:rFonts w:hint="eastAsia"/>
                <w:color w:val="auto"/>
                <w:sz w:val="21"/>
                <w:szCs w:val="21"/>
              </w:rPr>
              <w:t>t/a</w:t>
            </w:r>
          </w:p>
        </w:tc>
        <w:tc>
          <w:tcPr>
            <w:tcW w:w="790" w:type="pct"/>
            <w:vMerge w:val="continue"/>
            <w:tcBorders>
              <w:tl2br w:val="nil"/>
              <w:tr2bl w:val="nil"/>
            </w:tcBorders>
            <w:vAlign w:val="center"/>
          </w:tcPr>
          <w:p>
            <w:pPr>
              <w:spacing w:line="240" w:lineRule="auto"/>
              <w:ind w:firstLine="0" w:firstLineChars="0"/>
              <w:jc w:val="center"/>
              <w:rPr>
                <w:color w:val="auto"/>
                <w:sz w:val="21"/>
                <w:szCs w:val="21"/>
              </w:rPr>
            </w:pPr>
          </w:p>
        </w:tc>
        <w:tc>
          <w:tcPr>
            <w:tcW w:w="1053"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000000" w:sz="2" w:space="0"/>
            <w:left w:val="none" w:color="auto" w:sz="0" w:space="0"/>
            <w:bottom w:val="single" w:color="000000" w:sz="6"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5" w:hRule="exact"/>
          <w:jc w:val="center"/>
        </w:trPr>
        <w:tc>
          <w:tcPr>
            <w:tcW w:w="508"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废气</w:t>
            </w:r>
          </w:p>
        </w:tc>
        <w:tc>
          <w:tcPr>
            <w:tcW w:w="413"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猪舍</w:t>
            </w:r>
          </w:p>
        </w:tc>
        <w:tc>
          <w:tcPr>
            <w:tcW w:w="9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NH</w:t>
            </w:r>
            <w:r>
              <w:rPr>
                <w:rFonts w:hint="eastAsia"/>
                <w:color w:val="auto"/>
                <w:sz w:val="21"/>
                <w:szCs w:val="21"/>
                <w:vertAlign w:val="subscript"/>
              </w:rPr>
              <w:t>3</w:t>
            </w:r>
          </w:p>
        </w:tc>
        <w:tc>
          <w:tcPr>
            <w:tcW w:w="133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1.092</w:t>
            </w:r>
            <w:r>
              <w:rPr>
                <w:color w:val="auto"/>
                <w:sz w:val="21"/>
                <w:szCs w:val="21"/>
              </w:rPr>
              <w:t>t/a</w:t>
            </w:r>
          </w:p>
        </w:tc>
        <w:tc>
          <w:tcPr>
            <w:tcW w:w="79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0.164</w:t>
            </w:r>
            <w:r>
              <w:rPr>
                <w:color w:val="auto"/>
                <w:sz w:val="21"/>
                <w:szCs w:val="21"/>
              </w:rPr>
              <w:t>t/a</w:t>
            </w:r>
          </w:p>
        </w:tc>
        <w:tc>
          <w:tcPr>
            <w:tcW w:w="1053"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无组织排放</w:t>
            </w:r>
          </w:p>
        </w:tc>
      </w:tr>
      <w:tr>
        <w:tblPrEx>
          <w:tblBorders>
            <w:top w:val="single" w:color="000000" w:sz="2" w:space="0"/>
            <w:left w:val="none" w:color="auto" w:sz="0" w:space="0"/>
            <w:bottom w:val="single" w:color="000000" w:sz="6"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5" w:hRule="exact"/>
          <w:jc w:val="center"/>
        </w:trPr>
        <w:tc>
          <w:tcPr>
            <w:tcW w:w="508" w:type="pct"/>
            <w:vMerge w:val="continue"/>
            <w:tcBorders>
              <w:tl2br w:val="nil"/>
              <w:tr2bl w:val="nil"/>
            </w:tcBorders>
            <w:vAlign w:val="center"/>
          </w:tcPr>
          <w:p>
            <w:pPr>
              <w:spacing w:line="240" w:lineRule="auto"/>
              <w:ind w:firstLine="0" w:firstLineChars="0"/>
              <w:jc w:val="center"/>
              <w:rPr>
                <w:color w:val="auto"/>
                <w:sz w:val="21"/>
                <w:szCs w:val="21"/>
              </w:rPr>
            </w:pPr>
          </w:p>
        </w:tc>
        <w:tc>
          <w:tcPr>
            <w:tcW w:w="413" w:type="pct"/>
            <w:vMerge w:val="continue"/>
            <w:tcBorders>
              <w:tl2br w:val="nil"/>
              <w:tr2bl w:val="nil"/>
            </w:tcBorders>
            <w:vAlign w:val="center"/>
          </w:tcPr>
          <w:p>
            <w:pPr>
              <w:spacing w:line="240" w:lineRule="auto"/>
              <w:ind w:firstLine="0" w:firstLineChars="0"/>
              <w:jc w:val="center"/>
              <w:rPr>
                <w:color w:val="auto"/>
                <w:sz w:val="21"/>
                <w:szCs w:val="21"/>
              </w:rPr>
            </w:pPr>
          </w:p>
        </w:tc>
        <w:tc>
          <w:tcPr>
            <w:tcW w:w="9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H</w:t>
            </w:r>
            <w:r>
              <w:rPr>
                <w:rFonts w:hint="eastAsia"/>
                <w:color w:val="auto"/>
                <w:sz w:val="21"/>
                <w:szCs w:val="21"/>
                <w:vertAlign w:val="subscript"/>
              </w:rPr>
              <w:t>2</w:t>
            </w:r>
            <w:r>
              <w:rPr>
                <w:rFonts w:hint="eastAsia"/>
                <w:color w:val="auto"/>
                <w:sz w:val="21"/>
                <w:szCs w:val="21"/>
              </w:rPr>
              <w:t>S</w:t>
            </w:r>
          </w:p>
        </w:tc>
        <w:tc>
          <w:tcPr>
            <w:tcW w:w="133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0.093</w:t>
            </w:r>
            <w:r>
              <w:rPr>
                <w:color w:val="auto"/>
                <w:sz w:val="21"/>
                <w:szCs w:val="21"/>
              </w:rPr>
              <w:t>t/a</w:t>
            </w:r>
          </w:p>
        </w:tc>
        <w:tc>
          <w:tcPr>
            <w:tcW w:w="79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0.014</w:t>
            </w:r>
            <w:r>
              <w:rPr>
                <w:color w:val="auto"/>
                <w:sz w:val="21"/>
                <w:szCs w:val="21"/>
              </w:rPr>
              <w:t>t/a</w:t>
            </w:r>
          </w:p>
        </w:tc>
        <w:tc>
          <w:tcPr>
            <w:tcW w:w="1053"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000000" w:sz="2" w:space="0"/>
            <w:left w:val="none" w:color="auto" w:sz="0" w:space="0"/>
            <w:bottom w:val="single" w:color="000000" w:sz="6"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5" w:hRule="exact"/>
          <w:jc w:val="center"/>
        </w:trPr>
        <w:tc>
          <w:tcPr>
            <w:tcW w:w="508" w:type="pct"/>
            <w:vMerge w:val="continue"/>
            <w:tcBorders>
              <w:tl2br w:val="nil"/>
              <w:tr2bl w:val="nil"/>
            </w:tcBorders>
            <w:vAlign w:val="center"/>
          </w:tcPr>
          <w:p>
            <w:pPr>
              <w:spacing w:line="240" w:lineRule="auto"/>
              <w:ind w:firstLine="0" w:firstLineChars="0"/>
              <w:jc w:val="center"/>
              <w:rPr>
                <w:color w:val="auto"/>
                <w:sz w:val="21"/>
                <w:szCs w:val="21"/>
              </w:rPr>
            </w:pPr>
          </w:p>
        </w:tc>
        <w:tc>
          <w:tcPr>
            <w:tcW w:w="413"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污水处理</w:t>
            </w:r>
          </w:p>
        </w:tc>
        <w:tc>
          <w:tcPr>
            <w:tcW w:w="9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NH</w:t>
            </w:r>
            <w:r>
              <w:rPr>
                <w:rFonts w:hint="eastAsia"/>
                <w:color w:val="auto"/>
                <w:sz w:val="21"/>
                <w:szCs w:val="21"/>
                <w:vertAlign w:val="subscript"/>
              </w:rPr>
              <w:t>3</w:t>
            </w:r>
          </w:p>
        </w:tc>
        <w:tc>
          <w:tcPr>
            <w:tcW w:w="1330"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0.</w:t>
            </w:r>
            <w:r>
              <w:rPr>
                <w:rFonts w:hint="eastAsia"/>
                <w:color w:val="auto"/>
                <w:sz w:val="21"/>
                <w:szCs w:val="21"/>
              </w:rPr>
              <w:t>67</w:t>
            </w:r>
            <w:r>
              <w:rPr>
                <w:color w:val="auto"/>
                <w:sz w:val="21"/>
                <w:szCs w:val="21"/>
              </w:rPr>
              <w:t>t/a</w:t>
            </w:r>
          </w:p>
        </w:tc>
        <w:tc>
          <w:tcPr>
            <w:tcW w:w="790"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0.</w:t>
            </w:r>
            <w:r>
              <w:rPr>
                <w:rFonts w:hint="eastAsia"/>
                <w:color w:val="auto"/>
                <w:sz w:val="21"/>
                <w:szCs w:val="21"/>
              </w:rPr>
              <w:t>201</w:t>
            </w:r>
            <w:r>
              <w:rPr>
                <w:color w:val="auto"/>
                <w:sz w:val="21"/>
                <w:szCs w:val="21"/>
              </w:rPr>
              <w:t>t/a</w:t>
            </w:r>
          </w:p>
        </w:tc>
        <w:tc>
          <w:tcPr>
            <w:tcW w:w="1053"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无组织排放</w:t>
            </w:r>
          </w:p>
        </w:tc>
      </w:tr>
      <w:tr>
        <w:tblPrEx>
          <w:tblBorders>
            <w:top w:val="single" w:color="000000" w:sz="2" w:space="0"/>
            <w:left w:val="none" w:color="auto" w:sz="0" w:space="0"/>
            <w:bottom w:val="single" w:color="000000" w:sz="6"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5" w:hRule="exact"/>
          <w:jc w:val="center"/>
        </w:trPr>
        <w:tc>
          <w:tcPr>
            <w:tcW w:w="508" w:type="pct"/>
            <w:vMerge w:val="continue"/>
            <w:tcBorders>
              <w:tl2br w:val="nil"/>
              <w:tr2bl w:val="nil"/>
            </w:tcBorders>
            <w:vAlign w:val="center"/>
          </w:tcPr>
          <w:p>
            <w:pPr>
              <w:spacing w:line="240" w:lineRule="auto"/>
              <w:ind w:firstLine="0" w:firstLineChars="0"/>
              <w:jc w:val="center"/>
              <w:rPr>
                <w:color w:val="auto"/>
                <w:sz w:val="21"/>
                <w:szCs w:val="21"/>
              </w:rPr>
            </w:pPr>
          </w:p>
        </w:tc>
        <w:tc>
          <w:tcPr>
            <w:tcW w:w="413" w:type="pct"/>
            <w:vMerge w:val="continue"/>
            <w:tcBorders>
              <w:tl2br w:val="nil"/>
              <w:tr2bl w:val="nil"/>
            </w:tcBorders>
            <w:vAlign w:val="center"/>
          </w:tcPr>
          <w:p>
            <w:pPr>
              <w:spacing w:line="240" w:lineRule="auto"/>
              <w:ind w:firstLine="0" w:firstLineChars="0"/>
              <w:jc w:val="center"/>
              <w:rPr>
                <w:color w:val="auto"/>
                <w:sz w:val="21"/>
                <w:szCs w:val="21"/>
              </w:rPr>
            </w:pPr>
          </w:p>
        </w:tc>
        <w:tc>
          <w:tcPr>
            <w:tcW w:w="9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H</w:t>
            </w:r>
            <w:r>
              <w:rPr>
                <w:rFonts w:hint="eastAsia"/>
                <w:color w:val="auto"/>
                <w:sz w:val="21"/>
                <w:szCs w:val="21"/>
                <w:vertAlign w:val="subscript"/>
              </w:rPr>
              <w:t>2</w:t>
            </w:r>
            <w:r>
              <w:rPr>
                <w:rFonts w:hint="eastAsia"/>
                <w:color w:val="auto"/>
                <w:sz w:val="21"/>
                <w:szCs w:val="21"/>
              </w:rPr>
              <w:t>S</w:t>
            </w:r>
          </w:p>
        </w:tc>
        <w:tc>
          <w:tcPr>
            <w:tcW w:w="1330"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0.0</w:t>
            </w:r>
            <w:r>
              <w:rPr>
                <w:rFonts w:hint="eastAsia"/>
                <w:color w:val="auto"/>
                <w:sz w:val="21"/>
                <w:szCs w:val="21"/>
              </w:rPr>
              <w:t>26</w:t>
            </w:r>
            <w:r>
              <w:rPr>
                <w:color w:val="auto"/>
                <w:sz w:val="21"/>
                <w:szCs w:val="21"/>
              </w:rPr>
              <w:t>t/a</w:t>
            </w:r>
          </w:p>
        </w:tc>
        <w:tc>
          <w:tcPr>
            <w:tcW w:w="790"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0.0</w:t>
            </w:r>
            <w:r>
              <w:rPr>
                <w:rFonts w:hint="eastAsia"/>
                <w:color w:val="auto"/>
                <w:sz w:val="21"/>
                <w:szCs w:val="21"/>
              </w:rPr>
              <w:t>078</w:t>
            </w:r>
            <w:r>
              <w:rPr>
                <w:color w:val="auto"/>
                <w:sz w:val="21"/>
                <w:szCs w:val="21"/>
              </w:rPr>
              <w:t>t/a</w:t>
            </w:r>
          </w:p>
        </w:tc>
        <w:tc>
          <w:tcPr>
            <w:tcW w:w="1053"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000000" w:sz="2" w:space="0"/>
            <w:left w:val="none" w:color="auto" w:sz="0" w:space="0"/>
            <w:bottom w:val="single" w:color="000000" w:sz="6"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9" w:hRule="exact"/>
          <w:jc w:val="center"/>
        </w:trPr>
        <w:tc>
          <w:tcPr>
            <w:tcW w:w="508" w:type="pct"/>
            <w:vMerge w:val="continue"/>
            <w:tcBorders>
              <w:tl2br w:val="nil"/>
              <w:tr2bl w:val="nil"/>
            </w:tcBorders>
            <w:vAlign w:val="center"/>
          </w:tcPr>
          <w:p>
            <w:pPr>
              <w:spacing w:line="240" w:lineRule="auto"/>
              <w:ind w:firstLine="0" w:firstLineChars="0"/>
              <w:jc w:val="center"/>
              <w:rPr>
                <w:color w:val="auto"/>
                <w:sz w:val="21"/>
                <w:szCs w:val="21"/>
              </w:rPr>
            </w:pPr>
          </w:p>
        </w:tc>
        <w:tc>
          <w:tcPr>
            <w:tcW w:w="413"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固粪处理区</w:t>
            </w:r>
          </w:p>
        </w:tc>
        <w:tc>
          <w:tcPr>
            <w:tcW w:w="903" w:type="pct"/>
            <w:tcBorders>
              <w:bottom w:val="single" w:color="000000" w:sz="4" w:space="0"/>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NH</w:t>
            </w:r>
            <w:r>
              <w:rPr>
                <w:rFonts w:hint="eastAsia"/>
                <w:color w:val="auto"/>
                <w:sz w:val="21"/>
                <w:szCs w:val="21"/>
                <w:vertAlign w:val="subscript"/>
              </w:rPr>
              <w:t>3</w:t>
            </w:r>
          </w:p>
        </w:tc>
        <w:tc>
          <w:tcPr>
            <w:tcW w:w="133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0.715t/a</w:t>
            </w:r>
          </w:p>
        </w:tc>
        <w:tc>
          <w:tcPr>
            <w:tcW w:w="79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0.108t/a</w:t>
            </w:r>
          </w:p>
        </w:tc>
        <w:tc>
          <w:tcPr>
            <w:tcW w:w="1053"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无组织排放</w:t>
            </w:r>
          </w:p>
        </w:tc>
      </w:tr>
      <w:tr>
        <w:tblPrEx>
          <w:tblBorders>
            <w:top w:val="single" w:color="000000" w:sz="2" w:space="0"/>
            <w:left w:val="none" w:color="auto" w:sz="0" w:space="0"/>
            <w:bottom w:val="single" w:color="000000" w:sz="6"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287" w:hRule="exact"/>
          <w:jc w:val="center"/>
        </w:trPr>
        <w:tc>
          <w:tcPr>
            <w:tcW w:w="508" w:type="pct"/>
            <w:vMerge w:val="continue"/>
            <w:tcBorders>
              <w:tl2br w:val="nil"/>
              <w:tr2bl w:val="nil"/>
            </w:tcBorders>
            <w:vAlign w:val="center"/>
          </w:tcPr>
          <w:p>
            <w:pPr>
              <w:spacing w:line="240" w:lineRule="auto"/>
              <w:ind w:firstLine="0" w:firstLineChars="0"/>
              <w:jc w:val="center"/>
              <w:rPr>
                <w:color w:val="auto"/>
                <w:sz w:val="21"/>
                <w:szCs w:val="21"/>
              </w:rPr>
            </w:pPr>
          </w:p>
        </w:tc>
        <w:tc>
          <w:tcPr>
            <w:tcW w:w="413" w:type="pct"/>
            <w:vMerge w:val="continue"/>
            <w:tcBorders>
              <w:tl2br w:val="nil"/>
              <w:tr2bl w:val="nil"/>
            </w:tcBorders>
            <w:vAlign w:val="center"/>
          </w:tcPr>
          <w:p>
            <w:pPr>
              <w:spacing w:line="240" w:lineRule="auto"/>
              <w:ind w:firstLine="0" w:firstLineChars="0"/>
              <w:jc w:val="center"/>
              <w:rPr>
                <w:color w:val="auto"/>
                <w:sz w:val="21"/>
                <w:szCs w:val="21"/>
              </w:rPr>
            </w:pPr>
          </w:p>
        </w:tc>
        <w:tc>
          <w:tcPr>
            <w:tcW w:w="903" w:type="pct"/>
            <w:tcBorders>
              <w:top w:val="single" w:color="000000" w:sz="4" w:space="0"/>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H</w:t>
            </w:r>
            <w:r>
              <w:rPr>
                <w:rFonts w:hint="eastAsia"/>
                <w:color w:val="auto"/>
                <w:sz w:val="21"/>
                <w:szCs w:val="21"/>
                <w:vertAlign w:val="subscript"/>
              </w:rPr>
              <w:t>2</w:t>
            </w:r>
            <w:r>
              <w:rPr>
                <w:rFonts w:hint="eastAsia"/>
                <w:color w:val="auto"/>
                <w:sz w:val="21"/>
                <w:szCs w:val="21"/>
              </w:rPr>
              <w:t>S</w:t>
            </w:r>
          </w:p>
        </w:tc>
        <w:tc>
          <w:tcPr>
            <w:tcW w:w="133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0.043t/a</w:t>
            </w:r>
          </w:p>
        </w:tc>
        <w:tc>
          <w:tcPr>
            <w:tcW w:w="79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0.0065t/a</w:t>
            </w:r>
          </w:p>
        </w:tc>
        <w:tc>
          <w:tcPr>
            <w:tcW w:w="1053"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000000" w:sz="2" w:space="0"/>
            <w:left w:val="none" w:color="auto" w:sz="0" w:space="0"/>
            <w:bottom w:val="single" w:color="000000" w:sz="6"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294" w:hRule="exact"/>
          <w:jc w:val="center"/>
        </w:trPr>
        <w:tc>
          <w:tcPr>
            <w:tcW w:w="508" w:type="pct"/>
            <w:vMerge w:val="continue"/>
            <w:tcBorders>
              <w:tl2br w:val="nil"/>
              <w:tr2bl w:val="nil"/>
            </w:tcBorders>
            <w:vAlign w:val="center"/>
          </w:tcPr>
          <w:p>
            <w:pPr>
              <w:spacing w:line="240" w:lineRule="auto"/>
              <w:ind w:firstLine="0" w:firstLineChars="0"/>
              <w:jc w:val="center"/>
              <w:rPr>
                <w:color w:val="auto"/>
                <w:sz w:val="21"/>
                <w:szCs w:val="21"/>
              </w:rPr>
            </w:pPr>
          </w:p>
        </w:tc>
        <w:tc>
          <w:tcPr>
            <w:tcW w:w="413"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高温化制机</w:t>
            </w:r>
          </w:p>
        </w:tc>
        <w:tc>
          <w:tcPr>
            <w:tcW w:w="903" w:type="pct"/>
            <w:tcBorders>
              <w:bottom w:val="single" w:color="000000" w:sz="4" w:space="0"/>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NH</w:t>
            </w:r>
            <w:r>
              <w:rPr>
                <w:rFonts w:hint="eastAsia"/>
                <w:color w:val="auto"/>
                <w:sz w:val="21"/>
                <w:szCs w:val="21"/>
                <w:vertAlign w:val="subscript"/>
              </w:rPr>
              <w:t>3</w:t>
            </w:r>
          </w:p>
        </w:tc>
        <w:tc>
          <w:tcPr>
            <w:tcW w:w="133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0.0026t/a</w:t>
            </w:r>
          </w:p>
        </w:tc>
        <w:tc>
          <w:tcPr>
            <w:tcW w:w="79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0.0004t/a</w:t>
            </w:r>
          </w:p>
        </w:tc>
        <w:tc>
          <w:tcPr>
            <w:tcW w:w="1053"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无组织排放</w:t>
            </w:r>
          </w:p>
        </w:tc>
      </w:tr>
      <w:tr>
        <w:tblPrEx>
          <w:tblBorders>
            <w:top w:val="single" w:color="000000" w:sz="2" w:space="0"/>
            <w:left w:val="none" w:color="auto" w:sz="0" w:space="0"/>
            <w:bottom w:val="single" w:color="000000" w:sz="6"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284" w:hRule="exact"/>
          <w:jc w:val="center"/>
        </w:trPr>
        <w:tc>
          <w:tcPr>
            <w:tcW w:w="508" w:type="pct"/>
            <w:vMerge w:val="continue"/>
            <w:tcBorders>
              <w:tl2br w:val="nil"/>
              <w:tr2bl w:val="nil"/>
            </w:tcBorders>
            <w:vAlign w:val="center"/>
          </w:tcPr>
          <w:p>
            <w:pPr>
              <w:spacing w:line="240" w:lineRule="auto"/>
              <w:ind w:firstLine="0" w:firstLineChars="0"/>
              <w:jc w:val="center"/>
              <w:rPr>
                <w:color w:val="auto"/>
                <w:sz w:val="21"/>
                <w:szCs w:val="21"/>
              </w:rPr>
            </w:pPr>
          </w:p>
        </w:tc>
        <w:tc>
          <w:tcPr>
            <w:tcW w:w="413" w:type="pct"/>
            <w:vMerge w:val="continue"/>
            <w:tcBorders>
              <w:tl2br w:val="nil"/>
              <w:tr2bl w:val="nil"/>
            </w:tcBorders>
            <w:vAlign w:val="center"/>
          </w:tcPr>
          <w:p>
            <w:pPr>
              <w:spacing w:line="240" w:lineRule="auto"/>
              <w:ind w:firstLine="0" w:firstLineChars="0"/>
              <w:jc w:val="center"/>
              <w:rPr>
                <w:color w:val="auto"/>
                <w:sz w:val="21"/>
                <w:szCs w:val="21"/>
              </w:rPr>
            </w:pPr>
          </w:p>
        </w:tc>
        <w:tc>
          <w:tcPr>
            <w:tcW w:w="903" w:type="pct"/>
            <w:tcBorders>
              <w:top w:val="single" w:color="000000" w:sz="4" w:space="0"/>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H</w:t>
            </w:r>
            <w:r>
              <w:rPr>
                <w:rFonts w:hint="eastAsia"/>
                <w:color w:val="auto"/>
                <w:sz w:val="21"/>
                <w:szCs w:val="21"/>
                <w:vertAlign w:val="subscript"/>
              </w:rPr>
              <w:t>2</w:t>
            </w:r>
            <w:r>
              <w:rPr>
                <w:rFonts w:hint="eastAsia"/>
                <w:color w:val="auto"/>
                <w:sz w:val="21"/>
                <w:szCs w:val="21"/>
              </w:rPr>
              <w:t>S</w:t>
            </w:r>
          </w:p>
        </w:tc>
        <w:tc>
          <w:tcPr>
            <w:tcW w:w="133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0.0005t/a</w:t>
            </w:r>
          </w:p>
        </w:tc>
        <w:tc>
          <w:tcPr>
            <w:tcW w:w="79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0.00008t/a</w:t>
            </w:r>
          </w:p>
        </w:tc>
        <w:tc>
          <w:tcPr>
            <w:tcW w:w="1053"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000000" w:sz="2" w:space="0"/>
            <w:left w:val="none" w:color="auto" w:sz="0" w:space="0"/>
            <w:bottom w:val="single" w:color="000000" w:sz="6"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5" w:hRule="exact"/>
          <w:jc w:val="center"/>
        </w:trPr>
        <w:tc>
          <w:tcPr>
            <w:tcW w:w="508" w:type="pct"/>
            <w:vMerge w:val="continue"/>
            <w:tcBorders>
              <w:tl2br w:val="nil"/>
              <w:tr2bl w:val="nil"/>
            </w:tcBorders>
            <w:vAlign w:val="center"/>
          </w:tcPr>
          <w:p>
            <w:pPr>
              <w:spacing w:line="240" w:lineRule="auto"/>
              <w:ind w:firstLine="0" w:firstLineChars="0"/>
              <w:jc w:val="center"/>
              <w:rPr>
                <w:color w:val="auto"/>
                <w:sz w:val="21"/>
                <w:szCs w:val="21"/>
              </w:rPr>
            </w:pPr>
          </w:p>
        </w:tc>
        <w:tc>
          <w:tcPr>
            <w:tcW w:w="413"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沼气燃烧</w:t>
            </w:r>
          </w:p>
        </w:tc>
        <w:tc>
          <w:tcPr>
            <w:tcW w:w="9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废气量</w:t>
            </w:r>
          </w:p>
        </w:tc>
        <w:tc>
          <w:tcPr>
            <w:tcW w:w="1330" w:type="pct"/>
            <w:tcBorders>
              <w:tl2br w:val="nil"/>
              <w:tr2bl w:val="nil"/>
            </w:tcBorders>
            <w:vAlign w:val="center"/>
          </w:tcPr>
          <w:p>
            <w:pPr>
              <w:spacing w:line="240" w:lineRule="auto"/>
              <w:ind w:firstLine="420"/>
              <w:jc w:val="center"/>
              <w:rPr>
                <w:color w:val="auto"/>
                <w:sz w:val="21"/>
                <w:szCs w:val="21"/>
              </w:rPr>
            </w:pPr>
            <w:r>
              <w:rPr>
                <w:rFonts w:hint="eastAsia"/>
                <w:color w:val="auto"/>
                <w:sz w:val="21"/>
                <w:szCs w:val="21"/>
              </w:rPr>
              <w:t>87.5万m</w:t>
            </w:r>
            <w:r>
              <w:rPr>
                <w:rFonts w:hint="eastAsia"/>
                <w:color w:val="auto"/>
                <w:sz w:val="21"/>
                <w:szCs w:val="21"/>
                <w:vertAlign w:val="superscript"/>
              </w:rPr>
              <w:t>3</w:t>
            </w:r>
            <w:r>
              <w:rPr>
                <w:rFonts w:hint="eastAsia"/>
                <w:color w:val="auto"/>
                <w:sz w:val="21"/>
                <w:szCs w:val="21"/>
              </w:rPr>
              <w:t>/a</w:t>
            </w:r>
          </w:p>
        </w:tc>
        <w:tc>
          <w:tcPr>
            <w:tcW w:w="790" w:type="pct"/>
            <w:tcBorders>
              <w:tl2br w:val="nil"/>
              <w:tr2bl w:val="nil"/>
            </w:tcBorders>
            <w:vAlign w:val="center"/>
          </w:tcPr>
          <w:p>
            <w:pPr>
              <w:spacing w:line="240" w:lineRule="auto"/>
              <w:ind w:firstLine="0" w:firstLineChars="0"/>
              <w:rPr>
                <w:color w:val="auto"/>
                <w:sz w:val="21"/>
                <w:szCs w:val="21"/>
              </w:rPr>
            </w:pPr>
            <w:r>
              <w:rPr>
                <w:rFonts w:hint="eastAsia"/>
                <w:color w:val="auto"/>
                <w:sz w:val="21"/>
                <w:szCs w:val="21"/>
              </w:rPr>
              <w:t>87.5万m</w:t>
            </w:r>
            <w:r>
              <w:rPr>
                <w:rFonts w:hint="eastAsia"/>
                <w:color w:val="auto"/>
                <w:sz w:val="21"/>
                <w:szCs w:val="21"/>
                <w:vertAlign w:val="superscript"/>
              </w:rPr>
              <w:t>3</w:t>
            </w:r>
            <w:r>
              <w:rPr>
                <w:rFonts w:hint="eastAsia"/>
                <w:color w:val="auto"/>
                <w:sz w:val="21"/>
                <w:szCs w:val="21"/>
              </w:rPr>
              <w:t>/a</w:t>
            </w:r>
          </w:p>
        </w:tc>
        <w:tc>
          <w:tcPr>
            <w:tcW w:w="1053"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无组织</w:t>
            </w:r>
          </w:p>
        </w:tc>
      </w:tr>
      <w:tr>
        <w:tblPrEx>
          <w:tblBorders>
            <w:top w:val="single" w:color="000000" w:sz="2" w:space="0"/>
            <w:left w:val="none" w:color="auto" w:sz="0" w:space="0"/>
            <w:bottom w:val="single" w:color="000000" w:sz="6"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5" w:hRule="exact"/>
          <w:jc w:val="center"/>
        </w:trPr>
        <w:tc>
          <w:tcPr>
            <w:tcW w:w="508" w:type="pct"/>
            <w:vMerge w:val="continue"/>
            <w:tcBorders>
              <w:tl2br w:val="nil"/>
              <w:tr2bl w:val="nil"/>
            </w:tcBorders>
            <w:vAlign w:val="center"/>
          </w:tcPr>
          <w:p>
            <w:pPr>
              <w:spacing w:line="240" w:lineRule="auto"/>
              <w:ind w:firstLine="0" w:firstLineChars="0"/>
              <w:jc w:val="center"/>
              <w:rPr>
                <w:color w:val="auto"/>
                <w:sz w:val="21"/>
                <w:szCs w:val="21"/>
              </w:rPr>
            </w:pPr>
          </w:p>
        </w:tc>
        <w:tc>
          <w:tcPr>
            <w:tcW w:w="413" w:type="pct"/>
            <w:vMerge w:val="continue"/>
            <w:tcBorders>
              <w:tl2br w:val="nil"/>
              <w:tr2bl w:val="nil"/>
            </w:tcBorders>
            <w:vAlign w:val="center"/>
          </w:tcPr>
          <w:p>
            <w:pPr>
              <w:spacing w:line="240" w:lineRule="auto"/>
              <w:ind w:firstLine="0" w:firstLineChars="0"/>
              <w:jc w:val="center"/>
              <w:rPr>
                <w:color w:val="auto"/>
                <w:sz w:val="21"/>
                <w:szCs w:val="21"/>
              </w:rPr>
            </w:pPr>
          </w:p>
        </w:tc>
        <w:tc>
          <w:tcPr>
            <w:tcW w:w="9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SO</w:t>
            </w:r>
            <w:r>
              <w:rPr>
                <w:rFonts w:hint="eastAsia"/>
                <w:color w:val="auto"/>
                <w:sz w:val="21"/>
                <w:szCs w:val="21"/>
                <w:vertAlign w:val="subscript"/>
              </w:rPr>
              <w:t>2</w:t>
            </w:r>
          </w:p>
        </w:tc>
        <w:tc>
          <w:tcPr>
            <w:tcW w:w="133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0.0</w:t>
            </w:r>
            <w:r>
              <w:rPr>
                <w:rFonts w:hint="eastAsia"/>
                <w:color w:val="auto"/>
                <w:sz w:val="21"/>
                <w:szCs w:val="21"/>
                <w:lang w:val="en-US" w:eastAsia="zh-CN"/>
              </w:rPr>
              <w:t>15</w:t>
            </w:r>
            <w:r>
              <w:rPr>
                <w:rFonts w:hint="eastAsia"/>
                <w:color w:val="auto"/>
                <w:sz w:val="21"/>
                <w:szCs w:val="21"/>
              </w:rPr>
              <w:t>t/a</w:t>
            </w:r>
          </w:p>
        </w:tc>
        <w:tc>
          <w:tcPr>
            <w:tcW w:w="1415"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0.0</w:t>
            </w:r>
            <w:r>
              <w:rPr>
                <w:rFonts w:hint="eastAsia"/>
                <w:color w:val="auto"/>
                <w:sz w:val="21"/>
                <w:szCs w:val="21"/>
                <w:lang w:val="en-US" w:eastAsia="zh-CN"/>
              </w:rPr>
              <w:t>15</w:t>
            </w:r>
            <w:r>
              <w:rPr>
                <w:rFonts w:hint="eastAsia"/>
                <w:color w:val="auto"/>
                <w:sz w:val="21"/>
                <w:szCs w:val="21"/>
              </w:rPr>
              <w:t>t/a</w:t>
            </w:r>
          </w:p>
        </w:tc>
        <w:tc>
          <w:tcPr>
            <w:tcW w:w="1053"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000000" w:sz="2" w:space="0"/>
            <w:left w:val="none" w:color="auto" w:sz="0" w:space="0"/>
            <w:bottom w:val="single" w:color="000000" w:sz="6"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5" w:hRule="exact"/>
          <w:jc w:val="center"/>
        </w:trPr>
        <w:tc>
          <w:tcPr>
            <w:tcW w:w="508" w:type="pct"/>
            <w:vMerge w:val="continue"/>
            <w:tcBorders>
              <w:tl2br w:val="nil"/>
              <w:tr2bl w:val="nil"/>
            </w:tcBorders>
            <w:vAlign w:val="center"/>
          </w:tcPr>
          <w:p>
            <w:pPr>
              <w:spacing w:line="240" w:lineRule="auto"/>
              <w:ind w:firstLine="0" w:firstLineChars="0"/>
              <w:jc w:val="center"/>
              <w:rPr>
                <w:color w:val="auto"/>
                <w:sz w:val="21"/>
                <w:szCs w:val="21"/>
              </w:rPr>
            </w:pPr>
          </w:p>
        </w:tc>
        <w:tc>
          <w:tcPr>
            <w:tcW w:w="413" w:type="pct"/>
            <w:vMerge w:val="continue"/>
            <w:tcBorders>
              <w:tl2br w:val="nil"/>
              <w:tr2bl w:val="nil"/>
            </w:tcBorders>
            <w:vAlign w:val="center"/>
          </w:tcPr>
          <w:p>
            <w:pPr>
              <w:spacing w:line="240" w:lineRule="auto"/>
              <w:ind w:firstLine="0" w:firstLineChars="0"/>
              <w:jc w:val="center"/>
              <w:rPr>
                <w:color w:val="auto"/>
                <w:sz w:val="21"/>
                <w:szCs w:val="21"/>
              </w:rPr>
            </w:pPr>
          </w:p>
        </w:tc>
        <w:tc>
          <w:tcPr>
            <w:tcW w:w="9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烟尘</w:t>
            </w:r>
          </w:p>
        </w:tc>
        <w:tc>
          <w:tcPr>
            <w:tcW w:w="133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0.0</w:t>
            </w:r>
            <w:r>
              <w:rPr>
                <w:rFonts w:hint="eastAsia"/>
                <w:color w:val="auto"/>
                <w:sz w:val="21"/>
                <w:szCs w:val="21"/>
                <w:lang w:val="en-US" w:eastAsia="zh-CN"/>
              </w:rPr>
              <w:t>26</w:t>
            </w:r>
            <w:r>
              <w:rPr>
                <w:rFonts w:hint="eastAsia"/>
                <w:color w:val="auto"/>
                <w:sz w:val="21"/>
                <w:szCs w:val="21"/>
              </w:rPr>
              <w:t>t/a</w:t>
            </w:r>
          </w:p>
        </w:tc>
        <w:tc>
          <w:tcPr>
            <w:tcW w:w="1415"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0.0</w:t>
            </w:r>
            <w:r>
              <w:rPr>
                <w:rFonts w:hint="eastAsia"/>
                <w:color w:val="auto"/>
                <w:sz w:val="21"/>
                <w:szCs w:val="21"/>
                <w:lang w:val="en-US" w:eastAsia="zh-CN"/>
              </w:rPr>
              <w:t>26</w:t>
            </w:r>
            <w:r>
              <w:rPr>
                <w:rFonts w:hint="eastAsia"/>
                <w:color w:val="auto"/>
                <w:sz w:val="21"/>
                <w:szCs w:val="21"/>
              </w:rPr>
              <w:t>t/a</w:t>
            </w:r>
          </w:p>
        </w:tc>
        <w:tc>
          <w:tcPr>
            <w:tcW w:w="1053"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000000" w:sz="2" w:space="0"/>
            <w:left w:val="none" w:color="auto" w:sz="0" w:space="0"/>
            <w:bottom w:val="single" w:color="000000" w:sz="6"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5" w:hRule="exact"/>
          <w:jc w:val="center"/>
        </w:trPr>
        <w:tc>
          <w:tcPr>
            <w:tcW w:w="508" w:type="pct"/>
            <w:vMerge w:val="continue"/>
            <w:tcBorders>
              <w:tl2br w:val="nil"/>
              <w:tr2bl w:val="nil"/>
            </w:tcBorders>
            <w:vAlign w:val="center"/>
          </w:tcPr>
          <w:p>
            <w:pPr>
              <w:spacing w:line="240" w:lineRule="auto"/>
              <w:ind w:firstLine="0" w:firstLineChars="0"/>
              <w:jc w:val="center"/>
              <w:rPr>
                <w:color w:val="auto"/>
                <w:sz w:val="21"/>
                <w:szCs w:val="21"/>
              </w:rPr>
            </w:pPr>
          </w:p>
        </w:tc>
        <w:tc>
          <w:tcPr>
            <w:tcW w:w="413" w:type="pct"/>
            <w:vMerge w:val="continue"/>
            <w:tcBorders>
              <w:tl2br w:val="nil"/>
              <w:tr2bl w:val="nil"/>
            </w:tcBorders>
            <w:vAlign w:val="center"/>
          </w:tcPr>
          <w:p>
            <w:pPr>
              <w:spacing w:line="240" w:lineRule="auto"/>
              <w:ind w:firstLine="0" w:firstLineChars="0"/>
              <w:jc w:val="center"/>
              <w:rPr>
                <w:color w:val="auto"/>
                <w:sz w:val="21"/>
                <w:szCs w:val="21"/>
              </w:rPr>
            </w:pPr>
          </w:p>
        </w:tc>
        <w:tc>
          <w:tcPr>
            <w:tcW w:w="9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NO</w:t>
            </w:r>
            <w:r>
              <w:rPr>
                <w:rFonts w:hint="eastAsia"/>
                <w:color w:val="auto"/>
                <w:sz w:val="21"/>
                <w:szCs w:val="21"/>
                <w:vertAlign w:val="subscript"/>
              </w:rPr>
              <w:t>X</w:t>
            </w:r>
          </w:p>
        </w:tc>
        <w:tc>
          <w:tcPr>
            <w:tcW w:w="133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0.0</w:t>
            </w:r>
            <w:r>
              <w:rPr>
                <w:rFonts w:hint="eastAsia"/>
                <w:color w:val="auto"/>
                <w:sz w:val="21"/>
                <w:szCs w:val="21"/>
                <w:lang w:val="en-US" w:eastAsia="zh-CN"/>
              </w:rPr>
              <w:t>65</w:t>
            </w:r>
            <w:r>
              <w:rPr>
                <w:rFonts w:hint="eastAsia"/>
                <w:color w:val="auto"/>
                <w:sz w:val="21"/>
                <w:szCs w:val="21"/>
              </w:rPr>
              <w:t>t/a</w:t>
            </w:r>
          </w:p>
        </w:tc>
        <w:tc>
          <w:tcPr>
            <w:tcW w:w="1415"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0.0</w:t>
            </w:r>
            <w:r>
              <w:rPr>
                <w:rFonts w:hint="eastAsia"/>
                <w:color w:val="auto"/>
                <w:sz w:val="21"/>
                <w:szCs w:val="21"/>
                <w:lang w:val="en-US" w:eastAsia="zh-CN"/>
              </w:rPr>
              <w:t>65</w:t>
            </w:r>
            <w:r>
              <w:rPr>
                <w:rFonts w:hint="eastAsia"/>
                <w:color w:val="auto"/>
                <w:sz w:val="21"/>
                <w:szCs w:val="21"/>
              </w:rPr>
              <w:t>t/a</w:t>
            </w:r>
          </w:p>
        </w:tc>
        <w:tc>
          <w:tcPr>
            <w:tcW w:w="1053"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000000" w:sz="2" w:space="0"/>
            <w:left w:val="none" w:color="auto" w:sz="0" w:space="0"/>
            <w:bottom w:val="single" w:color="000000" w:sz="6"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840" w:hRule="exact"/>
          <w:jc w:val="center"/>
        </w:trPr>
        <w:tc>
          <w:tcPr>
            <w:tcW w:w="508" w:type="pct"/>
            <w:vMerge w:val="continue"/>
            <w:tcBorders>
              <w:tl2br w:val="nil"/>
              <w:tr2bl w:val="nil"/>
            </w:tcBorders>
            <w:vAlign w:val="center"/>
          </w:tcPr>
          <w:p>
            <w:pPr>
              <w:spacing w:line="240" w:lineRule="auto"/>
              <w:ind w:firstLine="0" w:firstLineChars="0"/>
              <w:jc w:val="center"/>
              <w:rPr>
                <w:color w:val="auto"/>
                <w:sz w:val="21"/>
                <w:szCs w:val="21"/>
              </w:rPr>
            </w:pPr>
          </w:p>
        </w:tc>
        <w:tc>
          <w:tcPr>
            <w:tcW w:w="41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食堂油烟</w:t>
            </w:r>
          </w:p>
        </w:tc>
        <w:tc>
          <w:tcPr>
            <w:tcW w:w="9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油烟</w:t>
            </w:r>
          </w:p>
        </w:tc>
        <w:tc>
          <w:tcPr>
            <w:tcW w:w="133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2.1mg/m</w:t>
            </w:r>
            <w:r>
              <w:rPr>
                <w:rFonts w:hint="eastAsia"/>
                <w:color w:val="auto"/>
                <w:sz w:val="21"/>
                <w:szCs w:val="21"/>
                <w:vertAlign w:val="superscript"/>
              </w:rPr>
              <w:t>3</w:t>
            </w:r>
            <w:r>
              <w:rPr>
                <w:rFonts w:hint="eastAsia"/>
                <w:color w:val="auto"/>
                <w:sz w:val="21"/>
                <w:szCs w:val="21"/>
              </w:rPr>
              <w:t>、0.005t/a</w:t>
            </w:r>
          </w:p>
        </w:tc>
        <w:tc>
          <w:tcPr>
            <w:tcW w:w="79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0.21mg/m</w:t>
            </w:r>
            <w:r>
              <w:rPr>
                <w:rFonts w:hint="eastAsia"/>
                <w:color w:val="auto"/>
                <w:sz w:val="21"/>
                <w:szCs w:val="21"/>
                <w:vertAlign w:val="superscript"/>
              </w:rPr>
              <w:t>3</w:t>
            </w:r>
            <w:r>
              <w:rPr>
                <w:rFonts w:hint="eastAsia"/>
                <w:color w:val="auto"/>
                <w:sz w:val="21"/>
                <w:szCs w:val="21"/>
              </w:rPr>
              <w:t>、</w:t>
            </w:r>
          </w:p>
          <w:p>
            <w:pPr>
              <w:spacing w:line="240" w:lineRule="auto"/>
              <w:ind w:firstLine="0" w:firstLineChars="0"/>
              <w:jc w:val="center"/>
              <w:rPr>
                <w:color w:val="auto"/>
                <w:sz w:val="21"/>
                <w:szCs w:val="21"/>
              </w:rPr>
            </w:pPr>
            <w:r>
              <w:rPr>
                <w:rFonts w:hint="eastAsia"/>
                <w:color w:val="auto"/>
                <w:sz w:val="21"/>
                <w:szCs w:val="21"/>
              </w:rPr>
              <w:t>0.0005t/a</w:t>
            </w:r>
          </w:p>
        </w:tc>
        <w:tc>
          <w:tcPr>
            <w:tcW w:w="105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由高于屋顶的专用烟道排放</w:t>
            </w:r>
          </w:p>
        </w:tc>
      </w:tr>
      <w:tr>
        <w:tblPrEx>
          <w:tblBorders>
            <w:top w:val="single" w:color="000000" w:sz="2" w:space="0"/>
            <w:left w:val="none" w:color="auto" w:sz="0" w:space="0"/>
            <w:bottom w:val="single" w:color="000000" w:sz="6"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562" w:hRule="exact"/>
          <w:jc w:val="center"/>
        </w:trPr>
        <w:tc>
          <w:tcPr>
            <w:tcW w:w="508"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固废</w:t>
            </w:r>
          </w:p>
        </w:tc>
        <w:tc>
          <w:tcPr>
            <w:tcW w:w="1316" w:type="pct"/>
            <w:gridSpan w:val="2"/>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医疗固废</w:t>
            </w:r>
          </w:p>
        </w:tc>
        <w:tc>
          <w:tcPr>
            <w:tcW w:w="133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0.25</w:t>
            </w:r>
            <w:r>
              <w:rPr>
                <w:color w:val="auto"/>
                <w:sz w:val="21"/>
                <w:szCs w:val="21"/>
              </w:rPr>
              <w:t>t/a</w:t>
            </w:r>
          </w:p>
        </w:tc>
        <w:tc>
          <w:tcPr>
            <w:tcW w:w="79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w:t>
            </w:r>
            <w:r>
              <w:rPr>
                <w:color w:val="auto"/>
                <w:sz w:val="21"/>
                <w:szCs w:val="21"/>
              </w:rPr>
              <w:t>t/a</w:t>
            </w:r>
          </w:p>
        </w:tc>
        <w:tc>
          <w:tcPr>
            <w:tcW w:w="105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定期交由有资质单位</w:t>
            </w:r>
          </w:p>
          <w:p>
            <w:pPr>
              <w:spacing w:line="240" w:lineRule="auto"/>
              <w:ind w:firstLine="0" w:firstLineChars="0"/>
              <w:jc w:val="center"/>
              <w:rPr>
                <w:color w:val="auto"/>
                <w:sz w:val="21"/>
                <w:szCs w:val="21"/>
              </w:rPr>
            </w:pPr>
            <w:r>
              <w:rPr>
                <w:rFonts w:hint="eastAsia"/>
                <w:color w:val="auto"/>
                <w:sz w:val="21"/>
                <w:szCs w:val="21"/>
              </w:rPr>
              <w:t>处理</w:t>
            </w:r>
          </w:p>
        </w:tc>
      </w:tr>
      <w:tr>
        <w:tblPrEx>
          <w:tblBorders>
            <w:top w:val="single" w:color="000000" w:sz="2" w:space="0"/>
            <w:left w:val="none" w:color="auto" w:sz="0" w:space="0"/>
            <w:bottom w:val="single" w:color="000000" w:sz="6"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56" w:hRule="exact"/>
          <w:jc w:val="center"/>
        </w:trPr>
        <w:tc>
          <w:tcPr>
            <w:tcW w:w="508" w:type="pct"/>
            <w:vMerge w:val="continue"/>
            <w:tcBorders>
              <w:tl2br w:val="nil"/>
              <w:tr2bl w:val="nil"/>
            </w:tcBorders>
            <w:vAlign w:val="center"/>
          </w:tcPr>
          <w:p>
            <w:pPr>
              <w:adjustRightInd/>
              <w:snapToGrid/>
              <w:spacing w:line="240" w:lineRule="auto"/>
              <w:ind w:firstLine="0" w:firstLineChars="0"/>
              <w:jc w:val="center"/>
              <w:rPr>
                <w:color w:val="auto"/>
                <w:sz w:val="21"/>
                <w:szCs w:val="21"/>
              </w:rPr>
            </w:pPr>
          </w:p>
        </w:tc>
        <w:tc>
          <w:tcPr>
            <w:tcW w:w="1316" w:type="pct"/>
            <w:gridSpan w:val="2"/>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病死猪</w:t>
            </w:r>
          </w:p>
        </w:tc>
        <w:tc>
          <w:tcPr>
            <w:tcW w:w="133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9.6</w:t>
            </w:r>
            <w:r>
              <w:rPr>
                <w:color w:val="auto"/>
                <w:sz w:val="21"/>
                <w:szCs w:val="21"/>
              </w:rPr>
              <w:t>t/a</w:t>
            </w:r>
          </w:p>
        </w:tc>
        <w:tc>
          <w:tcPr>
            <w:tcW w:w="79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w:t>
            </w:r>
            <w:r>
              <w:rPr>
                <w:color w:val="auto"/>
                <w:sz w:val="21"/>
                <w:szCs w:val="21"/>
              </w:rPr>
              <w:t>t/a</w:t>
            </w:r>
          </w:p>
        </w:tc>
        <w:tc>
          <w:tcPr>
            <w:tcW w:w="105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在厂区内无害化处理后，残渣作为有机肥原料外售</w:t>
            </w:r>
          </w:p>
        </w:tc>
      </w:tr>
      <w:tr>
        <w:tblPrEx>
          <w:tblBorders>
            <w:top w:val="single" w:color="000000" w:sz="2" w:space="0"/>
            <w:left w:val="none" w:color="auto" w:sz="0" w:space="0"/>
            <w:bottom w:val="single" w:color="000000" w:sz="6"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571" w:hRule="exact"/>
          <w:jc w:val="center"/>
        </w:trPr>
        <w:tc>
          <w:tcPr>
            <w:tcW w:w="508" w:type="pct"/>
            <w:vMerge w:val="continue"/>
            <w:tcBorders>
              <w:tl2br w:val="nil"/>
              <w:tr2bl w:val="nil"/>
            </w:tcBorders>
            <w:vAlign w:val="center"/>
          </w:tcPr>
          <w:p>
            <w:pPr>
              <w:adjustRightInd/>
              <w:snapToGrid/>
              <w:spacing w:line="240" w:lineRule="auto"/>
              <w:ind w:firstLine="0" w:firstLineChars="0"/>
              <w:jc w:val="center"/>
              <w:rPr>
                <w:color w:val="auto"/>
                <w:sz w:val="21"/>
                <w:szCs w:val="21"/>
              </w:rPr>
            </w:pPr>
          </w:p>
        </w:tc>
        <w:tc>
          <w:tcPr>
            <w:tcW w:w="1316" w:type="pct"/>
            <w:gridSpan w:val="2"/>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猪粪</w:t>
            </w:r>
          </w:p>
        </w:tc>
        <w:tc>
          <w:tcPr>
            <w:tcW w:w="133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1564.3</w:t>
            </w:r>
            <w:r>
              <w:rPr>
                <w:color w:val="auto"/>
                <w:sz w:val="21"/>
                <w:szCs w:val="21"/>
              </w:rPr>
              <w:t>t/a</w:t>
            </w:r>
          </w:p>
        </w:tc>
        <w:tc>
          <w:tcPr>
            <w:tcW w:w="79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w:t>
            </w:r>
            <w:r>
              <w:rPr>
                <w:color w:val="auto"/>
                <w:sz w:val="21"/>
                <w:szCs w:val="21"/>
              </w:rPr>
              <w:t>t/a</w:t>
            </w:r>
          </w:p>
        </w:tc>
        <w:tc>
          <w:tcPr>
            <w:tcW w:w="105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经发酵后作为制有机肥基料</w:t>
            </w:r>
          </w:p>
          <w:p>
            <w:pPr>
              <w:spacing w:line="240" w:lineRule="auto"/>
              <w:ind w:firstLine="0" w:firstLineChars="0"/>
              <w:jc w:val="center"/>
              <w:rPr>
                <w:color w:val="auto"/>
                <w:sz w:val="21"/>
                <w:szCs w:val="21"/>
              </w:rPr>
            </w:pPr>
            <w:r>
              <w:rPr>
                <w:rFonts w:hint="eastAsia"/>
                <w:color w:val="auto"/>
                <w:sz w:val="21"/>
                <w:szCs w:val="21"/>
              </w:rPr>
              <w:t>肥原料外售</w:t>
            </w:r>
          </w:p>
        </w:tc>
      </w:tr>
      <w:tr>
        <w:tblPrEx>
          <w:tblBorders>
            <w:top w:val="single" w:color="000000" w:sz="2" w:space="0"/>
            <w:left w:val="none" w:color="auto" w:sz="0" w:space="0"/>
            <w:bottom w:val="single" w:color="000000" w:sz="6"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570" w:hRule="exact"/>
          <w:jc w:val="center"/>
        </w:trPr>
        <w:tc>
          <w:tcPr>
            <w:tcW w:w="508" w:type="pct"/>
            <w:vMerge w:val="continue"/>
            <w:tcBorders>
              <w:tl2br w:val="nil"/>
              <w:tr2bl w:val="nil"/>
            </w:tcBorders>
            <w:vAlign w:val="center"/>
          </w:tcPr>
          <w:p>
            <w:pPr>
              <w:adjustRightInd/>
              <w:snapToGrid/>
              <w:spacing w:line="240" w:lineRule="auto"/>
              <w:ind w:firstLine="0" w:firstLineChars="0"/>
              <w:jc w:val="center"/>
              <w:rPr>
                <w:color w:val="auto"/>
                <w:sz w:val="21"/>
                <w:szCs w:val="21"/>
              </w:rPr>
            </w:pPr>
          </w:p>
        </w:tc>
        <w:tc>
          <w:tcPr>
            <w:tcW w:w="1316" w:type="pct"/>
            <w:gridSpan w:val="2"/>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废脱硫剂</w:t>
            </w:r>
          </w:p>
        </w:tc>
        <w:tc>
          <w:tcPr>
            <w:tcW w:w="133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0.006</w:t>
            </w:r>
            <w:r>
              <w:rPr>
                <w:color w:val="auto"/>
                <w:sz w:val="21"/>
                <w:szCs w:val="21"/>
              </w:rPr>
              <w:t>t/a</w:t>
            </w:r>
          </w:p>
        </w:tc>
        <w:tc>
          <w:tcPr>
            <w:tcW w:w="79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w:t>
            </w:r>
            <w:r>
              <w:rPr>
                <w:color w:val="auto"/>
                <w:sz w:val="21"/>
                <w:szCs w:val="21"/>
              </w:rPr>
              <w:t>t/a</w:t>
            </w:r>
          </w:p>
        </w:tc>
        <w:tc>
          <w:tcPr>
            <w:tcW w:w="105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生产厂家统一回收处置</w:t>
            </w:r>
          </w:p>
        </w:tc>
      </w:tr>
      <w:tr>
        <w:tblPrEx>
          <w:tblBorders>
            <w:top w:val="single" w:color="000000" w:sz="2" w:space="0"/>
            <w:left w:val="none" w:color="auto" w:sz="0" w:space="0"/>
            <w:bottom w:val="single" w:color="000000" w:sz="6"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64" w:hRule="exact"/>
          <w:jc w:val="center"/>
        </w:trPr>
        <w:tc>
          <w:tcPr>
            <w:tcW w:w="508" w:type="pct"/>
            <w:vMerge w:val="continue"/>
            <w:tcBorders>
              <w:tl2br w:val="nil"/>
              <w:tr2bl w:val="nil"/>
            </w:tcBorders>
            <w:vAlign w:val="center"/>
          </w:tcPr>
          <w:p>
            <w:pPr>
              <w:adjustRightInd/>
              <w:snapToGrid/>
              <w:spacing w:line="240" w:lineRule="auto"/>
              <w:ind w:firstLine="0" w:firstLineChars="0"/>
              <w:jc w:val="center"/>
              <w:rPr>
                <w:color w:val="auto"/>
                <w:sz w:val="21"/>
                <w:szCs w:val="21"/>
              </w:rPr>
            </w:pPr>
          </w:p>
        </w:tc>
        <w:tc>
          <w:tcPr>
            <w:tcW w:w="1316" w:type="pct"/>
            <w:gridSpan w:val="2"/>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生活垃圾</w:t>
            </w:r>
          </w:p>
        </w:tc>
        <w:tc>
          <w:tcPr>
            <w:tcW w:w="133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6.39</w:t>
            </w:r>
            <w:r>
              <w:rPr>
                <w:color w:val="auto"/>
                <w:sz w:val="21"/>
                <w:szCs w:val="21"/>
              </w:rPr>
              <w:t>t/a</w:t>
            </w:r>
          </w:p>
        </w:tc>
        <w:tc>
          <w:tcPr>
            <w:tcW w:w="79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w:t>
            </w:r>
            <w:r>
              <w:rPr>
                <w:color w:val="auto"/>
                <w:sz w:val="21"/>
                <w:szCs w:val="21"/>
              </w:rPr>
              <w:t>t/a</w:t>
            </w:r>
          </w:p>
        </w:tc>
        <w:tc>
          <w:tcPr>
            <w:tcW w:w="105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送交环卫部门处理</w:t>
            </w:r>
          </w:p>
        </w:tc>
      </w:tr>
      <w:tr>
        <w:tblPrEx>
          <w:tblBorders>
            <w:top w:val="single" w:color="000000" w:sz="2" w:space="0"/>
            <w:left w:val="none" w:color="auto" w:sz="0" w:space="0"/>
            <w:bottom w:val="single" w:color="000000" w:sz="6"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562" w:hRule="exact"/>
          <w:jc w:val="center"/>
        </w:trPr>
        <w:tc>
          <w:tcPr>
            <w:tcW w:w="508" w:type="pct"/>
            <w:vMerge w:val="continue"/>
            <w:tcBorders>
              <w:tl2br w:val="nil"/>
              <w:tr2bl w:val="nil"/>
            </w:tcBorders>
            <w:vAlign w:val="center"/>
          </w:tcPr>
          <w:p>
            <w:pPr>
              <w:adjustRightInd/>
              <w:snapToGrid/>
              <w:spacing w:line="240" w:lineRule="auto"/>
              <w:ind w:firstLine="0" w:firstLineChars="0"/>
              <w:jc w:val="center"/>
              <w:rPr>
                <w:color w:val="auto"/>
                <w:sz w:val="21"/>
                <w:szCs w:val="21"/>
              </w:rPr>
            </w:pPr>
          </w:p>
        </w:tc>
        <w:tc>
          <w:tcPr>
            <w:tcW w:w="1316" w:type="pct"/>
            <w:gridSpan w:val="2"/>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废导热油</w:t>
            </w:r>
          </w:p>
        </w:tc>
        <w:tc>
          <w:tcPr>
            <w:tcW w:w="133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0.125</w:t>
            </w:r>
            <w:r>
              <w:rPr>
                <w:color w:val="auto"/>
                <w:sz w:val="21"/>
                <w:szCs w:val="21"/>
              </w:rPr>
              <w:t>t/a</w:t>
            </w:r>
          </w:p>
        </w:tc>
        <w:tc>
          <w:tcPr>
            <w:tcW w:w="79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w:t>
            </w:r>
            <w:r>
              <w:rPr>
                <w:color w:val="auto"/>
                <w:sz w:val="21"/>
                <w:szCs w:val="21"/>
              </w:rPr>
              <w:t>t/a</w:t>
            </w:r>
          </w:p>
        </w:tc>
        <w:tc>
          <w:tcPr>
            <w:tcW w:w="105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定期交由有资质单位</w:t>
            </w:r>
          </w:p>
          <w:p>
            <w:pPr>
              <w:spacing w:line="240" w:lineRule="auto"/>
              <w:ind w:firstLine="0" w:firstLineChars="0"/>
              <w:jc w:val="center"/>
              <w:rPr>
                <w:color w:val="auto"/>
                <w:sz w:val="21"/>
                <w:szCs w:val="21"/>
              </w:rPr>
            </w:pPr>
            <w:r>
              <w:rPr>
                <w:rFonts w:hint="eastAsia"/>
                <w:color w:val="auto"/>
                <w:sz w:val="21"/>
                <w:szCs w:val="21"/>
              </w:rPr>
              <w:t>处理</w:t>
            </w:r>
          </w:p>
        </w:tc>
      </w:tr>
      <w:tr>
        <w:tblPrEx>
          <w:tblBorders>
            <w:top w:val="single" w:color="000000" w:sz="2" w:space="0"/>
            <w:left w:val="none" w:color="auto" w:sz="0" w:space="0"/>
            <w:bottom w:val="single" w:color="000000" w:sz="6"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810" w:hRule="exact"/>
          <w:jc w:val="center"/>
        </w:trPr>
        <w:tc>
          <w:tcPr>
            <w:tcW w:w="508" w:type="pct"/>
            <w:vMerge w:val="continue"/>
            <w:tcBorders>
              <w:tl2br w:val="nil"/>
              <w:tr2bl w:val="nil"/>
            </w:tcBorders>
            <w:vAlign w:val="center"/>
          </w:tcPr>
          <w:p>
            <w:pPr>
              <w:adjustRightInd/>
              <w:snapToGrid/>
              <w:spacing w:line="240" w:lineRule="auto"/>
              <w:ind w:firstLine="0" w:firstLineChars="0"/>
              <w:jc w:val="center"/>
              <w:rPr>
                <w:color w:val="auto"/>
                <w:sz w:val="21"/>
                <w:szCs w:val="21"/>
              </w:rPr>
            </w:pPr>
          </w:p>
        </w:tc>
        <w:tc>
          <w:tcPr>
            <w:tcW w:w="1316" w:type="pct"/>
            <w:gridSpan w:val="2"/>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沼渣</w:t>
            </w:r>
          </w:p>
        </w:tc>
        <w:tc>
          <w:tcPr>
            <w:tcW w:w="133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2346.95</w:t>
            </w:r>
            <w:r>
              <w:rPr>
                <w:color w:val="auto"/>
                <w:sz w:val="21"/>
                <w:szCs w:val="21"/>
              </w:rPr>
              <w:t>t/a</w:t>
            </w:r>
          </w:p>
        </w:tc>
        <w:tc>
          <w:tcPr>
            <w:tcW w:w="79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w:t>
            </w:r>
            <w:r>
              <w:rPr>
                <w:color w:val="auto"/>
                <w:sz w:val="21"/>
                <w:szCs w:val="21"/>
              </w:rPr>
              <w:t>t/a</w:t>
            </w:r>
          </w:p>
        </w:tc>
        <w:tc>
          <w:tcPr>
            <w:tcW w:w="105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经固液分离发酵后作为制有机肥</w:t>
            </w:r>
            <w:r>
              <w:rPr>
                <w:rFonts w:hint="eastAsia"/>
                <w:color w:val="auto"/>
                <w:sz w:val="21"/>
                <w:szCs w:val="21"/>
                <w:lang w:eastAsia="zh-CN"/>
              </w:rPr>
              <w:t>基</w:t>
            </w:r>
            <w:r>
              <w:rPr>
                <w:rFonts w:hint="eastAsia"/>
                <w:color w:val="auto"/>
                <w:sz w:val="21"/>
                <w:szCs w:val="21"/>
              </w:rPr>
              <w:t>料外售</w:t>
            </w:r>
          </w:p>
        </w:tc>
      </w:tr>
    </w:tbl>
    <w:p>
      <w:pPr>
        <w:ind w:firstLine="480"/>
        <w:rPr>
          <w:color w:val="auto"/>
        </w:rPr>
        <w:sectPr>
          <w:footerReference r:id="rId13" w:type="default"/>
          <w:footerReference r:id="rId14" w:type="even"/>
          <w:pgSz w:w="11906" w:h="16838"/>
          <w:pgMar w:top="1701" w:right="1474" w:bottom="1701" w:left="1474" w:header="1134" w:footer="1247" w:gutter="0"/>
          <w:pgNumType w:chapStyle="1" w:chapSep="enDash"/>
          <w:cols w:space="720" w:num="1"/>
          <w:docGrid w:type="linesAndChars" w:linePitch="516" w:charSpace="-20"/>
        </w:sectPr>
      </w:pPr>
    </w:p>
    <w:p>
      <w:pPr>
        <w:pStyle w:val="26"/>
        <w:ind w:left="480" w:firstLine="480"/>
        <w:rPr>
          <w:color w:val="auto"/>
        </w:rPr>
      </w:pPr>
    </w:p>
    <w:p>
      <w:pPr>
        <w:pStyle w:val="4"/>
        <w:spacing w:after="0"/>
        <w:ind w:firstLine="0" w:firstLineChars="0"/>
        <w:rPr>
          <w:color w:val="auto"/>
        </w:rPr>
      </w:pPr>
      <w:bookmarkStart w:id="397" w:name="_Toc517174531"/>
      <w:bookmarkStart w:id="398" w:name="_Toc41197805"/>
      <w:bookmarkStart w:id="399" w:name="_Toc514815114"/>
      <w:bookmarkStart w:id="400" w:name="_Toc42269102"/>
      <w:bookmarkStart w:id="401" w:name="_Toc77584915"/>
      <w:bookmarkStart w:id="402" w:name="_Toc53182355"/>
      <w:bookmarkStart w:id="403" w:name="_Toc485579869"/>
      <w:bookmarkStart w:id="404" w:name="_Toc476923257"/>
      <w:bookmarkStart w:id="405" w:name="_Toc477187365"/>
      <w:bookmarkStart w:id="406" w:name="_Toc477270160"/>
      <w:bookmarkStart w:id="407" w:name="_Toc476921934"/>
      <w:bookmarkStart w:id="408" w:name="_Toc24433"/>
      <w:bookmarkStart w:id="409" w:name="_Toc3800"/>
      <w:r>
        <w:rPr>
          <w:color w:val="auto"/>
        </w:rPr>
        <w:t xml:space="preserve">第四章  </w:t>
      </w:r>
      <w:bookmarkEnd w:id="397"/>
      <w:bookmarkEnd w:id="398"/>
      <w:bookmarkEnd w:id="399"/>
      <w:bookmarkEnd w:id="400"/>
      <w:bookmarkEnd w:id="401"/>
      <w:bookmarkEnd w:id="402"/>
      <w:bookmarkStart w:id="410" w:name="_Toc468996398"/>
      <w:r>
        <w:rPr>
          <w:color w:val="auto"/>
        </w:rPr>
        <w:t>区域环境概况及环境质量现状评价</w:t>
      </w:r>
      <w:bookmarkEnd w:id="403"/>
      <w:bookmarkEnd w:id="404"/>
      <w:bookmarkEnd w:id="405"/>
      <w:bookmarkEnd w:id="406"/>
      <w:bookmarkEnd w:id="407"/>
      <w:bookmarkEnd w:id="408"/>
      <w:bookmarkEnd w:id="409"/>
      <w:bookmarkEnd w:id="410"/>
    </w:p>
    <w:p>
      <w:pPr>
        <w:pStyle w:val="5"/>
        <w:ind w:firstLine="0" w:firstLineChars="0"/>
        <w:rPr>
          <w:rFonts w:ascii="Times New Roman" w:hAnsi="Times New Roman"/>
          <w:b/>
          <w:color w:val="auto"/>
          <w:sz w:val="28"/>
          <w:szCs w:val="21"/>
        </w:rPr>
      </w:pPr>
      <w:bookmarkStart w:id="411" w:name="_Toc9392"/>
      <w:bookmarkStart w:id="412" w:name="_Toc24241"/>
      <w:bookmarkStart w:id="413" w:name="_Toc26094"/>
      <w:bookmarkStart w:id="414" w:name="_Toc15858"/>
      <w:bookmarkStart w:id="415" w:name="_Toc485579871"/>
      <w:bookmarkStart w:id="416" w:name="_Toc468996401"/>
      <w:bookmarkStart w:id="417" w:name="_Toc384040014"/>
      <w:bookmarkStart w:id="418" w:name="_Toc477187367"/>
      <w:bookmarkStart w:id="419" w:name="_Toc383506673"/>
      <w:bookmarkStart w:id="420" w:name="_Toc476921936"/>
      <w:bookmarkStart w:id="421" w:name="_Toc477270162"/>
      <w:bookmarkStart w:id="422" w:name="_Toc476923259"/>
      <w:bookmarkStart w:id="423" w:name="_Toc42269105"/>
      <w:bookmarkStart w:id="424" w:name="_Toc77584917"/>
      <w:bookmarkStart w:id="425" w:name="_Toc517174533"/>
      <w:bookmarkStart w:id="426" w:name="_Toc53182357"/>
      <w:bookmarkStart w:id="427" w:name="_Toc514815116"/>
      <w:bookmarkStart w:id="428" w:name="_Toc41197807"/>
      <w:r>
        <w:rPr>
          <w:rFonts w:hint="eastAsia" w:ascii="Times New Roman" w:hAnsi="Times New Roman"/>
          <w:b/>
          <w:color w:val="auto"/>
          <w:sz w:val="28"/>
          <w:szCs w:val="21"/>
        </w:rPr>
        <w:t>4</w:t>
      </w:r>
      <w:r>
        <w:rPr>
          <w:rFonts w:ascii="Times New Roman" w:hAnsi="Times New Roman"/>
          <w:b/>
          <w:color w:val="auto"/>
          <w:sz w:val="28"/>
          <w:szCs w:val="21"/>
        </w:rPr>
        <w:t>.1 区域环境质量概况</w:t>
      </w:r>
      <w:bookmarkEnd w:id="411"/>
      <w:bookmarkEnd w:id="412"/>
      <w:bookmarkEnd w:id="413"/>
      <w:bookmarkEnd w:id="414"/>
    </w:p>
    <w:p>
      <w:pPr>
        <w:pStyle w:val="6"/>
        <w:rPr>
          <w:color w:val="auto"/>
        </w:rPr>
      </w:pPr>
      <w:bookmarkStart w:id="429" w:name="_Toc22097"/>
      <w:bookmarkStart w:id="430" w:name="_Toc9425"/>
      <w:bookmarkStart w:id="431" w:name="_Toc19447"/>
      <w:bookmarkStart w:id="432" w:name="_Toc8628"/>
      <w:bookmarkStart w:id="433" w:name="_Toc32452"/>
      <w:r>
        <w:rPr>
          <w:rFonts w:hint="eastAsia"/>
          <w:color w:val="auto"/>
          <w:lang w:val="en-US"/>
        </w:rPr>
        <w:t>4</w:t>
      </w:r>
      <w:r>
        <w:rPr>
          <w:color w:val="auto"/>
        </w:rPr>
        <w:t>.1.1 地理位置</w:t>
      </w:r>
      <w:bookmarkEnd w:id="429"/>
      <w:bookmarkEnd w:id="430"/>
      <w:bookmarkEnd w:id="431"/>
      <w:bookmarkEnd w:id="432"/>
      <w:bookmarkEnd w:id="433"/>
    </w:p>
    <w:p>
      <w:pPr>
        <w:ind w:firstLine="480"/>
        <w:rPr>
          <w:color w:val="auto"/>
        </w:rPr>
      </w:pPr>
      <w:bookmarkStart w:id="434" w:name="_Toc32282"/>
      <w:bookmarkStart w:id="435" w:name="_Toc11481"/>
      <w:bookmarkStart w:id="436" w:name="_Toc1088"/>
      <w:bookmarkStart w:id="437" w:name="_Toc1800"/>
      <w:bookmarkStart w:id="438" w:name="_Toc14012"/>
      <w:r>
        <w:rPr>
          <w:color w:val="auto"/>
        </w:rPr>
        <w:t>濮阳市位于河南省的东北部，黄河下游北岸，冀、鲁、豫三省交界处。东北部与山东省的聊城毗邻，东、南部与山东省济宁、菏泽隔河相望，西南部与河南省的新乡市相倚，西部与河南省的安阳市相连，北部与河北省的邯郸市相连。地处北纬35°20′0″─36°12′23″，东经114°52′0″─116°5′4″之间，东西长125km，南北宽100km。全市土地面积4188km</w:t>
      </w:r>
      <w:r>
        <w:rPr>
          <w:color w:val="auto"/>
          <w:vertAlign w:val="superscript"/>
        </w:rPr>
        <w:t>2</w:t>
      </w:r>
      <w:r>
        <w:rPr>
          <w:color w:val="auto"/>
        </w:rPr>
        <w:t>，约占全省土地面积的2.57%，其中耕地面积24.62万公顷。</w:t>
      </w:r>
    </w:p>
    <w:p>
      <w:pPr>
        <w:ind w:firstLine="480"/>
        <w:rPr>
          <w:color w:val="auto"/>
        </w:rPr>
      </w:pPr>
      <w:r>
        <w:rPr>
          <w:color w:val="auto"/>
        </w:rPr>
        <w:t>濮阳县位于河南省东北部，黄河下游北岸，南和东南与山东省东明、菏泽、鄄城隔河相望，东和东北与范县及山东莘县毗邻；北与西北倚濮阳市区；西和西南与内黄、滑县、长垣接壤。县城距省会郑州市192km。地理位置：北纬35°20′～35°50′，东经114°52′～115°25′。东西长约49.2km，南北宽约44km，总面积1455km</w:t>
      </w:r>
      <w:r>
        <w:rPr>
          <w:color w:val="auto"/>
          <w:vertAlign w:val="superscript"/>
        </w:rPr>
        <w:t>2</w:t>
      </w:r>
      <w:r>
        <w:rPr>
          <w:color w:val="auto"/>
        </w:rPr>
        <w:t>，耕地面积120万亩。</w:t>
      </w:r>
    </w:p>
    <w:p>
      <w:pPr>
        <w:ind w:firstLine="480"/>
        <w:rPr>
          <w:color w:val="auto"/>
        </w:rPr>
      </w:pPr>
      <w:r>
        <w:rPr>
          <w:color w:val="auto"/>
        </w:rPr>
        <w:t>本项目位于</w:t>
      </w:r>
      <w:r>
        <w:rPr>
          <w:rFonts w:hint="eastAsia"/>
          <w:color w:val="auto"/>
        </w:rPr>
        <w:t>濮阳市濮阳县五星乡于屯村东</w:t>
      </w:r>
      <w:r>
        <w:rPr>
          <w:color w:val="auto"/>
        </w:rPr>
        <w:t>，项目地理位置图见附图1。</w:t>
      </w:r>
    </w:p>
    <w:p>
      <w:pPr>
        <w:pStyle w:val="6"/>
        <w:rPr>
          <w:color w:val="auto"/>
          <w:lang w:val="en-US"/>
        </w:rPr>
      </w:pPr>
      <w:r>
        <w:rPr>
          <w:rFonts w:hint="eastAsia"/>
          <w:color w:val="auto"/>
          <w:lang w:val="en-US"/>
        </w:rPr>
        <w:t>4.1.2 地形地貌</w:t>
      </w:r>
      <w:bookmarkEnd w:id="434"/>
      <w:bookmarkEnd w:id="435"/>
      <w:bookmarkEnd w:id="436"/>
      <w:bookmarkEnd w:id="437"/>
      <w:bookmarkEnd w:id="438"/>
    </w:p>
    <w:p>
      <w:pPr>
        <w:ind w:firstLine="480"/>
        <w:rPr>
          <w:color w:val="auto"/>
        </w:rPr>
      </w:pPr>
      <w:bookmarkStart w:id="439" w:name="_Toc4294"/>
      <w:bookmarkStart w:id="440" w:name="_Toc27850"/>
      <w:bookmarkStart w:id="441" w:name="_Toc1411"/>
      <w:bookmarkStart w:id="442" w:name="_Toc9515"/>
      <w:bookmarkStart w:id="443" w:name="_Toc32404"/>
      <w:r>
        <w:rPr>
          <w:color w:val="auto"/>
        </w:rPr>
        <w:t>濮阳城区地处黄河下游冲击平原上，地形平坦开阔，地势自西南向东北略有倾斜，南北坡降为1/5000―1/6000，东西坡降为1/6000―1/8000，海拔高度为48―57m。</w:t>
      </w:r>
    </w:p>
    <w:p>
      <w:pPr>
        <w:ind w:firstLine="480"/>
        <w:rPr>
          <w:color w:val="auto"/>
        </w:rPr>
      </w:pPr>
      <w:r>
        <w:rPr>
          <w:color w:val="auto"/>
        </w:rPr>
        <w:t>濮阳城区地貌类型比较简单，地表下15m范围内均为新近冲击的松散沉积物。根据地貌形态和成因，城区范围可分为三种工程地质单元，即黄河故道、古黄河漫滩、古黄河泛流平原工程地质区。</w:t>
      </w:r>
    </w:p>
    <w:p>
      <w:pPr>
        <w:ind w:firstLine="480"/>
        <w:rPr>
          <w:color w:val="auto"/>
        </w:rPr>
      </w:pPr>
      <w:r>
        <w:rPr>
          <w:color w:val="auto"/>
        </w:rPr>
        <w:t>濮阳县地处黄河中下游冲积平原，位于内黄隆起和鲁西隆起的东（明）濮（阳）地堑带，系我国地貌第三阶梯的中后部，是中、新生代的沉积盆地。地势南高北低，西高东低，由西南向东北倾斜，自然坡度南北约为1/4000，东西约为1/8000，地面海拔50～58m。全县地貌较相似，由于历史上河水入海和黄河沉积、淤塞、改道等作用，形成了濮阳县平地、岗洼、沙丘、沟河相间的地貌特征。</w:t>
      </w:r>
    </w:p>
    <w:p>
      <w:pPr>
        <w:pStyle w:val="6"/>
        <w:rPr>
          <w:color w:val="auto"/>
        </w:rPr>
      </w:pPr>
      <w:r>
        <w:rPr>
          <w:rFonts w:hint="eastAsia"/>
          <w:color w:val="auto"/>
          <w:lang w:val="en-US"/>
        </w:rPr>
        <w:t>4</w:t>
      </w:r>
      <w:r>
        <w:rPr>
          <w:color w:val="auto"/>
        </w:rPr>
        <w:t>.1.3 工程地质</w:t>
      </w:r>
      <w:bookmarkEnd w:id="439"/>
      <w:bookmarkEnd w:id="440"/>
      <w:bookmarkEnd w:id="441"/>
      <w:bookmarkEnd w:id="442"/>
      <w:bookmarkEnd w:id="443"/>
    </w:p>
    <w:p>
      <w:pPr>
        <w:ind w:firstLine="480"/>
        <w:rPr>
          <w:color w:val="auto"/>
        </w:rPr>
      </w:pPr>
      <w:bookmarkStart w:id="444" w:name="_Toc15075"/>
      <w:bookmarkStart w:id="445" w:name="_Toc6528"/>
      <w:bookmarkStart w:id="446" w:name="_Toc22167"/>
      <w:bookmarkStart w:id="447" w:name="_Toc30851"/>
      <w:bookmarkStart w:id="448" w:name="_Toc21572"/>
      <w:r>
        <w:rPr>
          <w:color w:val="auto"/>
        </w:rPr>
        <w:t>濮阳城区地表均为第四纪冲积松散沉积物覆盖，主要土层为粉土、砂土及粘土。地层岩组类型单一，属简单场地。濮阳市地处华北地震区南部，聊兰地震带中段，位于国家确定的冀鲁豫地震重点监视防御区之内。区内地质构造复杂，活动断裂发育，地震频度较高，全度较大。濮阳市及邻区基底断裂构造的频繁活动，常有地震波及。按国家地震局颁布的地震烈度区划图，濮阳市域基本烈度分为6度、7度和8度区。</w:t>
      </w:r>
    </w:p>
    <w:p>
      <w:pPr>
        <w:ind w:firstLine="480"/>
        <w:rPr>
          <w:color w:val="auto"/>
        </w:rPr>
      </w:pPr>
      <w:r>
        <w:rPr>
          <w:color w:val="auto"/>
        </w:rPr>
        <w:t>濮阳县地处渤海湾沉降带的东濮凹陷，位于鲁西隆起区、太行山隆起带、秦岭隆起带等三大构造体系交汇处，该区域东有兰聊断裂、南接兰考凸起、北临马陵断层、西连内黄隆起。其主要地质构造是在古生界基岩之上，沉积了以第三系为主的中、新生界沙岩地层。地震烈度为7度。</w:t>
      </w:r>
    </w:p>
    <w:bookmarkEnd w:id="444"/>
    <w:bookmarkEnd w:id="445"/>
    <w:bookmarkEnd w:id="446"/>
    <w:bookmarkEnd w:id="447"/>
    <w:bookmarkEnd w:id="448"/>
    <w:p>
      <w:pPr>
        <w:pStyle w:val="6"/>
        <w:rPr>
          <w:color w:val="auto"/>
        </w:rPr>
      </w:pPr>
      <w:bookmarkStart w:id="449" w:name="_Toc18714"/>
      <w:bookmarkStart w:id="450" w:name="_Toc11746"/>
      <w:bookmarkStart w:id="451" w:name="_Toc904"/>
      <w:bookmarkStart w:id="452" w:name="_Toc25515"/>
      <w:bookmarkStart w:id="453" w:name="_Toc21811"/>
      <w:r>
        <w:rPr>
          <w:rFonts w:hint="eastAsia"/>
          <w:color w:val="auto"/>
          <w:lang w:val="en-US"/>
        </w:rPr>
        <w:t>4</w:t>
      </w:r>
      <w:r>
        <w:rPr>
          <w:color w:val="auto"/>
        </w:rPr>
        <w:t>.1.</w:t>
      </w:r>
      <w:r>
        <w:rPr>
          <w:rFonts w:hint="eastAsia"/>
          <w:color w:val="auto"/>
          <w:lang w:val="en-US"/>
        </w:rPr>
        <w:t>4</w:t>
      </w:r>
      <w:r>
        <w:rPr>
          <w:color w:val="auto"/>
        </w:rPr>
        <w:t>气候气象</w:t>
      </w:r>
      <w:bookmarkEnd w:id="449"/>
      <w:bookmarkEnd w:id="450"/>
      <w:bookmarkEnd w:id="451"/>
      <w:bookmarkEnd w:id="452"/>
      <w:bookmarkEnd w:id="453"/>
    </w:p>
    <w:p>
      <w:pPr>
        <w:ind w:firstLine="480"/>
        <w:rPr>
          <w:color w:val="auto"/>
        </w:rPr>
      </w:pPr>
      <w:r>
        <w:rPr>
          <w:color w:val="auto"/>
        </w:rPr>
        <w:t>濮阳市位于中纬度地带，常年直接受东南季风环流的控制和影响，属暖温带半湿润季风型大陆性气候，四季分明：春季干旱多风，夏季炎热多雨，秋季晴朗，冬季干冷少雪。年平均气温13.5℃，年平均无霜期为215d，年平均蒸发量1944mm，年均日照时数2454h，年太阳辐射总量118kcal/cm</w:t>
      </w:r>
      <w:r>
        <w:rPr>
          <w:color w:val="auto"/>
          <w:vertAlign w:val="superscript"/>
        </w:rPr>
        <w:t>2</w:t>
      </w:r>
      <w:r>
        <w:rPr>
          <w:color w:val="auto"/>
        </w:rPr>
        <w:t>，年平均降水量571.8mm，常年主导风向为北风、南风，其次为东南风，年均风速2.1m/s，年均相对湿度71%。区内最低极端气温-21℃，最高极端气温42.2℃；年最大降雨量276.9mm，最小降雨量264.5mm；历年最大降雪深度22.0cm，最大冻土厚41.0cm。</w:t>
      </w:r>
    </w:p>
    <w:p>
      <w:pPr>
        <w:ind w:firstLine="480"/>
        <w:rPr>
          <w:color w:val="auto"/>
        </w:rPr>
      </w:pPr>
      <w:r>
        <w:rPr>
          <w:color w:val="auto"/>
        </w:rPr>
        <w:t>濮阳县属暖温带大陆型季风气候，半湿润，四季分明，温度适宜，光照充足，春旱夏涝交替明显。春季干旱多风，夏季炎热多雨，秋季天高气爽日照长，冬季干冷少雨雪。冬季盛行偏北风，夏季盛行偏南风。由于降雨不匀，也常出现旱涝不均现象。干旱是近年来主要灾害性天气。四季气温变化大致情况是：</w:t>
      </w:r>
    </w:p>
    <w:p>
      <w:pPr>
        <w:ind w:firstLine="480"/>
        <w:rPr>
          <w:color w:val="auto"/>
        </w:rPr>
      </w:pPr>
      <w:r>
        <w:rPr>
          <w:color w:val="auto"/>
        </w:rPr>
        <w:t>春季(3～5 月)，气温明显回升，降水逐渐增多。在一般年份里，4月份为春季降雨量较多的月份，平均36.1mm。5月份降雨量又明显减少，气温大幅度升高。</w:t>
      </w:r>
    </w:p>
    <w:p>
      <w:pPr>
        <w:ind w:firstLine="480"/>
        <w:rPr>
          <w:color w:val="auto"/>
        </w:rPr>
      </w:pPr>
      <w:r>
        <w:rPr>
          <w:color w:val="auto"/>
        </w:rPr>
        <w:t>夏季(6～8月)，天气炎热，最高气温可达42.2℃左右。每月平均降雨量110mm，为全年总降水量的20%，也是暴雨集中的季节。</w:t>
      </w:r>
    </w:p>
    <w:p>
      <w:pPr>
        <w:ind w:firstLine="480"/>
        <w:rPr>
          <w:color w:val="auto"/>
        </w:rPr>
      </w:pPr>
      <w:r>
        <w:rPr>
          <w:color w:val="auto"/>
        </w:rPr>
        <w:t>秋季(9～11月)，降水量明显减少，气温下降较缓，树木逐渐落叶。</w:t>
      </w:r>
    </w:p>
    <w:p>
      <w:pPr>
        <w:ind w:firstLine="480"/>
        <w:rPr>
          <w:color w:val="auto"/>
        </w:rPr>
      </w:pPr>
      <w:r>
        <w:rPr>
          <w:color w:val="auto"/>
        </w:rPr>
        <w:t>冬季(12月～次年2月)，气温较低，降水量为全年中最少的季节，占全年降水量的3%。最低气温可降至-20.7℃左右。</w:t>
      </w:r>
    </w:p>
    <w:p>
      <w:pPr>
        <w:pStyle w:val="6"/>
        <w:rPr>
          <w:color w:val="auto"/>
        </w:rPr>
      </w:pPr>
      <w:bookmarkStart w:id="454" w:name="_Toc30251"/>
      <w:bookmarkStart w:id="455" w:name="_Toc19193"/>
      <w:bookmarkStart w:id="456" w:name="_Toc26596"/>
      <w:bookmarkStart w:id="457" w:name="_Toc28546"/>
      <w:bookmarkStart w:id="458" w:name="_Toc7910"/>
      <w:r>
        <w:rPr>
          <w:color w:val="auto"/>
        </w:rPr>
        <w:t>水文资源</w:t>
      </w:r>
    </w:p>
    <w:p>
      <w:pPr>
        <w:widowControl/>
        <w:ind w:firstLine="480"/>
        <w:rPr>
          <w:color w:val="auto"/>
        </w:rPr>
      </w:pPr>
      <w:r>
        <w:rPr>
          <w:color w:val="auto"/>
        </w:rPr>
        <w:t>（1）地表水</w:t>
      </w:r>
    </w:p>
    <w:p>
      <w:pPr>
        <w:widowControl/>
        <w:ind w:firstLine="480"/>
        <w:rPr>
          <w:color w:val="auto"/>
        </w:rPr>
      </w:pPr>
      <w:r>
        <w:rPr>
          <w:color w:val="auto"/>
        </w:rPr>
        <w:t>濮阳县地域大部分属黄河流域，主要过境河流有黄河和金堤河。北部少数引黄灌区属海河流域。项目所在地濮阳市共有97条河流，多为中小河流，多数源于境内。</w:t>
      </w:r>
    </w:p>
    <w:p>
      <w:pPr>
        <w:widowControl/>
        <w:ind w:firstLine="480"/>
        <w:rPr>
          <w:color w:val="auto"/>
        </w:rPr>
      </w:pPr>
      <w:r>
        <w:rPr>
          <w:color w:val="auto"/>
        </w:rPr>
        <w:t>1）青碱沟</w:t>
      </w:r>
    </w:p>
    <w:p>
      <w:pPr>
        <w:widowControl/>
        <w:ind w:firstLine="480"/>
        <w:rPr>
          <w:color w:val="auto"/>
        </w:rPr>
      </w:pPr>
      <w:r>
        <w:rPr>
          <w:color w:val="auto"/>
        </w:rPr>
        <w:t>青碱沟系无源头水，1969年开挖，源于该县习城乡南游村南地，流经古庄、梨园、白堽、王称堌、碱王庄于柳屯镇赵庄南入金堤河，全长45.09km，其主要功能是农田灌溉和汛期排涝，非农灌季节河段基本无地表径流，仅为沿途的少量工业及生活污水，农灌季节河段有引黄灌溉农田退水汇入。</w:t>
      </w:r>
    </w:p>
    <w:p>
      <w:pPr>
        <w:widowControl/>
        <w:ind w:firstLine="480"/>
        <w:rPr>
          <w:color w:val="auto"/>
        </w:rPr>
      </w:pPr>
      <w:r>
        <w:rPr>
          <w:color w:val="auto"/>
        </w:rPr>
        <w:t>2）金堤河</w:t>
      </w:r>
    </w:p>
    <w:p>
      <w:pPr>
        <w:widowControl/>
        <w:ind w:firstLine="480"/>
        <w:rPr>
          <w:color w:val="auto"/>
        </w:rPr>
      </w:pPr>
      <w:r>
        <w:rPr>
          <w:color w:val="auto"/>
        </w:rPr>
        <w:t>金堤河作为黄河中下游的一条支流，系平原排水河道，地跨豫鲁两省，分属河南新乡、安阳、濮阳和山东聊城4地市12个县，是当地农业灌溉的主要水源之一。金堤河发源于新乡县荆张庄排水沟，于台前县张庄闸入黄河，金堤河境内流长48.4km，流域面积1750km</w:t>
      </w:r>
      <w:r>
        <w:rPr>
          <w:color w:val="auto"/>
          <w:vertAlign w:val="superscript"/>
        </w:rPr>
        <w:t>2</w:t>
      </w:r>
      <w:r>
        <w:rPr>
          <w:color w:val="auto"/>
        </w:rPr>
        <w:t>，且支流很多。</w:t>
      </w:r>
    </w:p>
    <w:p>
      <w:pPr>
        <w:widowControl/>
        <w:ind w:firstLine="480"/>
        <w:rPr>
          <w:color w:val="auto"/>
        </w:rPr>
      </w:pPr>
      <w:r>
        <w:rPr>
          <w:color w:val="auto"/>
        </w:rPr>
        <w:t>根据对金堤河干流濮阳和范县两个水文站多年实测资料进行统计分析，濮阳站多年平均径流量为1.64亿m</w:t>
      </w:r>
      <w:r>
        <w:rPr>
          <w:color w:val="auto"/>
          <w:vertAlign w:val="superscript"/>
        </w:rPr>
        <w:t>3</w:t>
      </w:r>
      <w:r>
        <w:rPr>
          <w:color w:val="auto"/>
        </w:rPr>
        <w:t>，范县站为2.2亿m</w:t>
      </w:r>
      <w:r>
        <w:rPr>
          <w:color w:val="auto"/>
          <w:vertAlign w:val="superscript"/>
        </w:rPr>
        <w:t>3</w:t>
      </w:r>
      <w:r>
        <w:rPr>
          <w:color w:val="auto"/>
        </w:rPr>
        <w:t>。实测径流年际变化很大，濮阳站年最大径流量为7.047亿m</w:t>
      </w:r>
      <w:r>
        <w:rPr>
          <w:color w:val="auto"/>
          <w:vertAlign w:val="superscript"/>
        </w:rPr>
        <w:t>3</w:t>
      </w:r>
      <w:r>
        <w:rPr>
          <w:color w:val="auto"/>
        </w:rPr>
        <w:t>，年最小流量为0.131亿m</w:t>
      </w:r>
      <w:r>
        <w:rPr>
          <w:color w:val="auto"/>
          <w:vertAlign w:val="superscript"/>
        </w:rPr>
        <w:t>3</w:t>
      </w:r>
      <w:r>
        <w:rPr>
          <w:color w:val="auto"/>
        </w:rPr>
        <w:t>，两者相差53.8倍。范县站年最大径流量5.03亿m</w:t>
      </w:r>
      <w:r>
        <w:rPr>
          <w:color w:val="auto"/>
          <w:vertAlign w:val="superscript"/>
        </w:rPr>
        <w:t>3</w:t>
      </w:r>
      <w:r>
        <w:rPr>
          <w:color w:val="auto"/>
        </w:rPr>
        <w:t>，最小径流量为0.35亿m</w:t>
      </w:r>
      <w:r>
        <w:rPr>
          <w:color w:val="auto"/>
          <w:vertAlign w:val="superscript"/>
        </w:rPr>
        <w:t>3</w:t>
      </w:r>
      <w:r>
        <w:rPr>
          <w:color w:val="auto"/>
        </w:rPr>
        <w:t>，两者相差14.4 倍。濮阳、范县两站的实测径流量年内分配不均，汛期（7～10月）濮阳站占全年的比例为68.3%，范县站为75%。</w:t>
      </w:r>
    </w:p>
    <w:p>
      <w:pPr>
        <w:widowControl/>
        <w:ind w:firstLine="480"/>
        <w:rPr>
          <w:color w:val="auto"/>
        </w:rPr>
      </w:pPr>
      <w:r>
        <w:rPr>
          <w:color w:val="auto"/>
        </w:rPr>
        <w:t>项目区域主要河流有金堤河。金堤河：系黄河的一级支流，发源于新乡县荆张庄排水沟，自滑县王爷庙村入濮阳境，流经濮阳、范县、台前3县，于台前县张庄闸入黄河。境内流长125km，流域面积1750km</w:t>
      </w:r>
      <w:r>
        <w:rPr>
          <w:color w:val="auto"/>
          <w:vertAlign w:val="superscript"/>
        </w:rPr>
        <w:t>2</w:t>
      </w:r>
      <w:r>
        <w:rPr>
          <w:color w:val="auto"/>
        </w:rPr>
        <w:t>，约占濮阳市总面积的4l％。它在境内的主要支流有回木沟、三里店沟、五星沟、房刘庄沟、胡状沟、濮城干沟、孟楼河等。金堤河是一条防汛排涝河流，年平均流量为5.28m</w:t>
      </w:r>
      <w:r>
        <w:rPr>
          <w:color w:val="auto"/>
          <w:vertAlign w:val="superscript"/>
        </w:rPr>
        <w:t>3</w:t>
      </w:r>
      <w:r>
        <w:rPr>
          <w:color w:val="auto"/>
        </w:rPr>
        <w:t>/s，年平均径流量为1.66亿m</w:t>
      </w:r>
      <w:r>
        <w:rPr>
          <w:color w:val="auto"/>
          <w:vertAlign w:val="superscript"/>
        </w:rPr>
        <w:t>3</w:t>
      </w:r>
      <w:r>
        <w:rPr>
          <w:color w:val="auto"/>
        </w:rPr>
        <w:t>。</w:t>
      </w:r>
    </w:p>
    <w:p>
      <w:pPr>
        <w:widowControl/>
        <w:ind w:firstLine="480"/>
        <w:rPr>
          <w:color w:val="auto"/>
        </w:rPr>
      </w:pPr>
      <w:r>
        <w:rPr>
          <w:color w:val="auto"/>
        </w:rPr>
        <w:t>距离本项目最近的水体为</w:t>
      </w:r>
      <w:r>
        <w:rPr>
          <w:rFonts w:hint="eastAsia"/>
          <w:color w:val="auto"/>
        </w:rPr>
        <w:t>厂界外东</w:t>
      </w:r>
      <w:r>
        <w:rPr>
          <w:color w:val="auto"/>
        </w:rPr>
        <w:t>侧</w:t>
      </w:r>
      <w:r>
        <w:rPr>
          <w:rFonts w:hint="eastAsia"/>
          <w:color w:val="auto"/>
        </w:rPr>
        <w:t>965</w:t>
      </w:r>
      <w:r>
        <w:rPr>
          <w:color w:val="auto"/>
        </w:rPr>
        <w:t>处的</w:t>
      </w:r>
      <w:r>
        <w:rPr>
          <w:rFonts w:hint="eastAsia"/>
          <w:color w:val="auto"/>
        </w:rPr>
        <w:t>董楼沟</w:t>
      </w:r>
      <w:r>
        <w:rPr>
          <w:color w:val="auto"/>
        </w:rPr>
        <w:t>，属黄河下游流域</w:t>
      </w:r>
      <w:r>
        <w:rPr>
          <w:rFonts w:hint="eastAsia"/>
          <w:color w:val="auto"/>
        </w:rPr>
        <w:t>。</w:t>
      </w:r>
    </w:p>
    <w:p>
      <w:pPr>
        <w:widowControl/>
        <w:ind w:firstLine="480"/>
        <w:rPr>
          <w:color w:val="auto"/>
        </w:rPr>
      </w:pPr>
      <w:r>
        <w:rPr>
          <w:color w:val="auto"/>
        </w:rPr>
        <w:t>（2）地下水</w:t>
      </w:r>
    </w:p>
    <w:p>
      <w:pPr>
        <w:widowControl/>
        <w:ind w:firstLine="480"/>
        <w:rPr>
          <w:color w:val="auto"/>
        </w:rPr>
      </w:pPr>
      <w:r>
        <w:rPr>
          <w:color w:val="auto"/>
        </w:rPr>
        <w:t>濮阳市地下水分为浅层地下水、中层地下水和深层地下水。地下水位埋深深浅不一，西部地下水埋深一般大于10m，东部埋深较浅为2―4m。根据含水层的结构及埋藏条件，可分为第四系孔潜水和层间孔隙水两种，地下水的径流条件较好，但其水位、水量等的动态变化，受大气降水和季节的影响较大，特别是人为因素的影响尤其大。由于天旱、降水偏少等因素使地下水位在逐年下降。</w:t>
      </w:r>
    </w:p>
    <w:p>
      <w:pPr>
        <w:widowControl/>
        <w:ind w:firstLine="480"/>
        <w:rPr>
          <w:color w:val="auto"/>
        </w:rPr>
      </w:pPr>
      <w:r>
        <w:rPr>
          <w:color w:val="auto"/>
        </w:rPr>
        <w:t>评价区域地下水主要为孔隙潜水，主要含水层为6m以下的细砂及细砂含卵石层，根据濮阳县地形特点，该区域地下水大致分为浅层含水层组、中层含水层组（承压水）和深层含水层组。评价区地下水埋深一般在8.5～9.0m，根据含水层的结构及埋藏条件，可分为第四系孔隙潜水和层间孔隙水两种，地下水的径流条件相对较好。评价区内地下水的水位、水量等的动态变化，受大气降水和季节的影响比较大，特别是人为因素的影响尤其大。由于天旱、降水偏少等因素使地下水位在逐年下降。</w:t>
      </w:r>
    </w:p>
    <w:p>
      <w:pPr>
        <w:widowControl/>
        <w:ind w:firstLine="480"/>
        <w:rPr>
          <w:color w:val="auto"/>
        </w:rPr>
      </w:pPr>
      <w:r>
        <w:rPr>
          <w:color w:val="auto"/>
        </w:rPr>
        <w:t>项目所在区域浅层地下水主要由大气降水和地表水补给，地下水流向一般沿地形坡度方向流向，即从西南向东北流，洪水期和农业灌溉期河水补给地下水，枯水期地下水补给河水。</w:t>
      </w:r>
    </w:p>
    <w:p>
      <w:pPr>
        <w:pStyle w:val="6"/>
        <w:rPr>
          <w:color w:val="auto"/>
        </w:rPr>
      </w:pPr>
      <w:r>
        <w:rPr>
          <w:rFonts w:hint="eastAsia"/>
          <w:color w:val="auto"/>
          <w:lang w:val="en-US"/>
        </w:rPr>
        <w:t>4</w:t>
      </w:r>
      <w:r>
        <w:rPr>
          <w:color w:val="auto"/>
        </w:rPr>
        <w:t xml:space="preserve">.1.6 </w:t>
      </w:r>
      <w:bookmarkEnd w:id="454"/>
      <w:bookmarkEnd w:id="455"/>
      <w:bookmarkEnd w:id="456"/>
      <w:bookmarkEnd w:id="457"/>
      <w:bookmarkEnd w:id="458"/>
      <w:r>
        <w:rPr>
          <w:rFonts w:hint="eastAsia"/>
          <w:color w:val="auto"/>
        </w:rPr>
        <w:t>矿产与土地资源</w:t>
      </w:r>
    </w:p>
    <w:p>
      <w:pPr>
        <w:ind w:firstLine="480"/>
        <w:rPr>
          <w:color w:val="auto"/>
        </w:rPr>
      </w:pPr>
      <w:r>
        <w:rPr>
          <w:color w:val="auto"/>
        </w:rPr>
        <w:t>濮阳县物产资源丰富。是中原油田开发建设腹地，境内石油和天然气产量分别占中原油田总产量的70%以上和90%。借助西气东输的便利条件，中石化在濮阳县文留镇投资建设了文96、文23战略储气库，总库容110亿立方米，建成后将成为我国中部地区最大规模的储气库。地下盐矿资源丰富，初步探明储量1400亿吨，纯度高、易开采。是国家级商品粮基地县、优质棉繁育基地县、优质麦基地县，盛产优质小麦、玉米、大豆、花生、棉花、杂果等。水资源储量总量在4.9亿立方以上，地下水资源储量在3.3亿立方以上，年降水、地表径流水补给量在2.7亿立方以上。</w:t>
      </w:r>
    </w:p>
    <w:p>
      <w:pPr>
        <w:ind w:firstLine="480"/>
        <w:rPr>
          <w:color w:val="auto"/>
        </w:rPr>
      </w:pPr>
      <w:r>
        <w:rPr>
          <w:color w:val="auto"/>
        </w:rPr>
        <w:t>濮阳县的土壤成土母质全部是黄河冲积物，全县土壤分为潮土和风砂土两类，碱土潮土、褐土潮土、盐化潮土、黄潮土和冲积风砂土五个亚类，九个土属，五十七个土种。</w:t>
      </w:r>
    </w:p>
    <w:p>
      <w:pPr>
        <w:pStyle w:val="6"/>
        <w:rPr>
          <w:color w:val="auto"/>
        </w:rPr>
      </w:pPr>
      <w:bookmarkStart w:id="459" w:name="_Toc1525"/>
      <w:bookmarkStart w:id="460" w:name="_Toc23344"/>
      <w:bookmarkStart w:id="461" w:name="_Toc27113"/>
      <w:bookmarkStart w:id="462" w:name="_Toc587"/>
      <w:bookmarkStart w:id="463" w:name="_Toc12940"/>
      <w:r>
        <w:rPr>
          <w:rFonts w:hint="eastAsia"/>
          <w:color w:val="auto"/>
          <w:lang w:val="en-US"/>
        </w:rPr>
        <w:t>4</w:t>
      </w:r>
      <w:r>
        <w:rPr>
          <w:color w:val="auto"/>
        </w:rPr>
        <w:t>.1.7 生物资源</w:t>
      </w:r>
      <w:bookmarkEnd w:id="459"/>
      <w:bookmarkEnd w:id="460"/>
      <w:bookmarkEnd w:id="461"/>
      <w:bookmarkEnd w:id="462"/>
      <w:bookmarkEnd w:id="463"/>
    </w:p>
    <w:p>
      <w:pPr>
        <w:pStyle w:val="58"/>
        <w:rPr>
          <w:rFonts w:cs="Times New Roman"/>
          <w:color w:val="auto"/>
        </w:rPr>
      </w:pPr>
      <w:r>
        <w:rPr>
          <w:rFonts w:cs="Times New Roman"/>
          <w:color w:val="auto"/>
        </w:rPr>
        <w:t>濮阳县境内动物繁多，约600余种，其中无脊椎的原生动物，腔肠动物、环节动物、节肢动物约400种；脊椎动物包括鱼类、两栖类、爬行类、鸟类、哺乳类约200余种。主要野生动物有：兔、獾、狐狸、鼠、刺猬等；鸟类有：雁、鹊、燕、布谷、画眉、鹌鹑、黑耳鸢、天鹅、鹤、白鹭、水鸭、山鸡等；鱼类有：鲤鱼、鲫鱼、鲢鱼、草鱼、泥鳅、鳖等。虫类繁多：有蛇、蚁、蝉等约500种。</w:t>
      </w:r>
    </w:p>
    <w:p>
      <w:pPr>
        <w:ind w:firstLine="480"/>
        <w:rPr>
          <w:color w:val="auto"/>
        </w:rPr>
      </w:pPr>
      <w:r>
        <w:rPr>
          <w:color w:val="auto"/>
        </w:rPr>
        <w:t>濮阳县植物除农作物外，全县植被由禾本科、豆科、菊科、蔷薇科、茄科、十字花科、百合科、杨柳科、伞形科、锦葵科、石蒜科、玄参科等多属暖温带的植被组成。濮阳天然林甚少，基本为人造林，主要分布在黄河故道及背河谷地。优质用材林树种主要有毛白杨、加拿大杨、枫杨、榆、柳、泡桐、椿、槐树，经济林树种主要有红枣、苹果、桃、杏、梨、葡萄、柿、山楂、核桃、花椒等。</w:t>
      </w:r>
    </w:p>
    <w:bookmarkEnd w:id="415"/>
    <w:bookmarkEnd w:id="416"/>
    <w:bookmarkEnd w:id="417"/>
    <w:bookmarkEnd w:id="418"/>
    <w:bookmarkEnd w:id="419"/>
    <w:bookmarkEnd w:id="420"/>
    <w:bookmarkEnd w:id="421"/>
    <w:bookmarkEnd w:id="422"/>
    <w:p>
      <w:pPr>
        <w:pStyle w:val="5"/>
        <w:spacing w:before="0" w:after="0"/>
        <w:ind w:firstLine="0" w:firstLineChars="0"/>
        <w:rPr>
          <w:rFonts w:ascii="Times New Roman" w:hAnsi="Times New Roman"/>
          <w:color w:val="auto"/>
          <w:sz w:val="28"/>
          <w:szCs w:val="20"/>
        </w:rPr>
      </w:pPr>
      <w:bookmarkStart w:id="464" w:name="_Toc384040017"/>
      <w:bookmarkStart w:id="465" w:name="_Toc476923260"/>
      <w:bookmarkStart w:id="466" w:name="_Toc468996402"/>
      <w:bookmarkStart w:id="467" w:name="_Toc7155"/>
      <w:bookmarkStart w:id="468" w:name="_Toc477270163"/>
      <w:bookmarkStart w:id="469" w:name="_Toc25478"/>
      <w:bookmarkStart w:id="470" w:name="_Toc485579872"/>
      <w:bookmarkStart w:id="471" w:name="_Toc477187368"/>
      <w:bookmarkStart w:id="472" w:name="_Toc476921937"/>
      <w:r>
        <w:rPr>
          <w:rFonts w:ascii="Times New Roman" w:hAnsi="Times New Roman"/>
          <w:color w:val="auto"/>
          <w:sz w:val="28"/>
          <w:szCs w:val="20"/>
        </w:rPr>
        <w:t>4.</w:t>
      </w:r>
      <w:r>
        <w:rPr>
          <w:rFonts w:hint="eastAsia" w:ascii="Times New Roman" w:hAnsi="Times New Roman"/>
          <w:color w:val="auto"/>
          <w:sz w:val="28"/>
          <w:szCs w:val="20"/>
        </w:rPr>
        <w:t>2</w:t>
      </w:r>
      <w:r>
        <w:rPr>
          <w:rFonts w:ascii="Times New Roman" w:hAnsi="Times New Roman"/>
          <w:color w:val="auto"/>
          <w:sz w:val="28"/>
          <w:szCs w:val="20"/>
        </w:rPr>
        <w:t xml:space="preserve">  </w:t>
      </w:r>
      <w:bookmarkEnd w:id="464"/>
      <w:r>
        <w:rPr>
          <w:rFonts w:ascii="Times New Roman" w:hAnsi="Times New Roman"/>
          <w:color w:val="auto"/>
          <w:sz w:val="28"/>
          <w:szCs w:val="20"/>
        </w:rPr>
        <w:t>环境质量现状调查与评价</w:t>
      </w:r>
      <w:bookmarkEnd w:id="465"/>
      <w:bookmarkEnd w:id="466"/>
      <w:bookmarkEnd w:id="467"/>
      <w:bookmarkEnd w:id="468"/>
      <w:bookmarkEnd w:id="469"/>
      <w:bookmarkEnd w:id="470"/>
      <w:bookmarkEnd w:id="471"/>
      <w:bookmarkEnd w:id="472"/>
    </w:p>
    <w:bookmarkEnd w:id="423"/>
    <w:bookmarkEnd w:id="424"/>
    <w:bookmarkEnd w:id="425"/>
    <w:bookmarkEnd w:id="426"/>
    <w:bookmarkEnd w:id="427"/>
    <w:bookmarkEnd w:id="428"/>
    <w:p>
      <w:pPr>
        <w:pStyle w:val="6"/>
        <w:tabs>
          <w:tab w:val="left" w:pos="0"/>
        </w:tabs>
        <w:rPr>
          <w:color w:val="auto"/>
          <w:lang w:val="en-US"/>
        </w:rPr>
      </w:pPr>
      <w:r>
        <w:rPr>
          <w:rFonts w:hint="eastAsia"/>
          <w:color w:val="auto"/>
          <w:lang w:val="en-US"/>
        </w:rPr>
        <w:t>4.2.1</w:t>
      </w:r>
      <w:bookmarkStart w:id="473" w:name="_Toc4852_WPSOffice_Level3"/>
      <w:bookmarkStart w:id="474" w:name="_Toc6813"/>
      <w:bookmarkStart w:id="475" w:name="_Toc16622"/>
      <w:r>
        <w:rPr>
          <w:rFonts w:hint="eastAsia"/>
          <w:color w:val="auto"/>
          <w:lang w:val="en-US"/>
        </w:rPr>
        <w:t>环境空气质量现状监测与评价</w:t>
      </w:r>
      <w:bookmarkEnd w:id="473"/>
      <w:bookmarkEnd w:id="474"/>
      <w:bookmarkEnd w:id="475"/>
    </w:p>
    <w:p>
      <w:pPr>
        <w:pStyle w:val="6"/>
        <w:tabs>
          <w:tab w:val="left" w:pos="0"/>
        </w:tabs>
        <w:rPr>
          <w:color w:val="auto"/>
          <w:lang w:val="en-US"/>
        </w:rPr>
      </w:pPr>
      <w:r>
        <w:rPr>
          <w:rFonts w:hint="eastAsia"/>
          <w:color w:val="auto"/>
          <w:lang w:val="en-US"/>
        </w:rPr>
        <w:t>4.2.1.1区域环境空气质量现状</w:t>
      </w:r>
    </w:p>
    <w:p>
      <w:pPr>
        <w:widowControl/>
        <w:ind w:firstLine="480"/>
        <w:jc w:val="left"/>
        <w:rPr>
          <w:color w:val="auto"/>
        </w:rPr>
      </w:pPr>
      <w:r>
        <w:rPr>
          <w:rFonts w:hint="eastAsia"/>
          <w:bCs/>
          <w:color w:val="auto"/>
        </w:rPr>
        <w:t>根据大气功能区划分，项目所在地为二类功能区，环境空气质量执行《环境空气质量标准》（GB3095-2012）中二级标准。</w:t>
      </w:r>
      <w:r>
        <w:rPr>
          <w:color w:val="auto"/>
        </w:rPr>
        <w:t>本次评价选取201</w:t>
      </w:r>
      <w:r>
        <w:rPr>
          <w:rFonts w:hint="eastAsia"/>
          <w:color w:val="auto"/>
        </w:rPr>
        <w:t>9</w:t>
      </w:r>
      <w:r>
        <w:rPr>
          <w:color w:val="auto"/>
        </w:rPr>
        <w:t>年作为评价基准年，</w:t>
      </w:r>
      <w:r>
        <w:rPr>
          <w:rFonts w:hint="eastAsia"/>
          <w:color w:val="auto"/>
        </w:rPr>
        <w:t>于</w:t>
      </w:r>
      <w:r>
        <w:rPr>
          <w:rFonts w:hint="eastAsia" w:ascii="宋体" w:hAnsi="宋体" w:cs="宋体"/>
          <w:color w:val="auto"/>
          <w:kern w:val="0"/>
          <w:lang w:bidi="ar"/>
        </w:rPr>
        <w:t>环境空气质量模型技术支持服务系统（</w:t>
      </w:r>
      <w:r>
        <w:rPr>
          <w:color w:val="auto"/>
          <w:kern w:val="0"/>
          <w:lang w:bidi="ar"/>
        </w:rPr>
        <w:t>http://data.lem.org.cn/eamds/apply/tostepone.html</w:t>
      </w:r>
      <w:r>
        <w:rPr>
          <w:rFonts w:hint="eastAsia" w:ascii="宋体" w:hAnsi="宋体" w:cs="宋体"/>
          <w:color w:val="auto"/>
          <w:kern w:val="0"/>
          <w:lang w:bidi="ar"/>
        </w:rPr>
        <w:t>）收集了</w:t>
      </w:r>
      <w:r>
        <w:rPr>
          <w:color w:val="auto"/>
          <w:kern w:val="0"/>
          <w:lang w:bidi="ar"/>
        </w:rPr>
        <w:t>2019</w:t>
      </w:r>
      <w:r>
        <w:rPr>
          <w:rFonts w:hint="eastAsia" w:ascii="宋体" w:hAnsi="宋体" w:cs="宋体"/>
          <w:color w:val="auto"/>
          <w:kern w:val="0"/>
          <w:lang w:bidi="ar"/>
        </w:rPr>
        <w:t>年濮阳市环境质量监测数据</w:t>
      </w:r>
      <w:r>
        <w:rPr>
          <w:color w:val="auto"/>
        </w:rPr>
        <w:t>，区域空气质量达标区判定见表</w:t>
      </w:r>
      <w:r>
        <w:rPr>
          <w:rFonts w:hint="eastAsia"/>
          <w:color w:val="auto"/>
        </w:rPr>
        <w:t>4.2-1</w:t>
      </w:r>
      <w:r>
        <w:rPr>
          <w:color w:val="auto"/>
        </w:rPr>
        <w:t>。</w:t>
      </w:r>
    </w:p>
    <w:p>
      <w:pPr>
        <w:ind w:firstLine="440"/>
        <w:jc w:val="center"/>
        <w:rPr>
          <w:rFonts w:eastAsia="黑体"/>
          <w:color w:val="auto"/>
          <w:sz w:val="22"/>
          <w:szCs w:val="22"/>
        </w:rPr>
      </w:pPr>
      <w:r>
        <w:rPr>
          <w:rFonts w:eastAsia="黑体"/>
          <w:color w:val="auto"/>
          <w:sz w:val="22"/>
          <w:szCs w:val="22"/>
        </w:rPr>
        <w:t>表</w:t>
      </w:r>
      <w:r>
        <w:rPr>
          <w:rFonts w:hint="eastAsia" w:eastAsia="黑体"/>
          <w:color w:val="auto"/>
          <w:sz w:val="22"/>
          <w:szCs w:val="22"/>
        </w:rPr>
        <w:t>4.2-1</w:t>
      </w:r>
      <w:r>
        <w:rPr>
          <w:rFonts w:eastAsia="黑体"/>
          <w:color w:val="auto"/>
          <w:sz w:val="22"/>
          <w:szCs w:val="22"/>
        </w:rPr>
        <w:t xml:space="preserve"> 空气质量现状评价表</w:t>
      </w:r>
    </w:p>
    <w:tbl>
      <w:tblPr>
        <w:tblStyle w:val="27"/>
        <w:tblW w:w="9014"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079"/>
        <w:gridCol w:w="1768"/>
        <w:gridCol w:w="1998"/>
        <w:gridCol w:w="1800"/>
        <w:gridCol w:w="1206"/>
        <w:gridCol w:w="116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1079"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评价因子</w:t>
            </w:r>
          </w:p>
        </w:tc>
        <w:tc>
          <w:tcPr>
            <w:tcW w:w="1768"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年评价指标</w:t>
            </w:r>
          </w:p>
        </w:tc>
        <w:tc>
          <w:tcPr>
            <w:tcW w:w="1998"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现状浓度（μg/m</w:t>
            </w:r>
            <w:r>
              <w:rPr>
                <w:color w:val="auto"/>
                <w:sz w:val="21"/>
                <w:szCs w:val="21"/>
                <w:vertAlign w:val="superscript"/>
              </w:rPr>
              <w:t>3</w:t>
            </w:r>
            <w:r>
              <w:rPr>
                <w:color w:val="auto"/>
                <w:sz w:val="21"/>
                <w:szCs w:val="21"/>
              </w:rPr>
              <w:t>）</w:t>
            </w:r>
          </w:p>
        </w:tc>
        <w:tc>
          <w:tcPr>
            <w:tcW w:w="1800"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标准值（μg/m</w:t>
            </w:r>
            <w:r>
              <w:rPr>
                <w:color w:val="auto"/>
                <w:sz w:val="21"/>
                <w:szCs w:val="21"/>
                <w:vertAlign w:val="superscript"/>
              </w:rPr>
              <w:t>3</w:t>
            </w:r>
            <w:r>
              <w:rPr>
                <w:color w:val="auto"/>
                <w:sz w:val="21"/>
                <w:szCs w:val="21"/>
              </w:rPr>
              <w:t>）</w:t>
            </w:r>
          </w:p>
        </w:tc>
        <w:tc>
          <w:tcPr>
            <w:tcW w:w="1206"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超标倍数</w:t>
            </w:r>
          </w:p>
        </w:tc>
        <w:tc>
          <w:tcPr>
            <w:tcW w:w="1163"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达标情况</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1079"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PM</w:t>
            </w:r>
            <w:r>
              <w:rPr>
                <w:color w:val="auto"/>
                <w:sz w:val="21"/>
                <w:szCs w:val="21"/>
                <w:vertAlign w:val="subscript"/>
              </w:rPr>
              <w:t>2.5</w:t>
            </w:r>
          </w:p>
        </w:tc>
        <w:tc>
          <w:tcPr>
            <w:tcW w:w="1768"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年均值</w:t>
            </w:r>
          </w:p>
        </w:tc>
        <w:tc>
          <w:tcPr>
            <w:tcW w:w="1998"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6</w:t>
            </w:r>
            <w:r>
              <w:rPr>
                <w:rFonts w:hint="eastAsia"/>
                <w:color w:val="auto"/>
                <w:sz w:val="21"/>
                <w:szCs w:val="21"/>
              </w:rPr>
              <w:t>2</w:t>
            </w:r>
          </w:p>
        </w:tc>
        <w:tc>
          <w:tcPr>
            <w:tcW w:w="1800"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35</w:t>
            </w:r>
          </w:p>
        </w:tc>
        <w:tc>
          <w:tcPr>
            <w:tcW w:w="1206"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0.</w:t>
            </w:r>
            <w:r>
              <w:rPr>
                <w:rFonts w:hint="eastAsia"/>
                <w:color w:val="auto"/>
                <w:sz w:val="21"/>
                <w:szCs w:val="21"/>
              </w:rPr>
              <w:t>77</w:t>
            </w:r>
          </w:p>
        </w:tc>
        <w:tc>
          <w:tcPr>
            <w:tcW w:w="1163"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不达标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1079"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PM</w:t>
            </w:r>
            <w:r>
              <w:rPr>
                <w:color w:val="auto"/>
                <w:sz w:val="21"/>
                <w:szCs w:val="21"/>
                <w:vertAlign w:val="subscript"/>
              </w:rPr>
              <w:t>10</w:t>
            </w:r>
          </w:p>
        </w:tc>
        <w:tc>
          <w:tcPr>
            <w:tcW w:w="1768"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年均值</w:t>
            </w:r>
          </w:p>
        </w:tc>
        <w:tc>
          <w:tcPr>
            <w:tcW w:w="1998"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10</w:t>
            </w:r>
            <w:r>
              <w:rPr>
                <w:rFonts w:hint="eastAsia"/>
                <w:color w:val="auto"/>
                <w:sz w:val="21"/>
                <w:szCs w:val="21"/>
              </w:rPr>
              <w:t>0</w:t>
            </w:r>
          </w:p>
        </w:tc>
        <w:tc>
          <w:tcPr>
            <w:tcW w:w="1800"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70</w:t>
            </w:r>
          </w:p>
        </w:tc>
        <w:tc>
          <w:tcPr>
            <w:tcW w:w="1206"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0.</w:t>
            </w:r>
            <w:r>
              <w:rPr>
                <w:rFonts w:hint="eastAsia"/>
                <w:color w:val="auto"/>
                <w:sz w:val="21"/>
                <w:szCs w:val="21"/>
              </w:rPr>
              <w:t>43</w:t>
            </w:r>
          </w:p>
        </w:tc>
        <w:tc>
          <w:tcPr>
            <w:tcW w:w="1163"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不达标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37" w:hRule="atLeast"/>
          <w:jc w:val="center"/>
        </w:trPr>
        <w:tc>
          <w:tcPr>
            <w:tcW w:w="1079" w:type="dxa"/>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SO</w:t>
            </w:r>
            <w:r>
              <w:rPr>
                <w:color w:val="auto"/>
                <w:sz w:val="21"/>
                <w:szCs w:val="21"/>
                <w:vertAlign w:val="subscript"/>
              </w:rPr>
              <w:t>2</w:t>
            </w:r>
          </w:p>
        </w:tc>
        <w:tc>
          <w:tcPr>
            <w:tcW w:w="1768"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年均值</w:t>
            </w:r>
          </w:p>
        </w:tc>
        <w:tc>
          <w:tcPr>
            <w:tcW w:w="1998"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1</w:t>
            </w:r>
            <w:r>
              <w:rPr>
                <w:rFonts w:hint="eastAsia"/>
                <w:color w:val="auto"/>
                <w:sz w:val="21"/>
                <w:szCs w:val="21"/>
              </w:rPr>
              <w:t>1</w:t>
            </w:r>
          </w:p>
        </w:tc>
        <w:tc>
          <w:tcPr>
            <w:tcW w:w="1800"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60</w:t>
            </w:r>
          </w:p>
        </w:tc>
        <w:tc>
          <w:tcPr>
            <w:tcW w:w="1206"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0</w:t>
            </w:r>
          </w:p>
        </w:tc>
        <w:tc>
          <w:tcPr>
            <w:tcW w:w="1163"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45" w:hRule="atLeast"/>
          <w:jc w:val="center"/>
        </w:trPr>
        <w:tc>
          <w:tcPr>
            <w:tcW w:w="1079" w:type="dxa"/>
            <w:vMerge w:val="continue"/>
            <w:tcBorders>
              <w:tl2br w:val="nil"/>
              <w:tr2bl w:val="nil"/>
            </w:tcBorders>
            <w:vAlign w:val="center"/>
          </w:tcPr>
          <w:p>
            <w:pPr>
              <w:spacing w:line="240" w:lineRule="auto"/>
              <w:ind w:firstLine="0" w:firstLineChars="0"/>
              <w:jc w:val="center"/>
              <w:rPr>
                <w:color w:val="auto"/>
                <w:sz w:val="21"/>
                <w:szCs w:val="21"/>
              </w:rPr>
            </w:pPr>
          </w:p>
        </w:tc>
        <w:tc>
          <w:tcPr>
            <w:tcW w:w="1768"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保证率日均浓度值</w:t>
            </w:r>
          </w:p>
        </w:tc>
        <w:tc>
          <w:tcPr>
            <w:tcW w:w="1998"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16</w:t>
            </w:r>
          </w:p>
        </w:tc>
        <w:tc>
          <w:tcPr>
            <w:tcW w:w="1800"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150</w:t>
            </w:r>
          </w:p>
        </w:tc>
        <w:tc>
          <w:tcPr>
            <w:tcW w:w="1206"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0</w:t>
            </w:r>
          </w:p>
        </w:tc>
        <w:tc>
          <w:tcPr>
            <w:tcW w:w="1163"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55" w:hRule="atLeast"/>
          <w:jc w:val="center"/>
        </w:trPr>
        <w:tc>
          <w:tcPr>
            <w:tcW w:w="1079" w:type="dxa"/>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NO</w:t>
            </w:r>
            <w:r>
              <w:rPr>
                <w:color w:val="auto"/>
                <w:sz w:val="21"/>
                <w:szCs w:val="21"/>
                <w:vertAlign w:val="subscript"/>
              </w:rPr>
              <w:t>2</w:t>
            </w:r>
          </w:p>
        </w:tc>
        <w:tc>
          <w:tcPr>
            <w:tcW w:w="1768"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年均值</w:t>
            </w:r>
          </w:p>
        </w:tc>
        <w:tc>
          <w:tcPr>
            <w:tcW w:w="1998"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3</w:t>
            </w:r>
            <w:r>
              <w:rPr>
                <w:rFonts w:hint="eastAsia"/>
                <w:color w:val="auto"/>
                <w:sz w:val="21"/>
                <w:szCs w:val="21"/>
              </w:rPr>
              <w:t>3</w:t>
            </w:r>
          </w:p>
        </w:tc>
        <w:tc>
          <w:tcPr>
            <w:tcW w:w="1800"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40</w:t>
            </w:r>
          </w:p>
        </w:tc>
        <w:tc>
          <w:tcPr>
            <w:tcW w:w="1206"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0</w:t>
            </w:r>
          </w:p>
        </w:tc>
        <w:tc>
          <w:tcPr>
            <w:tcW w:w="1163"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27" w:hRule="atLeast"/>
          <w:jc w:val="center"/>
        </w:trPr>
        <w:tc>
          <w:tcPr>
            <w:tcW w:w="1079" w:type="dxa"/>
            <w:vMerge w:val="continue"/>
            <w:tcBorders>
              <w:tl2br w:val="nil"/>
              <w:tr2bl w:val="nil"/>
            </w:tcBorders>
            <w:vAlign w:val="center"/>
          </w:tcPr>
          <w:p>
            <w:pPr>
              <w:spacing w:line="240" w:lineRule="auto"/>
              <w:ind w:firstLine="0" w:firstLineChars="0"/>
              <w:jc w:val="center"/>
              <w:rPr>
                <w:color w:val="auto"/>
                <w:sz w:val="21"/>
                <w:szCs w:val="21"/>
              </w:rPr>
            </w:pPr>
          </w:p>
        </w:tc>
        <w:tc>
          <w:tcPr>
            <w:tcW w:w="1768"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保证率日均浓度值</w:t>
            </w:r>
          </w:p>
        </w:tc>
        <w:tc>
          <w:tcPr>
            <w:tcW w:w="1998"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36</w:t>
            </w:r>
          </w:p>
        </w:tc>
        <w:tc>
          <w:tcPr>
            <w:tcW w:w="1800"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200</w:t>
            </w:r>
          </w:p>
        </w:tc>
        <w:tc>
          <w:tcPr>
            <w:tcW w:w="1206"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0</w:t>
            </w:r>
          </w:p>
        </w:tc>
        <w:tc>
          <w:tcPr>
            <w:tcW w:w="1163"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1079"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O</w:t>
            </w:r>
            <w:r>
              <w:rPr>
                <w:color w:val="auto"/>
                <w:sz w:val="21"/>
                <w:szCs w:val="21"/>
                <w:vertAlign w:val="subscript"/>
              </w:rPr>
              <w:t>3</w:t>
            </w:r>
          </w:p>
        </w:tc>
        <w:tc>
          <w:tcPr>
            <w:tcW w:w="1768"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第90百分位浓度</w:t>
            </w:r>
          </w:p>
        </w:tc>
        <w:tc>
          <w:tcPr>
            <w:tcW w:w="1998"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1</w:t>
            </w:r>
            <w:r>
              <w:rPr>
                <w:rFonts w:hint="eastAsia"/>
                <w:color w:val="auto"/>
                <w:sz w:val="21"/>
                <w:szCs w:val="21"/>
              </w:rPr>
              <w:t>22</w:t>
            </w:r>
          </w:p>
        </w:tc>
        <w:tc>
          <w:tcPr>
            <w:tcW w:w="1800"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160</w:t>
            </w:r>
          </w:p>
        </w:tc>
        <w:tc>
          <w:tcPr>
            <w:tcW w:w="1206"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0</w:t>
            </w:r>
          </w:p>
        </w:tc>
        <w:tc>
          <w:tcPr>
            <w:tcW w:w="1163"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1079"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CO</w:t>
            </w:r>
          </w:p>
        </w:tc>
        <w:tc>
          <w:tcPr>
            <w:tcW w:w="1768"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第95百分位浓度</w:t>
            </w:r>
          </w:p>
        </w:tc>
        <w:tc>
          <w:tcPr>
            <w:tcW w:w="1998"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1</w:t>
            </w:r>
            <w:r>
              <w:rPr>
                <w:rFonts w:hint="eastAsia"/>
                <w:color w:val="auto"/>
                <w:sz w:val="21"/>
                <w:szCs w:val="21"/>
              </w:rPr>
              <w:t>.0</w:t>
            </w:r>
            <w:r>
              <w:rPr>
                <w:color w:val="auto"/>
                <w:sz w:val="21"/>
                <w:szCs w:val="21"/>
              </w:rPr>
              <w:t>mg/m</w:t>
            </w:r>
            <w:r>
              <w:rPr>
                <w:color w:val="auto"/>
                <w:sz w:val="21"/>
                <w:szCs w:val="21"/>
                <w:vertAlign w:val="superscript"/>
              </w:rPr>
              <w:t>3</w:t>
            </w:r>
          </w:p>
        </w:tc>
        <w:tc>
          <w:tcPr>
            <w:tcW w:w="1800"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4mg/m</w:t>
            </w:r>
            <w:r>
              <w:rPr>
                <w:color w:val="auto"/>
                <w:sz w:val="21"/>
                <w:szCs w:val="21"/>
                <w:vertAlign w:val="superscript"/>
              </w:rPr>
              <w:t>3</w:t>
            </w:r>
          </w:p>
        </w:tc>
        <w:tc>
          <w:tcPr>
            <w:tcW w:w="1206"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0</w:t>
            </w:r>
          </w:p>
        </w:tc>
        <w:tc>
          <w:tcPr>
            <w:tcW w:w="1163"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bl>
    <w:p>
      <w:pPr>
        <w:pStyle w:val="3"/>
        <w:numPr>
          <w:ilvl w:val="0"/>
          <w:numId w:val="0"/>
        </w:numPr>
        <w:ind w:firstLine="480" w:firstLineChars="200"/>
        <w:rPr>
          <w:color w:val="auto"/>
          <w:sz w:val="24"/>
          <w:szCs w:val="24"/>
        </w:rPr>
      </w:pPr>
      <w:r>
        <w:rPr>
          <w:color w:val="auto"/>
          <w:sz w:val="24"/>
        </w:rPr>
        <w:t>201</w:t>
      </w:r>
      <w:r>
        <w:rPr>
          <w:rFonts w:hint="eastAsia"/>
          <w:color w:val="auto"/>
          <w:sz w:val="24"/>
        </w:rPr>
        <w:t>9</w:t>
      </w:r>
      <w:r>
        <w:rPr>
          <w:color w:val="auto"/>
          <w:sz w:val="24"/>
        </w:rPr>
        <w:t>年濮阳市环境空气中二氧化硫年均值、二氧化氮年均值、一氧化碳24小时、O</w:t>
      </w:r>
      <w:r>
        <w:rPr>
          <w:color w:val="auto"/>
          <w:sz w:val="24"/>
          <w:vertAlign w:val="subscript"/>
        </w:rPr>
        <w:t>3</w:t>
      </w:r>
      <w:r>
        <w:rPr>
          <w:color w:val="auto"/>
          <w:sz w:val="24"/>
        </w:rPr>
        <w:t>8小时平均值均达到环境空气质量二级标准；PM</w:t>
      </w:r>
      <w:r>
        <w:rPr>
          <w:color w:val="auto"/>
          <w:sz w:val="24"/>
          <w:vertAlign w:val="subscript"/>
        </w:rPr>
        <w:t>2.5</w:t>
      </w:r>
      <w:r>
        <w:rPr>
          <w:color w:val="auto"/>
          <w:sz w:val="24"/>
        </w:rPr>
        <w:t>年均值、PM</w:t>
      </w:r>
      <w:r>
        <w:rPr>
          <w:color w:val="auto"/>
          <w:sz w:val="24"/>
          <w:vertAlign w:val="subscript"/>
        </w:rPr>
        <w:t>10</w:t>
      </w:r>
      <w:r>
        <w:rPr>
          <w:color w:val="auto"/>
          <w:sz w:val="24"/>
        </w:rPr>
        <w:t>年均值均超过环境空气质量二级标准，超标倍数分别为0.</w:t>
      </w:r>
      <w:r>
        <w:rPr>
          <w:rFonts w:hint="eastAsia"/>
          <w:color w:val="auto"/>
          <w:sz w:val="24"/>
        </w:rPr>
        <w:t>77</w:t>
      </w:r>
      <w:r>
        <w:rPr>
          <w:color w:val="auto"/>
          <w:sz w:val="24"/>
        </w:rPr>
        <w:t>、0.4</w:t>
      </w:r>
      <w:r>
        <w:rPr>
          <w:rFonts w:hint="eastAsia"/>
          <w:color w:val="auto"/>
          <w:sz w:val="24"/>
        </w:rPr>
        <w:t>3</w:t>
      </w:r>
      <w:r>
        <w:rPr>
          <w:color w:val="auto"/>
          <w:sz w:val="24"/>
        </w:rPr>
        <w:t>，因此判定为非达标区</w:t>
      </w:r>
      <w:r>
        <w:rPr>
          <w:color w:val="auto"/>
          <w:sz w:val="24"/>
          <w:szCs w:val="24"/>
        </w:rPr>
        <w:t>。</w:t>
      </w:r>
    </w:p>
    <w:p>
      <w:pPr>
        <w:widowControl/>
        <w:ind w:firstLine="480"/>
        <w:jc w:val="left"/>
        <w:rPr>
          <w:bCs/>
          <w:color w:val="auto"/>
        </w:rPr>
      </w:pPr>
      <w:r>
        <w:rPr>
          <w:color w:val="auto"/>
          <w:szCs w:val="20"/>
        </w:rPr>
        <w:t>根据《濮阳市环境污染防治攻坚战指挥部办公室关于印发濮阳市2019年大气污染防治攻坚战实施方案的通知》（濮环攻坚办〔2019〕82号</w:t>
      </w:r>
      <w:r>
        <w:rPr>
          <w:bCs/>
          <w:color w:val="auto"/>
        </w:rPr>
        <w:t>），文件针对深化大气污染治理，持续开展攻坚行动，着力打好煤炭消费减量、产业布局优化、运输结构调整、生态扩容提速、柴油货车治理、扬尘治理提效、工业绿色升级、清洁取暖推进、监测能力提升、秋冬污染防治</w:t>
      </w:r>
      <w:r>
        <w:rPr>
          <w:rFonts w:hint="eastAsia"/>
          <w:bCs/>
          <w:color w:val="auto"/>
        </w:rPr>
        <w:t>，</w:t>
      </w:r>
      <w:r>
        <w:rPr>
          <w:bCs/>
          <w:color w:val="auto"/>
        </w:rPr>
        <w:t>全面提升城乡扬尘污染治理水平。具体如下：</w:t>
      </w:r>
    </w:p>
    <w:p>
      <w:pPr>
        <w:ind w:firstLine="480"/>
        <w:rPr>
          <w:bCs/>
          <w:color w:val="auto"/>
        </w:rPr>
      </w:pPr>
      <w:r>
        <w:rPr>
          <w:bCs/>
          <w:color w:val="auto"/>
        </w:rPr>
        <w:t>（一）打好煤炭消费减量战役。将严控电煤消费增量和削减</w:t>
      </w:r>
    </w:p>
    <w:p>
      <w:pPr>
        <w:ind w:firstLine="480"/>
        <w:rPr>
          <w:bCs/>
          <w:color w:val="auto"/>
        </w:rPr>
      </w:pPr>
      <w:r>
        <w:rPr>
          <w:bCs/>
          <w:color w:val="auto"/>
        </w:rPr>
        <w:t>非电煤炭消费总量作为主要抓手，抓工程、建机制、强管控，实施煤电行业污染治理、工业用煤管理、清洁能源保障等措施，确保完成年度煤炭削减目标。</w:t>
      </w:r>
    </w:p>
    <w:p>
      <w:pPr>
        <w:ind w:firstLine="480"/>
        <w:rPr>
          <w:bCs/>
          <w:color w:val="auto"/>
        </w:rPr>
      </w:pPr>
      <w:r>
        <w:rPr>
          <w:rFonts w:hint="eastAsia"/>
          <w:bCs/>
          <w:color w:val="auto"/>
        </w:rPr>
        <w:t>（二）</w:t>
      </w:r>
      <w:r>
        <w:rPr>
          <w:bCs/>
          <w:color w:val="auto"/>
        </w:rPr>
        <w:t>打好产业布局优化战役。立足我市产业发展实际，加强政策支持引导，启动城市建成区内重污染企业搬迁改造，持续打击“散乱污”企业，大力淘汰低效过剩产能．推动重点行业布局调整，着力打造绿色制造，切实减少结构性污染对大气环境质量的影响</w:t>
      </w:r>
      <w:r>
        <w:rPr>
          <w:rFonts w:hint="eastAsia"/>
          <w:bCs/>
          <w:color w:val="auto"/>
        </w:rPr>
        <w:t>。</w:t>
      </w:r>
    </w:p>
    <w:p>
      <w:pPr>
        <w:ind w:firstLine="480"/>
        <w:rPr>
          <w:bCs/>
          <w:color w:val="auto"/>
        </w:rPr>
      </w:pPr>
      <w:r>
        <w:rPr>
          <w:bCs/>
          <w:color w:val="auto"/>
        </w:rPr>
        <w:t>（三）打好运输结构调整战役。认真落实《河南省推进运输结构调整工作实施方案》，大力提高铁路运输量，提高多式联运比例</w:t>
      </w:r>
      <w:r>
        <w:rPr>
          <w:rFonts w:hint="eastAsia"/>
          <w:bCs/>
          <w:color w:val="auto"/>
        </w:rPr>
        <w:t>，</w:t>
      </w:r>
      <w:r>
        <w:rPr>
          <w:bCs/>
          <w:color w:val="auto"/>
        </w:rPr>
        <w:t>全面完成车用油品质量升级，加强在用机动车监控监管，大力推广电动汽车，优化重型车辆绕城行驶，大幅减少机动车结构性污染排放</w:t>
      </w:r>
      <w:r>
        <w:rPr>
          <w:rFonts w:hint="eastAsia"/>
          <w:bCs/>
          <w:color w:val="auto"/>
        </w:rPr>
        <w:t>。</w:t>
      </w:r>
    </w:p>
    <w:p>
      <w:pPr>
        <w:ind w:firstLine="480"/>
        <w:rPr>
          <w:bCs/>
          <w:color w:val="auto"/>
        </w:rPr>
      </w:pPr>
      <w:r>
        <w:rPr>
          <w:bCs/>
          <w:color w:val="auto"/>
        </w:rPr>
        <w:t>（四）打好生态扩容提速战役。按照山水林田湖草生命共同体的要求</w:t>
      </w:r>
      <w:r>
        <w:rPr>
          <w:rFonts w:hint="eastAsia"/>
          <w:bCs/>
          <w:color w:val="auto"/>
        </w:rPr>
        <w:t>，</w:t>
      </w:r>
      <w:r>
        <w:rPr>
          <w:bCs/>
          <w:color w:val="auto"/>
        </w:rPr>
        <w:t>统筹推进森林、湿地、流域、农田、城市五大生态系统建设</w:t>
      </w:r>
      <w:r>
        <w:rPr>
          <w:rFonts w:hint="eastAsia"/>
          <w:bCs/>
          <w:color w:val="auto"/>
        </w:rPr>
        <w:t>，</w:t>
      </w:r>
      <w:r>
        <w:rPr>
          <w:bCs/>
          <w:color w:val="auto"/>
        </w:rPr>
        <w:t>重点加强交通干线、生态屏障和森林城市建设，不断增加生态环境容量</w:t>
      </w:r>
      <w:r>
        <w:rPr>
          <w:rFonts w:hint="eastAsia"/>
          <w:bCs/>
          <w:color w:val="auto"/>
        </w:rPr>
        <w:t>。</w:t>
      </w:r>
    </w:p>
    <w:p>
      <w:pPr>
        <w:ind w:firstLine="480"/>
        <w:rPr>
          <w:bCs/>
          <w:color w:val="auto"/>
        </w:rPr>
      </w:pPr>
      <w:r>
        <w:rPr>
          <w:bCs/>
          <w:color w:val="auto"/>
        </w:rPr>
        <w:t>（五）打好柴油货车治理战役。坚持统筹“油、路、车”协同治理，以柴油车（机）达标排放为目标，建立健全严格的机动车和非道路移动机械全防全控环境监管制度，全链条治理柴油车（机）超标排放，明显降低污染物排放总量，促进区域空气质量明显改善</w:t>
      </w:r>
      <w:r>
        <w:rPr>
          <w:rFonts w:hint="eastAsia"/>
          <w:bCs/>
          <w:color w:val="auto"/>
        </w:rPr>
        <w:t>。</w:t>
      </w:r>
    </w:p>
    <w:p>
      <w:pPr>
        <w:ind w:firstLine="480"/>
        <w:rPr>
          <w:bCs/>
          <w:color w:val="auto"/>
        </w:rPr>
      </w:pPr>
      <w:r>
        <w:rPr>
          <w:bCs/>
          <w:color w:val="auto"/>
        </w:rPr>
        <w:t>（六）打好扬尘治理提效战役。市控尘办要充分发挥职能，统筹协调各类施工工地扬尘管控、城市日常保洁、道路清扫等扬尘污染防治工作，指导各县（区）和相关部门严格落实扬尘治理具体工作标准和各项工作制度，巩固扬尘污染防治成效，提高城市清洁效果，全面提升扬尘污染治理水平</w:t>
      </w:r>
    </w:p>
    <w:p>
      <w:pPr>
        <w:ind w:firstLine="480"/>
        <w:rPr>
          <w:bCs/>
          <w:color w:val="auto"/>
        </w:rPr>
      </w:pPr>
      <w:r>
        <w:rPr>
          <w:bCs/>
          <w:color w:val="auto"/>
        </w:rPr>
        <w:t>（七）打好工业绿色升级战役。组织开展工业企业“六治理、一实施”，即开展非电行业提标治理、重点行业无组织排放治理、工业炉窑专项治理、VOCs（挥发性有机物）专项治理、锅炉综合整治、铸造行业深度治理，实施绿色环保调度制度，持续减少工业企业污染物排放总量，推动工业企业绿色发展转型。</w:t>
      </w:r>
    </w:p>
    <w:p>
      <w:pPr>
        <w:ind w:firstLine="480"/>
        <w:rPr>
          <w:bCs/>
          <w:color w:val="auto"/>
        </w:rPr>
      </w:pPr>
      <w:r>
        <w:rPr>
          <w:bCs/>
          <w:color w:val="auto"/>
        </w:rPr>
        <w:t>（八）打好清洁取暖推进战役。继续实施以集中供热、“双替代”为主，清洁型煤为辅的清洁取暖政策，大力发展地热能供暖，建立与供暖需求相匹配的供热能力，积极稳妥推进清洁取暖，2019年年底，市城区、县城和城乡结合部及农村地区清洁取暖率分别达到90%、80%，全年新增清洁取暖面积2000万平方米。</w:t>
      </w:r>
    </w:p>
    <w:p>
      <w:pPr>
        <w:ind w:firstLine="480"/>
        <w:rPr>
          <w:bCs/>
          <w:color w:val="auto"/>
        </w:rPr>
      </w:pPr>
      <w:r>
        <w:rPr>
          <w:bCs/>
          <w:color w:val="auto"/>
        </w:rPr>
        <w:t>（九）打好监测能力提升战役。坚持考核环境质量、监管企业排污、提供决策支撑三个导向，构建涵盖全市工业企业、环境空气质量的监测监控网络，严厉打击数据造假，为打赢大气污染防治攻坚战提供科技支撑和保障</w:t>
      </w:r>
      <w:r>
        <w:rPr>
          <w:rFonts w:hint="eastAsia"/>
          <w:bCs/>
          <w:color w:val="auto"/>
        </w:rPr>
        <w:t>。</w:t>
      </w:r>
    </w:p>
    <w:p>
      <w:pPr>
        <w:ind w:firstLine="480"/>
        <w:rPr>
          <w:bCs/>
          <w:color w:val="auto"/>
        </w:rPr>
      </w:pPr>
      <w:r>
        <w:rPr>
          <w:bCs/>
          <w:color w:val="auto"/>
        </w:rPr>
        <w:t>（十）打好秋冬污染防治战役。紧盯秋冬季污染物排放总量减排目标，建立清单准确、措施可行、预报及时、应对有效的重污染天气应急管控体系，实施差异化工业企业错峰生产，严禁“一刀切”，降低重污染天气对环境空气质量的影响</w:t>
      </w:r>
      <w:r>
        <w:rPr>
          <w:rFonts w:hint="eastAsia"/>
          <w:bCs/>
          <w:color w:val="auto"/>
        </w:rPr>
        <w:t>。</w:t>
      </w:r>
    </w:p>
    <w:p>
      <w:pPr>
        <w:ind w:firstLine="480"/>
        <w:rPr>
          <w:color w:val="auto"/>
        </w:rPr>
      </w:pPr>
      <w:r>
        <w:rPr>
          <w:color w:val="auto"/>
        </w:rPr>
        <w:t>待各项整治要求落实后，濮阳市环境空气质量将会得到进一步改善。</w:t>
      </w:r>
    </w:p>
    <w:p>
      <w:pPr>
        <w:ind w:firstLine="480"/>
        <w:rPr>
          <w:color w:val="auto"/>
        </w:rPr>
      </w:pPr>
      <w:r>
        <w:rPr>
          <w:color w:val="auto"/>
        </w:rPr>
        <w:t>4.</w:t>
      </w:r>
      <w:r>
        <w:rPr>
          <w:rFonts w:hint="eastAsia"/>
          <w:color w:val="auto"/>
        </w:rPr>
        <w:t>2</w:t>
      </w:r>
      <w:r>
        <w:rPr>
          <w:color w:val="auto"/>
        </w:rPr>
        <w:t>.</w:t>
      </w:r>
      <w:r>
        <w:rPr>
          <w:rFonts w:hint="eastAsia"/>
          <w:color w:val="auto"/>
        </w:rPr>
        <w:t>1.2</w:t>
      </w:r>
      <w:r>
        <w:rPr>
          <w:color w:val="auto"/>
        </w:rPr>
        <w:t xml:space="preserve">  空气质量现状补充监测</w:t>
      </w:r>
    </w:p>
    <w:p>
      <w:pPr>
        <w:ind w:firstLine="480"/>
        <w:rPr>
          <w:color w:val="auto"/>
        </w:rPr>
      </w:pPr>
      <w:r>
        <w:rPr>
          <w:rFonts w:hint="eastAsia"/>
          <w:color w:val="auto"/>
        </w:rPr>
        <w:t>4.2.1.2.1监测点位及监测因子</w:t>
      </w:r>
    </w:p>
    <w:p>
      <w:pPr>
        <w:ind w:firstLine="480"/>
        <w:rPr>
          <w:color w:val="auto"/>
        </w:rPr>
      </w:pPr>
      <w:r>
        <w:rPr>
          <w:rFonts w:hint="eastAsia"/>
          <w:color w:val="auto"/>
        </w:rPr>
        <w:t>评价区位于濮阳市濮阳县五星乡于屯村东</w:t>
      </w:r>
      <w:r>
        <w:rPr>
          <w:color w:val="auto"/>
        </w:rPr>
        <w:t>，根据当地气象条件、评价级别及区域环境特征，环境空气现状监测点位共布设</w:t>
      </w:r>
      <w:r>
        <w:rPr>
          <w:rFonts w:hint="eastAsia"/>
          <w:color w:val="auto"/>
        </w:rPr>
        <w:t>1</w:t>
      </w:r>
      <w:r>
        <w:rPr>
          <w:color w:val="auto"/>
        </w:rPr>
        <w:t>个。详见表</w:t>
      </w:r>
      <w:r>
        <w:rPr>
          <w:rFonts w:hint="eastAsia"/>
          <w:color w:val="auto"/>
        </w:rPr>
        <w:t>4.2-2</w:t>
      </w:r>
      <w:r>
        <w:rPr>
          <w:color w:val="auto"/>
        </w:rPr>
        <w:t>。</w:t>
      </w:r>
    </w:p>
    <w:p>
      <w:pPr>
        <w:ind w:firstLine="482"/>
        <w:jc w:val="center"/>
        <w:rPr>
          <w:b/>
          <w:bCs/>
          <w:color w:val="auto"/>
        </w:rPr>
      </w:pPr>
      <w:r>
        <w:rPr>
          <w:b/>
          <w:bCs/>
          <w:color w:val="auto"/>
        </w:rPr>
        <w:t>表</w:t>
      </w:r>
      <w:r>
        <w:rPr>
          <w:rFonts w:hint="eastAsia"/>
          <w:b/>
          <w:bCs/>
          <w:color w:val="auto"/>
        </w:rPr>
        <w:t>4.2</w:t>
      </w:r>
      <w:r>
        <w:rPr>
          <w:b/>
          <w:bCs/>
          <w:color w:val="auto"/>
        </w:rPr>
        <w:t>-</w:t>
      </w:r>
      <w:r>
        <w:rPr>
          <w:rFonts w:hint="eastAsia"/>
          <w:b/>
          <w:bCs/>
          <w:color w:val="auto"/>
        </w:rPr>
        <w:t>2</w:t>
      </w:r>
      <w:r>
        <w:rPr>
          <w:b/>
          <w:bCs/>
          <w:color w:val="auto"/>
        </w:rPr>
        <w:t xml:space="preserve">   环境空气现状监测点位布设一览表</w:t>
      </w:r>
    </w:p>
    <w:tbl>
      <w:tblPr>
        <w:tblStyle w:val="27"/>
        <w:tblW w:w="4999" w:type="pct"/>
        <w:jc w:val="center"/>
        <w:tblBorders>
          <w:top w:val="single" w:color="000000" w:sz="6" w:space="0"/>
          <w:left w:val="none" w:color="auto" w:sz="0" w:space="0"/>
          <w:bottom w:val="single" w:color="000000" w:sz="6"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2798"/>
        <w:gridCol w:w="6158"/>
      </w:tblGrid>
      <w:tr>
        <w:tblPrEx>
          <w:tblBorders>
            <w:top w:val="single" w:color="000000" w:sz="6" w:space="0"/>
            <w:left w:val="none" w:color="auto" w:sz="0" w:space="0"/>
            <w:bottom w:val="single" w:color="000000" w:sz="6"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89" w:hRule="exact"/>
          <w:jc w:val="center"/>
        </w:trPr>
        <w:tc>
          <w:tcPr>
            <w:tcW w:w="1562"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编号</w:t>
            </w:r>
          </w:p>
        </w:tc>
        <w:tc>
          <w:tcPr>
            <w:tcW w:w="34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监测点名称</w:t>
            </w:r>
          </w:p>
        </w:tc>
      </w:tr>
      <w:tr>
        <w:tblPrEx>
          <w:tblBorders>
            <w:top w:val="single" w:color="000000" w:sz="6" w:space="0"/>
            <w:left w:val="none" w:color="auto" w:sz="0" w:space="0"/>
            <w:bottom w:val="single" w:color="000000" w:sz="6"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2" w:hRule="exact"/>
          <w:jc w:val="center"/>
        </w:trPr>
        <w:tc>
          <w:tcPr>
            <w:tcW w:w="1562"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w:t>
            </w:r>
          </w:p>
        </w:tc>
        <w:tc>
          <w:tcPr>
            <w:tcW w:w="34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厂址</w:t>
            </w:r>
          </w:p>
        </w:tc>
      </w:tr>
      <w:tr>
        <w:tblPrEx>
          <w:tblBorders>
            <w:top w:val="single" w:color="000000" w:sz="6" w:space="0"/>
            <w:left w:val="none" w:color="auto" w:sz="0" w:space="0"/>
            <w:bottom w:val="single" w:color="000000" w:sz="6"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2" w:hRule="exact"/>
          <w:jc w:val="center"/>
        </w:trPr>
        <w:tc>
          <w:tcPr>
            <w:tcW w:w="156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2</w:t>
            </w:r>
            <w:r>
              <w:rPr>
                <w:color w:val="auto"/>
                <w:sz w:val="21"/>
                <w:szCs w:val="21"/>
              </w:rPr>
              <w:t>#</w:t>
            </w:r>
          </w:p>
        </w:tc>
        <w:tc>
          <w:tcPr>
            <w:tcW w:w="343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东高城村</w:t>
            </w:r>
          </w:p>
        </w:tc>
      </w:tr>
    </w:tbl>
    <w:p>
      <w:pPr>
        <w:autoSpaceDE w:val="0"/>
        <w:autoSpaceDN w:val="0"/>
        <w:ind w:firstLine="480"/>
        <w:rPr>
          <w:color w:val="auto"/>
        </w:rPr>
      </w:pPr>
      <w:r>
        <w:rPr>
          <w:color w:val="auto"/>
        </w:rPr>
        <w:t>4.</w:t>
      </w:r>
      <w:r>
        <w:rPr>
          <w:rFonts w:hint="eastAsia"/>
          <w:color w:val="auto"/>
        </w:rPr>
        <w:t>2</w:t>
      </w:r>
      <w:r>
        <w:rPr>
          <w:color w:val="auto"/>
        </w:rPr>
        <w:t>.</w:t>
      </w:r>
      <w:r>
        <w:rPr>
          <w:rFonts w:hint="eastAsia"/>
          <w:color w:val="auto"/>
        </w:rPr>
        <w:t>1</w:t>
      </w:r>
      <w:r>
        <w:rPr>
          <w:color w:val="auto"/>
        </w:rPr>
        <w:t>.</w:t>
      </w:r>
      <w:r>
        <w:rPr>
          <w:rFonts w:hint="eastAsia"/>
          <w:color w:val="auto"/>
        </w:rPr>
        <w:t>2.</w:t>
      </w:r>
      <w:r>
        <w:rPr>
          <w:color w:val="auto"/>
        </w:rPr>
        <w:t>2  监测时间及监测频率</w:t>
      </w:r>
    </w:p>
    <w:p>
      <w:pPr>
        <w:pStyle w:val="44"/>
        <w:numPr>
          <w:ilvl w:val="0"/>
          <w:numId w:val="0"/>
        </w:numPr>
        <w:ind w:firstLine="468"/>
        <w:jc w:val="left"/>
        <w:rPr>
          <w:b w:val="0"/>
          <w:color w:val="auto"/>
        </w:rPr>
      </w:pPr>
      <w:r>
        <w:rPr>
          <w:b w:val="0"/>
          <w:color w:val="auto"/>
        </w:rPr>
        <w:t>本次环境空气质量现状由</w:t>
      </w:r>
      <w:r>
        <w:rPr>
          <w:rFonts w:hint="eastAsia"/>
          <w:b w:val="0"/>
          <w:color w:val="auto"/>
        </w:rPr>
        <w:t>河南中玖环保科技有限公司</w:t>
      </w:r>
      <w:r>
        <w:rPr>
          <w:b w:val="0"/>
          <w:color w:val="auto"/>
        </w:rPr>
        <w:t>于20</w:t>
      </w:r>
      <w:r>
        <w:rPr>
          <w:rFonts w:hint="eastAsia"/>
          <w:b w:val="0"/>
          <w:color w:val="auto"/>
        </w:rPr>
        <w:t>20</w:t>
      </w:r>
      <w:r>
        <w:rPr>
          <w:b w:val="0"/>
          <w:color w:val="auto"/>
        </w:rPr>
        <w:t>年</w:t>
      </w:r>
      <w:r>
        <w:rPr>
          <w:rFonts w:hint="eastAsia"/>
          <w:b w:val="0"/>
          <w:color w:val="auto"/>
        </w:rPr>
        <w:t>9</w:t>
      </w:r>
      <w:r>
        <w:rPr>
          <w:b w:val="0"/>
          <w:color w:val="auto"/>
        </w:rPr>
        <w:t>月</w:t>
      </w:r>
      <w:r>
        <w:rPr>
          <w:rFonts w:hint="eastAsia"/>
          <w:b w:val="0"/>
          <w:color w:val="auto"/>
        </w:rPr>
        <w:t>15</w:t>
      </w:r>
      <w:r>
        <w:rPr>
          <w:b w:val="0"/>
          <w:color w:val="auto"/>
        </w:rPr>
        <w:t>日～20</w:t>
      </w:r>
      <w:r>
        <w:rPr>
          <w:rFonts w:hint="eastAsia"/>
          <w:b w:val="0"/>
          <w:color w:val="auto"/>
        </w:rPr>
        <w:t>20</w:t>
      </w:r>
      <w:r>
        <w:rPr>
          <w:b w:val="0"/>
          <w:color w:val="auto"/>
        </w:rPr>
        <w:t>年</w:t>
      </w:r>
      <w:r>
        <w:rPr>
          <w:rFonts w:hint="eastAsia"/>
          <w:b w:val="0"/>
          <w:color w:val="auto"/>
        </w:rPr>
        <w:t>9</w:t>
      </w:r>
      <w:r>
        <w:rPr>
          <w:b w:val="0"/>
          <w:color w:val="auto"/>
        </w:rPr>
        <w:t>月</w:t>
      </w:r>
      <w:r>
        <w:rPr>
          <w:rFonts w:hint="eastAsia"/>
          <w:b w:val="0"/>
          <w:color w:val="auto"/>
        </w:rPr>
        <w:t>25</w:t>
      </w:r>
      <w:r>
        <w:rPr>
          <w:b w:val="0"/>
          <w:color w:val="auto"/>
        </w:rPr>
        <w:t>日进行了监测，监测的同时，测量风向、风速、气温、气压、总云量、低云量等常规气象要素。各因子的监测频率见表4</w:t>
      </w:r>
      <w:r>
        <w:rPr>
          <w:rFonts w:hint="eastAsia"/>
          <w:b w:val="0"/>
          <w:color w:val="auto"/>
        </w:rPr>
        <w:t>.2-3</w:t>
      </w:r>
      <w:r>
        <w:rPr>
          <w:b w:val="0"/>
          <w:color w:val="auto"/>
        </w:rPr>
        <w:t>。</w:t>
      </w:r>
    </w:p>
    <w:p>
      <w:pPr>
        <w:ind w:firstLine="0" w:firstLineChars="0"/>
        <w:jc w:val="center"/>
        <w:rPr>
          <w:b/>
          <w:color w:val="auto"/>
        </w:rPr>
      </w:pPr>
      <w:r>
        <w:rPr>
          <w:b/>
          <w:color w:val="auto"/>
        </w:rPr>
        <w:t>表4</w:t>
      </w:r>
      <w:r>
        <w:rPr>
          <w:rFonts w:hint="eastAsia"/>
          <w:b/>
          <w:color w:val="auto"/>
        </w:rPr>
        <w:t>.2-3</w:t>
      </w:r>
      <w:r>
        <w:rPr>
          <w:b/>
          <w:color w:val="auto"/>
        </w:rPr>
        <w:t xml:space="preserve">                环境空气质量现状监测频率一览表</w:t>
      </w:r>
    </w:p>
    <w:tbl>
      <w:tblPr>
        <w:tblStyle w:val="2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76"/>
        <w:gridCol w:w="1593"/>
        <w:gridCol w:w="630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695" w:type="pct"/>
            <w:tcMar>
              <w:top w:w="57" w:type="dxa"/>
              <w:bottom w:w="57" w:type="dxa"/>
            </w:tcMar>
            <w:vAlign w:val="center"/>
          </w:tcPr>
          <w:p>
            <w:pPr>
              <w:spacing w:line="240" w:lineRule="auto"/>
              <w:ind w:firstLine="0" w:firstLineChars="0"/>
              <w:jc w:val="center"/>
              <w:rPr>
                <w:color w:val="auto"/>
                <w:sz w:val="21"/>
                <w:szCs w:val="21"/>
              </w:rPr>
            </w:pPr>
            <w:r>
              <w:rPr>
                <w:color w:val="auto"/>
                <w:sz w:val="21"/>
                <w:szCs w:val="21"/>
              </w:rPr>
              <w:t>监测因子</w:t>
            </w:r>
          </w:p>
        </w:tc>
        <w:tc>
          <w:tcPr>
            <w:tcW w:w="868" w:type="pct"/>
            <w:tcMar>
              <w:top w:w="57" w:type="dxa"/>
              <w:bottom w:w="57" w:type="dxa"/>
            </w:tcMar>
            <w:vAlign w:val="center"/>
          </w:tcPr>
          <w:p>
            <w:pPr>
              <w:spacing w:line="240" w:lineRule="auto"/>
              <w:ind w:firstLine="0" w:firstLineChars="0"/>
              <w:jc w:val="center"/>
              <w:rPr>
                <w:color w:val="auto"/>
                <w:sz w:val="21"/>
                <w:szCs w:val="21"/>
              </w:rPr>
            </w:pPr>
            <w:r>
              <w:rPr>
                <w:color w:val="auto"/>
                <w:sz w:val="21"/>
                <w:szCs w:val="21"/>
              </w:rPr>
              <w:t>取值时间</w:t>
            </w:r>
          </w:p>
        </w:tc>
        <w:tc>
          <w:tcPr>
            <w:tcW w:w="3435" w:type="pct"/>
            <w:tcMar>
              <w:top w:w="57" w:type="dxa"/>
              <w:bottom w:w="57" w:type="dxa"/>
            </w:tcMar>
            <w:vAlign w:val="center"/>
          </w:tcPr>
          <w:p>
            <w:pPr>
              <w:spacing w:line="240" w:lineRule="auto"/>
              <w:ind w:firstLine="0" w:firstLineChars="0"/>
              <w:jc w:val="center"/>
              <w:rPr>
                <w:color w:val="auto"/>
                <w:sz w:val="21"/>
                <w:szCs w:val="21"/>
              </w:rPr>
            </w:pPr>
            <w:r>
              <w:rPr>
                <w:color w:val="auto"/>
                <w:sz w:val="21"/>
                <w:szCs w:val="21"/>
              </w:rPr>
              <w:t>监测频率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695" w:type="pct"/>
            <w:tcMar>
              <w:top w:w="57" w:type="dxa"/>
              <w:bottom w:w="57" w:type="dxa"/>
            </w:tcMar>
            <w:vAlign w:val="center"/>
          </w:tcPr>
          <w:p>
            <w:pPr>
              <w:spacing w:line="240" w:lineRule="auto"/>
              <w:ind w:firstLine="0" w:firstLineChars="0"/>
              <w:jc w:val="center"/>
              <w:rPr>
                <w:color w:val="auto"/>
                <w:sz w:val="21"/>
                <w:szCs w:val="21"/>
              </w:rPr>
            </w:pPr>
            <w:r>
              <w:rPr>
                <w:rFonts w:hint="eastAsia"/>
                <w:color w:val="auto"/>
                <w:sz w:val="21"/>
                <w:szCs w:val="21"/>
              </w:rPr>
              <w:t>NH</w:t>
            </w:r>
            <w:r>
              <w:rPr>
                <w:rFonts w:hint="eastAsia"/>
                <w:color w:val="auto"/>
                <w:sz w:val="21"/>
                <w:szCs w:val="21"/>
                <w:vertAlign w:val="subscript"/>
              </w:rPr>
              <w:t>3</w:t>
            </w:r>
          </w:p>
        </w:tc>
        <w:tc>
          <w:tcPr>
            <w:tcW w:w="868" w:type="pct"/>
            <w:tcMar>
              <w:top w:w="57" w:type="dxa"/>
              <w:bottom w:w="57" w:type="dxa"/>
            </w:tcMar>
            <w:vAlign w:val="center"/>
          </w:tcPr>
          <w:p>
            <w:pPr>
              <w:spacing w:line="240" w:lineRule="auto"/>
              <w:ind w:firstLine="0" w:firstLineChars="0"/>
              <w:jc w:val="center"/>
              <w:rPr>
                <w:color w:val="auto"/>
                <w:sz w:val="21"/>
                <w:szCs w:val="21"/>
              </w:rPr>
            </w:pPr>
            <w:r>
              <w:rPr>
                <w:rFonts w:hint="eastAsia"/>
                <w:color w:val="auto"/>
                <w:sz w:val="21"/>
                <w:szCs w:val="21"/>
              </w:rPr>
              <w:t>一次值</w:t>
            </w:r>
          </w:p>
        </w:tc>
        <w:tc>
          <w:tcPr>
            <w:tcW w:w="3435" w:type="pct"/>
            <w:tcMar>
              <w:top w:w="57" w:type="dxa"/>
              <w:bottom w:w="57" w:type="dxa"/>
            </w:tcMar>
            <w:vAlign w:val="center"/>
          </w:tcPr>
          <w:p>
            <w:pPr>
              <w:spacing w:line="240" w:lineRule="auto"/>
              <w:ind w:firstLine="0" w:firstLineChars="0"/>
              <w:jc w:val="left"/>
              <w:rPr>
                <w:color w:val="auto"/>
                <w:sz w:val="21"/>
                <w:szCs w:val="21"/>
              </w:rPr>
            </w:pPr>
            <w:r>
              <w:rPr>
                <w:color w:val="auto"/>
                <w:sz w:val="21"/>
                <w:szCs w:val="21"/>
              </w:rPr>
              <w:t>连续监测7天，每天4次，</w:t>
            </w:r>
            <w:r>
              <w:rPr>
                <w:rFonts w:hint="eastAsia"/>
                <w:color w:val="auto"/>
                <w:sz w:val="21"/>
                <w:szCs w:val="21"/>
              </w:rPr>
              <w:t>每次采样时间不小于45min</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695" w:type="pct"/>
            <w:tcMar>
              <w:top w:w="57" w:type="dxa"/>
              <w:bottom w:w="57" w:type="dxa"/>
            </w:tcMar>
            <w:vAlign w:val="center"/>
          </w:tcPr>
          <w:p>
            <w:pPr>
              <w:spacing w:line="240" w:lineRule="auto"/>
              <w:ind w:firstLine="0" w:firstLineChars="0"/>
              <w:jc w:val="center"/>
              <w:rPr>
                <w:color w:val="auto"/>
                <w:sz w:val="21"/>
                <w:szCs w:val="21"/>
              </w:rPr>
            </w:pPr>
            <w:r>
              <w:rPr>
                <w:rFonts w:hint="eastAsia"/>
                <w:color w:val="auto"/>
                <w:sz w:val="21"/>
                <w:szCs w:val="21"/>
              </w:rPr>
              <w:t>H</w:t>
            </w:r>
            <w:r>
              <w:rPr>
                <w:rFonts w:hint="eastAsia"/>
                <w:color w:val="auto"/>
                <w:sz w:val="21"/>
                <w:szCs w:val="21"/>
                <w:vertAlign w:val="subscript"/>
              </w:rPr>
              <w:t>2</w:t>
            </w:r>
            <w:r>
              <w:rPr>
                <w:rFonts w:hint="eastAsia"/>
                <w:color w:val="auto"/>
                <w:sz w:val="21"/>
                <w:szCs w:val="21"/>
              </w:rPr>
              <w:t>S</w:t>
            </w:r>
          </w:p>
        </w:tc>
        <w:tc>
          <w:tcPr>
            <w:tcW w:w="868" w:type="pct"/>
            <w:tcMar>
              <w:top w:w="57" w:type="dxa"/>
              <w:bottom w:w="57" w:type="dxa"/>
            </w:tcMar>
            <w:vAlign w:val="center"/>
          </w:tcPr>
          <w:p>
            <w:pPr>
              <w:spacing w:line="240" w:lineRule="auto"/>
              <w:ind w:firstLine="0" w:firstLineChars="0"/>
              <w:jc w:val="center"/>
              <w:rPr>
                <w:color w:val="auto"/>
                <w:sz w:val="21"/>
                <w:szCs w:val="21"/>
              </w:rPr>
            </w:pPr>
            <w:r>
              <w:rPr>
                <w:rFonts w:hint="eastAsia"/>
                <w:color w:val="auto"/>
                <w:sz w:val="21"/>
                <w:szCs w:val="21"/>
              </w:rPr>
              <w:t>一次值</w:t>
            </w:r>
          </w:p>
        </w:tc>
        <w:tc>
          <w:tcPr>
            <w:tcW w:w="3435" w:type="pct"/>
            <w:tcMar>
              <w:top w:w="57" w:type="dxa"/>
              <w:bottom w:w="57" w:type="dxa"/>
            </w:tcMar>
            <w:vAlign w:val="center"/>
          </w:tcPr>
          <w:p>
            <w:pPr>
              <w:spacing w:line="240" w:lineRule="auto"/>
              <w:ind w:firstLine="0" w:firstLineChars="0"/>
              <w:jc w:val="left"/>
              <w:rPr>
                <w:color w:val="auto"/>
                <w:sz w:val="21"/>
                <w:szCs w:val="21"/>
              </w:rPr>
            </w:pPr>
            <w:r>
              <w:rPr>
                <w:color w:val="auto"/>
                <w:sz w:val="21"/>
                <w:szCs w:val="21"/>
              </w:rPr>
              <w:t>连续监测7天，每天4次，</w:t>
            </w:r>
            <w:r>
              <w:rPr>
                <w:rFonts w:hint="eastAsia"/>
                <w:color w:val="auto"/>
                <w:sz w:val="21"/>
                <w:szCs w:val="21"/>
              </w:rPr>
              <w:t>每次采样时间不小于45min</w:t>
            </w:r>
          </w:p>
        </w:tc>
      </w:tr>
    </w:tbl>
    <w:p>
      <w:pPr>
        <w:autoSpaceDE w:val="0"/>
        <w:autoSpaceDN w:val="0"/>
        <w:adjustRightInd/>
        <w:snapToGrid/>
        <w:spacing w:line="240" w:lineRule="auto"/>
        <w:ind w:firstLine="480"/>
        <w:rPr>
          <w:color w:val="auto"/>
        </w:rPr>
      </w:pPr>
      <w:r>
        <w:rPr>
          <w:color w:val="auto"/>
        </w:rPr>
        <w:t>4.</w:t>
      </w:r>
      <w:r>
        <w:rPr>
          <w:rFonts w:hint="eastAsia"/>
          <w:color w:val="auto"/>
        </w:rPr>
        <w:t>2</w:t>
      </w:r>
      <w:r>
        <w:rPr>
          <w:color w:val="auto"/>
        </w:rPr>
        <w:t>.</w:t>
      </w:r>
      <w:r>
        <w:rPr>
          <w:rFonts w:hint="eastAsia"/>
          <w:color w:val="auto"/>
        </w:rPr>
        <w:t>1</w:t>
      </w:r>
      <w:r>
        <w:rPr>
          <w:color w:val="auto"/>
        </w:rPr>
        <w:t>.</w:t>
      </w:r>
      <w:r>
        <w:rPr>
          <w:rFonts w:hint="eastAsia"/>
          <w:color w:val="auto"/>
        </w:rPr>
        <w:t>2.</w:t>
      </w:r>
      <w:r>
        <w:rPr>
          <w:color w:val="auto"/>
        </w:rPr>
        <w:t>3监测因子分析方法</w:t>
      </w:r>
    </w:p>
    <w:p>
      <w:pPr>
        <w:pStyle w:val="44"/>
        <w:numPr>
          <w:ilvl w:val="0"/>
          <w:numId w:val="0"/>
        </w:numPr>
        <w:adjustRightInd/>
        <w:snapToGrid/>
        <w:spacing w:line="240" w:lineRule="auto"/>
        <w:ind w:firstLine="60" w:firstLineChars="25"/>
        <w:jc w:val="left"/>
        <w:rPr>
          <w:b w:val="0"/>
          <w:color w:val="auto"/>
        </w:rPr>
      </w:pPr>
      <w:r>
        <w:rPr>
          <w:b w:val="0"/>
          <w:color w:val="auto"/>
        </w:rPr>
        <w:t>监测因子的监测分析方法见表4</w:t>
      </w:r>
      <w:r>
        <w:rPr>
          <w:rFonts w:hint="eastAsia"/>
          <w:b w:val="0"/>
          <w:color w:val="auto"/>
        </w:rPr>
        <w:t>.2-4</w:t>
      </w:r>
      <w:r>
        <w:rPr>
          <w:b w:val="0"/>
          <w:color w:val="auto"/>
        </w:rPr>
        <w:t>。</w:t>
      </w:r>
    </w:p>
    <w:p>
      <w:pPr>
        <w:adjustRightInd/>
        <w:snapToGrid/>
        <w:spacing w:line="240" w:lineRule="auto"/>
        <w:ind w:firstLine="1320" w:firstLineChars="550"/>
        <w:rPr>
          <w:b/>
          <w:color w:val="auto"/>
        </w:rPr>
      </w:pPr>
      <w:r>
        <w:rPr>
          <w:b/>
          <w:color w:val="auto"/>
        </w:rPr>
        <w:t>表4</w:t>
      </w:r>
      <w:r>
        <w:rPr>
          <w:rFonts w:hint="eastAsia"/>
          <w:b/>
          <w:color w:val="auto"/>
        </w:rPr>
        <w:t>.2-4</w:t>
      </w:r>
      <w:r>
        <w:rPr>
          <w:b/>
          <w:color w:val="auto"/>
        </w:rPr>
        <w:t xml:space="preserve">                 环境空气质量现状监测分析方法</w:t>
      </w:r>
    </w:p>
    <w:tbl>
      <w:tblPr>
        <w:tblStyle w:val="27"/>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70"/>
        <w:gridCol w:w="3519"/>
        <w:gridCol w:w="2029"/>
        <w:gridCol w:w="235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07" w:hRule="atLeast"/>
          <w:jc w:val="center"/>
        </w:trPr>
        <w:tc>
          <w:tcPr>
            <w:tcW w:w="692" w:type="pct"/>
            <w:tcMar>
              <w:top w:w="85" w:type="dxa"/>
              <w:bottom w:w="85" w:type="dxa"/>
            </w:tcMar>
            <w:vAlign w:val="center"/>
          </w:tcPr>
          <w:p>
            <w:pPr>
              <w:spacing w:line="240" w:lineRule="auto"/>
              <w:ind w:firstLine="0" w:firstLineChars="0"/>
              <w:jc w:val="center"/>
              <w:rPr>
                <w:color w:val="auto"/>
                <w:spacing w:val="-4"/>
                <w:sz w:val="21"/>
                <w:szCs w:val="21"/>
              </w:rPr>
            </w:pPr>
            <w:r>
              <w:rPr>
                <w:color w:val="auto"/>
                <w:spacing w:val="-4"/>
                <w:sz w:val="21"/>
                <w:szCs w:val="21"/>
              </w:rPr>
              <w:t>监测因子</w:t>
            </w:r>
          </w:p>
        </w:tc>
        <w:tc>
          <w:tcPr>
            <w:tcW w:w="1918" w:type="pct"/>
            <w:tcMar>
              <w:top w:w="85" w:type="dxa"/>
              <w:bottom w:w="85" w:type="dxa"/>
            </w:tcMar>
            <w:vAlign w:val="center"/>
          </w:tcPr>
          <w:p>
            <w:pPr>
              <w:spacing w:line="240" w:lineRule="auto"/>
              <w:ind w:firstLine="0" w:firstLineChars="0"/>
              <w:jc w:val="center"/>
              <w:rPr>
                <w:color w:val="auto"/>
                <w:spacing w:val="-4"/>
                <w:sz w:val="21"/>
                <w:szCs w:val="21"/>
              </w:rPr>
            </w:pPr>
            <w:r>
              <w:rPr>
                <w:color w:val="auto"/>
                <w:spacing w:val="-4"/>
                <w:sz w:val="21"/>
                <w:szCs w:val="21"/>
              </w:rPr>
              <w:t>监测分析方法</w:t>
            </w:r>
          </w:p>
        </w:tc>
        <w:tc>
          <w:tcPr>
            <w:tcW w:w="1106" w:type="pct"/>
            <w:tcMar>
              <w:top w:w="85" w:type="dxa"/>
              <w:bottom w:w="85" w:type="dxa"/>
            </w:tcMar>
            <w:vAlign w:val="center"/>
          </w:tcPr>
          <w:p>
            <w:pPr>
              <w:spacing w:line="240" w:lineRule="auto"/>
              <w:ind w:firstLine="0" w:firstLineChars="0"/>
              <w:jc w:val="center"/>
              <w:rPr>
                <w:color w:val="auto"/>
                <w:spacing w:val="-4"/>
                <w:sz w:val="21"/>
                <w:szCs w:val="21"/>
              </w:rPr>
            </w:pPr>
            <w:r>
              <w:rPr>
                <w:color w:val="auto"/>
                <w:spacing w:val="-4"/>
                <w:sz w:val="21"/>
                <w:szCs w:val="21"/>
              </w:rPr>
              <w:t>方法来源</w:t>
            </w:r>
          </w:p>
        </w:tc>
        <w:tc>
          <w:tcPr>
            <w:tcW w:w="1282" w:type="pct"/>
            <w:tcMar>
              <w:top w:w="85" w:type="dxa"/>
              <w:bottom w:w="85" w:type="dxa"/>
            </w:tcMar>
            <w:vAlign w:val="center"/>
          </w:tcPr>
          <w:p>
            <w:pPr>
              <w:spacing w:line="240" w:lineRule="auto"/>
              <w:ind w:firstLine="0" w:firstLineChars="0"/>
              <w:jc w:val="center"/>
              <w:rPr>
                <w:color w:val="auto"/>
                <w:spacing w:val="-4"/>
                <w:sz w:val="21"/>
                <w:szCs w:val="21"/>
              </w:rPr>
            </w:pPr>
            <w:r>
              <w:rPr>
                <w:color w:val="auto"/>
                <w:spacing w:val="-4"/>
                <w:sz w:val="21"/>
                <w:szCs w:val="21"/>
              </w:rPr>
              <w:t>检出限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92" w:type="pct"/>
            <w:tcMar>
              <w:top w:w="85" w:type="dxa"/>
              <w:bottom w:w="85" w:type="dxa"/>
            </w:tcMar>
            <w:vAlign w:val="center"/>
          </w:tcPr>
          <w:p>
            <w:pPr>
              <w:spacing w:line="240" w:lineRule="auto"/>
              <w:ind w:firstLine="0" w:firstLineChars="0"/>
              <w:jc w:val="center"/>
              <w:rPr>
                <w:color w:val="auto"/>
                <w:spacing w:val="-4"/>
                <w:sz w:val="21"/>
                <w:szCs w:val="21"/>
              </w:rPr>
            </w:pPr>
            <w:r>
              <w:rPr>
                <w:rFonts w:hint="eastAsia"/>
                <w:color w:val="auto"/>
                <w:spacing w:val="-4"/>
                <w:sz w:val="21"/>
                <w:szCs w:val="21"/>
              </w:rPr>
              <w:t>NH</w:t>
            </w:r>
            <w:r>
              <w:rPr>
                <w:rFonts w:hint="eastAsia"/>
                <w:color w:val="auto"/>
                <w:spacing w:val="-4"/>
                <w:sz w:val="21"/>
                <w:szCs w:val="21"/>
                <w:vertAlign w:val="subscript"/>
              </w:rPr>
              <w:t>3</w:t>
            </w:r>
          </w:p>
        </w:tc>
        <w:tc>
          <w:tcPr>
            <w:tcW w:w="1918" w:type="pct"/>
            <w:tcMar>
              <w:top w:w="85" w:type="dxa"/>
              <w:bottom w:w="85" w:type="dxa"/>
            </w:tcMar>
            <w:vAlign w:val="center"/>
          </w:tcPr>
          <w:p>
            <w:pPr>
              <w:spacing w:line="240" w:lineRule="auto"/>
              <w:ind w:firstLine="0" w:firstLineChars="0"/>
              <w:jc w:val="center"/>
              <w:rPr>
                <w:color w:val="auto"/>
                <w:spacing w:val="-4"/>
                <w:sz w:val="21"/>
                <w:szCs w:val="21"/>
              </w:rPr>
            </w:pPr>
            <w:r>
              <w:rPr>
                <w:color w:val="auto"/>
                <w:kern w:val="0"/>
                <w:sz w:val="21"/>
                <w:szCs w:val="21"/>
              </w:rPr>
              <w:t>次氯酸钠-水杨酸分光光度法</w:t>
            </w:r>
          </w:p>
        </w:tc>
        <w:tc>
          <w:tcPr>
            <w:tcW w:w="1106" w:type="pct"/>
            <w:tcMar>
              <w:top w:w="85" w:type="dxa"/>
              <w:bottom w:w="85" w:type="dxa"/>
            </w:tcMar>
            <w:vAlign w:val="center"/>
          </w:tcPr>
          <w:p>
            <w:pPr>
              <w:spacing w:line="240" w:lineRule="auto"/>
              <w:ind w:firstLine="0" w:firstLineChars="0"/>
              <w:jc w:val="center"/>
              <w:rPr>
                <w:color w:val="auto"/>
                <w:spacing w:val="-4"/>
                <w:sz w:val="21"/>
                <w:szCs w:val="21"/>
              </w:rPr>
            </w:pPr>
            <w:r>
              <w:rPr>
                <w:color w:val="auto"/>
                <w:kern w:val="0"/>
                <w:sz w:val="21"/>
                <w:szCs w:val="21"/>
              </w:rPr>
              <w:t>HJ 534-2009</w:t>
            </w:r>
          </w:p>
        </w:tc>
        <w:tc>
          <w:tcPr>
            <w:tcW w:w="1282" w:type="pct"/>
            <w:tcMar>
              <w:top w:w="85" w:type="dxa"/>
              <w:bottom w:w="85" w:type="dxa"/>
            </w:tcMar>
            <w:vAlign w:val="center"/>
          </w:tcPr>
          <w:p>
            <w:pPr>
              <w:spacing w:line="240" w:lineRule="auto"/>
              <w:ind w:firstLine="0" w:firstLineChars="0"/>
              <w:jc w:val="center"/>
              <w:rPr>
                <w:color w:val="auto"/>
                <w:spacing w:val="-4"/>
                <w:sz w:val="21"/>
                <w:szCs w:val="21"/>
              </w:rPr>
            </w:pPr>
            <w:r>
              <w:rPr>
                <w:rFonts w:hint="eastAsia"/>
                <w:color w:val="auto"/>
                <w:spacing w:val="-4"/>
                <w:sz w:val="21"/>
                <w:szCs w:val="21"/>
              </w:rPr>
              <w:t>0.001</w:t>
            </w:r>
            <w:r>
              <w:rPr>
                <w:color w:val="auto"/>
                <w:spacing w:val="-4"/>
                <w:sz w:val="21"/>
                <w:szCs w:val="21"/>
              </w:rPr>
              <w:t>mg/m</w:t>
            </w:r>
            <w:r>
              <w:rPr>
                <w:color w:val="auto"/>
                <w:spacing w:val="-4"/>
                <w:sz w:val="21"/>
                <w:szCs w:val="21"/>
                <w:vertAlign w:val="superscript"/>
              </w:rPr>
              <w:t>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92" w:type="pct"/>
            <w:tcMar>
              <w:top w:w="85" w:type="dxa"/>
              <w:bottom w:w="85" w:type="dxa"/>
            </w:tcMar>
            <w:vAlign w:val="center"/>
          </w:tcPr>
          <w:p>
            <w:pPr>
              <w:spacing w:line="240" w:lineRule="auto"/>
              <w:ind w:firstLine="0" w:firstLineChars="0"/>
              <w:jc w:val="center"/>
              <w:rPr>
                <w:color w:val="auto"/>
                <w:spacing w:val="-4"/>
                <w:sz w:val="21"/>
                <w:szCs w:val="21"/>
              </w:rPr>
            </w:pPr>
            <w:r>
              <w:rPr>
                <w:rFonts w:hint="eastAsia"/>
                <w:color w:val="auto"/>
                <w:spacing w:val="-4"/>
                <w:sz w:val="21"/>
                <w:szCs w:val="21"/>
              </w:rPr>
              <w:t>H</w:t>
            </w:r>
            <w:r>
              <w:rPr>
                <w:rFonts w:hint="eastAsia"/>
                <w:color w:val="auto"/>
                <w:spacing w:val="-4"/>
                <w:sz w:val="21"/>
                <w:szCs w:val="21"/>
                <w:vertAlign w:val="subscript"/>
              </w:rPr>
              <w:t>2</w:t>
            </w:r>
            <w:r>
              <w:rPr>
                <w:rFonts w:hint="eastAsia"/>
                <w:color w:val="auto"/>
                <w:spacing w:val="-4"/>
                <w:sz w:val="21"/>
                <w:szCs w:val="21"/>
              </w:rPr>
              <w:t>S</w:t>
            </w:r>
          </w:p>
        </w:tc>
        <w:tc>
          <w:tcPr>
            <w:tcW w:w="1918" w:type="pct"/>
            <w:tcMar>
              <w:top w:w="85" w:type="dxa"/>
              <w:bottom w:w="85" w:type="dxa"/>
            </w:tcMar>
            <w:vAlign w:val="center"/>
          </w:tcPr>
          <w:p>
            <w:pPr>
              <w:spacing w:line="240" w:lineRule="auto"/>
              <w:ind w:firstLine="0" w:firstLineChars="0"/>
              <w:jc w:val="center"/>
              <w:rPr>
                <w:color w:val="auto"/>
                <w:spacing w:val="-4"/>
                <w:sz w:val="21"/>
                <w:szCs w:val="21"/>
              </w:rPr>
            </w:pPr>
            <w:r>
              <w:rPr>
                <w:color w:val="auto"/>
                <w:kern w:val="0"/>
                <w:sz w:val="21"/>
                <w:szCs w:val="21"/>
              </w:rPr>
              <w:t>亚甲蓝分光光度法</w:t>
            </w:r>
          </w:p>
        </w:tc>
        <w:tc>
          <w:tcPr>
            <w:tcW w:w="1106" w:type="pct"/>
            <w:tcMar>
              <w:top w:w="85" w:type="dxa"/>
              <w:bottom w:w="85" w:type="dxa"/>
            </w:tcMar>
            <w:vAlign w:val="center"/>
          </w:tcPr>
          <w:p>
            <w:pPr>
              <w:spacing w:line="240" w:lineRule="auto"/>
              <w:ind w:firstLine="0" w:firstLineChars="0"/>
              <w:jc w:val="center"/>
              <w:rPr>
                <w:color w:val="auto"/>
                <w:spacing w:val="-4"/>
                <w:sz w:val="21"/>
                <w:szCs w:val="21"/>
              </w:rPr>
            </w:pPr>
            <w:r>
              <w:rPr>
                <w:color w:val="auto"/>
                <w:kern w:val="0"/>
                <w:sz w:val="21"/>
                <w:szCs w:val="21"/>
              </w:rPr>
              <w:t>GB 11742-1989</w:t>
            </w:r>
          </w:p>
        </w:tc>
        <w:tc>
          <w:tcPr>
            <w:tcW w:w="1282" w:type="pct"/>
            <w:tcMar>
              <w:top w:w="85" w:type="dxa"/>
              <w:bottom w:w="85" w:type="dxa"/>
            </w:tcMar>
            <w:vAlign w:val="center"/>
          </w:tcPr>
          <w:p>
            <w:pPr>
              <w:spacing w:line="240" w:lineRule="auto"/>
              <w:ind w:firstLine="0" w:firstLineChars="0"/>
              <w:jc w:val="center"/>
              <w:rPr>
                <w:color w:val="auto"/>
                <w:spacing w:val="-4"/>
                <w:sz w:val="21"/>
                <w:szCs w:val="21"/>
              </w:rPr>
            </w:pPr>
            <w:r>
              <w:rPr>
                <w:color w:val="auto"/>
                <w:kern w:val="0"/>
                <w:sz w:val="21"/>
                <w:szCs w:val="21"/>
              </w:rPr>
              <w:t>0.0</w:t>
            </w:r>
            <w:r>
              <w:rPr>
                <w:rFonts w:hint="eastAsia"/>
                <w:color w:val="auto"/>
                <w:kern w:val="0"/>
                <w:sz w:val="21"/>
                <w:szCs w:val="21"/>
              </w:rPr>
              <w:t>05</w:t>
            </w:r>
            <w:r>
              <w:rPr>
                <w:color w:val="auto"/>
                <w:kern w:val="0"/>
                <w:sz w:val="21"/>
                <w:szCs w:val="21"/>
              </w:rPr>
              <w:t>mg/m</w:t>
            </w:r>
            <w:r>
              <w:rPr>
                <w:color w:val="auto"/>
                <w:kern w:val="0"/>
                <w:sz w:val="21"/>
                <w:szCs w:val="21"/>
                <w:vertAlign w:val="superscript"/>
              </w:rPr>
              <w:t>3</w:t>
            </w:r>
          </w:p>
        </w:tc>
      </w:tr>
    </w:tbl>
    <w:p>
      <w:pPr>
        <w:autoSpaceDE w:val="0"/>
        <w:autoSpaceDN w:val="0"/>
        <w:ind w:firstLine="480"/>
        <w:rPr>
          <w:color w:val="auto"/>
        </w:rPr>
      </w:pPr>
      <w:r>
        <w:rPr>
          <w:color w:val="auto"/>
        </w:rPr>
        <w:t>4.</w:t>
      </w:r>
      <w:r>
        <w:rPr>
          <w:rFonts w:hint="eastAsia"/>
          <w:color w:val="auto"/>
        </w:rPr>
        <w:t>2</w:t>
      </w:r>
      <w:r>
        <w:rPr>
          <w:color w:val="auto"/>
        </w:rPr>
        <w:t>.</w:t>
      </w:r>
      <w:r>
        <w:rPr>
          <w:rFonts w:hint="eastAsia"/>
          <w:color w:val="auto"/>
        </w:rPr>
        <w:t>1</w:t>
      </w:r>
      <w:r>
        <w:rPr>
          <w:color w:val="auto"/>
        </w:rPr>
        <w:t>.</w:t>
      </w:r>
      <w:r>
        <w:rPr>
          <w:rFonts w:hint="eastAsia"/>
          <w:color w:val="auto"/>
        </w:rPr>
        <w:t>2.</w:t>
      </w:r>
      <w:r>
        <w:rPr>
          <w:color w:val="auto"/>
        </w:rPr>
        <w:t>4  评价方法</w:t>
      </w:r>
    </w:p>
    <w:p>
      <w:pPr>
        <w:ind w:firstLine="480"/>
        <w:rPr>
          <w:color w:val="auto"/>
        </w:rPr>
      </w:pPr>
      <w:r>
        <w:rPr>
          <w:color w:val="auto"/>
        </w:rPr>
        <w:t>根据监测结果，采用单因子污染指数法，对照评价标准对环境空气质量现状进行评价，计算公式如下：</w:t>
      </w:r>
    </w:p>
    <w:p>
      <w:pPr>
        <w:ind w:firstLine="480"/>
        <w:jc w:val="center"/>
        <w:rPr>
          <w:color w:val="auto"/>
        </w:rPr>
      </w:pPr>
      <w:r>
        <w:rPr>
          <w:color w:val="auto"/>
        </w:rPr>
        <w:t>P</w:t>
      </w:r>
      <w:r>
        <w:rPr>
          <w:color w:val="auto"/>
          <w:vertAlign w:val="subscript"/>
        </w:rPr>
        <w:t>i</w:t>
      </w:r>
      <w:r>
        <w:rPr>
          <w:color w:val="auto"/>
        </w:rPr>
        <w:t>=C</w:t>
      </w:r>
      <w:r>
        <w:rPr>
          <w:color w:val="auto"/>
          <w:vertAlign w:val="subscript"/>
        </w:rPr>
        <w:t>i</w:t>
      </w:r>
      <w:r>
        <w:rPr>
          <w:color w:val="auto"/>
        </w:rPr>
        <w:t>/S</w:t>
      </w:r>
      <w:r>
        <w:rPr>
          <w:color w:val="auto"/>
          <w:vertAlign w:val="subscript"/>
        </w:rPr>
        <w:t>i</w:t>
      </w:r>
    </w:p>
    <w:p>
      <w:pPr>
        <w:ind w:firstLine="480"/>
        <w:rPr>
          <w:color w:val="auto"/>
        </w:rPr>
      </w:pPr>
      <w:r>
        <w:rPr>
          <w:color w:val="auto"/>
        </w:rPr>
        <w:t>式中，P</w:t>
      </w:r>
      <w:r>
        <w:rPr>
          <w:color w:val="auto"/>
          <w:vertAlign w:val="subscript"/>
        </w:rPr>
        <w:t>i</w:t>
      </w:r>
      <w:r>
        <w:rPr>
          <w:color w:val="auto"/>
        </w:rPr>
        <w:t>——i污染物的单因子污染指数</w:t>
      </w:r>
    </w:p>
    <w:p>
      <w:pPr>
        <w:ind w:firstLine="480"/>
        <w:rPr>
          <w:color w:val="auto"/>
        </w:rPr>
      </w:pPr>
      <w:r>
        <w:rPr>
          <w:color w:val="auto"/>
        </w:rPr>
        <w:t xml:space="preserve">          C</w:t>
      </w:r>
      <w:r>
        <w:rPr>
          <w:color w:val="auto"/>
          <w:vertAlign w:val="subscript"/>
        </w:rPr>
        <w:t>i</w:t>
      </w:r>
      <w:r>
        <w:rPr>
          <w:color w:val="auto"/>
        </w:rPr>
        <w:t>——i污染物的实测浓度，单位：mg/Nm</w:t>
      </w:r>
      <w:r>
        <w:rPr>
          <w:color w:val="auto"/>
          <w:vertAlign w:val="superscript"/>
        </w:rPr>
        <w:t>3</w:t>
      </w:r>
    </w:p>
    <w:p>
      <w:pPr>
        <w:ind w:firstLine="480"/>
        <w:rPr>
          <w:color w:val="auto"/>
          <w:vertAlign w:val="superscript"/>
        </w:rPr>
      </w:pPr>
      <w:r>
        <w:rPr>
          <w:color w:val="auto"/>
        </w:rPr>
        <w:t xml:space="preserve">          S</w:t>
      </w:r>
      <w:r>
        <w:rPr>
          <w:color w:val="auto"/>
          <w:vertAlign w:val="subscript"/>
        </w:rPr>
        <w:t>i</w:t>
      </w:r>
      <w:r>
        <w:rPr>
          <w:color w:val="auto"/>
        </w:rPr>
        <w:t>——i污染物的评价标准，单位：mg/Nm</w:t>
      </w:r>
      <w:r>
        <w:rPr>
          <w:color w:val="auto"/>
          <w:vertAlign w:val="superscript"/>
        </w:rPr>
        <w:t>3</w:t>
      </w:r>
    </w:p>
    <w:p>
      <w:pPr>
        <w:autoSpaceDE w:val="0"/>
        <w:autoSpaceDN w:val="0"/>
        <w:ind w:firstLine="480"/>
        <w:rPr>
          <w:color w:val="auto"/>
        </w:rPr>
      </w:pPr>
      <w:r>
        <w:rPr>
          <w:color w:val="auto"/>
        </w:rPr>
        <w:t>4.</w:t>
      </w:r>
      <w:r>
        <w:rPr>
          <w:rFonts w:hint="eastAsia"/>
          <w:color w:val="auto"/>
        </w:rPr>
        <w:t>2</w:t>
      </w:r>
      <w:r>
        <w:rPr>
          <w:color w:val="auto"/>
        </w:rPr>
        <w:t>.</w:t>
      </w:r>
      <w:r>
        <w:rPr>
          <w:rFonts w:hint="eastAsia"/>
          <w:color w:val="auto"/>
        </w:rPr>
        <w:t>1</w:t>
      </w:r>
      <w:r>
        <w:rPr>
          <w:color w:val="auto"/>
        </w:rPr>
        <w:t>.</w:t>
      </w:r>
      <w:r>
        <w:rPr>
          <w:rFonts w:hint="eastAsia"/>
          <w:color w:val="auto"/>
        </w:rPr>
        <w:t>2.</w:t>
      </w:r>
      <w:r>
        <w:rPr>
          <w:color w:val="auto"/>
        </w:rPr>
        <w:t>5  评价标准</w:t>
      </w:r>
    </w:p>
    <w:p>
      <w:pPr>
        <w:pStyle w:val="44"/>
        <w:numPr>
          <w:ilvl w:val="0"/>
          <w:numId w:val="0"/>
        </w:numPr>
        <w:ind w:firstLine="480" w:firstLineChars="200"/>
        <w:jc w:val="left"/>
        <w:rPr>
          <w:b w:val="0"/>
          <w:color w:val="auto"/>
        </w:rPr>
      </w:pPr>
      <w:r>
        <w:rPr>
          <w:b w:val="0"/>
          <w:color w:val="auto"/>
        </w:rPr>
        <w:t>本次环境空气质量评价标准见表4</w:t>
      </w:r>
      <w:r>
        <w:rPr>
          <w:rFonts w:hint="eastAsia"/>
          <w:b w:val="0"/>
          <w:color w:val="auto"/>
        </w:rPr>
        <w:t>.2-5</w:t>
      </w:r>
      <w:r>
        <w:rPr>
          <w:b w:val="0"/>
          <w:color w:val="auto"/>
        </w:rPr>
        <w:t>。</w:t>
      </w:r>
    </w:p>
    <w:p>
      <w:pPr>
        <w:ind w:firstLine="1320" w:firstLineChars="550"/>
        <w:jc w:val="center"/>
        <w:rPr>
          <w:b/>
          <w:color w:val="auto"/>
        </w:rPr>
      </w:pPr>
      <w:r>
        <w:rPr>
          <w:b/>
          <w:color w:val="auto"/>
        </w:rPr>
        <w:t>表4</w:t>
      </w:r>
      <w:r>
        <w:rPr>
          <w:rFonts w:hint="eastAsia"/>
          <w:b/>
          <w:color w:val="auto"/>
        </w:rPr>
        <w:t>.2-5</w:t>
      </w:r>
      <w:r>
        <w:rPr>
          <w:b/>
          <w:color w:val="auto"/>
        </w:rPr>
        <w:t xml:space="preserve">       环境空气质量评价标准</w:t>
      </w:r>
    </w:p>
    <w:tbl>
      <w:tblPr>
        <w:tblStyle w:val="27"/>
        <w:tblW w:w="4999"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57" w:type="dxa"/>
          <w:left w:w="108" w:type="dxa"/>
          <w:bottom w:w="57" w:type="dxa"/>
          <w:right w:w="108" w:type="dxa"/>
        </w:tblCellMar>
      </w:tblPr>
      <w:tblGrid>
        <w:gridCol w:w="1391"/>
        <w:gridCol w:w="2857"/>
        <w:gridCol w:w="1646"/>
        <w:gridCol w:w="327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57" w:type="dxa"/>
            <w:left w:w="108" w:type="dxa"/>
            <w:bottom w:w="57" w:type="dxa"/>
            <w:right w:w="108" w:type="dxa"/>
          </w:tblCellMar>
        </w:tblPrEx>
        <w:trPr>
          <w:cantSplit/>
          <w:jc w:val="center"/>
        </w:trPr>
        <w:tc>
          <w:tcPr>
            <w:tcW w:w="758" w:type="pct"/>
            <w:tcMar>
              <w:top w:w="85" w:type="dxa"/>
              <w:bottom w:w="85" w:type="dxa"/>
            </w:tcMar>
            <w:vAlign w:val="center"/>
          </w:tcPr>
          <w:p>
            <w:pPr>
              <w:spacing w:line="240" w:lineRule="auto"/>
              <w:ind w:firstLine="0" w:firstLineChars="0"/>
              <w:jc w:val="center"/>
              <w:rPr>
                <w:color w:val="auto"/>
                <w:spacing w:val="-4"/>
                <w:sz w:val="21"/>
                <w:szCs w:val="21"/>
              </w:rPr>
            </w:pPr>
            <w:r>
              <w:rPr>
                <w:color w:val="auto"/>
                <w:spacing w:val="-4"/>
                <w:sz w:val="21"/>
                <w:szCs w:val="21"/>
              </w:rPr>
              <w:t>污染物名称</w:t>
            </w:r>
          </w:p>
        </w:tc>
        <w:tc>
          <w:tcPr>
            <w:tcW w:w="1557" w:type="pct"/>
            <w:tcMar>
              <w:top w:w="85" w:type="dxa"/>
              <w:bottom w:w="85" w:type="dxa"/>
            </w:tcMar>
            <w:vAlign w:val="center"/>
          </w:tcPr>
          <w:p>
            <w:pPr>
              <w:spacing w:line="240" w:lineRule="auto"/>
              <w:ind w:firstLine="0" w:firstLineChars="0"/>
              <w:jc w:val="center"/>
              <w:rPr>
                <w:color w:val="auto"/>
                <w:spacing w:val="-4"/>
                <w:sz w:val="21"/>
                <w:szCs w:val="21"/>
              </w:rPr>
            </w:pPr>
            <w:r>
              <w:rPr>
                <w:color w:val="auto"/>
                <w:spacing w:val="-4"/>
                <w:sz w:val="21"/>
                <w:szCs w:val="21"/>
              </w:rPr>
              <w:t>取值时间</w:t>
            </w:r>
          </w:p>
        </w:tc>
        <w:tc>
          <w:tcPr>
            <w:tcW w:w="897" w:type="pct"/>
            <w:tcMar>
              <w:top w:w="85" w:type="dxa"/>
              <w:bottom w:w="85" w:type="dxa"/>
            </w:tcMar>
            <w:vAlign w:val="center"/>
          </w:tcPr>
          <w:p>
            <w:pPr>
              <w:spacing w:line="240" w:lineRule="auto"/>
              <w:ind w:firstLine="0" w:firstLineChars="0"/>
              <w:jc w:val="center"/>
              <w:rPr>
                <w:color w:val="auto"/>
                <w:spacing w:val="-4"/>
                <w:sz w:val="21"/>
                <w:szCs w:val="21"/>
              </w:rPr>
            </w:pPr>
            <w:r>
              <w:rPr>
                <w:color w:val="auto"/>
                <w:spacing w:val="-4"/>
                <w:sz w:val="21"/>
                <w:szCs w:val="21"/>
              </w:rPr>
              <w:t>标准浓度限值</w:t>
            </w:r>
          </w:p>
        </w:tc>
        <w:tc>
          <w:tcPr>
            <w:tcW w:w="1786" w:type="pct"/>
            <w:tcMar>
              <w:top w:w="85" w:type="dxa"/>
              <w:bottom w:w="85" w:type="dxa"/>
            </w:tcMar>
            <w:vAlign w:val="center"/>
          </w:tcPr>
          <w:p>
            <w:pPr>
              <w:spacing w:line="240" w:lineRule="auto"/>
              <w:ind w:firstLine="0" w:firstLineChars="0"/>
              <w:jc w:val="center"/>
              <w:rPr>
                <w:color w:val="auto"/>
                <w:spacing w:val="-4"/>
                <w:sz w:val="21"/>
                <w:szCs w:val="21"/>
              </w:rPr>
            </w:pPr>
            <w:r>
              <w:rPr>
                <w:color w:val="auto"/>
                <w:spacing w:val="-4"/>
                <w:sz w:val="21"/>
                <w:szCs w:val="21"/>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cantSplit/>
          <w:jc w:val="center"/>
        </w:trPr>
        <w:tc>
          <w:tcPr>
            <w:tcW w:w="758" w:type="pct"/>
            <w:tcMar>
              <w:top w:w="85" w:type="dxa"/>
              <w:bottom w:w="85" w:type="dxa"/>
            </w:tcMar>
            <w:vAlign w:val="center"/>
          </w:tcPr>
          <w:p>
            <w:pPr>
              <w:spacing w:line="240" w:lineRule="auto"/>
              <w:ind w:firstLine="0" w:firstLineChars="0"/>
              <w:jc w:val="center"/>
              <w:rPr>
                <w:color w:val="auto"/>
                <w:spacing w:val="-4"/>
                <w:sz w:val="21"/>
                <w:szCs w:val="21"/>
              </w:rPr>
            </w:pPr>
            <w:r>
              <w:rPr>
                <w:rFonts w:hint="eastAsia"/>
                <w:color w:val="auto"/>
                <w:spacing w:val="-4"/>
                <w:sz w:val="21"/>
                <w:szCs w:val="21"/>
              </w:rPr>
              <w:t>NH</w:t>
            </w:r>
            <w:r>
              <w:rPr>
                <w:rFonts w:hint="eastAsia"/>
                <w:color w:val="auto"/>
                <w:spacing w:val="-4"/>
                <w:sz w:val="21"/>
                <w:szCs w:val="21"/>
                <w:vertAlign w:val="subscript"/>
              </w:rPr>
              <w:t>3</w:t>
            </w:r>
          </w:p>
        </w:tc>
        <w:tc>
          <w:tcPr>
            <w:tcW w:w="1557" w:type="pct"/>
            <w:tcMar>
              <w:top w:w="85" w:type="dxa"/>
              <w:bottom w:w="85" w:type="dxa"/>
            </w:tcMar>
            <w:vAlign w:val="center"/>
          </w:tcPr>
          <w:p>
            <w:pPr>
              <w:spacing w:line="240" w:lineRule="auto"/>
              <w:ind w:firstLine="0" w:firstLineChars="0"/>
              <w:jc w:val="center"/>
              <w:rPr>
                <w:color w:val="auto"/>
                <w:spacing w:val="-4"/>
                <w:sz w:val="21"/>
                <w:szCs w:val="21"/>
              </w:rPr>
            </w:pPr>
            <w:r>
              <w:rPr>
                <w:color w:val="auto"/>
                <w:spacing w:val="-4"/>
                <w:sz w:val="21"/>
                <w:szCs w:val="21"/>
              </w:rPr>
              <w:t>一次值（mg/m</w:t>
            </w:r>
            <w:r>
              <w:rPr>
                <w:color w:val="auto"/>
                <w:spacing w:val="-4"/>
                <w:sz w:val="21"/>
                <w:szCs w:val="21"/>
                <w:vertAlign w:val="superscript"/>
              </w:rPr>
              <w:t>3</w:t>
            </w:r>
            <w:r>
              <w:rPr>
                <w:color w:val="auto"/>
                <w:spacing w:val="-4"/>
                <w:sz w:val="21"/>
                <w:szCs w:val="21"/>
              </w:rPr>
              <w:t>）</w:t>
            </w:r>
          </w:p>
        </w:tc>
        <w:tc>
          <w:tcPr>
            <w:tcW w:w="897" w:type="pct"/>
            <w:tcMar>
              <w:top w:w="85" w:type="dxa"/>
              <w:bottom w:w="85" w:type="dxa"/>
            </w:tcMar>
            <w:vAlign w:val="center"/>
          </w:tcPr>
          <w:p>
            <w:pPr>
              <w:spacing w:line="240" w:lineRule="auto"/>
              <w:ind w:firstLine="0" w:firstLineChars="0"/>
              <w:jc w:val="center"/>
              <w:rPr>
                <w:color w:val="auto"/>
                <w:spacing w:val="-4"/>
                <w:sz w:val="21"/>
                <w:szCs w:val="21"/>
              </w:rPr>
            </w:pPr>
            <w:r>
              <w:rPr>
                <w:rFonts w:hint="eastAsia"/>
                <w:color w:val="auto"/>
                <w:spacing w:val="-4"/>
                <w:sz w:val="21"/>
                <w:szCs w:val="21"/>
              </w:rPr>
              <w:t>0.20</w:t>
            </w:r>
          </w:p>
        </w:tc>
        <w:tc>
          <w:tcPr>
            <w:tcW w:w="1786" w:type="pct"/>
            <w:vMerge w:val="restart"/>
            <w:tcMar>
              <w:top w:w="85" w:type="dxa"/>
              <w:bottom w:w="85" w:type="dxa"/>
            </w:tcMar>
            <w:vAlign w:val="center"/>
          </w:tcPr>
          <w:p>
            <w:pPr>
              <w:spacing w:line="240" w:lineRule="auto"/>
              <w:ind w:firstLine="0" w:firstLineChars="0"/>
              <w:jc w:val="center"/>
              <w:rPr>
                <w:color w:val="auto"/>
                <w:sz w:val="21"/>
                <w:szCs w:val="21"/>
              </w:rPr>
            </w:pPr>
            <w:r>
              <w:rPr>
                <w:color w:val="auto"/>
                <w:sz w:val="21"/>
                <w:szCs w:val="21"/>
              </w:rPr>
              <w:t>《环境影响评价技术导则  大气环境》（HJ 2.2-2018）附录D参考限值</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57" w:type="dxa"/>
            <w:left w:w="108" w:type="dxa"/>
            <w:bottom w:w="57" w:type="dxa"/>
            <w:right w:w="108" w:type="dxa"/>
          </w:tblCellMar>
        </w:tblPrEx>
        <w:trPr>
          <w:cantSplit/>
          <w:jc w:val="center"/>
        </w:trPr>
        <w:tc>
          <w:tcPr>
            <w:tcW w:w="758" w:type="pct"/>
            <w:tcMar>
              <w:top w:w="85" w:type="dxa"/>
              <w:bottom w:w="85" w:type="dxa"/>
            </w:tcMar>
            <w:vAlign w:val="center"/>
          </w:tcPr>
          <w:p>
            <w:pPr>
              <w:spacing w:line="240" w:lineRule="auto"/>
              <w:ind w:firstLine="0" w:firstLineChars="0"/>
              <w:jc w:val="center"/>
              <w:rPr>
                <w:color w:val="auto"/>
                <w:spacing w:val="-4"/>
                <w:sz w:val="21"/>
                <w:szCs w:val="21"/>
              </w:rPr>
            </w:pPr>
            <w:r>
              <w:rPr>
                <w:rFonts w:hint="eastAsia"/>
                <w:color w:val="auto"/>
                <w:spacing w:val="-4"/>
                <w:sz w:val="21"/>
                <w:szCs w:val="21"/>
              </w:rPr>
              <w:t>H</w:t>
            </w:r>
            <w:r>
              <w:rPr>
                <w:rFonts w:hint="eastAsia"/>
                <w:color w:val="auto"/>
                <w:spacing w:val="-4"/>
                <w:sz w:val="21"/>
                <w:szCs w:val="21"/>
                <w:vertAlign w:val="subscript"/>
              </w:rPr>
              <w:t>2</w:t>
            </w:r>
            <w:r>
              <w:rPr>
                <w:rFonts w:hint="eastAsia"/>
                <w:color w:val="auto"/>
                <w:spacing w:val="-4"/>
                <w:sz w:val="21"/>
                <w:szCs w:val="21"/>
              </w:rPr>
              <w:t>S</w:t>
            </w:r>
          </w:p>
        </w:tc>
        <w:tc>
          <w:tcPr>
            <w:tcW w:w="1557" w:type="pct"/>
            <w:tcMar>
              <w:top w:w="85" w:type="dxa"/>
              <w:bottom w:w="85" w:type="dxa"/>
            </w:tcMar>
            <w:vAlign w:val="center"/>
          </w:tcPr>
          <w:p>
            <w:pPr>
              <w:spacing w:line="240" w:lineRule="auto"/>
              <w:ind w:firstLine="0" w:firstLineChars="0"/>
              <w:jc w:val="center"/>
              <w:rPr>
                <w:color w:val="auto"/>
                <w:spacing w:val="-4"/>
                <w:sz w:val="21"/>
                <w:szCs w:val="21"/>
              </w:rPr>
            </w:pPr>
            <w:r>
              <w:rPr>
                <w:color w:val="auto"/>
                <w:spacing w:val="-4"/>
                <w:sz w:val="21"/>
                <w:szCs w:val="21"/>
              </w:rPr>
              <w:t>一次值（mg/m</w:t>
            </w:r>
            <w:r>
              <w:rPr>
                <w:color w:val="auto"/>
                <w:spacing w:val="-4"/>
                <w:sz w:val="21"/>
                <w:szCs w:val="21"/>
                <w:vertAlign w:val="superscript"/>
              </w:rPr>
              <w:t>3</w:t>
            </w:r>
            <w:r>
              <w:rPr>
                <w:color w:val="auto"/>
                <w:spacing w:val="-4"/>
                <w:sz w:val="21"/>
                <w:szCs w:val="21"/>
              </w:rPr>
              <w:t>）</w:t>
            </w:r>
          </w:p>
        </w:tc>
        <w:tc>
          <w:tcPr>
            <w:tcW w:w="897" w:type="pct"/>
            <w:tcMar>
              <w:top w:w="85" w:type="dxa"/>
              <w:bottom w:w="85" w:type="dxa"/>
            </w:tcMar>
            <w:vAlign w:val="center"/>
          </w:tcPr>
          <w:p>
            <w:pPr>
              <w:spacing w:line="240" w:lineRule="auto"/>
              <w:ind w:firstLine="0" w:firstLineChars="0"/>
              <w:jc w:val="center"/>
              <w:rPr>
                <w:color w:val="auto"/>
                <w:spacing w:val="-4"/>
                <w:sz w:val="21"/>
                <w:szCs w:val="21"/>
              </w:rPr>
            </w:pPr>
            <w:r>
              <w:rPr>
                <w:rFonts w:hint="eastAsia"/>
                <w:color w:val="auto"/>
                <w:spacing w:val="-4"/>
                <w:sz w:val="21"/>
                <w:szCs w:val="21"/>
              </w:rPr>
              <w:t>0.01</w:t>
            </w:r>
          </w:p>
        </w:tc>
        <w:tc>
          <w:tcPr>
            <w:tcW w:w="1786" w:type="pct"/>
            <w:vMerge w:val="continue"/>
            <w:tcMar>
              <w:top w:w="85" w:type="dxa"/>
              <w:bottom w:w="85" w:type="dxa"/>
            </w:tcMar>
            <w:vAlign w:val="center"/>
          </w:tcPr>
          <w:p>
            <w:pPr>
              <w:spacing w:line="240" w:lineRule="auto"/>
              <w:ind w:firstLine="0" w:firstLineChars="0"/>
              <w:jc w:val="center"/>
              <w:rPr>
                <w:color w:val="auto"/>
                <w:sz w:val="21"/>
                <w:szCs w:val="21"/>
              </w:rPr>
            </w:pPr>
          </w:p>
        </w:tc>
      </w:tr>
    </w:tbl>
    <w:p>
      <w:pPr>
        <w:autoSpaceDE w:val="0"/>
        <w:autoSpaceDN w:val="0"/>
        <w:ind w:firstLine="480"/>
        <w:rPr>
          <w:color w:val="auto"/>
        </w:rPr>
      </w:pPr>
      <w:r>
        <w:rPr>
          <w:color w:val="auto"/>
        </w:rPr>
        <w:t>4.</w:t>
      </w:r>
      <w:r>
        <w:rPr>
          <w:rFonts w:hint="eastAsia"/>
          <w:color w:val="auto"/>
        </w:rPr>
        <w:t>2</w:t>
      </w:r>
      <w:r>
        <w:rPr>
          <w:color w:val="auto"/>
        </w:rPr>
        <w:t>.</w:t>
      </w:r>
      <w:r>
        <w:rPr>
          <w:rFonts w:hint="eastAsia"/>
          <w:color w:val="auto"/>
        </w:rPr>
        <w:t>1</w:t>
      </w:r>
      <w:r>
        <w:rPr>
          <w:color w:val="auto"/>
        </w:rPr>
        <w:t>.</w:t>
      </w:r>
      <w:r>
        <w:rPr>
          <w:rFonts w:hint="eastAsia"/>
          <w:color w:val="auto"/>
        </w:rPr>
        <w:t>2.</w:t>
      </w:r>
      <w:r>
        <w:rPr>
          <w:color w:val="auto"/>
        </w:rPr>
        <w:t>6  监测结果统计及评价</w:t>
      </w:r>
    </w:p>
    <w:p>
      <w:pPr>
        <w:pStyle w:val="44"/>
        <w:numPr>
          <w:ilvl w:val="0"/>
          <w:numId w:val="0"/>
        </w:numPr>
        <w:spacing w:line="240" w:lineRule="auto"/>
        <w:ind w:firstLine="480" w:firstLineChars="200"/>
        <w:jc w:val="left"/>
        <w:rPr>
          <w:b w:val="0"/>
          <w:color w:val="auto"/>
        </w:rPr>
      </w:pPr>
      <w:r>
        <w:rPr>
          <w:b w:val="0"/>
          <w:color w:val="auto"/>
        </w:rPr>
        <w:t>本次环境空气质量现状监测数据统计分析结果见表4</w:t>
      </w:r>
      <w:r>
        <w:rPr>
          <w:rFonts w:hint="eastAsia"/>
          <w:b w:val="0"/>
          <w:color w:val="auto"/>
        </w:rPr>
        <w:t>.2-6</w:t>
      </w:r>
      <w:r>
        <w:rPr>
          <w:b w:val="0"/>
          <w:color w:val="auto"/>
        </w:rPr>
        <w:t>。</w:t>
      </w:r>
    </w:p>
    <w:p>
      <w:pPr>
        <w:spacing w:after="154" w:afterLines="30" w:line="500" w:lineRule="exact"/>
        <w:ind w:firstLine="0" w:firstLineChars="0"/>
        <w:jc w:val="center"/>
        <w:rPr>
          <w:b/>
          <w:color w:val="auto"/>
        </w:rPr>
      </w:pPr>
      <w:r>
        <w:rPr>
          <w:b/>
          <w:color w:val="auto"/>
        </w:rPr>
        <w:t>表4</w:t>
      </w:r>
      <w:r>
        <w:rPr>
          <w:rFonts w:hint="eastAsia"/>
          <w:b/>
          <w:color w:val="auto"/>
        </w:rPr>
        <w:t>.2</w:t>
      </w:r>
      <w:r>
        <w:rPr>
          <w:b/>
          <w:color w:val="auto"/>
        </w:rPr>
        <w:t>-</w:t>
      </w:r>
      <w:r>
        <w:rPr>
          <w:rFonts w:hint="eastAsia"/>
          <w:b/>
          <w:color w:val="auto"/>
        </w:rPr>
        <w:t>6</w:t>
      </w:r>
      <w:r>
        <w:rPr>
          <w:b/>
          <w:color w:val="auto"/>
        </w:rPr>
        <w:t xml:space="preserve">       环境空气质量特征因子现状监测结果统计一览表</w:t>
      </w:r>
    </w:p>
    <w:tbl>
      <w:tblPr>
        <w:tblStyle w:val="27"/>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57" w:type="dxa"/>
          <w:left w:w="108" w:type="dxa"/>
          <w:bottom w:w="57" w:type="dxa"/>
          <w:right w:w="108" w:type="dxa"/>
        </w:tblCellMar>
      </w:tblPr>
      <w:tblGrid>
        <w:gridCol w:w="1158"/>
        <w:gridCol w:w="2016"/>
        <w:gridCol w:w="2495"/>
        <w:gridCol w:w="2002"/>
        <w:gridCol w:w="149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57" w:type="dxa"/>
            <w:left w:w="108" w:type="dxa"/>
            <w:bottom w:w="57" w:type="dxa"/>
            <w:right w:w="108" w:type="dxa"/>
          </w:tblCellMar>
        </w:tblPrEx>
        <w:trPr>
          <w:cantSplit/>
          <w:jc w:val="center"/>
        </w:trPr>
        <w:tc>
          <w:tcPr>
            <w:tcW w:w="631" w:type="pct"/>
            <w:tcMar>
              <w:top w:w="57" w:type="dxa"/>
              <w:bottom w:w="57" w:type="dxa"/>
            </w:tcMar>
            <w:vAlign w:val="center"/>
          </w:tcPr>
          <w:p>
            <w:pPr>
              <w:spacing w:line="240" w:lineRule="auto"/>
              <w:ind w:firstLine="0" w:firstLineChars="0"/>
              <w:jc w:val="center"/>
              <w:rPr>
                <w:color w:val="auto"/>
                <w:sz w:val="21"/>
                <w:szCs w:val="21"/>
              </w:rPr>
            </w:pPr>
            <w:r>
              <w:rPr>
                <w:color w:val="auto"/>
                <w:sz w:val="21"/>
                <w:szCs w:val="21"/>
              </w:rPr>
              <w:t>监测项目</w:t>
            </w:r>
          </w:p>
        </w:tc>
        <w:tc>
          <w:tcPr>
            <w:tcW w:w="1099" w:type="pct"/>
            <w:tcMar>
              <w:top w:w="57" w:type="dxa"/>
              <w:bottom w:w="57" w:type="dxa"/>
            </w:tcMar>
            <w:vAlign w:val="center"/>
          </w:tcPr>
          <w:p>
            <w:pPr>
              <w:spacing w:line="240" w:lineRule="auto"/>
              <w:ind w:firstLine="0" w:firstLineChars="0"/>
              <w:jc w:val="center"/>
              <w:rPr>
                <w:color w:val="auto"/>
                <w:sz w:val="21"/>
                <w:szCs w:val="21"/>
              </w:rPr>
            </w:pPr>
            <w:r>
              <w:rPr>
                <w:color w:val="auto"/>
                <w:sz w:val="21"/>
                <w:szCs w:val="21"/>
              </w:rPr>
              <w:t>点位</w:t>
            </w:r>
          </w:p>
        </w:tc>
        <w:tc>
          <w:tcPr>
            <w:tcW w:w="1360" w:type="pct"/>
            <w:tcMar>
              <w:top w:w="57" w:type="dxa"/>
              <w:bottom w:w="57" w:type="dxa"/>
            </w:tcMar>
            <w:vAlign w:val="center"/>
          </w:tcPr>
          <w:p>
            <w:pPr>
              <w:spacing w:line="240" w:lineRule="auto"/>
              <w:ind w:firstLine="0" w:firstLineChars="0"/>
              <w:jc w:val="center"/>
              <w:rPr>
                <w:color w:val="auto"/>
                <w:sz w:val="21"/>
                <w:szCs w:val="21"/>
              </w:rPr>
            </w:pPr>
            <w:r>
              <w:rPr>
                <w:color w:val="auto"/>
                <w:sz w:val="21"/>
                <w:szCs w:val="21"/>
              </w:rPr>
              <w:t>浓度值范围</w:t>
            </w:r>
          </w:p>
          <w:p>
            <w:pPr>
              <w:spacing w:line="240" w:lineRule="auto"/>
              <w:ind w:firstLine="0" w:firstLineChars="0"/>
              <w:jc w:val="center"/>
              <w:rPr>
                <w:color w:val="auto"/>
                <w:sz w:val="21"/>
                <w:szCs w:val="21"/>
              </w:rPr>
            </w:pPr>
            <w:r>
              <w:rPr>
                <w:color w:val="auto"/>
                <w:sz w:val="21"/>
                <w:szCs w:val="21"/>
              </w:rPr>
              <w:t>（mg/m</w:t>
            </w:r>
            <w:r>
              <w:rPr>
                <w:color w:val="auto"/>
                <w:sz w:val="21"/>
                <w:szCs w:val="21"/>
                <w:vertAlign w:val="superscript"/>
              </w:rPr>
              <w:t>3</w:t>
            </w:r>
            <w:r>
              <w:rPr>
                <w:color w:val="auto"/>
                <w:sz w:val="21"/>
                <w:szCs w:val="21"/>
              </w:rPr>
              <w:t>）</w:t>
            </w:r>
          </w:p>
        </w:tc>
        <w:tc>
          <w:tcPr>
            <w:tcW w:w="1091" w:type="pct"/>
            <w:tcMar>
              <w:top w:w="57" w:type="dxa"/>
              <w:bottom w:w="57" w:type="dxa"/>
            </w:tcMar>
            <w:vAlign w:val="center"/>
          </w:tcPr>
          <w:p>
            <w:pPr>
              <w:spacing w:line="240" w:lineRule="auto"/>
              <w:ind w:firstLine="0" w:firstLineChars="0"/>
              <w:jc w:val="center"/>
              <w:rPr>
                <w:color w:val="auto"/>
                <w:sz w:val="21"/>
                <w:szCs w:val="21"/>
              </w:rPr>
            </w:pPr>
            <w:r>
              <w:rPr>
                <w:color w:val="auto"/>
                <w:sz w:val="21"/>
                <w:szCs w:val="21"/>
              </w:rPr>
              <w:t>标准限值（</w:t>
            </w:r>
            <w:r>
              <w:rPr>
                <w:bCs/>
                <w:color w:val="auto"/>
                <w:sz w:val="21"/>
                <w:szCs w:val="21"/>
              </w:rPr>
              <w:t>m</w:t>
            </w:r>
            <w:r>
              <w:rPr>
                <w:color w:val="auto"/>
                <w:sz w:val="21"/>
                <w:szCs w:val="21"/>
              </w:rPr>
              <w:t>g/m</w:t>
            </w:r>
            <w:r>
              <w:rPr>
                <w:color w:val="auto"/>
                <w:sz w:val="21"/>
                <w:szCs w:val="21"/>
                <w:vertAlign w:val="superscript"/>
              </w:rPr>
              <w:t>3</w:t>
            </w:r>
            <w:r>
              <w:rPr>
                <w:color w:val="auto"/>
                <w:sz w:val="21"/>
                <w:szCs w:val="21"/>
              </w:rPr>
              <w:t>）</w:t>
            </w:r>
          </w:p>
        </w:tc>
        <w:tc>
          <w:tcPr>
            <w:tcW w:w="817" w:type="pct"/>
            <w:tcMar>
              <w:top w:w="57" w:type="dxa"/>
              <w:bottom w:w="57" w:type="dxa"/>
            </w:tcMar>
            <w:vAlign w:val="center"/>
          </w:tcPr>
          <w:p>
            <w:pPr>
              <w:spacing w:line="240" w:lineRule="auto"/>
              <w:ind w:firstLine="0" w:firstLineChars="0"/>
              <w:jc w:val="center"/>
              <w:rPr>
                <w:color w:val="auto"/>
                <w:sz w:val="21"/>
                <w:szCs w:val="21"/>
              </w:rPr>
            </w:pPr>
            <w:r>
              <w:rPr>
                <w:color w:val="auto"/>
                <w:sz w:val="21"/>
                <w:szCs w:val="21"/>
              </w:rPr>
              <w:t>超标率</w:t>
            </w:r>
          </w:p>
          <w:p>
            <w:pPr>
              <w:spacing w:line="240" w:lineRule="auto"/>
              <w:ind w:firstLine="0" w:firstLineChars="0"/>
              <w:jc w:val="center"/>
              <w:rPr>
                <w:color w:val="auto"/>
                <w:sz w:val="21"/>
                <w:szCs w:val="21"/>
              </w:rPr>
            </w:pPr>
            <w:r>
              <w:rPr>
                <w:color w:val="auto"/>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57" w:type="dxa"/>
            <w:left w:w="108" w:type="dxa"/>
            <w:bottom w:w="57" w:type="dxa"/>
            <w:right w:w="108" w:type="dxa"/>
          </w:tblCellMar>
        </w:tblPrEx>
        <w:trPr>
          <w:cantSplit/>
          <w:jc w:val="center"/>
        </w:trPr>
        <w:tc>
          <w:tcPr>
            <w:tcW w:w="631" w:type="pct"/>
            <w:vMerge w:val="restart"/>
            <w:tcMar>
              <w:top w:w="57" w:type="dxa"/>
              <w:bottom w:w="57" w:type="dxa"/>
            </w:tcMar>
            <w:vAlign w:val="center"/>
          </w:tcPr>
          <w:p>
            <w:pPr>
              <w:spacing w:line="240" w:lineRule="auto"/>
              <w:ind w:firstLine="0" w:firstLineChars="0"/>
              <w:jc w:val="center"/>
              <w:rPr>
                <w:color w:val="auto"/>
                <w:sz w:val="21"/>
                <w:szCs w:val="21"/>
              </w:rPr>
            </w:pPr>
            <w:r>
              <w:rPr>
                <w:rFonts w:hint="eastAsia"/>
                <w:color w:val="auto"/>
                <w:sz w:val="21"/>
                <w:szCs w:val="21"/>
              </w:rPr>
              <w:t>NH</w:t>
            </w:r>
            <w:r>
              <w:rPr>
                <w:rFonts w:hint="eastAsia"/>
                <w:color w:val="auto"/>
                <w:sz w:val="21"/>
                <w:szCs w:val="21"/>
                <w:vertAlign w:val="subscript"/>
              </w:rPr>
              <w:t>3</w:t>
            </w:r>
            <w:r>
              <w:rPr>
                <w:color w:val="auto"/>
                <w:sz w:val="21"/>
                <w:szCs w:val="21"/>
              </w:rPr>
              <w:t>一次值</w:t>
            </w:r>
          </w:p>
        </w:tc>
        <w:tc>
          <w:tcPr>
            <w:tcW w:w="1099" w:type="pct"/>
            <w:tcMar>
              <w:top w:w="57" w:type="dxa"/>
              <w:bottom w:w="57" w:type="dxa"/>
            </w:tcMar>
            <w:vAlign w:val="center"/>
          </w:tcPr>
          <w:p>
            <w:pPr>
              <w:spacing w:line="240" w:lineRule="auto"/>
              <w:ind w:firstLine="0" w:firstLineChars="0"/>
              <w:jc w:val="center"/>
              <w:rPr>
                <w:color w:val="auto"/>
                <w:sz w:val="21"/>
                <w:szCs w:val="21"/>
              </w:rPr>
            </w:pPr>
            <w:r>
              <w:rPr>
                <w:rFonts w:hint="eastAsia"/>
                <w:color w:val="auto"/>
                <w:sz w:val="21"/>
                <w:szCs w:val="21"/>
              </w:rPr>
              <w:t>厂址</w:t>
            </w:r>
          </w:p>
        </w:tc>
        <w:tc>
          <w:tcPr>
            <w:tcW w:w="1360" w:type="pct"/>
            <w:tcMar>
              <w:top w:w="57" w:type="dxa"/>
              <w:bottom w:w="57" w:type="dxa"/>
            </w:tcMar>
            <w:vAlign w:val="center"/>
          </w:tcPr>
          <w:p>
            <w:pPr>
              <w:spacing w:line="240" w:lineRule="auto"/>
              <w:ind w:firstLine="0" w:firstLineChars="0"/>
              <w:jc w:val="center"/>
              <w:rPr>
                <w:color w:val="auto"/>
                <w:sz w:val="21"/>
                <w:szCs w:val="21"/>
              </w:rPr>
            </w:pPr>
            <w:r>
              <w:rPr>
                <w:rFonts w:hint="eastAsia"/>
                <w:color w:val="auto"/>
                <w:sz w:val="21"/>
                <w:szCs w:val="21"/>
              </w:rPr>
              <w:t>0.095-0.123</w:t>
            </w:r>
          </w:p>
        </w:tc>
        <w:tc>
          <w:tcPr>
            <w:tcW w:w="1091" w:type="pct"/>
            <w:vMerge w:val="restart"/>
            <w:tcMar>
              <w:top w:w="57" w:type="dxa"/>
              <w:bottom w:w="57" w:type="dxa"/>
            </w:tcMar>
            <w:vAlign w:val="center"/>
          </w:tcPr>
          <w:p>
            <w:pPr>
              <w:spacing w:line="240" w:lineRule="auto"/>
              <w:ind w:firstLine="0" w:firstLineChars="0"/>
              <w:jc w:val="center"/>
              <w:rPr>
                <w:color w:val="auto"/>
                <w:sz w:val="21"/>
                <w:szCs w:val="21"/>
              </w:rPr>
            </w:pPr>
            <w:r>
              <w:rPr>
                <w:rFonts w:hint="eastAsia"/>
                <w:color w:val="auto"/>
                <w:sz w:val="21"/>
                <w:szCs w:val="21"/>
              </w:rPr>
              <w:t>0.20</w:t>
            </w:r>
          </w:p>
        </w:tc>
        <w:tc>
          <w:tcPr>
            <w:tcW w:w="817" w:type="pct"/>
            <w:tcMar>
              <w:top w:w="57" w:type="dxa"/>
              <w:bottom w:w="57" w:type="dxa"/>
            </w:tcMar>
            <w:vAlign w:val="center"/>
          </w:tcPr>
          <w:p>
            <w:pPr>
              <w:spacing w:line="240" w:lineRule="auto"/>
              <w:ind w:firstLine="0" w:firstLineChars="0"/>
              <w:jc w:val="center"/>
              <w:rPr>
                <w:color w:val="auto"/>
                <w:sz w:val="21"/>
                <w:szCs w:val="21"/>
              </w:rPr>
            </w:pPr>
            <w:r>
              <w:rPr>
                <w:color w:val="auto"/>
                <w:sz w:val="21"/>
                <w:szCs w:val="21"/>
              </w:rPr>
              <w:t>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57" w:type="dxa"/>
            <w:left w:w="108" w:type="dxa"/>
            <w:bottom w:w="57" w:type="dxa"/>
            <w:right w:w="108" w:type="dxa"/>
          </w:tblCellMar>
        </w:tblPrEx>
        <w:trPr>
          <w:cantSplit/>
          <w:jc w:val="center"/>
        </w:trPr>
        <w:tc>
          <w:tcPr>
            <w:tcW w:w="631" w:type="pct"/>
            <w:vMerge w:val="continue"/>
            <w:tcMar>
              <w:top w:w="57" w:type="dxa"/>
              <w:bottom w:w="57" w:type="dxa"/>
            </w:tcMar>
            <w:vAlign w:val="center"/>
          </w:tcPr>
          <w:p>
            <w:pPr>
              <w:spacing w:line="240" w:lineRule="auto"/>
              <w:ind w:firstLine="0" w:firstLineChars="0"/>
              <w:jc w:val="center"/>
              <w:rPr>
                <w:color w:val="auto"/>
                <w:sz w:val="21"/>
                <w:szCs w:val="21"/>
              </w:rPr>
            </w:pPr>
          </w:p>
        </w:tc>
        <w:tc>
          <w:tcPr>
            <w:tcW w:w="1099" w:type="pct"/>
            <w:tcMar>
              <w:top w:w="57" w:type="dxa"/>
              <w:bottom w:w="57" w:type="dxa"/>
            </w:tcMar>
            <w:vAlign w:val="center"/>
          </w:tcPr>
          <w:p>
            <w:pPr>
              <w:spacing w:line="240" w:lineRule="auto"/>
              <w:ind w:firstLine="0" w:firstLineChars="0"/>
              <w:jc w:val="center"/>
              <w:rPr>
                <w:color w:val="auto"/>
                <w:sz w:val="21"/>
                <w:szCs w:val="21"/>
              </w:rPr>
            </w:pPr>
            <w:r>
              <w:rPr>
                <w:rFonts w:hint="eastAsia"/>
                <w:color w:val="auto"/>
                <w:sz w:val="21"/>
                <w:szCs w:val="21"/>
              </w:rPr>
              <w:t>东高城村</w:t>
            </w:r>
          </w:p>
        </w:tc>
        <w:tc>
          <w:tcPr>
            <w:tcW w:w="1360" w:type="pct"/>
            <w:tcMar>
              <w:top w:w="57" w:type="dxa"/>
              <w:bottom w:w="57" w:type="dxa"/>
            </w:tcMar>
            <w:vAlign w:val="center"/>
          </w:tcPr>
          <w:p>
            <w:pPr>
              <w:spacing w:line="240" w:lineRule="auto"/>
              <w:ind w:firstLine="0" w:firstLineChars="0"/>
              <w:jc w:val="center"/>
              <w:rPr>
                <w:color w:val="auto"/>
                <w:sz w:val="21"/>
                <w:szCs w:val="21"/>
              </w:rPr>
            </w:pPr>
            <w:r>
              <w:rPr>
                <w:rFonts w:hint="eastAsia"/>
                <w:color w:val="auto"/>
                <w:sz w:val="21"/>
                <w:szCs w:val="21"/>
              </w:rPr>
              <w:t>0.068-0.098</w:t>
            </w:r>
          </w:p>
        </w:tc>
        <w:tc>
          <w:tcPr>
            <w:tcW w:w="1091" w:type="pct"/>
            <w:vMerge w:val="continue"/>
            <w:tcMar>
              <w:top w:w="57" w:type="dxa"/>
              <w:bottom w:w="57" w:type="dxa"/>
            </w:tcMar>
            <w:vAlign w:val="center"/>
          </w:tcPr>
          <w:p>
            <w:pPr>
              <w:spacing w:line="240" w:lineRule="auto"/>
              <w:ind w:firstLine="0" w:firstLineChars="0"/>
              <w:jc w:val="center"/>
              <w:rPr>
                <w:color w:val="auto"/>
                <w:sz w:val="21"/>
                <w:szCs w:val="21"/>
              </w:rPr>
            </w:pPr>
          </w:p>
        </w:tc>
        <w:tc>
          <w:tcPr>
            <w:tcW w:w="817" w:type="pct"/>
            <w:tcMar>
              <w:top w:w="57" w:type="dxa"/>
              <w:bottom w:w="57" w:type="dxa"/>
            </w:tcMar>
            <w:vAlign w:val="center"/>
          </w:tcPr>
          <w:p>
            <w:pPr>
              <w:spacing w:line="240" w:lineRule="auto"/>
              <w:ind w:firstLine="0" w:firstLineChars="0"/>
              <w:jc w:val="center"/>
              <w:rPr>
                <w:color w:val="auto"/>
                <w:sz w:val="21"/>
                <w:szCs w:val="21"/>
              </w:rPr>
            </w:pPr>
            <w:r>
              <w:rPr>
                <w:color w:val="auto"/>
                <w:sz w:val="21"/>
                <w:szCs w:val="21"/>
              </w:rPr>
              <w:t>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57" w:type="dxa"/>
            <w:left w:w="108" w:type="dxa"/>
            <w:bottom w:w="57" w:type="dxa"/>
            <w:right w:w="108" w:type="dxa"/>
          </w:tblCellMar>
        </w:tblPrEx>
        <w:trPr>
          <w:cantSplit/>
          <w:jc w:val="center"/>
        </w:trPr>
        <w:tc>
          <w:tcPr>
            <w:tcW w:w="631" w:type="pct"/>
            <w:vMerge w:val="restart"/>
            <w:tcMar>
              <w:top w:w="57" w:type="dxa"/>
              <w:bottom w:w="57" w:type="dxa"/>
            </w:tcMar>
            <w:vAlign w:val="center"/>
          </w:tcPr>
          <w:p>
            <w:pPr>
              <w:spacing w:line="240" w:lineRule="auto"/>
              <w:ind w:firstLine="0" w:firstLineChars="0"/>
              <w:jc w:val="center"/>
              <w:rPr>
                <w:color w:val="auto"/>
                <w:sz w:val="21"/>
                <w:szCs w:val="21"/>
              </w:rPr>
            </w:pPr>
            <w:r>
              <w:rPr>
                <w:rFonts w:hint="eastAsia"/>
                <w:color w:val="auto"/>
                <w:sz w:val="21"/>
                <w:szCs w:val="21"/>
              </w:rPr>
              <w:t>H</w:t>
            </w:r>
            <w:r>
              <w:rPr>
                <w:rFonts w:hint="eastAsia"/>
                <w:color w:val="auto"/>
                <w:sz w:val="21"/>
                <w:szCs w:val="21"/>
                <w:vertAlign w:val="subscript"/>
              </w:rPr>
              <w:t>2</w:t>
            </w:r>
            <w:r>
              <w:rPr>
                <w:rFonts w:hint="eastAsia"/>
                <w:color w:val="auto"/>
                <w:sz w:val="21"/>
                <w:szCs w:val="21"/>
              </w:rPr>
              <w:t>S</w:t>
            </w:r>
            <w:r>
              <w:rPr>
                <w:color w:val="auto"/>
                <w:sz w:val="21"/>
                <w:szCs w:val="21"/>
              </w:rPr>
              <w:t>一次值</w:t>
            </w:r>
          </w:p>
        </w:tc>
        <w:tc>
          <w:tcPr>
            <w:tcW w:w="1099" w:type="pct"/>
            <w:tcMar>
              <w:top w:w="57" w:type="dxa"/>
              <w:bottom w:w="57" w:type="dxa"/>
            </w:tcMar>
            <w:vAlign w:val="center"/>
          </w:tcPr>
          <w:p>
            <w:pPr>
              <w:spacing w:line="240" w:lineRule="auto"/>
              <w:ind w:firstLine="0" w:firstLineChars="0"/>
              <w:jc w:val="center"/>
              <w:rPr>
                <w:color w:val="auto"/>
                <w:sz w:val="21"/>
                <w:szCs w:val="21"/>
              </w:rPr>
            </w:pPr>
            <w:r>
              <w:rPr>
                <w:rFonts w:hint="eastAsia"/>
                <w:color w:val="auto"/>
                <w:sz w:val="21"/>
                <w:szCs w:val="21"/>
              </w:rPr>
              <w:t>厂址</w:t>
            </w:r>
          </w:p>
        </w:tc>
        <w:tc>
          <w:tcPr>
            <w:tcW w:w="1360" w:type="pct"/>
            <w:tcMar>
              <w:top w:w="57" w:type="dxa"/>
              <w:bottom w:w="57" w:type="dxa"/>
            </w:tcMar>
            <w:vAlign w:val="center"/>
          </w:tcPr>
          <w:p>
            <w:pPr>
              <w:spacing w:line="240" w:lineRule="auto"/>
              <w:ind w:firstLine="0" w:firstLineChars="0"/>
              <w:jc w:val="center"/>
              <w:rPr>
                <w:color w:val="auto"/>
                <w:sz w:val="21"/>
                <w:szCs w:val="21"/>
              </w:rPr>
            </w:pPr>
            <w:r>
              <w:rPr>
                <w:rFonts w:hint="eastAsia"/>
                <w:color w:val="auto"/>
                <w:sz w:val="21"/>
                <w:szCs w:val="21"/>
              </w:rPr>
              <w:t>0.002-0.003</w:t>
            </w:r>
          </w:p>
        </w:tc>
        <w:tc>
          <w:tcPr>
            <w:tcW w:w="1091" w:type="pct"/>
            <w:vMerge w:val="restart"/>
            <w:tcMar>
              <w:top w:w="57" w:type="dxa"/>
              <w:bottom w:w="57" w:type="dxa"/>
            </w:tcMar>
            <w:vAlign w:val="center"/>
          </w:tcPr>
          <w:p>
            <w:pPr>
              <w:spacing w:line="240" w:lineRule="auto"/>
              <w:ind w:firstLine="0" w:firstLineChars="0"/>
              <w:jc w:val="center"/>
              <w:rPr>
                <w:color w:val="auto"/>
                <w:sz w:val="21"/>
                <w:szCs w:val="21"/>
              </w:rPr>
            </w:pPr>
            <w:r>
              <w:rPr>
                <w:rFonts w:hint="eastAsia"/>
                <w:color w:val="auto"/>
                <w:sz w:val="21"/>
                <w:szCs w:val="21"/>
              </w:rPr>
              <w:t>0.01</w:t>
            </w:r>
          </w:p>
        </w:tc>
        <w:tc>
          <w:tcPr>
            <w:tcW w:w="817" w:type="pct"/>
            <w:tcMar>
              <w:top w:w="57" w:type="dxa"/>
              <w:bottom w:w="57" w:type="dxa"/>
            </w:tcMar>
            <w:vAlign w:val="center"/>
          </w:tcPr>
          <w:p>
            <w:pPr>
              <w:spacing w:line="240" w:lineRule="auto"/>
              <w:ind w:firstLine="0" w:firstLineChars="0"/>
              <w:jc w:val="center"/>
              <w:rPr>
                <w:color w:val="auto"/>
                <w:sz w:val="21"/>
                <w:szCs w:val="21"/>
              </w:rPr>
            </w:pPr>
            <w:r>
              <w:rPr>
                <w:color w:val="auto"/>
                <w:sz w:val="21"/>
                <w:szCs w:val="21"/>
              </w:rPr>
              <w:t>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57" w:type="dxa"/>
            <w:left w:w="108" w:type="dxa"/>
            <w:bottom w:w="57" w:type="dxa"/>
            <w:right w:w="108" w:type="dxa"/>
          </w:tblCellMar>
        </w:tblPrEx>
        <w:trPr>
          <w:cantSplit/>
          <w:jc w:val="center"/>
        </w:trPr>
        <w:tc>
          <w:tcPr>
            <w:tcW w:w="631" w:type="pct"/>
            <w:vMerge w:val="continue"/>
            <w:tcMar>
              <w:top w:w="57" w:type="dxa"/>
              <w:bottom w:w="57" w:type="dxa"/>
            </w:tcMar>
            <w:vAlign w:val="center"/>
          </w:tcPr>
          <w:p>
            <w:pPr>
              <w:spacing w:line="240" w:lineRule="auto"/>
              <w:ind w:firstLine="0" w:firstLineChars="0"/>
              <w:jc w:val="center"/>
              <w:rPr>
                <w:color w:val="auto"/>
                <w:sz w:val="21"/>
                <w:szCs w:val="21"/>
              </w:rPr>
            </w:pPr>
          </w:p>
        </w:tc>
        <w:tc>
          <w:tcPr>
            <w:tcW w:w="1099" w:type="pct"/>
            <w:tcMar>
              <w:top w:w="57" w:type="dxa"/>
              <w:bottom w:w="57" w:type="dxa"/>
            </w:tcMar>
            <w:vAlign w:val="center"/>
          </w:tcPr>
          <w:p>
            <w:pPr>
              <w:spacing w:line="240" w:lineRule="auto"/>
              <w:ind w:firstLine="0" w:firstLineChars="0"/>
              <w:jc w:val="center"/>
              <w:rPr>
                <w:color w:val="auto"/>
                <w:sz w:val="21"/>
                <w:szCs w:val="21"/>
              </w:rPr>
            </w:pPr>
            <w:r>
              <w:rPr>
                <w:rFonts w:hint="eastAsia"/>
                <w:color w:val="auto"/>
                <w:sz w:val="21"/>
                <w:szCs w:val="21"/>
              </w:rPr>
              <w:t>东高城村</w:t>
            </w:r>
          </w:p>
        </w:tc>
        <w:tc>
          <w:tcPr>
            <w:tcW w:w="1360" w:type="pct"/>
            <w:tcMar>
              <w:top w:w="57" w:type="dxa"/>
              <w:bottom w:w="57" w:type="dxa"/>
            </w:tcMar>
            <w:vAlign w:val="center"/>
          </w:tcPr>
          <w:p>
            <w:pPr>
              <w:spacing w:line="240" w:lineRule="auto"/>
              <w:ind w:firstLine="0" w:firstLineChars="0"/>
              <w:jc w:val="center"/>
              <w:rPr>
                <w:color w:val="auto"/>
                <w:sz w:val="21"/>
                <w:szCs w:val="21"/>
              </w:rPr>
            </w:pPr>
            <w:r>
              <w:rPr>
                <w:rFonts w:hint="eastAsia"/>
                <w:color w:val="auto"/>
                <w:sz w:val="21"/>
                <w:szCs w:val="21"/>
              </w:rPr>
              <w:t>0.001-0.002</w:t>
            </w:r>
          </w:p>
        </w:tc>
        <w:tc>
          <w:tcPr>
            <w:tcW w:w="1091" w:type="pct"/>
            <w:vMerge w:val="continue"/>
            <w:tcMar>
              <w:top w:w="57" w:type="dxa"/>
              <w:bottom w:w="57" w:type="dxa"/>
            </w:tcMar>
            <w:vAlign w:val="center"/>
          </w:tcPr>
          <w:p>
            <w:pPr>
              <w:spacing w:line="240" w:lineRule="auto"/>
              <w:ind w:firstLine="0" w:firstLineChars="0"/>
              <w:jc w:val="center"/>
              <w:rPr>
                <w:color w:val="auto"/>
                <w:sz w:val="21"/>
                <w:szCs w:val="21"/>
              </w:rPr>
            </w:pPr>
          </w:p>
        </w:tc>
        <w:tc>
          <w:tcPr>
            <w:tcW w:w="817" w:type="pct"/>
            <w:tcMar>
              <w:top w:w="57" w:type="dxa"/>
              <w:bottom w:w="57" w:type="dxa"/>
            </w:tcMar>
            <w:vAlign w:val="center"/>
          </w:tcPr>
          <w:p>
            <w:pPr>
              <w:spacing w:line="240" w:lineRule="auto"/>
              <w:ind w:firstLine="0" w:firstLineChars="0"/>
              <w:jc w:val="center"/>
              <w:rPr>
                <w:color w:val="auto"/>
                <w:sz w:val="21"/>
                <w:szCs w:val="21"/>
              </w:rPr>
            </w:pPr>
            <w:r>
              <w:rPr>
                <w:rFonts w:hint="eastAsia"/>
                <w:color w:val="auto"/>
                <w:sz w:val="21"/>
                <w:szCs w:val="21"/>
              </w:rPr>
              <w:t>0</w:t>
            </w:r>
          </w:p>
        </w:tc>
      </w:tr>
    </w:tbl>
    <w:p>
      <w:pPr>
        <w:ind w:firstLine="480"/>
        <w:rPr>
          <w:color w:val="auto"/>
        </w:rPr>
      </w:pPr>
      <w:r>
        <w:rPr>
          <w:color w:val="auto"/>
        </w:rPr>
        <w:t>由表4</w:t>
      </w:r>
      <w:r>
        <w:rPr>
          <w:rFonts w:hint="eastAsia"/>
          <w:color w:val="auto"/>
        </w:rPr>
        <w:t>.3-6</w:t>
      </w:r>
      <w:r>
        <w:rPr>
          <w:color w:val="auto"/>
        </w:rPr>
        <w:t>可以看出，各监测点位NH</w:t>
      </w:r>
      <w:r>
        <w:rPr>
          <w:color w:val="auto"/>
          <w:vertAlign w:val="subscript"/>
        </w:rPr>
        <w:t>3</w:t>
      </w:r>
      <w:r>
        <w:rPr>
          <w:color w:val="auto"/>
        </w:rPr>
        <w:t>、H</w:t>
      </w:r>
      <w:r>
        <w:rPr>
          <w:color w:val="auto"/>
          <w:vertAlign w:val="subscript"/>
        </w:rPr>
        <w:t>2</w:t>
      </w:r>
      <w:r>
        <w:rPr>
          <w:color w:val="auto"/>
        </w:rPr>
        <w:t>S浓度均符合《环境影响评价技术导则  大气环境》（HJ 2.2-2018）附录D参考限值</w:t>
      </w:r>
      <w:r>
        <w:rPr>
          <w:rFonts w:hint="eastAsia"/>
          <w:color w:val="auto"/>
        </w:rPr>
        <w:t>。</w:t>
      </w:r>
    </w:p>
    <w:p>
      <w:pPr>
        <w:pStyle w:val="6"/>
        <w:tabs>
          <w:tab w:val="left" w:pos="0"/>
        </w:tabs>
        <w:rPr>
          <w:color w:val="auto"/>
        </w:rPr>
      </w:pPr>
      <w:r>
        <w:rPr>
          <w:color w:val="auto"/>
        </w:rPr>
        <w:t>4.</w:t>
      </w:r>
      <w:r>
        <w:rPr>
          <w:rFonts w:hint="eastAsia"/>
          <w:color w:val="auto"/>
          <w:lang w:val="en-US"/>
        </w:rPr>
        <w:t>2</w:t>
      </w:r>
      <w:r>
        <w:rPr>
          <w:color w:val="auto"/>
        </w:rPr>
        <w:t>.2  地表水质量现状调查与评价</w:t>
      </w:r>
    </w:p>
    <w:p>
      <w:pPr>
        <w:autoSpaceDE w:val="0"/>
        <w:autoSpaceDN w:val="0"/>
        <w:ind w:firstLine="480"/>
        <w:textAlignment w:val="baseline"/>
        <w:rPr>
          <w:bCs/>
          <w:color w:val="auto"/>
          <w:kern w:val="0"/>
          <w:szCs w:val="28"/>
        </w:rPr>
      </w:pPr>
      <w:r>
        <w:rPr>
          <w:bCs/>
          <w:color w:val="auto"/>
          <w:kern w:val="0"/>
          <w:szCs w:val="28"/>
        </w:rPr>
        <w:t>4.</w:t>
      </w:r>
      <w:r>
        <w:rPr>
          <w:rFonts w:hint="eastAsia"/>
          <w:bCs/>
          <w:color w:val="auto"/>
          <w:kern w:val="0"/>
          <w:szCs w:val="28"/>
        </w:rPr>
        <w:t>2</w:t>
      </w:r>
      <w:r>
        <w:rPr>
          <w:bCs/>
          <w:color w:val="auto"/>
          <w:kern w:val="0"/>
          <w:szCs w:val="28"/>
        </w:rPr>
        <w:t xml:space="preserve">.2.1  </w:t>
      </w:r>
      <w:r>
        <w:rPr>
          <w:rFonts w:hint="eastAsia"/>
          <w:bCs/>
          <w:color w:val="auto"/>
          <w:kern w:val="0"/>
          <w:szCs w:val="28"/>
        </w:rPr>
        <w:t>监测断面位置及功能</w:t>
      </w:r>
    </w:p>
    <w:p>
      <w:pPr>
        <w:autoSpaceDE w:val="0"/>
        <w:autoSpaceDN w:val="0"/>
        <w:snapToGrid/>
        <w:spacing w:line="240" w:lineRule="auto"/>
        <w:ind w:firstLine="480"/>
        <w:rPr>
          <w:color w:val="auto"/>
          <w:kern w:val="0"/>
        </w:rPr>
      </w:pPr>
      <w:r>
        <w:rPr>
          <w:color w:val="auto"/>
          <w:kern w:val="0"/>
        </w:rPr>
        <w:t>本</w:t>
      </w:r>
      <w:r>
        <w:rPr>
          <w:rFonts w:hint="eastAsia"/>
          <w:color w:val="auto"/>
          <w:kern w:val="0"/>
        </w:rPr>
        <w:t>项目位于</w:t>
      </w:r>
      <w:r>
        <w:rPr>
          <w:rFonts w:hint="eastAsia"/>
          <w:color w:val="auto"/>
        </w:rPr>
        <w:t>濮阳市濮阳县五星乡于屯村东</w:t>
      </w:r>
      <w:r>
        <w:rPr>
          <w:rFonts w:hint="eastAsia"/>
          <w:color w:val="auto"/>
          <w:kern w:val="0"/>
        </w:rPr>
        <w:t>，距离本项目最近的地表水体为项目东侧董楼沟，董楼沟为金堤河的支流，本次评价引用濮阳市生态环境局公布的《濮阳市环境质量月报》2018年6月-2019年5月对濮阳县金堤河出境断面的监测数据。</w:t>
      </w:r>
      <w:r>
        <w:rPr>
          <w:color w:val="auto"/>
          <w:kern w:val="0"/>
        </w:rPr>
        <w:t>其</w:t>
      </w:r>
      <w:r>
        <w:rPr>
          <w:rFonts w:hint="eastAsia"/>
          <w:color w:val="auto"/>
          <w:kern w:val="0"/>
        </w:rPr>
        <w:t>监测断面位置、名称</w:t>
      </w:r>
      <w:r>
        <w:rPr>
          <w:color w:val="auto"/>
          <w:kern w:val="0"/>
        </w:rPr>
        <w:t>详见表</w:t>
      </w:r>
      <w:r>
        <w:rPr>
          <w:rFonts w:hint="eastAsia"/>
          <w:color w:val="auto"/>
          <w:kern w:val="0"/>
        </w:rPr>
        <w:t>4.2-7</w:t>
      </w:r>
      <w:r>
        <w:rPr>
          <w:color w:val="auto"/>
          <w:kern w:val="0"/>
        </w:rPr>
        <w:t>。</w:t>
      </w:r>
    </w:p>
    <w:p>
      <w:pPr>
        <w:autoSpaceDE w:val="0"/>
        <w:autoSpaceDN w:val="0"/>
        <w:snapToGrid/>
        <w:spacing w:line="240" w:lineRule="auto"/>
        <w:ind w:firstLine="440"/>
        <w:jc w:val="center"/>
        <w:rPr>
          <w:rFonts w:eastAsia="黑体"/>
          <w:color w:val="auto"/>
          <w:kern w:val="0"/>
          <w:sz w:val="22"/>
          <w:szCs w:val="22"/>
        </w:rPr>
      </w:pPr>
      <w:r>
        <w:rPr>
          <w:rFonts w:eastAsia="黑体"/>
          <w:color w:val="auto"/>
          <w:kern w:val="0"/>
          <w:sz w:val="22"/>
          <w:szCs w:val="22"/>
        </w:rPr>
        <w:t>表</w:t>
      </w:r>
      <w:r>
        <w:rPr>
          <w:rFonts w:hint="eastAsia" w:eastAsia="黑体"/>
          <w:color w:val="auto"/>
          <w:kern w:val="0"/>
          <w:sz w:val="22"/>
          <w:szCs w:val="22"/>
        </w:rPr>
        <w:t>4.2-7</w:t>
      </w:r>
      <w:r>
        <w:rPr>
          <w:rFonts w:eastAsia="黑体"/>
          <w:color w:val="auto"/>
          <w:kern w:val="0"/>
          <w:sz w:val="22"/>
          <w:szCs w:val="22"/>
        </w:rPr>
        <w:t xml:space="preserve">   地表水现状监测布点情况表</w:t>
      </w:r>
    </w:p>
    <w:tbl>
      <w:tblPr>
        <w:tblStyle w:val="27"/>
        <w:tblW w:w="4999"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3470"/>
        <w:gridCol w:w="5486"/>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86" w:hRule="exact"/>
          <w:jc w:val="center"/>
        </w:trPr>
        <w:tc>
          <w:tcPr>
            <w:tcW w:w="1937" w:type="pct"/>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color w:val="auto"/>
                <w:kern w:val="0"/>
                <w:sz w:val="21"/>
                <w:szCs w:val="21"/>
              </w:rPr>
              <w:t>地表水体</w:t>
            </w:r>
          </w:p>
        </w:tc>
        <w:tc>
          <w:tcPr>
            <w:tcW w:w="3062" w:type="pct"/>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rFonts w:hint="eastAsia"/>
                <w:color w:val="auto"/>
                <w:kern w:val="0"/>
                <w:sz w:val="21"/>
                <w:szCs w:val="21"/>
              </w:rPr>
              <w:t>监测断面名称</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86" w:hRule="exact"/>
          <w:jc w:val="center"/>
        </w:trPr>
        <w:tc>
          <w:tcPr>
            <w:tcW w:w="1937" w:type="pct"/>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rFonts w:hint="eastAsia"/>
                <w:color w:val="auto"/>
                <w:kern w:val="0"/>
                <w:sz w:val="21"/>
                <w:szCs w:val="21"/>
              </w:rPr>
              <w:t>金堤河</w:t>
            </w:r>
          </w:p>
        </w:tc>
        <w:tc>
          <w:tcPr>
            <w:tcW w:w="3062" w:type="pct"/>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color w:val="auto"/>
                <w:kern w:val="0"/>
                <w:sz w:val="21"/>
                <w:szCs w:val="21"/>
              </w:rPr>
              <w:t>宋海桥断面</w:t>
            </w:r>
          </w:p>
        </w:tc>
      </w:tr>
    </w:tbl>
    <w:p>
      <w:pPr>
        <w:autoSpaceDE w:val="0"/>
        <w:autoSpaceDN w:val="0"/>
        <w:ind w:firstLine="482"/>
        <w:textAlignment w:val="baseline"/>
        <w:rPr>
          <w:b/>
          <w:color w:val="auto"/>
          <w:kern w:val="0"/>
          <w:szCs w:val="28"/>
        </w:rPr>
      </w:pPr>
      <w:r>
        <w:rPr>
          <w:b/>
          <w:color w:val="auto"/>
          <w:kern w:val="0"/>
          <w:szCs w:val="28"/>
        </w:rPr>
        <w:t>4.</w:t>
      </w:r>
      <w:r>
        <w:rPr>
          <w:rFonts w:hint="eastAsia"/>
          <w:b/>
          <w:color w:val="auto"/>
          <w:kern w:val="0"/>
          <w:szCs w:val="28"/>
        </w:rPr>
        <w:t>2</w:t>
      </w:r>
      <w:r>
        <w:rPr>
          <w:b/>
          <w:color w:val="auto"/>
          <w:kern w:val="0"/>
          <w:szCs w:val="28"/>
        </w:rPr>
        <w:t xml:space="preserve">.2.2  </w:t>
      </w:r>
      <w:r>
        <w:rPr>
          <w:rFonts w:hint="eastAsia"/>
          <w:b/>
          <w:color w:val="auto"/>
          <w:kern w:val="0"/>
          <w:szCs w:val="28"/>
        </w:rPr>
        <w:t>监测因子、时间及监测频率</w:t>
      </w:r>
    </w:p>
    <w:p>
      <w:pPr>
        <w:ind w:firstLine="480"/>
        <w:jc w:val="left"/>
        <w:rPr>
          <w:color w:val="auto"/>
        </w:rPr>
      </w:pPr>
      <w:r>
        <w:rPr>
          <w:rFonts w:hint="eastAsia"/>
          <w:color w:val="auto"/>
        </w:rPr>
        <w:t>本次评价引用地表水环境质量现状监测因子为COD、氨氮、总磷，引用数据时段为2018年6月-2019年5月。</w:t>
      </w:r>
    </w:p>
    <w:p>
      <w:pPr>
        <w:autoSpaceDE w:val="0"/>
        <w:autoSpaceDN w:val="0"/>
        <w:ind w:firstLine="482"/>
        <w:textAlignment w:val="baseline"/>
        <w:rPr>
          <w:b/>
          <w:color w:val="auto"/>
          <w:kern w:val="0"/>
          <w:szCs w:val="28"/>
        </w:rPr>
      </w:pPr>
      <w:r>
        <w:rPr>
          <w:b/>
          <w:color w:val="auto"/>
          <w:kern w:val="0"/>
          <w:szCs w:val="28"/>
        </w:rPr>
        <w:t>4.</w:t>
      </w:r>
      <w:r>
        <w:rPr>
          <w:rFonts w:hint="eastAsia"/>
          <w:b/>
          <w:color w:val="auto"/>
          <w:kern w:val="0"/>
          <w:szCs w:val="28"/>
        </w:rPr>
        <w:t>2</w:t>
      </w:r>
      <w:r>
        <w:rPr>
          <w:b/>
          <w:color w:val="auto"/>
          <w:kern w:val="0"/>
          <w:szCs w:val="28"/>
        </w:rPr>
        <w:t xml:space="preserve">.2.3  </w:t>
      </w:r>
      <w:r>
        <w:rPr>
          <w:rFonts w:hint="eastAsia"/>
          <w:b/>
          <w:color w:val="auto"/>
          <w:kern w:val="0"/>
          <w:szCs w:val="28"/>
        </w:rPr>
        <w:t>监测因子分析方法</w:t>
      </w:r>
    </w:p>
    <w:p>
      <w:pPr>
        <w:ind w:firstLine="480"/>
        <w:jc w:val="left"/>
        <w:rPr>
          <w:color w:val="auto"/>
        </w:rPr>
      </w:pPr>
      <w:r>
        <w:rPr>
          <w:rFonts w:hint="eastAsia"/>
          <w:color w:val="auto"/>
        </w:rPr>
        <w:t>地表水各监测因子的分析方法见表</w:t>
      </w:r>
      <w:r>
        <w:rPr>
          <w:color w:val="auto"/>
        </w:rPr>
        <w:t>4.</w:t>
      </w:r>
      <w:r>
        <w:rPr>
          <w:rFonts w:hint="eastAsia"/>
          <w:color w:val="auto"/>
        </w:rPr>
        <w:t>2</w:t>
      </w:r>
      <w:r>
        <w:rPr>
          <w:color w:val="auto"/>
        </w:rPr>
        <w:t>-8</w:t>
      </w:r>
      <w:r>
        <w:rPr>
          <w:rFonts w:hint="eastAsia"/>
          <w:color w:val="auto"/>
        </w:rPr>
        <w:t>。</w:t>
      </w:r>
    </w:p>
    <w:p>
      <w:pPr>
        <w:ind w:firstLine="0" w:firstLineChars="0"/>
        <w:jc w:val="center"/>
        <w:rPr>
          <w:b/>
          <w:color w:val="auto"/>
        </w:rPr>
      </w:pPr>
      <w:r>
        <w:rPr>
          <w:rFonts w:hint="eastAsia"/>
          <w:b/>
          <w:color w:val="auto"/>
        </w:rPr>
        <w:t xml:space="preserve">表4.2-8 </w:t>
      </w:r>
      <w:r>
        <w:rPr>
          <w:b/>
          <w:color w:val="auto"/>
        </w:rPr>
        <w:t xml:space="preserve">           </w:t>
      </w:r>
      <w:r>
        <w:rPr>
          <w:rFonts w:hint="eastAsia"/>
          <w:b/>
          <w:color w:val="auto"/>
        </w:rPr>
        <w:t>地表水各监测因子分析方法一览表</w:t>
      </w:r>
    </w:p>
    <w:tbl>
      <w:tblPr>
        <w:tblStyle w:val="27"/>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53"/>
        <w:gridCol w:w="1637"/>
        <w:gridCol w:w="2752"/>
        <w:gridCol w:w="2031"/>
        <w:gridCol w:w="190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53" w:type="dxa"/>
            <w:tcMar>
              <w:top w:w="85" w:type="dxa"/>
              <w:left w:w="108" w:type="dxa"/>
              <w:bottom w:w="85" w:type="dxa"/>
              <w:right w:w="108" w:type="dxa"/>
            </w:tcMar>
            <w:vAlign w:val="center"/>
          </w:tcPr>
          <w:p>
            <w:pPr>
              <w:autoSpaceDE w:val="0"/>
              <w:autoSpaceDN w:val="0"/>
              <w:spacing w:line="240" w:lineRule="auto"/>
              <w:ind w:firstLine="0" w:firstLineChars="0"/>
              <w:jc w:val="center"/>
              <w:rPr>
                <w:color w:val="auto"/>
                <w:kern w:val="0"/>
                <w:sz w:val="21"/>
                <w:szCs w:val="21"/>
              </w:rPr>
            </w:pPr>
            <w:r>
              <w:rPr>
                <w:rFonts w:hint="eastAsia"/>
                <w:color w:val="auto"/>
                <w:kern w:val="0"/>
                <w:sz w:val="21"/>
                <w:szCs w:val="21"/>
              </w:rPr>
              <w:t>序号</w:t>
            </w:r>
          </w:p>
        </w:tc>
        <w:tc>
          <w:tcPr>
            <w:tcW w:w="1637" w:type="dxa"/>
            <w:tcMar>
              <w:top w:w="85" w:type="dxa"/>
              <w:left w:w="108" w:type="dxa"/>
              <w:bottom w:w="85" w:type="dxa"/>
              <w:right w:w="108" w:type="dxa"/>
            </w:tcMar>
            <w:vAlign w:val="center"/>
          </w:tcPr>
          <w:p>
            <w:pPr>
              <w:autoSpaceDE w:val="0"/>
              <w:autoSpaceDN w:val="0"/>
              <w:spacing w:line="240" w:lineRule="auto"/>
              <w:ind w:firstLine="0" w:firstLineChars="0"/>
              <w:jc w:val="center"/>
              <w:rPr>
                <w:color w:val="auto"/>
                <w:kern w:val="0"/>
                <w:sz w:val="21"/>
                <w:szCs w:val="21"/>
              </w:rPr>
            </w:pPr>
            <w:r>
              <w:rPr>
                <w:rFonts w:hint="eastAsia"/>
                <w:color w:val="auto"/>
                <w:kern w:val="0"/>
                <w:sz w:val="21"/>
                <w:szCs w:val="21"/>
              </w:rPr>
              <w:t>监测因子</w:t>
            </w:r>
          </w:p>
        </w:tc>
        <w:tc>
          <w:tcPr>
            <w:tcW w:w="2752" w:type="dxa"/>
            <w:tcMar>
              <w:top w:w="85" w:type="dxa"/>
              <w:left w:w="108" w:type="dxa"/>
              <w:bottom w:w="85" w:type="dxa"/>
              <w:right w:w="108" w:type="dxa"/>
            </w:tcMar>
            <w:vAlign w:val="center"/>
          </w:tcPr>
          <w:p>
            <w:pPr>
              <w:autoSpaceDE w:val="0"/>
              <w:autoSpaceDN w:val="0"/>
              <w:spacing w:line="240" w:lineRule="auto"/>
              <w:ind w:firstLine="0" w:firstLineChars="0"/>
              <w:jc w:val="center"/>
              <w:rPr>
                <w:color w:val="auto"/>
                <w:kern w:val="0"/>
                <w:sz w:val="21"/>
                <w:szCs w:val="21"/>
              </w:rPr>
            </w:pPr>
            <w:r>
              <w:rPr>
                <w:rFonts w:hint="eastAsia"/>
                <w:color w:val="auto"/>
                <w:kern w:val="0"/>
                <w:sz w:val="21"/>
                <w:szCs w:val="21"/>
              </w:rPr>
              <w:t>监测方法</w:t>
            </w:r>
          </w:p>
        </w:tc>
        <w:tc>
          <w:tcPr>
            <w:tcW w:w="2031" w:type="dxa"/>
            <w:tcMar>
              <w:top w:w="85" w:type="dxa"/>
              <w:left w:w="108" w:type="dxa"/>
              <w:bottom w:w="85" w:type="dxa"/>
              <w:right w:w="108" w:type="dxa"/>
            </w:tcMar>
            <w:vAlign w:val="center"/>
          </w:tcPr>
          <w:p>
            <w:pPr>
              <w:autoSpaceDE w:val="0"/>
              <w:autoSpaceDN w:val="0"/>
              <w:spacing w:line="240" w:lineRule="auto"/>
              <w:ind w:firstLine="0" w:firstLineChars="0"/>
              <w:jc w:val="center"/>
              <w:rPr>
                <w:color w:val="auto"/>
                <w:kern w:val="0"/>
                <w:sz w:val="21"/>
                <w:szCs w:val="21"/>
              </w:rPr>
            </w:pPr>
            <w:r>
              <w:rPr>
                <w:rFonts w:hint="eastAsia"/>
                <w:color w:val="auto"/>
                <w:kern w:val="0"/>
                <w:sz w:val="21"/>
                <w:szCs w:val="21"/>
              </w:rPr>
              <w:t>方法来源</w:t>
            </w:r>
          </w:p>
        </w:tc>
        <w:tc>
          <w:tcPr>
            <w:tcW w:w="1901" w:type="dxa"/>
            <w:tcMar>
              <w:top w:w="85" w:type="dxa"/>
              <w:left w:w="108" w:type="dxa"/>
              <w:bottom w:w="85" w:type="dxa"/>
              <w:right w:w="108" w:type="dxa"/>
            </w:tcMar>
            <w:vAlign w:val="center"/>
          </w:tcPr>
          <w:p>
            <w:pPr>
              <w:autoSpaceDE w:val="0"/>
              <w:autoSpaceDN w:val="0"/>
              <w:spacing w:line="240" w:lineRule="auto"/>
              <w:ind w:firstLine="0" w:firstLineChars="0"/>
              <w:jc w:val="center"/>
              <w:rPr>
                <w:color w:val="auto"/>
                <w:kern w:val="0"/>
                <w:sz w:val="21"/>
                <w:szCs w:val="21"/>
              </w:rPr>
            </w:pPr>
            <w:r>
              <w:rPr>
                <w:rFonts w:hint="eastAsia"/>
                <w:color w:val="auto"/>
                <w:kern w:val="0"/>
                <w:sz w:val="21"/>
                <w:szCs w:val="21"/>
              </w:rPr>
              <w:t>检出限（</w:t>
            </w:r>
            <w:r>
              <w:rPr>
                <w:color w:val="auto"/>
                <w:kern w:val="0"/>
                <w:sz w:val="21"/>
                <w:szCs w:val="21"/>
              </w:rPr>
              <w:t>mg/L</w:t>
            </w:r>
            <w:r>
              <w:rPr>
                <w:rFonts w:hint="eastAsia"/>
                <w:color w:val="auto"/>
                <w:kern w:val="0"/>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53" w:type="dxa"/>
            <w:tcMar>
              <w:top w:w="85" w:type="dxa"/>
              <w:left w:w="108" w:type="dxa"/>
              <w:bottom w:w="85" w:type="dxa"/>
              <w:right w:w="108" w:type="dxa"/>
            </w:tcMar>
            <w:vAlign w:val="center"/>
          </w:tcPr>
          <w:p>
            <w:pPr>
              <w:autoSpaceDE w:val="0"/>
              <w:autoSpaceDN w:val="0"/>
              <w:spacing w:line="240" w:lineRule="auto"/>
              <w:ind w:firstLine="0" w:firstLineChars="0"/>
              <w:jc w:val="center"/>
              <w:rPr>
                <w:color w:val="auto"/>
                <w:kern w:val="0"/>
                <w:sz w:val="21"/>
                <w:szCs w:val="21"/>
              </w:rPr>
            </w:pPr>
            <w:r>
              <w:rPr>
                <w:rFonts w:hint="eastAsia"/>
                <w:color w:val="auto"/>
                <w:kern w:val="0"/>
                <w:sz w:val="21"/>
                <w:szCs w:val="21"/>
              </w:rPr>
              <w:t>1</w:t>
            </w:r>
          </w:p>
        </w:tc>
        <w:tc>
          <w:tcPr>
            <w:tcW w:w="1637" w:type="dxa"/>
            <w:tcMar>
              <w:top w:w="85" w:type="dxa"/>
              <w:left w:w="108" w:type="dxa"/>
              <w:bottom w:w="85" w:type="dxa"/>
              <w:right w:w="108" w:type="dxa"/>
            </w:tcMar>
            <w:vAlign w:val="center"/>
          </w:tcPr>
          <w:p>
            <w:pPr>
              <w:autoSpaceDE w:val="0"/>
              <w:autoSpaceDN w:val="0"/>
              <w:spacing w:line="240" w:lineRule="auto"/>
              <w:ind w:firstLine="0" w:firstLineChars="0"/>
              <w:jc w:val="center"/>
              <w:rPr>
                <w:color w:val="auto"/>
                <w:kern w:val="0"/>
                <w:sz w:val="21"/>
                <w:szCs w:val="21"/>
              </w:rPr>
            </w:pPr>
            <w:r>
              <w:rPr>
                <w:color w:val="auto"/>
                <w:kern w:val="0"/>
                <w:sz w:val="21"/>
                <w:szCs w:val="21"/>
              </w:rPr>
              <w:t>COD</w:t>
            </w:r>
          </w:p>
        </w:tc>
        <w:tc>
          <w:tcPr>
            <w:tcW w:w="2752" w:type="dxa"/>
            <w:tcMar>
              <w:top w:w="85" w:type="dxa"/>
              <w:left w:w="108" w:type="dxa"/>
              <w:bottom w:w="85" w:type="dxa"/>
              <w:right w:w="108" w:type="dxa"/>
            </w:tcMar>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重铬酸盐法</w:t>
            </w:r>
          </w:p>
        </w:tc>
        <w:tc>
          <w:tcPr>
            <w:tcW w:w="2031" w:type="dxa"/>
            <w:tcMar>
              <w:top w:w="85" w:type="dxa"/>
              <w:left w:w="108" w:type="dxa"/>
              <w:bottom w:w="85" w:type="dxa"/>
              <w:right w:w="108" w:type="dxa"/>
            </w:tcMar>
            <w:vAlign w:val="center"/>
          </w:tcPr>
          <w:p>
            <w:pPr>
              <w:widowControl/>
              <w:autoSpaceDE w:val="0"/>
              <w:autoSpaceDN w:val="0"/>
              <w:spacing w:line="240" w:lineRule="auto"/>
              <w:ind w:firstLine="0" w:firstLineChars="0"/>
              <w:jc w:val="center"/>
              <w:textAlignment w:val="center"/>
              <w:rPr>
                <w:color w:val="auto"/>
                <w:kern w:val="0"/>
                <w:sz w:val="21"/>
                <w:szCs w:val="21"/>
              </w:rPr>
            </w:pPr>
            <w:r>
              <w:rPr>
                <w:color w:val="auto"/>
                <w:kern w:val="0"/>
                <w:sz w:val="21"/>
                <w:szCs w:val="21"/>
              </w:rPr>
              <w:t>GB/T11914-1989</w:t>
            </w:r>
          </w:p>
        </w:tc>
        <w:tc>
          <w:tcPr>
            <w:tcW w:w="1901" w:type="dxa"/>
            <w:tcMar>
              <w:top w:w="85" w:type="dxa"/>
              <w:left w:w="108" w:type="dxa"/>
              <w:bottom w:w="85" w:type="dxa"/>
              <w:right w:w="108" w:type="dxa"/>
            </w:tcMar>
            <w:vAlign w:val="center"/>
          </w:tcPr>
          <w:p>
            <w:pPr>
              <w:widowControl/>
              <w:autoSpaceDE w:val="0"/>
              <w:autoSpaceDN w:val="0"/>
              <w:spacing w:line="240" w:lineRule="auto"/>
              <w:ind w:firstLine="0" w:firstLineChars="0"/>
              <w:jc w:val="center"/>
              <w:textAlignment w:val="center"/>
              <w:rPr>
                <w:color w:val="auto"/>
                <w:kern w:val="0"/>
                <w:sz w:val="21"/>
                <w:szCs w:val="21"/>
              </w:rPr>
            </w:pPr>
            <w:r>
              <w:rPr>
                <w:color w:val="auto"/>
                <w:kern w:val="0"/>
                <w:sz w:val="21"/>
                <w:szCs w:val="21"/>
              </w:rPr>
              <w:t>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53" w:type="dxa"/>
            <w:tcMar>
              <w:top w:w="85" w:type="dxa"/>
              <w:left w:w="108" w:type="dxa"/>
              <w:bottom w:w="85" w:type="dxa"/>
              <w:right w:w="108" w:type="dxa"/>
            </w:tcMar>
            <w:vAlign w:val="center"/>
          </w:tcPr>
          <w:p>
            <w:pPr>
              <w:autoSpaceDE w:val="0"/>
              <w:autoSpaceDN w:val="0"/>
              <w:spacing w:line="240" w:lineRule="auto"/>
              <w:ind w:firstLine="0" w:firstLineChars="0"/>
              <w:jc w:val="center"/>
              <w:rPr>
                <w:color w:val="auto"/>
                <w:kern w:val="0"/>
                <w:sz w:val="21"/>
                <w:szCs w:val="21"/>
              </w:rPr>
            </w:pPr>
            <w:r>
              <w:rPr>
                <w:rFonts w:hint="eastAsia"/>
                <w:color w:val="auto"/>
                <w:kern w:val="0"/>
                <w:sz w:val="21"/>
                <w:szCs w:val="21"/>
              </w:rPr>
              <w:t>2</w:t>
            </w:r>
          </w:p>
        </w:tc>
        <w:tc>
          <w:tcPr>
            <w:tcW w:w="1637" w:type="dxa"/>
            <w:tcMar>
              <w:top w:w="85" w:type="dxa"/>
              <w:left w:w="108" w:type="dxa"/>
              <w:bottom w:w="85" w:type="dxa"/>
              <w:right w:w="108" w:type="dxa"/>
            </w:tcMar>
            <w:vAlign w:val="center"/>
          </w:tcPr>
          <w:p>
            <w:pPr>
              <w:autoSpaceDE w:val="0"/>
              <w:autoSpaceDN w:val="0"/>
              <w:spacing w:line="240" w:lineRule="auto"/>
              <w:ind w:firstLine="0" w:firstLineChars="0"/>
              <w:jc w:val="center"/>
              <w:rPr>
                <w:color w:val="auto"/>
                <w:kern w:val="0"/>
                <w:sz w:val="21"/>
                <w:szCs w:val="21"/>
              </w:rPr>
            </w:pPr>
            <w:r>
              <w:rPr>
                <w:rFonts w:hint="eastAsia"/>
                <w:color w:val="auto"/>
                <w:kern w:val="0"/>
                <w:sz w:val="21"/>
                <w:szCs w:val="21"/>
              </w:rPr>
              <w:t>氨氮</w:t>
            </w:r>
          </w:p>
        </w:tc>
        <w:tc>
          <w:tcPr>
            <w:tcW w:w="2752" w:type="dxa"/>
            <w:tcMar>
              <w:top w:w="85" w:type="dxa"/>
              <w:left w:w="108" w:type="dxa"/>
              <w:bottom w:w="85" w:type="dxa"/>
              <w:right w:w="108" w:type="dxa"/>
            </w:tcMar>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纳氏试剂分光光度法</w:t>
            </w:r>
          </w:p>
        </w:tc>
        <w:tc>
          <w:tcPr>
            <w:tcW w:w="2031" w:type="dxa"/>
            <w:tcMar>
              <w:top w:w="85" w:type="dxa"/>
              <w:left w:w="108" w:type="dxa"/>
              <w:bottom w:w="85" w:type="dxa"/>
              <w:right w:w="108" w:type="dxa"/>
            </w:tcMar>
            <w:vAlign w:val="center"/>
          </w:tcPr>
          <w:p>
            <w:pPr>
              <w:widowControl/>
              <w:autoSpaceDE w:val="0"/>
              <w:autoSpaceDN w:val="0"/>
              <w:spacing w:line="240" w:lineRule="auto"/>
              <w:ind w:firstLine="0" w:firstLineChars="0"/>
              <w:jc w:val="center"/>
              <w:textAlignment w:val="center"/>
              <w:rPr>
                <w:color w:val="auto"/>
                <w:kern w:val="0"/>
                <w:sz w:val="21"/>
                <w:szCs w:val="21"/>
              </w:rPr>
            </w:pPr>
            <w:r>
              <w:rPr>
                <w:color w:val="auto"/>
                <w:kern w:val="0"/>
                <w:sz w:val="21"/>
                <w:szCs w:val="21"/>
              </w:rPr>
              <w:t>HJ 535-2009</w:t>
            </w:r>
          </w:p>
        </w:tc>
        <w:tc>
          <w:tcPr>
            <w:tcW w:w="1901" w:type="dxa"/>
            <w:tcMar>
              <w:top w:w="85" w:type="dxa"/>
              <w:left w:w="108" w:type="dxa"/>
              <w:bottom w:w="85" w:type="dxa"/>
              <w:right w:w="108" w:type="dxa"/>
            </w:tcMar>
            <w:vAlign w:val="center"/>
          </w:tcPr>
          <w:p>
            <w:pPr>
              <w:widowControl/>
              <w:autoSpaceDE w:val="0"/>
              <w:autoSpaceDN w:val="0"/>
              <w:spacing w:line="240" w:lineRule="auto"/>
              <w:ind w:firstLine="0" w:firstLineChars="0"/>
              <w:jc w:val="center"/>
              <w:textAlignment w:val="center"/>
              <w:rPr>
                <w:color w:val="auto"/>
                <w:kern w:val="0"/>
                <w:sz w:val="21"/>
                <w:szCs w:val="21"/>
              </w:rPr>
            </w:pPr>
            <w:r>
              <w:rPr>
                <w:color w:val="auto"/>
                <w:kern w:val="0"/>
                <w:sz w:val="21"/>
                <w:szCs w:val="21"/>
              </w:rPr>
              <w:t>0.025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53" w:type="dxa"/>
            <w:tcMar>
              <w:top w:w="85" w:type="dxa"/>
              <w:left w:w="108" w:type="dxa"/>
              <w:bottom w:w="85" w:type="dxa"/>
              <w:right w:w="108" w:type="dxa"/>
            </w:tcMar>
            <w:vAlign w:val="center"/>
          </w:tcPr>
          <w:p>
            <w:pPr>
              <w:autoSpaceDE w:val="0"/>
              <w:autoSpaceDN w:val="0"/>
              <w:spacing w:line="240" w:lineRule="auto"/>
              <w:ind w:firstLine="0" w:firstLineChars="0"/>
              <w:jc w:val="center"/>
              <w:rPr>
                <w:color w:val="auto"/>
                <w:kern w:val="0"/>
                <w:sz w:val="21"/>
                <w:szCs w:val="21"/>
              </w:rPr>
            </w:pPr>
            <w:r>
              <w:rPr>
                <w:rFonts w:hint="eastAsia"/>
                <w:color w:val="auto"/>
                <w:kern w:val="0"/>
                <w:sz w:val="21"/>
                <w:szCs w:val="21"/>
              </w:rPr>
              <w:t>3</w:t>
            </w:r>
          </w:p>
        </w:tc>
        <w:tc>
          <w:tcPr>
            <w:tcW w:w="1637" w:type="dxa"/>
            <w:tcMar>
              <w:top w:w="85" w:type="dxa"/>
              <w:left w:w="108" w:type="dxa"/>
              <w:bottom w:w="85" w:type="dxa"/>
              <w:right w:w="108" w:type="dxa"/>
            </w:tcMar>
            <w:vAlign w:val="center"/>
          </w:tcPr>
          <w:p>
            <w:pPr>
              <w:autoSpaceDE w:val="0"/>
              <w:autoSpaceDN w:val="0"/>
              <w:spacing w:line="240" w:lineRule="auto"/>
              <w:ind w:firstLine="0" w:firstLineChars="0"/>
              <w:jc w:val="center"/>
              <w:rPr>
                <w:color w:val="auto"/>
                <w:kern w:val="0"/>
                <w:sz w:val="21"/>
                <w:szCs w:val="21"/>
              </w:rPr>
            </w:pPr>
            <w:r>
              <w:rPr>
                <w:rFonts w:hint="eastAsia"/>
                <w:color w:val="auto"/>
                <w:kern w:val="0"/>
                <w:sz w:val="21"/>
                <w:szCs w:val="21"/>
              </w:rPr>
              <w:t>总磷</w:t>
            </w:r>
          </w:p>
        </w:tc>
        <w:tc>
          <w:tcPr>
            <w:tcW w:w="2752" w:type="dxa"/>
            <w:tcMar>
              <w:top w:w="85" w:type="dxa"/>
              <w:left w:w="108" w:type="dxa"/>
              <w:bottom w:w="85" w:type="dxa"/>
              <w:right w:w="108" w:type="dxa"/>
            </w:tcMar>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钼酸铵分光光度法</w:t>
            </w:r>
          </w:p>
        </w:tc>
        <w:tc>
          <w:tcPr>
            <w:tcW w:w="2031" w:type="dxa"/>
            <w:tcMar>
              <w:top w:w="85" w:type="dxa"/>
              <w:left w:w="108" w:type="dxa"/>
              <w:bottom w:w="85" w:type="dxa"/>
              <w:right w:w="108" w:type="dxa"/>
            </w:tcMar>
            <w:vAlign w:val="center"/>
          </w:tcPr>
          <w:p>
            <w:pPr>
              <w:widowControl/>
              <w:autoSpaceDE w:val="0"/>
              <w:autoSpaceDN w:val="0"/>
              <w:spacing w:line="240" w:lineRule="auto"/>
              <w:ind w:firstLine="0" w:firstLineChars="0"/>
              <w:jc w:val="center"/>
              <w:textAlignment w:val="center"/>
              <w:rPr>
                <w:color w:val="auto"/>
                <w:kern w:val="0"/>
                <w:sz w:val="21"/>
                <w:szCs w:val="21"/>
              </w:rPr>
            </w:pPr>
            <w:r>
              <w:rPr>
                <w:color w:val="auto"/>
                <w:kern w:val="0"/>
                <w:sz w:val="21"/>
                <w:szCs w:val="21"/>
              </w:rPr>
              <w:t>GB/T11893-1989</w:t>
            </w:r>
          </w:p>
        </w:tc>
        <w:tc>
          <w:tcPr>
            <w:tcW w:w="1901" w:type="dxa"/>
            <w:tcMar>
              <w:top w:w="85" w:type="dxa"/>
              <w:left w:w="108" w:type="dxa"/>
              <w:bottom w:w="85" w:type="dxa"/>
              <w:right w:w="108" w:type="dxa"/>
            </w:tcMar>
            <w:vAlign w:val="center"/>
          </w:tcPr>
          <w:p>
            <w:pPr>
              <w:widowControl/>
              <w:autoSpaceDE w:val="0"/>
              <w:autoSpaceDN w:val="0"/>
              <w:spacing w:line="240" w:lineRule="auto"/>
              <w:ind w:firstLine="0" w:firstLineChars="0"/>
              <w:jc w:val="center"/>
              <w:textAlignment w:val="center"/>
              <w:rPr>
                <w:color w:val="auto"/>
                <w:kern w:val="0"/>
                <w:sz w:val="21"/>
                <w:szCs w:val="21"/>
              </w:rPr>
            </w:pPr>
            <w:r>
              <w:rPr>
                <w:color w:val="auto"/>
                <w:kern w:val="0"/>
                <w:sz w:val="21"/>
                <w:szCs w:val="21"/>
              </w:rPr>
              <w:t>0.01</w:t>
            </w:r>
          </w:p>
        </w:tc>
      </w:tr>
    </w:tbl>
    <w:p>
      <w:pPr>
        <w:autoSpaceDE w:val="0"/>
        <w:autoSpaceDN w:val="0"/>
        <w:spacing w:line="500" w:lineRule="exact"/>
        <w:ind w:firstLine="482"/>
        <w:textAlignment w:val="baseline"/>
        <w:rPr>
          <w:b/>
          <w:color w:val="auto"/>
          <w:kern w:val="0"/>
          <w:szCs w:val="28"/>
        </w:rPr>
      </w:pPr>
      <w:r>
        <w:rPr>
          <w:b/>
          <w:color w:val="auto"/>
          <w:kern w:val="0"/>
          <w:szCs w:val="28"/>
        </w:rPr>
        <w:t>4.</w:t>
      </w:r>
      <w:r>
        <w:rPr>
          <w:rFonts w:hint="eastAsia"/>
          <w:b/>
          <w:color w:val="auto"/>
          <w:kern w:val="0"/>
          <w:szCs w:val="28"/>
        </w:rPr>
        <w:t>2</w:t>
      </w:r>
      <w:r>
        <w:rPr>
          <w:b/>
          <w:color w:val="auto"/>
          <w:kern w:val="0"/>
          <w:szCs w:val="28"/>
        </w:rPr>
        <w:t xml:space="preserve">.2.4  </w:t>
      </w:r>
      <w:r>
        <w:rPr>
          <w:rFonts w:hint="eastAsia"/>
          <w:b/>
          <w:color w:val="auto"/>
          <w:kern w:val="0"/>
          <w:szCs w:val="28"/>
        </w:rPr>
        <w:t>评价方法</w:t>
      </w:r>
    </w:p>
    <w:p>
      <w:pPr>
        <w:ind w:firstLine="480"/>
        <w:rPr>
          <w:color w:val="auto"/>
        </w:rPr>
      </w:pPr>
      <w:r>
        <w:rPr>
          <w:rFonts w:hint="eastAsia"/>
          <w:color w:val="auto"/>
        </w:rPr>
        <w:t>根据监测结果，采用单因子污染指数法，对照评价标准对地表水环境质量现状进行评价，计算公式如下：</w:t>
      </w:r>
    </w:p>
    <w:p>
      <w:pPr>
        <w:ind w:firstLine="480"/>
        <w:rPr>
          <w:color w:val="auto"/>
        </w:rPr>
      </w:pPr>
      <w:r>
        <w:rPr>
          <w:rFonts w:hint="eastAsia"/>
          <w:color w:val="auto"/>
        </w:rPr>
        <w:t>常规污染物（</w:t>
      </w:r>
      <w:r>
        <w:rPr>
          <w:color w:val="auto"/>
        </w:rPr>
        <w:t>PH</w:t>
      </w:r>
      <w:r>
        <w:rPr>
          <w:rFonts w:hint="eastAsia"/>
          <w:color w:val="auto"/>
        </w:rPr>
        <w:t>值除外）：</w:t>
      </w:r>
    </w:p>
    <w:p>
      <w:pPr>
        <w:ind w:firstLine="480"/>
        <w:jc w:val="center"/>
        <w:rPr>
          <w:color w:val="auto"/>
        </w:rPr>
      </w:pPr>
      <w:r>
        <w:rPr>
          <w:color w:val="auto"/>
        </w:rPr>
        <w:t>S</w:t>
      </w:r>
      <w:r>
        <w:rPr>
          <w:color w:val="auto"/>
          <w:vertAlign w:val="subscript"/>
        </w:rPr>
        <w:t>i, j</w:t>
      </w:r>
      <w:r>
        <w:rPr>
          <w:color w:val="auto"/>
        </w:rPr>
        <w:t>=C</w:t>
      </w:r>
      <w:r>
        <w:rPr>
          <w:color w:val="auto"/>
          <w:vertAlign w:val="subscript"/>
        </w:rPr>
        <w:t>i, j</w:t>
      </w:r>
      <w:r>
        <w:rPr>
          <w:color w:val="auto"/>
        </w:rPr>
        <w:t>/C</w:t>
      </w:r>
      <w:r>
        <w:rPr>
          <w:color w:val="auto"/>
          <w:vertAlign w:val="subscript"/>
        </w:rPr>
        <w:t>si</w:t>
      </w:r>
    </w:p>
    <w:p>
      <w:pPr>
        <w:ind w:firstLine="480"/>
        <w:rPr>
          <w:color w:val="auto"/>
        </w:rPr>
      </w:pPr>
      <w:r>
        <w:rPr>
          <w:rFonts w:hint="eastAsia"/>
          <w:color w:val="auto"/>
        </w:rPr>
        <w:t>式中，</w:t>
      </w:r>
      <w:r>
        <w:rPr>
          <w:color w:val="auto"/>
        </w:rPr>
        <w:t>Si,j</w:t>
      </w:r>
      <w:r>
        <w:rPr>
          <w:rFonts w:hint="eastAsia"/>
          <w:color w:val="auto"/>
        </w:rPr>
        <w:t>——某污染物的单项污染指数</w:t>
      </w:r>
    </w:p>
    <w:p>
      <w:pPr>
        <w:ind w:firstLine="480"/>
        <w:rPr>
          <w:color w:val="auto"/>
        </w:rPr>
      </w:pPr>
      <w:r>
        <w:rPr>
          <w:color w:val="auto"/>
        </w:rPr>
        <w:t xml:space="preserve">      Ci,j</w:t>
      </w:r>
      <w:r>
        <w:rPr>
          <w:rFonts w:hint="eastAsia"/>
          <w:color w:val="auto"/>
        </w:rPr>
        <w:t>——某污染物的实测浓度，单位：</w:t>
      </w:r>
      <w:r>
        <w:rPr>
          <w:color w:val="auto"/>
        </w:rPr>
        <w:t>mg/L</w:t>
      </w:r>
    </w:p>
    <w:p>
      <w:pPr>
        <w:ind w:firstLine="480"/>
        <w:rPr>
          <w:color w:val="auto"/>
        </w:rPr>
      </w:pPr>
      <w:r>
        <w:rPr>
          <w:color w:val="auto"/>
        </w:rPr>
        <w:tab/>
      </w:r>
      <w:r>
        <w:rPr>
          <w:color w:val="auto"/>
        </w:rPr>
        <w:t xml:space="preserve">   Csi</w:t>
      </w:r>
      <w:r>
        <w:rPr>
          <w:rFonts w:hint="eastAsia"/>
          <w:color w:val="auto"/>
        </w:rPr>
        <w:t>——某污染物的评价标准，单位：</w:t>
      </w:r>
      <w:r>
        <w:rPr>
          <w:color w:val="auto"/>
        </w:rPr>
        <w:t>mg/L</w:t>
      </w:r>
    </w:p>
    <w:p>
      <w:pPr>
        <w:ind w:firstLine="480"/>
        <w:rPr>
          <w:color w:val="auto"/>
        </w:rPr>
      </w:pPr>
      <w:r>
        <w:rPr>
          <w:color w:val="auto"/>
        </w:rPr>
        <w:t>pH</w:t>
      </w:r>
      <w:r>
        <w:rPr>
          <w:rFonts w:hint="eastAsia"/>
          <w:color w:val="auto"/>
        </w:rPr>
        <w:t>的标准指数：</w:t>
      </w:r>
    </w:p>
    <w:p>
      <w:pPr>
        <w:ind w:firstLine="480"/>
        <w:jc w:val="center"/>
        <w:rPr>
          <w:color w:val="auto"/>
        </w:rPr>
      </w:pPr>
      <w:r>
        <w:rPr>
          <w:color w:val="auto"/>
        </w:rPr>
        <w:drawing>
          <wp:inline distT="0" distB="0" distL="114300" distR="114300">
            <wp:extent cx="2381250" cy="400050"/>
            <wp:effectExtent l="0" t="0" r="0" b="0"/>
            <wp:docPr id="34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
                    <pic:cNvPicPr>
                      <a:picLocks noChangeAspect="1"/>
                    </pic:cNvPicPr>
                  </pic:nvPicPr>
                  <pic:blipFill>
                    <a:blip r:embed="rId41" cstate="print">
                      <a:clrChange>
                        <a:clrFrom>
                          <a:srgbClr val="FFFFFF"/>
                        </a:clrFrom>
                        <a:clrTo>
                          <a:srgbClr val="FFFFFF">
                            <a:alpha val="0"/>
                          </a:srgbClr>
                        </a:clrTo>
                      </a:clrChange>
                    </a:blip>
                    <a:stretch>
                      <a:fillRect/>
                    </a:stretch>
                  </pic:blipFill>
                  <pic:spPr>
                    <a:xfrm>
                      <a:off x="0" y="0"/>
                      <a:ext cx="2381250" cy="400050"/>
                    </a:xfrm>
                    <a:prstGeom prst="rect">
                      <a:avLst/>
                    </a:prstGeom>
                    <a:noFill/>
                    <a:ln>
                      <a:noFill/>
                    </a:ln>
                  </pic:spPr>
                </pic:pic>
              </a:graphicData>
            </a:graphic>
          </wp:inline>
        </w:drawing>
      </w:r>
    </w:p>
    <w:p>
      <w:pPr>
        <w:ind w:firstLine="480"/>
        <w:jc w:val="center"/>
        <w:rPr>
          <w:color w:val="auto"/>
        </w:rPr>
      </w:pPr>
      <w:r>
        <w:rPr>
          <w:color w:val="auto"/>
        </w:rPr>
        <w:drawing>
          <wp:inline distT="0" distB="0" distL="114300" distR="114300">
            <wp:extent cx="2381250" cy="400050"/>
            <wp:effectExtent l="0" t="0" r="0" b="0"/>
            <wp:docPr id="34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4"/>
                    <pic:cNvPicPr>
                      <a:picLocks noChangeAspect="1"/>
                    </pic:cNvPicPr>
                  </pic:nvPicPr>
                  <pic:blipFill>
                    <a:blip r:embed="rId42" cstate="print">
                      <a:clrChange>
                        <a:clrFrom>
                          <a:srgbClr val="FFFFFF"/>
                        </a:clrFrom>
                        <a:clrTo>
                          <a:srgbClr val="FFFFFF">
                            <a:alpha val="0"/>
                          </a:srgbClr>
                        </a:clrTo>
                      </a:clrChange>
                    </a:blip>
                    <a:stretch>
                      <a:fillRect/>
                    </a:stretch>
                  </pic:blipFill>
                  <pic:spPr>
                    <a:xfrm>
                      <a:off x="0" y="0"/>
                      <a:ext cx="2381250" cy="400050"/>
                    </a:xfrm>
                    <a:prstGeom prst="rect">
                      <a:avLst/>
                    </a:prstGeom>
                    <a:noFill/>
                    <a:ln>
                      <a:noFill/>
                    </a:ln>
                  </pic:spPr>
                </pic:pic>
              </a:graphicData>
            </a:graphic>
          </wp:inline>
        </w:drawing>
      </w:r>
    </w:p>
    <w:p>
      <w:pPr>
        <w:ind w:firstLine="480"/>
        <w:rPr>
          <w:color w:val="auto"/>
        </w:rPr>
      </w:pPr>
      <w:r>
        <w:rPr>
          <w:rFonts w:hint="eastAsia"/>
          <w:color w:val="auto"/>
        </w:rPr>
        <w:t>式中，</w:t>
      </w:r>
      <w:r>
        <w:rPr>
          <w:color w:val="auto"/>
        </w:rPr>
        <w:t>S</w:t>
      </w:r>
      <w:r>
        <w:rPr>
          <w:color w:val="auto"/>
          <w:vertAlign w:val="subscript"/>
        </w:rPr>
        <w:t>pHj</w:t>
      </w:r>
      <w:r>
        <w:rPr>
          <w:rFonts w:hint="eastAsia"/>
          <w:color w:val="auto"/>
        </w:rPr>
        <w:t>——</w:t>
      </w:r>
      <w:r>
        <w:rPr>
          <w:color w:val="auto"/>
        </w:rPr>
        <w:t>pH</w:t>
      </w:r>
      <w:r>
        <w:rPr>
          <w:rFonts w:hint="eastAsia"/>
          <w:color w:val="auto"/>
        </w:rPr>
        <w:t>在第</w:t>
      </w:r>
      <w:r>
        <w:rPr>
          <w:color w:val="auto"/>
        </w:rPr>
        <w:t>j</w:t>
      </w:r>
      <w:r>
        <w:rPr>
          <w:rFonts w:hint="eastAsia"/>
          <w:color w:val="auto"/>
        </w:rPr>
        <w:t>点的标准指数；</w:t>
      </w:r>
    </w:p>
    <w:p>
      <w:pPr>
        <w:ind w:firstLine="480"/>
        <w:rPr>
          <w:color w:val="auto"/>
        </w:rPr>
      </w:pPr>
      <w:r>
        <w:rPr>
          <w:color w:val="auto"/>
        </w:rPr>
        <w:tab/>
      </w:r>
      <w:r>
        <w:rPr>
          <w:color w:val="auto"/>
        </w:rPr>
        <w:tab/>
      </w:r>
      <w:r>
        <w:rPr>
          <w:color w:val="auto"/>
        </w:rPr>
        <w:t>pH</w:t>
      </w:r>
      <w:r>
        <w:rPr>
          <w:color w:val="auto"/>
          <w:vertAlign w:val="subscript"/>
        </w:rPr>
        <w:t>j</w:t>
      </w:r>
      <w:r>
        <w:rPr>
          <w:color w:val="auto"/>
        </w:rPr>
        <w:t xml:space="preserve"> </w:t>
      </w:r>
      <w:r>
        <w:rPr>
          <w:rFonts w:hint="eastAsia"/>
          <w:color w:val="auto"/>
        </w:rPr>
        <w:t>——</w:t>
      </w:r>
      <w:r>
        <w:rPr>
          <w:color w:val="auto"/>
        </w:rPr>
        <w:t>j</w:t>
      </w:r>
      <w:r>
        <w:rPr>
          <w:rFonts w:hint="eastAsia"/>
          <w:color w:val="auto"/>
        </w:rPr>
        <w:t>点</w:t>
      </w:r>
      <w:r>
        <w:rPr>
          <w:color w:val="auto"/>
        </w:rPr>
        <w:t>pH</w:t>
      </w:r>
      <w:r>
        <w:rPr>
          <w:rFonts w:hint="eastAsia"/>
          <w:color w:val="auto"/>
        </w:rPr>
        <w:t>实测值；</w:t>
      </w:r>
    </w:p>
    <w:p>
      <w:pPr>
        <w:ind w:firstLine="480"/>
        <w:rPr>
          <w:color w:val="auto"/>
        </w:rPr>
      </w:pPr>
      <w:r>
        <w:rPr>
          <w:color w:val="auto"/>
        </w:rPr>
        <w:tab/>
      </w:r>
      <w:r>
        <w:rPr>
          <w:color w:val="auto"/>
        </w:rPr>
        <w:tab/>
      </w:r>
      <w:r>
        <w:rPr>
          <w:color w:val="auto"/>
        </w:rPr>
        <w:t>pH</w:t>
      </w:r>
      <w:r>
        <w:rPr>
          <w:color w:val="auto"/>
          <w:vertAlign w:val="subscript"/>
        </w:rPr>
        <w:t>sd</w:t>
      </w:r>
      <w:r>
        <w:rPr>
          <w:rFonts w:hint="eastAsia"/>
          <w:color w:val="auto"/>
        </w:rPr>
        <w:t>——地表水水质标准中规定的</w:t>
      </w:r>
      <w:r>
        <w:rPr>
          <w:color w:val="auto"/>
        </w:rPr>
        <w:t>pH</w:t>
      </w:r>
      <w:r>
        <w:rPr>
          <w:rFonts w:hint="eastAsia"/>
          <w:color w:val="auto"/>
        </w:rPr>
        <w:t>值下限；</w:t>
      </w:r>
    </w:p>
    <w:p>
      <w:pPr>
        <w:ind w:firstLine="480"/>
        <w:rPr>
          <w:color w:val="auto"/>
        </w:rPr>
      </w:pPr>
      <w:r>
        <w:rPr>
          <w:color w:val="auto"/>
        </w:rPr>
        <w:tab/>
      </w:r>
      <w:r>
        <w:rPr>
          <w:color w:val="auto"/>
        </w:rPr>
        <w:tab/>
      </w:r>
      <w:r>
        <w:rPr>
          <w:color w:val="auto"/>
        </w:rPr>
        <w:t>pH</w:t>
      </w:r>
      <w:r>
        <w:rPr>
          <w:color w:val="auto"/>
          <w:vertAlign w:val="subscript"/>
        </w:rPr>
        <w:t>su</w:t>
      </w:r>
      <w:r>
        <w:rPr>
          <w:color w:val="auto"/>
        </w:rPr>
        <w:t>¬</w:t>
      </w:r>
      <w:r>
        <w:rPr>
          <w:rFonts w:hint="eastAsia"/>
          <w:color w:val="auto"/>
        </w:rPr>
        <w:t>——地表水水质标准中规定的</w:t>
      </w:r>
      <w:r>
        <w:rPr>
          <w:color w:val="auto"/>
        </w:rPr>
        <w:t>pH</w:t>
      </w:r>
      <w:r>
        <w:rPr>
          <w:rFonts w:hint="eastAsia"/>
          <w:color w:val="auto"/>
        </w:rPr>
        <w:t>值上限。</w:t>
      </w:r>
    </w:p>
    <w:p>
      <w:pPr>
        <w:ind w:firstLine="480"/>
        <w:rPr>
          <w:color w:val="auto"/>
        </w:rPr>
      </w:pPr>
      <w:r>
        <w:rPr>
          <w:rFonts w:hint="eastAsia"/>
          <w:color w:val="auto"/>
        </w:rPr>
        <w:t>水质评价因子的标准指数大于</w:t>
      </w:r>
      <w:r>
        <w:rPr>
          <w:color w:val="auto"/>
        </w:rPr>
        <w:t>1</w:t>
      </w:r>
      <w:r>
        <w:rPr>
          <w:rFonts w:hint="eastAsia"/>
          <w:color w:val="auto"/>
        </w:rPr>
        <w:t>，表明该评价因子的水质超过了规定的水质标准，已经不能满足使用功能要求。</w:t>
      </w:r>
    </w:p>
    <w:p>
      <w:pPr>
        <w:autoSpaceDE w:val="0"/>
        <w:autoSpaceDN w:val="0"/>
        <w:spacing w:line="500" w:lineRule="exact"/>
        <w:ind w:firstLine="482"/>
        <w:textAlignment w:val="baseline"/>
        <w:rPr>
          <w:b/>
          <w:color w:val="auto"/>
          <w:kern w:val="0"/>
          <w:szCs w:val="28"/>
        </w:rPr>
      </w:pPr>
      <w:r>
        <w:rPr>
          <w:b/>
          <w:color w:val="auto"/>
          <w:kern w:val="0"/>
          <w:szCs w:val="28"/>
        </w:rPr>
        <w:t>4.</w:t>
      </w:r>
      <w:r>
        <w:rPr>
          <w:rFonts w:hint="eastAsia"/>
          <w:b/>
          <w:color w:val="auto"/>
          <w:kern w:val="0"/>
          <w:szCs w:val="28"/>
        </w:rPr>
        <w:t>2</w:t>
      </w:r>
      <w:r>
        <w:rPr>
          <w:b/>
          <w:color w:val="auto"/>
          <w:kern w:val="0"/>
          <w:szCs w:val="28"/>
        </w:rPr>
        <w:t xml:space="preserve">.2.5  </w:t>
      </w:r>
      <w:r>
        <w:rPr>
          <w:rFonts w:hint="eastAsia"/>
          <w:b/>
          <w:color w:val="auto"/>
          <w:kern w:val="0"/>
          <w:szCs w:val="28"/>
        </w:rPr>
        <w:t>评价标准</w:t>
      </w:r>
    </w:p>
    <w:p>
      <w:pPr>
        <w:adjustRightInd/>
        <w:snapToGrid/>
        <w:spacing w:line="240" w:lineRule="auto"/>
        <w:ind w:firstLine="480"/>
        <w:jc w:val="left"/>
        <w:rPr>
          <w:color w:val="auto"/>
        </w:rPr>
      </w:pPr>
      <w:r>
        <w:rPr>
          <w:rFonts w:hint="eastAsia"/>
          <w:color w:val="auto"/>
        </w:rPr>
        <w:t>本次地表水环境质量现状评价执行《地表水环境质量标准》（</w:t>
      </w:r>
      <w:r>
        <w:rPr>
          <w:color w:val="auto"/>
        </w:rPr>
        <w:t>GB3838-2002</w:t>
      </w:r>
      <w:r>
        <w:rPr>
          <w:rFonts w:hint="eastAsia"/>
          <w:color w:val="auto"/>
        </w:rPr>
        <w:t>）</w:t>
      </w:r>
      <w:r>
        <w:rPr>
          <w:rFonts w:hint="eastAsia" w:ascii="宋体" w:hAnsi="宋体"/>
          <w:color w:val="auto"/>
          <w:highlight w:val="yellow"/>
        </w:rPr>
        <w:fldChar w:fldCharType="begin"/>
      </w:r>
      <w:r>
        <w:rPr>
          <w:rFonts w:hint="eastAsia" w:ascii="宋体" w:hAnsi="宋体"/>
          <w:color w:val="auto"/>
          <w:highlight w:val="yellow"/>
        </w:rPr>
        <w:instrText xml:space="preserve"> = 4 \* ROMAN \* MERGEFORMAT </w:instrText>
      </w:r>
      <w:r>
        <w:rPr>
          <w:rFonts w:hint="eastAsia" w:ascii="宋体" w:hAnsi="宋体"/>
          <w:color w:val="auto"/>
          <w:highlight w:val="yellow"/>
        </w:rPr>
        <w:fldChar w:fldCharType="separate"/>
      </w:r>
      <w:r>
        <w:rPr>
          <w:color w:val="auto"/>
        </w:rPr>
        <w:t>V</w:t>
      </w:r>
      <w:r>
        <w:rPr>
          <w:rFonts w:hint="eastAsia" w:ascii="宋体" w:hAnsi="宋体"/>
          <w:color w:val="auto"/>
          <w:highlight w:val="yellow"/>
        </w:rPr>
        <w:fldChar w:fldCharType="end"/>
      </w:r>
      <w:r>
        <w:rPr>
          <w:rFonts w:hint="eastAsia"/>
          <w:color w:val="auto"/>
        </w:rPr>
        <w:t>类标准要求，本次地表水环境质量评价标准见表</w:t>
      </w:r>
      <w:r>
        <w:rPr>
          <w:color w:val="auto"/>
        </w:rPr>
        <w:t>4.</w:t>
      </w:r>
      <w:r>
        <w:rPr>
          <w:rFonts w:hint="eastAsia"/>
          <w:color w:val="auto"/>
        </w:rPr>
        <w:t>2</w:t>
      </w:r>
      <w:r>
        <w:rPr>
          <w:color w:val="auto"/>
        </w:rPr>
        <w:t>-9</w:t>
      </w:r>
      <w:r>
        <w:rPr>
          <w:rFonts w:hint="eastAsia"/>
          <w:color w:val="auto"/>
        </w:rPr>
        <w:t>。</w:t>
      </w:r>
    </w:p>
    <w:p>
      <w:pPr>
        <w:adjustRightInd/>
        <w:snapToGrid/>
        <w:spacing w:line="240" w:lineRule="auto"/>
        <w:ind w:firstLine="1320" w:firstLineChars="550"/>
        <w:rPr>
          <w:b/>
          <w:color w:val="auto"/>
        </w:rPr>
      </w:pPr>
      <w:r>
        <w:rPr>
          <w:rFonts w:hint="eastAsia"/>
          <w:b/>
          <w:color w:val="auto"/>
        </w:rPr>
        <w:t>表4.2-9</w:t>
      </w:r>
      <w:r>
        <w:rPr>
          <w:b/>
          <w:color w:val="auto"/>
        </w:rPr>
        <w:t xml:space="preserve">                 </w:t>
      </w:r>
      <w:r>
        <w:rPr>
          <w:rFonts w:hint="eastAsia"/>
          <w:b/>
          <w:color w:val="auto"/>
        </w:rPr>
        <w:t>地表水环境质量评价标准</w:t>
      </w:r>
    </w:p>
    <w:tbl>
      <w:tblPr>
        <w:tblStyle w:val="27"/>
        <w:tblW w:w="5000"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45" w:type="dxa"/>
          <w:left w:w="85" w:type="dxa"/>
          <w:bottom w:w="45" w:type="dxa"/>
          <w:right w:w="85" w:type="dxa"/>
        </w:tblCellMar>
      </w:tblPr>
      <w:tblGrid>
        <w:gridCol w:w="2914"/>
        <w:gridCol w:w="3182"/>
        <w:gridCol w:w="3032"/>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45" w:type="dxa"/>
            <w:left w:w="85" w:type="dxa"/>
            <w:bottom w:w="45" w:type="dxa"/>
            <w:right w:w="85" w:type="dxa"/>
          </w:tblCellMar>
        </w:tblPrEx>
        <w:trPr>
          <w:cantSplit/>
          <w:trHeight w:val="232" w:hRule="atLeast"/>
          <w:jc w:val="center"/>
        </w:trPr>
        <w:tc>
          <w:tcPr>
            <w:tcW w:w="1596" w:type="pct"/>
            <w:tcMar>
              <w:top w:w="85" w:type="dxa"/>
              <w:left w:w="85" w:type="dxa"/>
              <w:bottom w:w="85" w:type="dxa"/>
              <w:right w:w="85" w:type="dxa"/>
            </w:tcMar>
            <w:vAlign w:val="center"/>
          </w:tcPr>
          <w:p>
            <w:pPr>
              <w:widowControl/>
              <w:autoSpaceDE w:val="0"/>
              <w:autoSpaceDN w:val="0"/>
              <w:spacing w:line="200" w:lineRule="atLeast"/>
              <w:ind w:firstLine="420"/>
              <w:jc w:val="center"/>
              <w:textAlignment w:val="center"/>
              <w:rPr>
                <w:color w:val="auto"/>
                <w:kern w:val="0"/>
                <w:sz w:val="21"/>
                <w:szCs w:val="21"/>
              </w:rPr>
            </w:pPr>
            <w:r>
              <w:rPr>
                <w:rFonts w:hint="eastAsia"/>
                <w:color w:val="auto"/>
                <w:kern w:val="0"/>
                <w:sz w:val="21"/>
                <w:szCs w:val="21"/>
              </w:rPr>
              <w:t>评价因子</w:t>
            </w:r>
          </w:p>
        </w:tc>
        <w:tc>
          <w:tcPr>
            <w:tcW w:w="1742" w:type="pct"/>
            <w:tcMar>
              <w:top w:w="85" w:type="dxa"/>
              <w:left w:w="85" w:type="dxa"/>
              <w:bottom w:w="85" w:type="dxa"/>
              <w:right w:w="85" w:type="dxa"/>
            </w:tcMar>
            <w:vAlign w:val="center"/>
          </w:tcPr>
          <w:p>
            <w:pPr>
              <w:widowControl/>
              <w:autoSpaceDE w:val="0"/>
              <w:autoSpaceDN w:val="0"/>
              <w:spacing w:line="200" w:lineRule="atLeast"/>
              <w:ind w:firstLine="420"/>
              <w:jc w:val="center"/>
              <w:textAlignment w:val="center"/>
              <w:rPr>
                <w:color w:val="auto"/>
                <w:kern w:val="0"/>
                <w:sz w:val="21"/>
                <w:szCs w:val="21"/>
              </w:rPr>
            </w:pPr>
            <w:r>
              <w:rPr>
                <w:rFonts w:hint="eastAsia"/>
                <w:color w:val="auto"/>
                <w:kern w:val="0"/>
                <w:sz w:val="21"/>
                <w:szCs w:val="21"/>
              </w:rPr>
              <w:t>单位</w:t>
            </w:r>
          </w:p>
        </w:tc>
        <w:tc>
          <w:tcPr>
            <w:tcW w:w="1660" w:type="pct"/>
            <w:tcMar>
              <w:top w:w="85" w:type="dxa"/>
              <w:left w:w="85" w:type="dxa"/>
              <w:bottom w:w="85" w:type="dxa"/>
              <w:right w:w="85" w:type="dxa"/>
            </w:tcMar>
            <w:vAlign w:val="center"/>
          </w:tcPr>
          <w:p>
            <w:pPr>
              <w:widowControl/>
              <w:autoSpaceDE w:val="0"/>
              <w:autoSpaceDN w:val="0"/>
              <w:spacing w:line="200" w:lineRule="atLeast"/>
              <w:ind w:firstLine="420"/>
              <w:jc w:val="center"/>
              <w:textAlignment w:val="center"/>
              <w:rPr>
                <w:color w:val="auto"/>
                <w:kern w:val="0"/>
                <w:sz w:val="21"/>
                <w:szCs w:val="21"/>
              </w:rPr>
            </w:pPr>
            <w:r>
              <w:rPr>
                <w:rFonts w:hint="eastAsia"/>
                <w:color w:val="auto"/>
                <w:kern w:val="0"/>
                <w:sz w:val="21"/>
                <w:szCs w:val="21"/>
              </w:rPr>
              <w:fldChar w:fldCharType="begin"/>
            </w:r>
            <w:r>
              <w:rPr>
                <w:rFonts w:hint="eastAsia"/>
                <w:color w:val="auto"/>
                <w:kern w:val="0"/>
                <w:sz w:val="21"/>
                <w:szCs w:val="21"/>
              </w:rPr>
              <w:instrText xml:space="preserve"> = 4 \* ROMAN \* MERGEFORMAT </w:instrText>
            </w:r>
            <w:r>
              <w:rPr>
                <w:rFonts w:hint="eastAsia"/>
                <w:color w:val="auto"/>
                <w:kern w:val="0"/>
                <w:sz w:val="21"/>
                <w:szCs w:val="21"/>
              </w:rPr>
              <w:fldChar w:fldCharType="separate"/>
            </w:r>
            <w:r>
              <w:rPr>
                <w:rFonts w:hint="eastAsia"/>
                <w:color w:val="auto"/>
                <w:kern w:val="0"/>
                <w:sz w:val="21"/>
                <w:szCs w:val="21"/>
              </w:rPr>
              <w:t>V</w:t>
            </w:r>
            <w:r>
              <w:rPr>
                <w:rFonts w:hint="eastAsia"/>
                <w:color w:val="auto"/>
                <w:kern w:val="0"/>
                <w:sz w:val="21"/>
                <w:szCs w:val="21"/>
              </w:rPr>
              <w:fldChar w:fldCharType="end"/>
            </w:r>
            <w:r>
              <w:rPr>
                <w:rFonts w:hint="eastAsia"/>
                <w:color w:val="auto"/>
                <w:kern w:val="0"/>
                <w:sz w:val="21"/>
                <w:szCs w:val="21"/>
              </w:rPr>
              <w:t>类</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45" w:type="dxa"/>
            <w:left w:w="85" w:type="dxa"/>
            <w:bottom w:w="45" w:type="dxa"/>
            <w:right w:w="85" w:type="dxa"/>
          </w:tblCellMar>
        </w:tblPrEx>
        <w:trPr>
          <w:cantSplit/>
          <w:trHeight w:val="90" w:hRule="atLeast"/>
          <w:jc w:val="center"/>
        </w:trPr>
        <w:tc>
          <w:tcPr>
            <w:tcW w:w="1596" w:type="pct"/>
            <w:tcMar>
              <w:top w:w="85" w:type="dxa"/>
              <w:left w:w="85" w:type="dxa"/>
              <w:bottom w:w="85" w:type="dxa"/>
              <w:right w:w="85" w:type="dxa"/>
            </w:tcMar>
            <w:vAlign w:val="center"/>
          </w:tcPr>
          <w:p>
            <w:pPr>
              <w:widowControl/>
              <w:autoSpaceDE w:val="0"/>
              <w:autoSpaceDN w:val="0"/>
              <w:spacing w:line="200" w:lineRule="atLeast"/>
              <w:ind w:firstLine="420"/>
              <w:jc w:val="center"/>
              <w:textAlignment w:val="center"/>
              <w:rPr>
                <w:color w:val="auto"/>
                <w:kern w:val="0"/>
                <w:sz w:val="21"/>
                <w:szCs w:val="21"/>
              </w:rPr>
            </w:pPr>
            <w:r>
              <w:rPr>
                <w:rFonts w:hint="eastAsia"/>
                <w:color w:val="auto"/>
                <w:kern w:val="0"/>
                <w:sz w:val="21"/>
                <w:szCs w:val="21"/>
              </w:rPr>
              <w:t>COD</w:t>
            </w:r>
          </w:p>
        </w:tc>
        <w:tc>
          <w:tcPr>
            <w:tcW w:w="1742" w:type="pct"/>
            <w:tcMar>
              <w:top w:w="85" w:type="dxa"/>
              <w:left w:w="85" w:type="dxa"/>
              <w:bottom w:w="85" w:type="dxa"/>
              <w:right w:w="85" w:type="dxa"/>
            </w:tcMar>
            <w:vAlign w:val="center"/>
          </w:tcPr>
          <w:p>
            <w:pPr>
              <w:widowControl/>
              <w:autoSpaceDE w:val="0"/>
              <w:autoSpaceDN w:val="0"/>
              <w:spacing w:line="200" w:lineRule="atLeast"/>
              <w:ind w:firstLine="420"/>
              <w:jc w:val="center"/>
              <w:textAlignment w:val="center"/>
              <w:rPr>
                <w:color w:val="auto"/>
                <w:kern w:val="0"/>
                <w:sz w:val="21"/>
                <w:szCs w:val="21"/>
              </w:rPr>
            </w:pPr>
            <w:r>
              <w:rPr>
                <w:rFonts w:hint="eastAsia"/>
                <w:color w:val="auto"/>
                <w:kern w:val="0"/>
                <w:sz w:val="21"/>
                <w:szCs w:val="21"/>
              </w:rPr>
              <w:t>mg/L</w:t>
            </w:r>
          </w:p>
        </w:tc>
        <w:tc>
          <w:tcPr>
            <w:tcW w:w="1660" w:type="pct"/>
            <w:tcMar>
              <w:top w:w="85" w:type="dxa"/>
              <w:left w:w="85" w:type="dxa"/>
              <w:bottom w:w="85" w:type="dxa"/>
              <w:right w:w="85" w:type="dxa"/>
            </w:tcMar>
            <w:vAlign w:val="center"/>
          </w:tcPr>
          <w:p>
            <w:pPr>
              <w:widowControl/>
              <w:autoSpaceDE w:val="0"/>
              <w:autoSpaceDN w:val="0"/>
              <w:spacing w:line="200" w:lineRule="atLeast"/>
              <w:ind w:firstLine="420"/>
              <w:jc w:val="center"/>
              <w:textAlignment w:val="center"/>
              <w:rPr>
                <w:color w:val="auto"/>
                <w:kern w:val="0"/>
                <w:sz w:val="21"/>
                <w:szCs w:val="21"/>
              </w:rPr>
            </w:pPr>
            <w:r>
              <w:rPr>
                <w:rFonts w:hint="eastAsia"/>
                <w:color w:val="auto"/>
                <w:kern w:val="0"/>
                <w:sz w:val="21"/>
                <w:szCs w:val="21"/>
              </w:rPr>
              <w:t>40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45" w:type="dxa"/>
            <w:left w:w="85" w:type="dxa"/>
            <w:bottom w:w="45" w:type="dxa"/>
            <w:right w:w="85" w:type="dxa"/>
          </w:tblCellMar>
        </w:tblPrEx>
        <w:trPr>
          <w:cantSplit/>
          <w:jc w:val="center"/>
        </w:trPr>
        <w:tc>
          <w:tcPr>
            <w:tcW w:w="1596" w:type="pct"/>
            <w:tcMar>
              <w:top w:w="85" w:type="dxa"/>
              <w:left w:w="85" w:type="dxa"/>
              <w:bottom w:w="85" w:type="dxa"/>
              <w:right w:w="85" w:type="dxa"/>
            </w:tcMar>
            <w:vAlign w:val="center"/>
          </w:tcPr>
          <w:p>
            <w:pPr>
              <w:widowControl/>
              <w:autoSpaceDE w:val="0"/>
              <w:autoSpaceDN w:val="0"/>
              <w:spacing w:line="200" w:lineRule="atLeast"/>
              <w:ind w:firstLine="420"/>
              <w:jc w:val="center"/>
              <w:textAlignment w:val="center"/>
              <w:rPr>
                <w:color w:val="auto"/>
                <w:kern w:val="0"/>
                <w:sz w:val="21"/>
                <w:szCs w:val="21"/>
              </w:rPr>
            </w:pPr>
            <w:r>
              <w:rPr>
                <w:rFonts w:hint="eastAsia"/>
                <w:color w:val="auto"/>
                <w:kern w:val="0"/>
                <w:sz w:val="21"/>
                <w:szCs w:val="21"/>
              </w:rPr>
              <w:t>氨氮</w:t>
            </w:r>
          </w:p>
        </w:tc>
        <w:tc>
          <w:tcPr>
            <w:tcW w:w="1742" w:type="pct"/>
            <w:tcMar>
              <w:top w:w="85" w:type="dxa"/>
              <w:left w:w="85" w:type="dxa"/>
              <w:bottom w:w="85" w:type="dxa"/>
              <w:right w:w="85" w:type="dxa"/>
            </w:tcMar>
            <w:vAlign w:val="center"/>
          </w:tcPr>
          <w:p>
            <w:pPr>
              <w:widowControl/>
              <w:autoSpaceDE w:val="0"/>
              <w:autoSpaceDN w:val="0"/>
              <w:spacing w:line="200" w:lineRule="atLeast"/>
              <w:ind w:firstLine="420"/>
              <w:jc w:val="center"/>
              <w:textAlignment w:val="center"/>
              <w:rPr>
                <w:color w:val="auto"/>
                <w:kern w:val="0"/>
                <w:sz w:val="21"/>
                <w:szCs w:val="21"/>
              </w:rPr>
            </w:pPr>
            <w:r>
              <w:rPr>
                <w:rFonts w:hint="eastAsia"/>
                <w:color w:val="auto"/>
                <w:kern w:val="0"/>
                <w:sz w:val="21"/>
                <w:szCs w:val="21"/>
              </w:rPr>
              <w:t>mg/L</w:t>
            </w:r>
          </w:p>
        </w:tc>
        <w:tc>
          <w:tcPr>
            <w:tcW w:w="1660" w:type="pct"/>
            <w:tcMar>
              <w:top w:w="85" w:type="dxa"/>
              <w:left w:w="85" w:type="dxa"/>
              <w:bottom w:w="85" w:type="dxa"/>
              <w:right w:w="85" w:type="dxa"/>
            </w:tcMar>
            <w:vAlign w:val="center"/>
          </w:tcPr>
          <w:p>
            <w:pPr>
              <w:widowControl/>
              <w:autoSpaceDE w:val="0"/>
              <w:autoSpaceDN w:val="0"/>
              <w:spacing w:line="200" w:lineRule="atLeast"/>
              <w:ind w:firstLine="420"/>
              <w:jc w:val="center"/>
              <w:textAlignment w:val="center"/>
              <w:rPr>
                <w:color w:val="auto"/>
                <w:kern w:val="0"/>
                <w:sz w:val="21"/>
                <w:szCs w:val="21"/>
              </w:rPr>
            </w:pPr>
            <w:r>
              <w:rPr>
                <w:rFonts w:hint="eastAsia"/>
                <w:color w:val="auto"/>
                <w:kern w:val="0"/>
                <w:sz w:val="21"/>
                <w:szCs w:val="21"/>
              </w:rPr>
              <w:t>2</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45" w:type="dxa"/>
            <w:left w:w="85" w:type="dxa"/>
            <w:bottom w:w="45" w:type="dxa"/>
            <w:right w:w="85" w:type="dxa"/>
          </w:tblCellMar>
        </w:tblPrEx>
        <w:trPr>
          <w:cantSplit/>
          <w:jc w:val="center"/>
        </w:trPr>
        <w:tc>
          <w:tcPr>
            <w:tcW w:w="1596" w:type="pct"/>
            <w:tcMar>
              <w:top w:w="85" w:type="dxa"/>
              <w:left w:w="85" w:type="dxa"/>
              <w:bottom w:w="85" w:type="dxa"/>
              <w:right w:w="85" w:type="dxa"/>
            </w:tcMar>
            <w:vAlign w:val="center"/>
          </w:tcPr>
          <w:p>
            <w:pPr>
              <w:widowControl/>
              <w:autoSpaceDE w:val="0"/>
              <w:autoSpaceDN w:val="0"/>
              <w:spacing w:line="200" w:lineRule="atLeast"/>
              <w:ind w:firstLine="420"/>
              <w:jc w:val="center"/>
              <w:textAlignment w:val="center"/>
              <w:rPr>
                <w:color w:val="auto"/>
                <w:kern w:val="0"/>
                <w:sz w:val="21"/>
                <w:szCs w:val="21"/>
              </w:rPr>
            </w:pPr>
            <w:r>
              <w:rPr>
                <w:rFonts w:hint="eastAsia"/>
                <w:color w:val="auto"/>
                <w:kern w:val="0"/>
                <w:sz w:val="21"/>
                <w:szCs w:val="21"/>
              </w:rPr>
              <w:t>总磷</w:t>
            </w:r>
          </w:p>
        </w:tc>
        <w:tc>
          <w:tcPr>
            <w:tcW w:w="1742" w:type="pct"/>
            <w:tcMar>
              <w:top w:w="85" w:type="dxa"/>
              <w:left w:w="85" w:type="dxa"/>
              <w:bottom w:w="85" w:type="dxa"/>
              <w:right w:w="85" w:type="dxa"/>
            </w:tcMar>
            <w:vAlign w:val="center"/>
          </w:tcPr>
          <w:p>
            <w:pPr>
              <w:widowControl/>
              <w:autoSpaceDE w:val="0"/>
              <w:autoSpaceDN w:val="0"/>
              <w:spacing w:line="200" w:lineRule="atLeast"/>
              <w:ind w:firstLine="420"/>
              <w:jc w:val="center"/>
              <w:textAlignment w:val="center"/>
              <w:rPr>
                <w:color w:val="auto"/>
                <w:kern w:val="0"/>
                <w:sz w:val="21"/>
                <w:szCs w:val="21"/>
              </w:rPr>
            </w:pPr>
            <w:r>
              <w:rPr>
                <w:rFonts w:hint="eastAsia"/>
                <w:color w:val="auto"/>
                <w:kern w:val="0"/>
                <w:sz w:val="21"/>
                <w:szCs w:val="21"/>
              </w:rPr>
              <w:t>mg/L</w:t>
            </w:r>
          </w:p>
        </w:tc>
        <w:tc>
          <w:tcPr>
            <w:tcW w:w="1660" w:type="pct"/>
            <w:tcMar>
              <w:top w:w="85" w:type="dxa"/>
              <w:left w:w="85" w:type="dxa"/>
              <w:bottom w:w="85" w:type="dxa"/>
              <w:right w:w="85" w:type="dxa"/>
            </w:tcMar>
            <w:vAlign w:val="center"/>
          </w:tcPr>
          <w:p>
            <w:pPr>
              <w:widowControl/>
              <w:autoSpaceDE w:val="0"/>
              <w:autoSpaceDN w:val="0"/>
              <w:spacing w:line="200" w:lineRule="atLeast"/>
              <w:ind w:firstLine="420"/>
              <w:jc w:val="center"/>
              <w:textAlignment w:val="center"/>
              <w:rPr>
                <w:color w:val="auto"/>
                <w:kern w:val="0"/>
                <w:sz w:val="21"/>
                <w:szCs w:val="21"/>
              </w:rPr>
            </w:pPr>
            <w:r>
              <w:rPr>
                <w:rFonts w:hint="eastAsia"/>
                <w:color w:val="auto"/>
                <w:kern w:val="0"/>
                <w:sz w:val="21"/>
                <w:szCs w:val="21"/>
              </w:rPr>
              <w:t>0.4</w:t>
            </w:r>
          </w:p>
        </w:tc>
      </w:tr>
    </w:tbl>
    <w:p>
      <w:pPr>
        <w:autoSpaceDE w:val="0"/>
        <w:autoSpaceDN w:val="0"/>
        <w:spacing w:line="500" w:lineRule="exact"/>
        <w:ind w:firstLine="482"/>
        <w:textAlignment w:val="baseline"/>
        <w:rPr>
          <w:b/>
          <w:color w:val="auto"/>
          <w:kern w:val="0"/>
          <w:szCs w:val="28"/>
        </w:rPr>
      </w:pPr>
      <w:r>
        <w:rPr>
          <w:b/>
          <w:color w:val="auto"/>
          <w:kern w:val="0"/>
          <w:szCs w:val="28"/>
        </w:rPr>
        <w:t>4.</w:t>
      </w:r>
      <w:r>
        <w:rPr>
          <w:rFonts w:hint="eastAsia"/>
          <w:b/>
          <w:color w:val="auto"/>
          <w:kern w:val="0"/>
          <w:szCs w:val="28"/>
        </w:rPr>
        <w:t>3</w:t>
      </w:r>
      <w:r>
        <w:rPr>
          <w:b/>
          <w:color w:val="auto"/>
          <w:kern w:val="0"/>
          <w:szCs w:val="28"/>
        </w:rPr>
        <w:t xml:space="preserve">.2.6  </w:t>
      </w:r>
      <w:r>
        <w:rPr>
          <w:rFonts w:hint="eastAsia"/>
          <w:b/>
          <w:color w:val="auto"/>
          <w:kern w:val="0"/>
          <w:szCs w:val="28"/>
        </w:rPr>
        <w:t>监测结果统计及评价</w:t>
      </w:r>
    </w:p>
    <w:p>
      <w:pPr>
        <w:ind w:left="420" w:hanging="420" w:hangingChars="175"/>
        <w:jc w:val="left"/>
        <w:rPr>
          <w:color w:val="auto"/>
        </w:rPr>
      </w:pPr>
      <w:r>
        <w:rPr>
          <w:color w:val="auto"/>
        </w:rPr>
        <w:t xml:space="preserve">    </w:t>
      </w:r>
      <w:r>
        <w:rPr>
          <w:rFonts w:hint="eastAsia"/>
          <w:color w:val="auto"/>
        </w:rPr>
        <w:t>本次地表水环境质量现状监测数据统计分析结果见表</w:t>
      </w:r>
      <w:r>
        <w:rPr>
          <w:color w:val="auto"/>
        </w:rPr>
        <w:t>4.</w:t>
      </w:r>
      <w:r>
        <w:rPr>
          <w:rFonts w:hint="eastAsia"/>
          <w:color w:val="auto"/>
        </w:rPr>
        <w:t>2</w:t>
      </w:r>
      <w:r>
        <w:rPr>
          <w:color w:val="auto"/>
        </w:rPr>
        <w:t>-10</w:t>
      </w:r>
      <w:r>
        <w:rPr>
          <w:rFonts w:hint="eastAsia"/>
          <w:color w:val="auto"/>
        </w:rPr>
        <w:t>。</w:t>
      </w:r>
    </w:p>
    <w:p>
      <w:pPr>
        <w:spacing w:after="154" w:afterLines="30" w:line="500" w:lineRule="exact"/>
        <w:ind w:firstLine="0" w:firstLineChars="0"/>
        <w:jc w:val="center"/>
        <w:rPr>
          <w:b/>
          <w:color w:val="auto"/>
        </w:rPr>
      </w:pPr>
      <w:r>
        <w:rPr>
          <w:rFonts w:hint="eastAsia"/>
          <w:b/>
          <w:color w:val="auto"/>
        </w:rPr>
        <w:t>表4.2-10</w:t>
      </w:r>
      <w:r>
        <w:rPr>
          <w:b/>
          <w:color w:val="auto"/>
        </w:rPr>
        <w:t xml:space="preserve">           </w:t>
      </w:r>
      <w:r>
        <w:rPr>
          <w:rFonts w:hint="eastAsia"/>
          <w:b/>
          <w:color w:val="auto"/>
        </w:rPr>
        <w:t>地表水环境质量现状监测结果统计一览表</w:t>
      </w:r>
    </w:p>
    <w:tbl>
      <w:tblPr>
        <w:tblStyle w:val="27"/>
        <w:tblW w:w="4998"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051"/>
        <w:gridCol w:w="1512"/>
        <w:gridCol w:w="3184"/>
        <w:gridCol w:w="1071"/>
        <w:gridCol w:w="2136"/>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544" w:type="pct"/>
            <w:vMerge w:val="restar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color w:val="auto"/>
                <w:kern w:val="0"/>
                <w:sz w:val="21"/>
                <w:szCs w:val="21"/>
              </w:rPr>
              <w:t>序号</w:t>
            </w:r>
          </w:p>
        </w:tc>
        <w:tc>
          <w:tcPr>
            <w:tcW w:w="782" w:type="pct"/>
            <w:vMerge w:val="restar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color w:val="auto"/>
                <w:kern w:val="0"/>
                <w:sz w:val="21"/>
                <w:szCs w:val="21"/>
              </w:rPr>
              <w:t>监测</w:t>
            </w:r>
          </w:p>
          <w:p>
            <w:pPr>
              <w:widowControl/>
              <w:autoSpaceDE w:val="0"/>
              <w:autoSpaceDN w:val="0"/>
              <w:spacing w:line="240" w:lineRule="auto"/>
              <w:ind w:firstLine="0" w:firstLineChars="0"/>
              <w:jc w:val="center"/>
              <w:textAlignment w:val="center"/>
              <w:rPr>
                <w:color w:val="auto"/>
                <w:kern w:val="0"/>
                <w:sz w:val="21"/>
                <w:szCs w:val="21"/>
              </w:rPr>
            </w:pPr>
            <w:r>
              <w:rPr>
                <w:color w:val="auto"/>
                <w:kern w:val="0"/>
                <w:sz w:val="21"/>
                <w:szCs w:val="21"/>
              </w:rPr>
              <w:t>项目</w:t>
            </w:r>
          </w:p>
        </w:tc>
        <w:tc>
          <w:tcPr>
            <w:tcW w:w="1647"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监测时段</w:t>
            </w:r>
          </w:p>
        </w:tc>
        <w:tc>
          <w:tcPr>
            <w:tcW w:w="55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color w:val="auto"/>
                <w:kern w:val="0"/>
                <w:sz w:val="21"/>
                <w:szCs w:val="21"/>
              </w:rPr>
              <w:t>浓度</w:t>
            </w:r>
          </w:p>
        </w:tc>
        <w:tc>
          <w:tcPr>
            <w:tcW w:w="110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超标倍数</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544"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color w:val="auto"/>
                <w:kern w:val="0"/>
                <w:sz w:val="21"/>
                <w:szCs w:val="21"/>
              </w:rPr>
              <w:t>序号</w:t>
            </w:r>
          </w:p>
        </w:tc>
        <w:tc>
          <w:tcPr>
            <w:tcW w:w="782"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color w:val="auto"/>
                <w:kern w:val="0"/>
                <w:sz w:val="21"/>
                <w:szCs w:val="21"/>
              </w:rPr>
              <w:t>监测</w:t>
            </w:r>
          </w:p>
          <w:p>
            <w:pPr>
              <w:widowControl/>
              <w:autoSpaceDE w:val="0"/>
              <w:autoSpaceDN w:val="0"/>
              <w:spacing w:line="240" w:lineRule="auto"/>
              <w:ind w:firstLine="0" w:firstLineChars="0"/>
              <w:jc w:val="center"/>
              <w:textAlignment w:val="center"/>
              <w:rPr>
                <w:color w:val="auto"/>
                <w:kern w:val="0"/>
                <w:sz w:val="21"/>
                <w:szCs w:val="21"/>
              </w:rPr>
            </w:pPr>
            <w:r>
              <w:rPr>
                <w:color w:val="auto"/>
                <w:kern w:val="0"/>
                <w:sz w:val="21"/>
                <w:szCs w:val="21"/>
              </w:rPr>
              <w:t>项目</w:t>
            </w:r>
          </w:p>
        </w:tc>
        <w:tc>
          <w:tcPr>
            <w:tcW w:w="3306" w:type="pct"/>
            <w:gridSpan w:val="3"/>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金堤河</w:t>
            </w:r>
            <w:r>
              <w:rPr>
                <w:color w:val="auto"/>
                <w:kern w:val="0"/>
                <w:sz w:val="21"/>
                <w:szCs w:val="21"/>
              </w:rPr>
              <w:t>宋海桥断面</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39" w:hRule="atLeast"/>
          <w:jc w:val="center"/>
        </w:trPr>
        <w:tc>
          <w:tcPr>
            <w:tcW w:w="544" w:type="pct"/>
            <w:vMerge w:val="restar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1</w:t>
            </w:r>
          </w:p>
        </w:tc>
        <w:tc>
          <w:tcPr>
            <w:tcW w:w="782" w:type="pct"/>
            <w:vMerge w:val="restar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color w:val="auto"/>
                <w:kern w:val="0"/>
                <w:sz w:val="21"/>
                <w:szCs w:val="21"/>
              </w:rPr>
              <w:t>COD</w:t>
            </w:r>
          </w:p>
        </w:tc>
        <w:tc>
          <w:tcPr>
            <w:tcW w:w="1647"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2018年6月</w:t>
            </w:r>
          </w:p>
        </w:tc>
        <w:tc>
          <w:tcPr>
            <w:tcW w:w="55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37</w:t>
            </w:r>
          </w:p>
        </w:tc>
        <w:tc>
          <w:tcPr>
            <w:tcW w:w="110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85" w:hRule="atLeast"/>
          <w:jc w:val="center"/>
        </w:trPr>
        <w:tc>
          <w:tcPr>
            <w:tcW w:w="544"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782"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1647"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2018年7月</w:t>
            </w:r>
          </w:p>
        </w:tc>
        <w:tc>
          <w:tcPr>
            <w:tcW w:w="55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38</w:t>
            </w:r>
          </w:p>
        </w:tc>
        <w:tc>
          <w:tcPr>
            <w:tcW w:w="110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9" w:hRule="atLeast"/>
          <w:jc w:val="center"/>
        </w:trPr>
        <w:tc>
          <w:tcPr>
            <w:tcW w:w="544"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782"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1647"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2018年8月</w:t>
            </w:r>
          </w:p>
        </w:tc>
        <w:tc>
          <w:tcPr>
            <w:tcW w:w="55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56</w:t>
            </w:r>
          </w:p>
        </w:tc>
        <w:tc>
          <w:tcPr>
            <w:tcW w:w="110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1.4</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8" w:hRule="atLeast"/>
          <w:jc w:val="center"/>
        </w:trPr>
        <w:tc>
          <w:tcPr>
            <w:tcW w:w="544"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782"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1647"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2018年9月</w:t>
            </w:r>
          </w:p>
        </w:tc>
        <w:tc>
          <w:tcPr>
            <w:tcW w:w="55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33</w:t>
            </w:r>
          </w:p>
        </w:tc>
        <w:tc>
          <w:tcPr>
            <w:tcW w:w="110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41" w:hRule="atLeast"/>
          <w:jc w:val="center"/>
        </w:trPr>
        <w:tc>
          <w:tcPr>
            <w:tcW w:w="544"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782"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1647"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2018年10月</w:t>
            </w:r>
          </w:p>
        </w:tc>
        <w:tc>
          <w:tcPr>
            <w:tcW w:w="55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20</w:t>
            </w:r>
          </w:p>
        </w:tc>
        <w:tc>
          <w:tcPr>
            <w:tcW w:w="110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5" w:hRule="atLeast"/>
          <w:jc w:val="center"/>
        </w:trPr>
        <w:tc>
          <w:tcPr>
            <w:tcW w:w="544"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782"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1647"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2018年11月</w:t>
            </w:r>
          </w:p>
        </w:tc>
        <w:tc>
          <w:tcPr>
            <w:tcW w:w="55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74</w:t>
            </w:r>
          </w:p>
        </w:tc>
        <w:tc>
          <w:tcPr>
            <w:tcW w:w="110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1.85</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544"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782"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1647"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2018年12月</w:t>
            </w:r>
          </w:p>
        </w:tc>
        <w:tc>
          <w:tcPr>
            <w:tcW w:w="55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34</w:t>
            </w:r>
          </w:p>
        </w:tc>
        <w:tc>
          <w:tcPr>
            <w:tcW w:w="110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22" w:hRule="atLeast"/>
          <w:jc w:val="center"/>
        </w:trPr>
        <w:tc>
          <w:tcPr>
            <w:tcW w:w="544"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782"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1647"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2019年1月</w:t>
            </w:r>
          </w:p>
        </w:tc>
        <w:tc>
          <w:tcPr>
            <w:tcW w:w="55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37</w:t>
            </w:r>
          </w:p>
        </w:tc>
        <w:tc>
          <w:tcPr>
            <w:tcW w:w="110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0" w:hRule="atLeast"/>
          <w:jc w:val="center"/>
        </w:trPr>
        <w:tc>
          <w:tcPr>
            <w:tcW w:w="544"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782"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1647"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2019年2月</w:t>
            </w:r>
          </w:p>
        </w:tc>
        <w:tc>
          <w:tcPr>
            <w:tcW w:w="55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10</w:t>
            </w:r>
          </w:p>
        </w:tc>
        <w:tc>
          <w:tcPr>
            <w:tcW w:w="110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74" w:hRule="atLeast"/>
          <w:jc w:val="center"/>
        </w:trPr>
        <w:tc>
          <w:tcPr>
            <w:tcW w:w="544"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782"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1647"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2019年3月</w:t>
            </w:r>
          </w:p>
        </w:tc>
        <w:tc>
          <w:tcPr>
            <w:tcW w:w="55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37</w:t>
            </w:r>
          </w:p>
        </w:tc>
        <w:tc>
          <w:tcPr>
            <w:tcW w:w="110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32" w:hRule="atLeast"/>
          <w:jc w:val="center"/>
        </w:trPr>
        <w:tc>
          <w:tcPr>
            <w:tcW w:w="544"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782"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1647"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2019年4月</w:t>
            </w:r>
          </w:p>
        </w:tc>
        <w:tc>
          <w:tcPr>
            <w:tcW w:w="55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19</w:t>
            </w:r>
          </w:p>
        </w:tc>
        <w:tc>
          <w:tcPr>
            <w:tcW w:w="110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9" w:hRule="atLeast"/>
          <w:jc w:val="center"/>
        </w:trPr>
        <w:tc>
          <w:tcPr>
            <w:tcW w:w="544"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782"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1647"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2019年5月</w:t>
            </w:r>
          </w:p>
        </w:tc>
        <w:tc>
          <w:tcPr>
            <w:tcW w:w="55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19</w:t>
            </w:r>
          </w:p>
        </w:tc>
        <w:tc>
          <w:tcPr>
            <w:tcW w:w="110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29" w:hRule="atLeast"/>
          <w:jc w:val="center"/>
        </w:trPr>
        <w:tc>
          <w:tcPr>
            <w:tcW w:w="544" w:type="pct"/>
            <w:vMerge w:val="restar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2</w:t>
            </w:r>
          </w:p>
          <w:p>
            <w:pPr>
              <w:widowControl/>
              <w:autoSpaceDE w:val="0"/>
              <w:autoSpaceDN w:val="0"/>
              <w:spacing w:line="240" w:lineRule="auto"/>
              <w:ind w:firstLine="0" w:firstLineChars="0"/>
              <w:jc w:val="center"/>
              <w:textAlignment w:val="center"/>
              <w:rPr>
                <w:color w:val="auto"/>
                <w:kern w:val="0"/>
                <w:sz w:val="21"/>
                <w:szCs w:val="21"/>
              </w:rPr>
            </w:pPr>
          </w:p>
        </w:tc>
        <w:tc>
          <w:tcPr>
            <w:tcW w:w="782" w:type="pct"/>
            <w:vMerge w:val="restar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color w:val="auto"/>
                <w:kern w:val="0"/>
                <w:sz w:val="21"/>
                <w:szCs w:val="21"/>
              </w:rPr>
              <w:t>NH</w:t>
            </w:r>
            <w:r>
              <w:rPr>
                <w:color w:val="auto"/>
                <w:kern w:val="0"/>
                <w:sz w:val="21"/>
                <w:szCs w:val="21"/>
                <w:vertAlign w:val="subscript"/>
              </w:rPr>
              <w:t>3</w:t>
            </w:r>
            <w:r>
              <w:rPr>
                <w:color w:val="auto"/>
                <w:kern w:val="0"/>
                <w:sz w:val="21"/>
                <w:szCs w:val="21"/>
              </w:rPr>
              <w:t>-N</w:t>
            </w:r>
          </w:p>
        </w:tc>
        <w:tc>
          <w:tcPr>
            <w:tcW w:w="1647"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2018年6月</w:t>
            </w:r>
          </w:p>
        </w:tc>
        <w:tc>
          <w:tcPr>
            <w:tcW w:w="55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0.13</w:t>
            </w:r>
          </w:p>
        </w:tc>
        <w:tc>
          <w:tcPr>
            <w:tcW w:w="110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color w:val="auto"/>
                <w:kern w:val="0"/>
                <w:sz w:val="21"/>
                <w:szCs w:val="21"/>
              </w:rPr>
              <w:t>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2" w:hRule="atLeast"/>
          <w:jc w:val="center"/>
        </w:trPr>
        <w:tc>
          <w:tcPr>
            <w:tcW w:w="544"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782"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1647"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2018年7月</w:t>
            </w:r>
          </w:p>
        </w:tc>
        <w:tc>
          <w:tcPr>
            <w:tcW w:w="55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0.1</w:t>
            </w:r>
          </w:p>
        </w:tc>
        <w:tc>
          <w:tcPr>
            <w:tcW w:w="110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5" w:hRule="atLeast"/>
          <w:jc w:val="center"/>
        </w:trPr>
        <w:tc>
          <w:tcPr>
            <w:tcW w:w="544"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782"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1647"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2018年8月</w:t>
            </w:r>
          </w:p>
        </w:tc>
        <w:tc>
          <w:tcPr>
            <w:tcW w:w="55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2.36</w:t>
            </w:r>
          </w:p>
        </w:tc>
        <w:tc>
          <w:tcPr>
            <w:tcW w:w="110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09" w:hRule="atLeast"/>
          <w:jc w:val="center"/>
        </w:trPr>
        <w:tc>
          <w:tcPr>
            <w:tcW w:w="544"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782"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1647"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2018年9月</w:t>
            </w:r>
          </w:p>
        </w:tc>
        <w:tc>
          <w:tcPr>
            <w:tcW w:w="55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1.19</w:t>
            </w:r>
          </w:p>
        </w:tc>
        <w:tc>
          <w:tcPr>
            <w:tcW w:w="110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27" w:hRule="atLeast"/>
          <w:jc w:val="center"/>
        </w:trPr>
        <w:tc>
          <w:tcPr>
            <w:tcW w:w="544"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782"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1647"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2018年10月</w:t>
            </w:r>
          </w:p>
        </w:tc>
        <w:tc>
          <w:tcPr>
            <w:tcW w:w="55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0.65</w:t>
            </w:r>
          </w:p>
        </w:tc>
        <w:tc>
          <w:tcPr>
            <w:tcW w:w="110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46" w:hRule="atLeast"/>
          <w:jc w:val="center"/>
        </w:trPr>
        <w:tc>
          <w:tcPr>
            <w:tcW w:w="544"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782"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1647"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2018年11月</w:t>
            </w:r>
          </w:p>
        </w:tc>
        <w:tc>
          <w:tcPr>
            <w:tcW w:w="55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1.5</w:t>
            </w:r>
          </w:p>
        </w:tc>
        <w:tc>
          <w:tcPr>
            <w:tcW w:w="110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4" w:hRule="atLeast"/>
          <w:jc w:val="center"/>
        </w:trPr>
        <w:tc>
          <w:tcPr>
            <w:tcW w:w="544"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782"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1647"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2018年12月</w:t>
            </w:r>
          </w:p>
        </w:tc>
        <w:tc>
          <w:tcPr>
            <w:tcW w:w="55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1.25</w:t>
            </w:r>
          </w:p>
        </w:tc>
        <w:tc>
          <w:tcPr>
            <w:tcW w:w="110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80" w:hRule="atLeast"/>
          <w:jc w:val="center"/>
        </w:trPr>
        <w:tc>
          <w:tcPr>
            <w:tcW w:w="544"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782"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1647"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2019年1月</w:t>
            </w:r>
          </w:p>
        </w:tc>
        <w:tc>
          <w:tcPr>
            <w:tcW w:w="55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1.18</w:t>
            </w:r>
          </w:p>
        </w:tc>
        <w:tc>
          <w:tcPr>
            <w:tcW w:w="110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53" w:hRule="atLeast"/>
          <w:jc w:val="center"/>
        </w:trPr>
        <w:tc>
          <w:tcPr>
            <w:tcW w:w="544"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782"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1647"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2019年2月</w:t>
            </w:r>
          </w:p>
        </w:tc>
        <w:tc>
          <w:tcPr>
            <w:tcW w:w="55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0.17</w:t>
            </w:r>
          </w:p>
        </w:tc>
        <w:tc>
          <w:tcPr>
            <w:tcW w:w="110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72" w:hRule="atLeast"/>
          <w:jc w:val="center"/>
        </w:trPr>
        <w:tc>
          <w:tcPr>
            <w:tcW w:w="544"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782"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1647"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2019年3月</w:t>
            </w:r>
          </w:p>
        </w:tc>
        <w:tc>
          <w:tcPr>
            <w:tcW w:w="55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0.66</w:t>
            </w:r>
          </w:p>
        </w:tc>
        <w:tc>
          <w:tcPr>
            <w:tcW w:w="110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9" w:hRule="atLeast"/>
          <w:jc w:val="center"/>
        </w:trPr>
        <w:tc>
          <w:tcPr>
            <w:tcW w:w="544"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782"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1647"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2019年4月</w:t>
            </w:r>
          </w:p>
        </w:tc>
        <w:tc>
          <w:tcPr>
            <w:tcW w:w="55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0.19</w:t>
            </w:r>
          </w:p>
        </w:tc>
        <w:tc>
          <w:tcPr>
            <w:tcW w:w="110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49" w:hRule="atLeast"/>
          <w:jc w:val="center"/>
        </w:trPr>
        <w:tc>
          <w:tcPr>
            <w:tcW w:w="544"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782"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1647"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2019年5月</w:t>
            </w:r>
          </w:p>
        </w:tc>
        <w:tc>
          <w:tcPr>
            <w:tcW w:w="55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0.36</w:t>
            </w:r>
          </w:p>
        </w:tc>
        <w:tc>
          <w:tcPr>
            <w:tcW w:w="110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52" w:hRule="atLeast"/>
          <w:jc w:val="center"/>
        </w:trPr>
        <w:tc>
          <w:tcPr>
            <w:tcW w:w="544" w:type="pct"/>
            <w:vMerge w:val="restar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3</w:t>
            </w:r>
          </w:p>
        </w:tc>
        <w:tc>
          <w:tcPr>
            <w:tcW w:w="782" w:type="pct"/>
            <w:vMerge w:val="restar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总磷</w:t>
            </w:r>
          </w:p>
        </w:tc>
        <w:tc>
          <w:tcPr>
            <w:tcW w:w="1647"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2018年6月</w:t>
            </w:r>
          </w:p>
        </w:tc>
        <w:tc>
          <w:tcPr>
            <w:tcW w:w="55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0.07</w:t>
            </w:r>
          </w:p>
        </w:tc>
        <w:tc>
          <w:tcPr>
            <w:tcW w:w="110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0" w:hRule="atLeast"/>
          <w:jc w:val="center"/>
        </w:trPr>
        <w:tc>
          <w:tcPr>
            <w:tcW w:w="544"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782"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1647"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2018年7月</w:t>
            </w:r>
          </w:p>
        </w:tc>
        <w:tc>
          <w:tcPr>
            <w:tcW w:w="55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0.14</w:t>
            </w:r>
          </w:p>
        </w:tc>
        <w:tc>
          <w:tcPr>
            <w:tcW w:w="110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9" w:hRule="atLeast"/>
          <w:jc w:val="center"/>
        </w:trPr>
        <w:tc>
          <w:tcPr>
            <w:tcW w:w="544"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782"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1647"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2018年8月</w:t>
            </w:r>
          </w:p>
        </w:tc>
        <w:tc>
          <w:tcPr>
            <w:tcW w:w="55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0.6</w:t>
            </w:r>
          </w:p>
        </w:tc>
        <w:tc>
          <w:tcPr>
            <w:tcW w:w="110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1.5</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02" w:hRule="atLeast"/>
          <w:jc w:val="center"/>
        </w:trPr>
        <w:tc>
          <w:tcPr>
            <w:tcW w:w="544"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782"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1647"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2018年9月</w:t>
            </w:r>
          </w:p>
        </w:tc>
        <w:tc>
          <w:tcPr>
            <w:tcW w:w="55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0.23</w:t>
            </w:r>
          </w:p>
        </w:tc>
        <w:tc>
          <w:tcPr>
            <w:tcW w:w="110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1" w:hRule="atLeast"/>
          <w:jc w:val="center"/>
        </w:trPr>
        <w:tc>
          <w:tcPr>
            <w:tcW w:w="544"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782"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1647"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2018年10月</w:t>
            </w:r>
          </w:p>
        </w:tc>
        <w:tc>
          <w:tcPr>
            <w:tcW w:w="55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0.1</w:t>
            </w:r>
          </w:p>
        </w:tc>
        <w:tc>
          <w:tcPr>
            <w:tcW w:w="110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9" w:hRule="atLeast"/>
          <w:jc w:val="center"/>
        </w:trPr>
        <w:tc>
          <w:tcPr>
            <w:tcW w:w="544"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782"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1647"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2018年11月</w:t>
            </w:r>
          </w:p>
        </w:tc>
        <w:tc>
          <w:tcPr>
            <w:tcW w:w="55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0.24</w:t>
            </w:r>
          </w:p>
        </w:tc>
        <w:tc>
          <w:tcPr>
            <w:tcW w:w="110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43" w:hRule="atLeast"/>
          <w:jc w:val="center"/>
        </w:trPr>
        <w:tc>
          <w:tcPr>
            <w:tcW w:w="544"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782"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1647"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2018年12月</w:t>
            </w:r>
          </w:p>
        </w:tc>
        <w:tc>
          <w:tcPr>
            <w:tcW w:w="55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0.23</w:t>
            </w:r>
          </w:p>
        </w:tc>
        <w:tc>
          <w:tcPr>
            <w:tcW w:w="110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31" w:hRule="atLeast"/>
          <w:jc w:val="center"/>
        </w:trPr>
        <w:tc>
          <w:tcPr>
            <w:tcW w:w="544"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782"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1647"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2019年1月</w:t>
            </w:r>
          </w:p>
        </w:tc>
        <w:tc>
          <w:tcPr>
            <w:tcW w:w="55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0.21</w:t>
            </w:r>
          </w:p>
        </w:tc>
        <w:tc>
          <w:tcPr>
            <w:tcW w:w="110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544"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782"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1647"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2019年2月</w:t>
            </w:r>
          </w:p>
        </w:tc>
        <w:tc>
          <w:tcPr>
            <w:tcW w:w="55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0.06</w:t>
            </w:r>
          </w:p>
        </w:tc>
        <w:tc>
          <w:tcPr>
            <w:tcW w:w="110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8" w:hRule="atLeast"/>
          <w:jc w:val="center"/>
        </w:trPr>
        <w:tc>
          <w:tcPr>
            <w:tcW w:w="544"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782"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1647"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2019年3月</w:t>
            </w:r>
          </w:p>
        </w:tc>
        <w:tc>
          <w:tcPr>
            <w:tcW w:w="55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0.14</w:t>
            </w:r>
          </w:p>
        </w:tc>
        <w:tc>
          <w:tcPr>
            <w:tcW w:w="110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42" w:hRule="atLeast"/>
          <w:jc w:val="center"/>
        </w:trPr>
        <w:tc>
          <w:tcPr>
            <w:tcW w:w="544"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782"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1647"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2019年4月</w:t>
            </w:r>
          </w:p>
        </w:tc>
        <w:tc>
          <w:tcPr>
            <w:tcW w:w="55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0.25</w:t>
            </w:r>
          </w:p>
        </w:tc>
        <w:tc>
          <w:tcPr>
            <w:tcW w:w="110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9" w:hRule="atLeast"/>
          <w:jc w:val="center"/>
        </w:trPr>
        <w:tc>
          <w:tcPr>
            <w:tcW w:w="544"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782" w:type="pct"/>
            <w:vMerge w:val="continue"/>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p>
        </w:tc>
        <w:tc>
          <w:tcPr>
            <w:tcW w:w="1647"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2019年5月</w:t>
            </w:r>
          </w:p>
        </w:tc>
        <w:tc>
          <w:tcPr>
            <w:tcW w:w="55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0.13</w:t>
            </w:r>
          </w:p>
        </w:tc>
        <w:tc>
          <w:tcPr>
            <w:tcW w:w="1104" w:type="pct"/>
            <w:tcBorders>
              <w:tl2br w:val="nil"/>
              <w:tr2bl w:val="nil"/>
            </w:tcBorders>
            <w:vAlign w:val="center"/>
          </w:tcPr>
          <w:p>
            <w:pPr>
              <w:widowControl/>
              <w:autoSpaceDE w:val="0"/>
              <w:autoSpaceDN w:val="0"/>
              <w:spacing w:line="240" w:lineRule="auto"/>
              <w:ind w:firstLine="0" w:firstLineChars="0"/>
              <w:jc w:val="center"/>
              <w:textAlignment w:val="center"/>
              <w:rPr>
                <w:color w:val="auto"/>
                <w:kern w:val="0"/>
                <w:sz w:val="21"/>
                <w:szCs w:val="21"/>
              </w:rPr>
            </w:pPr>
            <w:r>
              <w:rPr>
                <w:rFonts w:hint="eastAsia"/>
                <w:color w:val="auto"/>
                <w:kern w:val="0"/>
                <w:sz w:val="21"/>
                <w:szCs w:val="21"/>
              </w:rPr>
              <w:t>0</w:t>
            </w:r>
          </w:p>
        </w:tc>
      </w:tr>
    </w:tbl>
    <w:p>
      <w:pPr>
        <w:ind w:firstLine="480"/>
        <w:jc w:val="left"/>
        <w:rPr>
          <w:color w:val="auto"/>
        </w:rPr>
      </w:pPr>
      <w:r>
        <w:rPr>
          <w:rFonts w:hint="eastAsia"/>
          <w:color w:val="auto"/>
        </w:rPr>
        <w:t>由表</w:t>
      </w:r>
      <w:r>
        <w:rPr>
          <w:color w:val="auto"/>
        </w:rPr>
        <w:t>4.4-10</w:t>
      </w:r>
      <w:r>
        <w:rPr>
          <w:rFonts w:hint="eastAsia"/>
          <w:color w:val="auto"/>
        </w:rPr>
        <w:t>可以看出，厂区北侧金堤河宋海桥断面监测因子COD、总磷不能满足《地表水环境质量标准》（</w:t>
      </w:r>
      <w:r>
        <w:rPr>
          <w:color w:val="auto"/>
        </w:rPr>
        <w:t>GB3838-2002</w:t>
      </w:r>
      <w:r>
        <w:rPr>
          <w:rFonts w:hint="eastAsia"/>
          <w:color w:val="auto"/>
        </w:rPr>
        <w:t>）</w:t>
      </w:r>
      <w:r>
        <w:rPr>
          <w:rFonts w:hint="eastAsia" w:ascii="宋体" w:hAnsi="宋体"/>
          <w:color w:val="auto"/>
          <w:highlight w:val="yellow"/>
        </w:rPr>
        <w:fldChar w:fldCharType="begin"/>
      </w:r>
      <w:r>
        <w:rPr>
          <w:rFonts w:hint="eastAsia" w:ascii="宋体" w:hAnsi="宋体"/>
          <w:color w:val="auto"/>
          <w:highlight w:val="yellow"/>
        </w:rPr>
        <w:instrText xml:space="preserve"> = 4 \* ROMAN \* MERGEFORMAT </w:instrText>
      </w:r>
      <w:r>
        <w:rPr>
          <w:rFonts w:hint="eastAsia" w:ascii="宋体" w:hAnsi="宋体"/>
          <w:color w:val="auto"/>
          <w:highlight w:val="yellow"/>
        </w:rPr>
        <w:fldChar w:fldCharType="separate"/>
      </w:r>
      <w:r>
        <w:rPr>
          <w:color w:val="auto"/>
        </w:rPr>
        <w:t>V</w:t>
      </w:r>
      <w:r>
        <w:rPr>
          <w:rFonts w:hint="eastAsia" w:ascii="宋体" w:hAnsi="宋体"/>
          <w:color w:val="auto"/>
          <w:highlight w:val="yellow"/>
        </w:rPr>
        <w:fldChar w:fldCharType="end"/>
      </w:r>
      <w:r>
        <w:rPr>
          <w:rFonts w:hint="eastAsia"/>
          <w:color w:val="auto"/>
        </w:rPr>
        <w:t>类标准的要求，主要超标原因为农村面源污染。</w:t>
      </w:r>
    </w:p>
    <w:p>
      <w:pPr>
        <w:pStyle w:val="6"/>
        <w:tabs>
          <w:tab w:val="left" w:pos="0"/>
        </w:tabs>
        <w:rPr>
          <w:color w:val="auto"/>
        </w:rPr>
      </w:pPr>
      <w:r>
        <w:rPr>
          <w:color w:val="auto"/>
        </w:rPr>
        <w:t>4.</w:t>
      </w:r>
      <w:r>
        <w:rPr>
          <w:rFonts w:hint="eastAsia"/>
          <w:color w:val="auto"/>
          <w:lang w:val="en-US"/>
        </w:rPr>
        <w:t>2</w:t>
      </w:r>
      <w:r>
        <w:rPr>
          <w:color w:val="auto"/>
        </w:rPr>
        <w:t>.3  地下水环境质量现状调查与评价</w:t>
      </w:r>
    </w:p>
    <w:p>
      <w:pPr>
        <w:autoSpaceDE w:val="0"/>
        <w:autoSpaceDN w:val="0"/>
        <w:ind w:firstLine="480"/>
        <w:rPr>
          <w:color w:val="auto"/>
        </w:rPr>
      </w:pPr>
      <w:r>
        <w:rPr>
          <w:color w:val="auto"/>
        </w:rPr>
        <w:t>4.</w:t>
      </w:r>
      <w:r>
        <w:rPr>
          <w:rFonts w:hint="eastAsia"/>
          <w:color w:val="auto"/>
        </w:rPr>
        <w:t>2</w:t>
      </w:r>
      <w:r>
        <w:rPr>
          <w:color w:val="auto"/>
        </w:rPr>
        <w:t>.3.1  监测点位及监测因子</w:t>
      </w:r>
      <w:r>
        <w:rPr>
          <w:rFonts w:hint="eastAsia"/>
          <w:color w:val="auto"/>
        </w:rPr>
        <w:t>、时间、频率</w:t>
      </w:r>
    </w:p>
    <w:p>
      <w:pPr>
        <w:pStyle w:val="44"/>
        <w:numPr>
          <w:ilvl w:val="0"/>
          <w:numId w:val="0"/>
        </w:numPr>
        <w:ind w:firstLine="471"/>
        <w:jc w:val="left"/>
        <w:rPr>
          <w:b w:val="0"/>
          <w:color w:val="auto"/>
        </w:rPr>
      </w:pPr>
      <w:r>
        <w:rPr>
          <w:rFonts w:hint="eastAsia"/>
          <w:b w:val="0"/>
          <w:color w:val="auto"/>
        </w:rPr>
        <w:t>评价区内地下水主要为深层地下水，地下水流向西南向东北。依据工程污染特征、地下水走向及项目区周围敏感点分布情况，本次评价对地下水监测共布设6个监测点，地下水监测布点设置见表4.2-11</w:t>
      </w:r>
      <w:r>
        <w:rPr>
          <w:b w:val="0"/>
          <w:color w:val="auto"/>
        </w:rPr>
        <w:t>。</w:t>
      </w:r>
    </w:p>
    <w:p>
      <w:pPr>
        <w:spacing w:after="154" w:afterLines="30" w:line="500" w:lineRule="exact"/>
        <w:ind w:firstLine="0" w:firstLineChars="0"/>
        <w:jc w:val="center"/>
        <w:rPr>
          <w:b/>
          <w:color w:val="auto"/>
          <w:sz w:val="22"/>
          <w:szCs w:val="22"/>
        </w:rPr>
      </w:pPr>
      <w:r>
        <w:rPr>
          <w:b/>
          <w:color w:val="auto"/>
          <w:sz w:val="22"/>
          <w:szCs w:val="22"/>
        </w:rPr>
        <w:t>表4</w:t>
      </w:r>
      <w:r>
        <w:rPr>
          <w:rFonts w:hint="eastAsia"/>
          <w:b/>
          <w:color w:val="auto"/>
          <w:sz w:val="22"/>
          <w:szCs w:val="22"/>
        </w:rPr>
        <w:t>.2</w:t>
      </w:r>
      <w:r>
        <w:rPr>
          <w:b/>
          <w:color w:val="auto"/>
          <w:sz w:val="22"/>
          <w:szCs w:val="22"/>
        </w:rPr>
        <w:t>-1</w:t>
      </w:r>
      <w:r>
        <w:rPr>
          <w:rFonts w:hint="eastAsia"/>
          <w:b/>
          <w:color w:val="auto"/>
          <w:sz w:val="22"/>
          <w:szCs w:val="22"/>
        </w:rPr>
        <w:t>1</w:t>
      </w:r>
      <w:r>
        <w:rPr>
          <w:b/>
          <w:color w:val="auto"/>
          <w:sz w:val="22"/>
          <w:szCs w:val="22"/>
        </w:rPr>
        <w:t xml:space="preserve">   地下水监测点位布设情况一览表</w:t>
      </w:r>
    </w:p>
    <w:tbl>
      <w:tblPr>
        <w:tblStyle w:val="27"/>
        <w:tblW w:w="8760" w:type="dxa"/>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738"/>
        <w:gridCol w:w="981"/>
        <w:gridCol w:w="806"/>
        <w:gridCol w:w="788"/>
        <w:gridCol w:w="3436"/>
        <w:gridCol w:w="1007"/>
        <w:gridCol w:w="1004"/>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45" w:hRule="exact"/>
          <w:jc w:val="center"/>
        </w:trPr>
        <w:tc>
          <w:tcPr>
            <w:tcW w:w="738" w:type="dxa"/>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color w:val="auto"/>
                <w:kern w:val="0"/>
                <w:sz w:val="21"/>
                <w:szCs w:val="21"/>
              </w:rPr>
              <w:t>编号</w:t>
            </w:r>
          </w:p>
        </w:tc>
        <w:tc>
          <w:tcPr>
            <w:tcW w:w="981" w:type="dxa"/>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color w:val="auto"/>
                <w:kern w:val="0"/>
                <w:sz w:val="21"/>
                <w:szCs w:val="21"/>
              </w:rPr>
              <w:t>监测点</w:t>
            </w:r>
          </w:p>
        </w:tc>
        <w:tc>
          <w:tcPr>
            <w:tcW w:w="806" w:type="dxa"/>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color w:val="auto"/>
                <w:kern w:val="0"/>
                <w:sz w:val="21"/>
                <w:szCs w:val="21"/>
              </w:rPr>
              <w:t>距离(m)</w:t>
            </w:r>
          </w:p>
        </w:tc>
        <w:tc>
          <w:tcPr>
            <w:tcW w:w="788" w:type="dxa"/>
            <w:tcBorders>
              <w:tl2br w:val="nil"/>
              <w:tr2bl w:val="nil"/>
            </w:tcBorders>
            <w:vAlign w:val="center"/>
          </w:tcPr>
          <w:p>
            <w:pPr>
              <w:autoSpaceDE w:val="0"/>
              <w:autoSpaceDN w:val="0"/>
              <w:snapToGrid/>
              <w:spacing w:line="240" w:lineRule="auto"/>
              <w:ind w:firstLine="0" w:firstLineChars="0"/>
              <w:jc w:val="center"/>
              <w:rPr>
                <w:b/>
                <w:bCs/>
                <w:color w:val="auto"/>
                <w:kern w:val="0"/>
                <w:sz w:val="21"/>
                <w:szCs w:val="21"/>
              </w:rPr>
            </w:pPr>
            <w:r>
              <w:rPr>
                <w:color w:val="auto"/>
                <w:kern w:val="0"/>
                <w:sz w:val="21"/>
                <w:szCs w:val="21"/>
              </w:rPr>
              <w:t>方位</w:t>
            </w:r>
          </w:p>
        </w:tc>
        <w:tc>
          <w:tcPr>
            <w:tcW w:w="3436" w:type="dxa"/>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color w:val="auto"/>
                <w:kern w:val="0"/>
                <w:sz w:val="21"/>
                <w:szCs w:val="21"/>
              </w:rPr>
              <w:t>监测项目</w:t>
            </w:r>
          </w:p>
        </w:tc>
        <w:tc>
          <w:tcPr>
            <w:tcW w:w="1007" w:type="dxa"/>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color w:val="auto"/>
                <w:kern w:val="0"/>
                <w:sz w:val="21"/>
                <w:szCs w:val="21"/>
              </w:rPr>
              <w:t>监测频次</w:t>
            </w:r>
          </w:p>
        </w:tc>
        <w:tc>
          <w:tcPr>
            <w:tcW w:w="1004" w:type="dxa"/>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color w:val="auto"/>
                <w:kern w:val="0"/>
                <w:sz w:val="21"/>
                <w:szCs w:val="21"/>
              </w:rPr>
              <w:t>备注</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858" w:hRule="atLeast"/>
          <w:jc w:val="center"/>
        </w:trPr>
        <w:tc>
          <w:tcPr>
            <w:tcW w:w="738" w:type="dxa"/>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color w:val="auto"/>
                <w:kern w:val="0"/>
                <w:sz w:val="21"/>
                <w:szCs w:val="21"/>
              </w:rPr>
              <w:t>1#</w:t>
            </w:r>
          </w:p>
        </w:tc>
        <w:tc>
          <w:tcPr>
            <w:tcW w:w="981" w:type="dxa"/>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rFonts w:hint="eastAsia"/>
                <w:color w:val="auto"/>
                <w:kern w:val="0"/>
                <w:sz w:val="21"/>
                <w:szCs w:val="21"/>
              </w:rPr>
              <w:t>于屯村</w:t>
            </w:r>
          </w:p>
        </w:tc>
        <w:tc>
          <w:tcPr>
            <w:tcW w:w="806" w:type="dxa"/>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rFonts w:hint="eastAsia"/>
                <w:color w:val="auto"/>
                <w:kern w:val="0"/>
                <w:sz w:val="21"/>
                <w:szCs w:val="21"/>
              </w:rPr>
              <w:t>730</w:t>
            </w:r>
          </w:p>
        </w:tc>
        <w:tc>
          <w:tcPr>
            <w:tcW w:w="788" w:type="dxa"/>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rFonts w:hint="eastAsia"/>
                <w:color w:val="auto"/>
                <w:kern w:val="0"/>
                <w:sz w:val="21"/>
                <w:szCs w:val="21"/>
              </w:rPr>
              <w:t>W</w:t>
            </w:r>
          </w:p>
        </w:tc>
        <w:tc>
          <w:tcPr>
            <w:tcW w:w="3436" w:type="dxa"/>
            <w:vMerge w:val="restart"/>
            <w:tcBorders>
              <w:tl2br w:val="nil"/>
              <w:tr2bl w:val="nil"/>
            </w:tcBorders>
            <w:vAlign w:val="center"/>
          </w:tcPr>
          <w:p>
            <w:pPr>
              <w:snapToGrid/>
              <w:spacing w:line="240" w:lineRule="auto"/>
              <w:ind w:firstLine="0" w:firstLineChars="0"/>
              <w:jc w:val="center"/>
              <w:rPr>
                <w:color w:val="auto"/>
                <w:kern w:val="0"/>
                <w:sz w:val="21"/>
                <w:szCs w:val="21"/>
              </w:rPr>
            </w:pPr>
            <w:r>
              <w:rPr>
                <w:color w:val="auto"/>
                <w:sz w:val="21"/>
                <w:szCs w:val="21"/>
              </w:rPr>
              <w:t>K</w:t>
            </w:r>
            <w:r>
              <w:rPr>
                <w:color w:val="auto"/>
                <w:sz w:val="21"/>
                <w:szCs w:val="21"/>
                <w:vertAlign w:val="superscript"/>
              </w:rPr>
              <w:t>+</w:t>
            </w:r>
            <w:r>
              <w:rPr>
                <w:color w:val="auto"/>
                <w:sz w:val="21"/>
                <w:szCs w:val="21"/>
              </w:rPr>
              <w:t>、Na</w:t>
            </w:r>
            <w:r>
              <w:rPr>
                <w:color w:val="auto"/>
                <w:sz w:val="21"/>
                <w:szCs w:val="21"/>
                <w:vertAlign w:val="superscript"/>
              </w:rPr>
              <w:t>+</w:t>
            </w:r>
            <w:r>
              <w:rPr>
                <w:color w:val="auto"/>
                <w:sz w:val="21"/>
                <w:szCs w:val="21"/>
              </w:rPr>
              <w:t>、Ca</w:t>
            </w:r>
            <w:r>
              <w:rPr>
                <w:color w:val="auto"/>
                <w:sz w:val="21"/>
                <w:szCs w:val="21"/>
                <w:vertAlign w:val="superscript"/>
              </w:rPr>
              <w:t>2+</w:t>
            </w:r>
            <w:r>
              <w:rPr>
                <w:color w:val="auto"/>
                <w:sz w:val="21"/>
                <w:szCs w:val="21"/>
              </w:rPr>
              <w:t>、Mg</w:t>
            </w:r>
            <w:r>
              <w:rPr>
                <w:color w:val="auto"/>
                <w:sz w:val="21"/>
                <w:szCs w:val="21"/>
                <w:vertAlign w:val="superscript"/>
              </w:rPr>
              <w:t>2+</w:t>
            </w:r>
            <w:r>
              <w:rPr>
                <w:color w:val="auto"/>
                <w:sz w:val="21"/>
                <w:szCs w:val="21"/>
              </w:rPr>
              <w:t>、CO</w:t>
            </w:r>
            <w:r>
              <w:rPr>
                <w:color w:val="auto"/>
                <w:sz w:val="21"/>
                <w:szCs w:val="21"/>
                <w:vertAlign w:val="subscript"/>
              </w:rPr>
              <w:t>3</w:t>
            </w:r>
            <w:r>
              <w:rPr>
                <w:color w:val="auto"/>
                <w:sz w:val="21"/>
                <w:szCs w:val="21"/>
                <w:vertAlign w:val="superscript"/>
              </w:rPr>
              <w:t>2-</w:t>
            </w:r>
            <w:r>
              <w:rPr>
                <w:color w:val="auto"/>
                <w:sz w:val="21"/>
                <w:szCs w:val="21"/>
              </w:rPr>
              <w:t>、HCO</w:t>
            </w:r>
            <w:r>
              <w:rPr>
                <w:color w:val="auto"/>
                <w:sz w:val="21"/>
                <w:szCs w:val="21"/>
                <w:vertAlign w:val="subscript"/>
              </w:rPr>
              <w:t>3</w:t>
            </w:r>
            <w:r>
              <w:rPr>
                <w:color w:val="auto"/>
                <w:sz w:val="21"/>
                <w:szCs w:val="21"/>
              </w:rPr>
              <w:t>-、Cl</w:t>
            </w:r>
            <w:r>
              <w:rPr>
                <w:color w:val="auto"/>
                <w:sz w:val="21"/>
                <w:szCs w:val="21"/>
                <w:vertAlign w:val="superscript"/>
              </w:rPr>
              <w:t>-</w:t>
            </w:r>
            <w:r>
              <w:rPr>
                <w:color w:val="auto"/>
                <w:sz w:val="21"/>
                <w:szCs w:val="21"/>
              </w:rPr>
              <w:t>、SO</w:t>
            </w:r>
            <w:r>
              <w:rPr>
                <w:color w:val="auto"/>
                <w:sz w:val="21"/>
                <w:szCs w:val="21"/>
                <w:vertAlign w:val="subscript"/>
              </w:rPr>
              <w:t>4</w:t>
            </w:r>
            <w:r>
              <w:rPr>
                <w:color w:val="auto"/>
                <w:sz w:val="21"/>
                <w:szCs w:val="21"/>
                <w:vertAlign w:val="superscript"/>
              </w:rPr>
              <w:t>2-</w:t>
            </w:r>
            <w:r>
              <w:rPr>
                <w:color w:val="auto"/>
                <w:sz w:val="21"/>
                <w:szCs w:val="21"/>
              </w:rPr>
              <w:t>、pH、氨氮、硝酸盐、亚硝酸盐、挥发性酚类、氰化物、砷、汞、铬（六价）、总硬度、铅、氟</w:t>
            </w:r>
            <w:r>
              <w:rPr>
                <w:rFonts w:hint="eastAsia"/>
                <w:color w:val="auto"/>
                <w:sz w:val="21"/>
                <w:szCs w:val="21"/>
              </w:rPr>
              <w:t>化物</w:t>
            </w:r>
            <w:r>
              <w:rPr>
                <w:color w:val="auto"/>
                <w:sz w:val="21"/>
                <w:szCs w:val="21"/>
              </w:rPr>
              <w:t>、镉、铁、锰、溶解性总固体、硫酸盐、氯化物、总大肠菌群、细菌总数</w:t>
            </w:r>
            <w:r>
              <w:rPr>
                <w:rFonts w:hint="eastAsia"/>
                <w:color w:val="auto"/>
                <w:sz w:val="21"/>
                <w:szCs w:val="21"/>
              </w:rPr>
              <w:t>、耗氧量</w:t>
            </w:r>
            <w:r>
              <w:rPr>
                <w:color w:val="auto"/>
                <w:sz w:val="21"/>
                <w:szCs w:val="21"/>
              </w:rPr>
              <w:t>共2</w:t>
            </w:r>
            <w:r>
              <w:rPr>
                <w:rFonts w:hint="eastAsia"/>
                <w:color w:val="auto"/>
                <w:sz w:val="21"/>
                <w:szCs w:val="21"/>
              </w:rPr>
              <w:t>9</w:t>
            </w:r>
            <w:r>
              <w:rPr>
                <w:color w:val="auto"/>
                <w:sz w:val="21"/>
                <w:szCs w:val="21"/>
              </w:rPr>
              <w:t>项，同时记录井深、水温、水位、功能</w:t>
            </w:r>
          </w:p>
        </w:tc>
        <w:tc>
          <w:tcPr>
            <w:tcW w:w="1007" w:type="dxa"/>
            <w:vMerge w:val="restart"/>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color w:val="auto"/>
                <w:kern w:val="0"/>
                <w:sz w:val="21"/>
                <w:szCs w:val="21"/>
              </w:rPr>
              <w:t>连续监测</w:t>
            </w:r>
          </w:p>
          <w:p>
            <w:pPr>
              <w:autoSpaceDE w:val="0"/>
              <w:autoSpaceDN w:val="0"/>
              <w:snapToGrid/>
              <w:spacing w:line="240" w:lineRule="auto"/>
              <w:ind w:firstLine="0" w:firstLineChars="0"/>
              <w:jc w:val="center"/>
              <w:rPr>
                <w:color w:val="auto"/>
                <w:kern w:val="0"/>
                <w:sz w:val="21"/>
                <w:szCs w:val="21"/>
              </w:rPr>
            </w:pPr>
            <w:r>
              <w:rPr>
                <w:color w:val="auto"/>
                <w:kern w:val="0"/>
                <w:sz w:val="21"/>
                <w:szCs w:val="21"/>
              </w:rPr>
              <w:t>2天，每天</w:t>
            </w:r>
          </w:p>
          <w:p>
            <w:pPr>
              <w:autoSpaceDE w:val="0"/>
              <w:autoSpaceDN w:val="0"/>
              <w:snapToGrid/>
              <w:spacing w:line="240" w:lineRule="auto"/>
              <w:ind w:firstLine="0" w:firstLineChars="0"/>
              <w:jc w:val="center"/>
              <w:rPr>
                <w:color w:val="auto"/>
                <w:kern w:val="0"/>
                <w:sz w:val="21"/>
                <w:szCs w:val="21"/>
              </w:rPr>
            </w:pPr>
            <w:r>
              <w:rPr>
                <w:color w:val="auto"/>
                <w:kern w:val="0"/>
                <w:sz w:val="21"/>
                <w:szCs w:val="21"/>
              </w:rPr>
              <w:t>采样1次</w:t>
            </w:r>
          </w:p>
        </w:tc>
        <w:tc>
          <w:tcPr>
            <w:tcW w:w="1004" w:type="dxa"/>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color w:val="auto"/>
                <w:kern w:val="0"/>
                <w:sz w:val="21"/>
                <w:szCs w:val="21"/>
              </w:rPr>
              <w:t>背景点</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43" w:hRule="atLeast"/>
          <w:jc w:val="center"/>
        </w:trPr>
        <w:tc>
          <w:tcPr>
            <w:tcW w:w="738" w:type="dxa"/>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color w:val="auto"/>
                <w:kern w:val="0"/>
                <w:sz w:val="21"/>
                <w:szCs w:val="21"/>
              </w:rPr>
              <w:t>2#</w:t>
            </w:r>
          </w:p>
        </w:tc>
        <w:tc>
          <w:tcPr>
            <w:tcW w:w="981" w:type="dxa"/>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rFonts w:hint="eastAsia"/>
                <w:color w:val="auto"/>
                <w:kern w:val="0"/>
                <w:sz w:val="21"/>
                <w:szCs w:val="21"/>
              </w:rPr>
              <w:t>柳寨村</w:t>
            </w:r>
          </w:p>
        </w:tc>
        <w:tc>
          <w:tcPr>
            <w:tcW w:w="806" w:type="dxa"/>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rFonts w:hint="eastAsia"/>
                <w:color w:val="auto"/>
                <w:kern w:val="0"/>
                <w:sz w:val="21"/>
                <w:szCs w:val="21"/>
              </w:rPr>
              <w:t>1435</w:t>
            </w:r>
          </w:p>
        </w:tc>
        <w:tc>
          <w:tcPr>
            <w:tcW w:w="788" w:type="dxa"/>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rFonts w:hint="eastAsia"/>
                <w:color w:val="auto"/>
                <w:sz w:val="21"/>
                <w:szCs w:val="21"/>
              </w:rPr>
              <w:t>SE</w:t>
            </w:r>
          </w:p>
        </w:tc>
        <w:tc>
          <w:tcPr>
            <w:tcW w:w="3436" w:type="dxa"/>
            <w:vMerge w:val="continue"/>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color w:val="auto"/>
                <w:kern w:val="0"/>
                <w:sz w:val="21"/>
                <w:szCs w:val="21"/>
              </w:rPr>
              <w:t>pH</w:t>
            </w:r>
          </w:p>
          <w:p>
            <w:pPr>
              <w:autoSpaceDE w:val="0"/>
              <w:autoSpaceDN w:val="0"/>
              <w:snapToGrid/>
              <w:spacing w:line="240" w:lineRule="auto"/>
              <w:ind w:firstLine="0" w:firstLineChars="0"/>
              <w:jc w:val="center"/>
              <w:rPr>
                <w:color w:val="auto"/>
                <w:kern w:val="0"/>
                <w:sz w:val="21"/>
                <w:szCs w:val="21"/>
              </w:rPr>
            </w:pPr>
            <w:r>
              <w:rPr>
                <w:color w:val="auto"/>
                <w:kern w:val="0"/>
                <w:sz w:val="21"/>
                <w:szCs w:val="21"/>
              </w:rPr>
              <w:t>2+      2+</w:t>
            </w:r>
          </w:p>
          <w:p>
            <w:pPr>
              <w:autoSpaceDE w:val="0"/>
              <w:autoSpaceDN w:val="0"/>
              <w:snapToGrid/>
              <w:spacing w:line="240" w:lineRule="auto"/>
              <w:ind w:firstLine="0" w:firstLineChars="0"/>
              <w:jc w:val="center"/>
              <w:rPr>
                <w:color w:val="auto"/>
                <w:kern w:val="0"/>
                <w:sz w:val="21"/>
                <w:szCs w:val="21"/>
              </w:rPr>
            </w:pPr>
            <w:r>
              <w:rPr>
                <w:color w:val="auto"/>
                <w:kern w:val="0"/>
                <w:sz w:val="21"/>
                <w:szCs w:val="21"/>
              </w:rPr>
              <w:t>铅、铁、锰、砷、K+、Na+、Ca 、Mg 、</w:t>
            </w:r>
          </w:p>
          <w:p>
            <w:pPr>
              <w:autoSpaceDE w:val="0"/>
              <w:autoSpaceDN w:val="0"/>
              <w:snapToGrid/>
              <w:spacing w:line="240" w:lineRule="auto"/>
              <w:ind w:firstLine="0" w:firstLineChars="0"/>
              <w:jc w:val="center"/>
              <w:rPr>
                <w:color w:val="auto"/>
                <w:kern w:val="0"/>
                <w:sz w:val="21"/>
                <w:szCs w:val="21"/>
              </w:rPr>
            </w:pPr>
            <w:r>
              <w:rPr>
                <w:color w:val="auto"/>
                <w:kern w:val="0"/>
                <w:sz w:val="21"/>
                <w:szCs w:val="21"/>
              </w:rPr>
              <w:t>-</w:t>
            </w:r>
          </w:p>
          <w:p>
            <w:pPr>
              <w:autoSpaceDE w:val="0"/>
              <w:autoSpaceDN w:val="0"/>
              <w:snapToGrid/>
              <w:spacing w:line="240" w:lineRule="auto"/>
              <w:ind w:firstLine="0" w:firstLineChars="0"/>
              <w:jc w:val="center"/>
              <w:rPr>
                <w:color w:val="auto"/>
                <w:kern w:val="0"/>
                <w:sz w:val="21"/>
                <w:szCs w:val="21"/>
              </w:rPr>
            </w:pPr>
            <w:r>
              <w:rPr>
                <w:color w:val="auto"/>
                <w:kern w:val="0"/>
                <w:sz w:val="21"/>
                <w:szCs w:val="21"/>
              </w:rPr>
              <w:t>CO32-、HCO3-、Cl 、SO42-共 21 项，同时记</w:t>
            </w:r>
          </w:p>
          <w:p>
            <w:pPr>
              <w:autoSpaceDE w:val="0"/>
              <w:autoSpaceDN w:val="0"/>
              <w:snapToGrid/>
              <w:spacing w:line="240" w:lineRule="auto"/>
              <w:ind w:firstLine="0" w:firstLineChars="0"/>
              <w:jc w:val="center"/>
              <w:rPr>
                <w:color w:val="auto"/>
                <w:kern w:val="0"/>
                <w:sz w:val="21"/>
                <w:szCs w:val="21"/>
              </w:rPr>
            </w:pPr>
            <w:r>
              <w:rPr>
                <w:color w:val="auto"/>
                <w:kern w:val="0"/>
                <w:sz w:val="21"/>
                <w:szCs w:val="21"/>
              </w:rPr>
              <w:t>录井深和水位、水温、坐标</w:t>
            </w:r>
          </w:p>
        </w:tc>
        <w:tc>
          <w:tcPr>
            <w:tcW w:w="1007" w:type="dxa"/>
            <w:vMerge w:val="continue"/>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color w:val="auto"/>
                <w:kern w:val="0"/>
                <w:sz w:val="21"/>
                <w:szCs w:val="21"/>
              </w:rPr>
              <w:t>连续监测</w:t>
            </w:r>
          </w:p>
          <w:p>
            <w:pPr>
              <w:autoSpaceDE w:val="0"/>
              <w:autoSpaceDN w:val="0"/>
              <w:snapToGrid/>
              <w:spacing w:line="240" w:lineRule="auto"/>
              <w:ind w:firstLine="0" w:firstLineChars="0"/>
              <w:jc w:val="center"/>
              <w:rPr>
                <w:color w:val="auto"/>
                <w:kern w:val="0"/>
                <w:sz w:val="21"/>
                <w:szCs w:val="21"/>
              </w:rPr>
            </w:pPr>
            <w:r>
              <w:rPr>
                <w:color w:val="auto"/>
                <w:kern w:val="0"/>
                <w:sz w:val="21"/>
                <w:szCs w:val="21"/>
              </w:rPr>
              <w:t>2 天，每天</w:t>
            </w:r>
          </w:p>
          <w:p>
            <w:pPr>
              <w:autoSpaceDE w:val="0"/>
              <w:autoSpaceDN w:val="0"/>
              <w:snapToGrid/>
              <w:spacing w:line="240" w:lineRule="auto"/>
              <w:ind w:firstLine="0" w:firstLineChars="0"/>
              <w:jc w:val="center"/>
              <w:rPr>
                <w:color w:val="auto"/>
                <w:kern w:val="0"/>
                <w:sz w:val="21"/>
                <w:szCs w:val="21"/>
              </w:rPr>
            </w:pPr>
            <w:r>
              <w:rPr>
                <w:color w:val="auto"/>
                <w:kern w:val="0"/>
                <w:sz w:val="21"/>
                <w:szCs w:val="21"/>
              </w:rPr>
              <w:t>采样 1 次</w:t>
            </w:r>
          </w:p>
        </w:tc>
        <w:tc>
          <w:tcPr>
            <w:tcW w:w="1004" w:type="dxa"/>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color w:val="auto"/>
                <w:kern w:val="0"/>
                <w:sz w:val="21"/>
                <w:szCs w:val="21"/>
              </w:rPr>
              <w:t>监测点</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486" w:hRule="atLeast"/>
          <w:jc w:val="center"/>
        </w:trPr>
        <w:tc>
          <w:tcPr>
            <w:tcW w:w="738" w:type="dxa"/>
            <w:tcBorders>
              <w:bottom w:val="single" w:color="auto" w:sz="4" w:space="0"/>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color w:val="auto"/>
                <w:kern w:val="0"/>
                <w:sz w:val="21"/>
                <w:szCs w:val="21"/>
              </w:rPr>
              <w:t>3#</w:t>
            </w:r>
          </w:p>
        </w:tc>
        <w:tc>
          <w:tcPr>
            <w:tcW w:w="981" w:type="dxa"/>
            <w:tcBorders>
              <w:bottom w:val="single" w:color="auto" w:sz="4" w:space="0"/>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rFonts w:hint="eastAsia"/>
                <w:color w:val="auto"/>
                <w:kern w:val="0"/>
                <w:sz w:val="21"/>
                <w:szCs w:val="21"/>
              </w:rPr>
              <w:t>冯寨村</w:t>
            </w:r>
          </w:p>
        </w:tc>
        <w:tc>
          <w:tcPr>
            <w:tcW w:w="806" w:type="dxa"/>
            <w:tcBorders>
              <w:bottom w:val="single" w:color="auto" w:sz="4" w:space="0"/>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rFonts w:hint="eastAsia"/>
                <w:color w:val="auto"/>
                <w:kern w:val="0"/>
                <w:sz w:val="21"/>
                <w:szCs w:val="21"/>
              </w:rPr>
              <w:t>805</w:t>
            </w:r>
          </w:p>
        </w:tc>
        <w:tc>
          <w:tcPr>
            <w:tcW w:w="788" w:type="dxa"/>
            <w:tcBorders>
              <w:bottom w:val="single" w:color="auto" w:sz="4" w:space="0"/>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rFonts w:hint="eastAsia"/>
                <w:color w:val="auto"/>
                <w:sz w:val="21"/>
                <w:szCs w:val="21"/>
              </w:rPr>
              <w:t>SE</w:t>
            </w:r>
          </w:p>
        </w:tc>
        <w:tc>
          <w:tcPr>
            <w:tcW w:w="3436" w:type="dxa"/>
            <w:vMerge w:val="continue"/>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color w:val="auto"/>
                <w:kern w:val="0"/>
                <w:sz w:val="21"/>
                <w:szCs w:val="21"/>
              </w:rPr>
              <w:t>pH</w:t>
            </w:r>
          </w:p>
          <w:p>
            <w:pPr>
              <w:autoSpaceDE w:val="0"/>
              <w:autoSpaceDN w:val="0"/>
              <w:snapToGrid/>
              <w:spacing w:line="240" w:lineRule="auto"/>
              <w:ind w:firstLine="0" w:firstLineChars="0"/>
              <w:jc w:val="center"/>
              <w:rPr>
                <w:color w:val="auto"/>
                <w:kern w:val="0"/>
                <w:sz w:val="21"/>
                <w:szCs w:val="21"/>
              </w:rPr>
            </w:pPr>
            <w:r>
              <w:rPr>
                <w:color w:val="auto"/>
                <w:kern w:val="0"/>
                <w:sz w:val="21"/>
                <w:szCs w:val="21"/>
              </w:rPr>
              <w:t>2+      2+</w:t>
            </w:r>
          </w:p>
          <w:p>
            <w:pPr>
              <w:autoSpaceDE w:val="0"/>
              <w:autoSpaceDN w:val="0"/>
              <w:snapToGrid/>
              <w:spacing w:line="240" w:lineRule="auto"/>
              <w:ind w:firstLine="0" w:firstLineChars="0"/>
              <w:jc w:val="center"/>
              <w:rPr>
                <w:color w:val="auto"/>
                <w:kern w:val="0"/>
                <w:sz w:val="21"/>
                <w:szCs w:val="21"/>
              </w:rPr>
            </w:pPr>
            <w:r>
              <w:rPr>
                <w:color w:val="auto"/>
                <w:kern w:val="0"/>
                <w:sz w:val="21"/>
                <w:szCs w:val="21"/>
              </w:rPr>
              <w:t>铅、铁、锰、砷、K+、Na+、Ca 、Mg 、</w:t>
            </w:r>
          </w:p>
          <w:p>
            <w:pPr>
              <w:autoSpaceDE w:val="0"/>
              <w:autoSpaceDN w:val="0"/>
              <w:snapToGrid/>
              <w:spacing w:line="240" w:lineRule="auto"/>
              <w:ind w:firstLine="0" w:firstLineChars="0"/>
              <w:jc w:val="center"/>
              <w:rPr>
                <w:color w:val="auto"/>
                <w:kern w:val="0"/>
                <w:sz w:val="21"/>
                <w:szCs w:val="21"/>
              </w:rPr>
            </w:pPr>
            <w:r>
              <w:rPr>
                <w:color w:val="auto"/>
                <w:kern w:val="0"/>
                <w:sz w:val="21"/>
                <w:szCs w:val="21"/>
              </w:rPr>
              <w:t>-</w:t>
            </w:r>
          </w:p>
          <w:p>
            <w:pPr>
              <w:autoSpaceDE w:val="0"/>
              <w:autoSpaceDN w:val="0"/>
              <w:snapToGrid/>
              <w:spacing w:line="240" w:lineRule="auto"/>
              <w:ind w:firstLine="0" w:firstLineChars="0"/>
              <w:jc w:val="center"/>
              <w:rPr>
                <w:color w:val="auto"/>
                <w:kern w:val="0"/>
                <w:sz w:val="21"/>
                <w:szCs w:val="21"/>
              </w:rPr>
            </w:pPr>
            <w:r>
              <w:rPr>
                <w:color w:val="auto"/>
                <w:kern w:val="0"/>
                <w:sz w:val="21"/>
                <w:szCs w:val="21"/>
              </w:rPr>
              <w:t>CO32-、HCO3-、Cl 、SO42-共 21 项，同时记</w:t>
            </w:r>
          </w:p>
          <w:p>
            <w:pPr>
              <w:autoSpaceDE w:val="0"/>
              <w:autoSpaceDN w:val="0"/>
              <w:snapToGrid/>
              <w:spacing w:line="240" w:lineRule="auto"/>
              <w:ind w:firstLine="0" w:firstLineChars="0"/>
              <w:jc w:val="center"/>
              <w:rPr>
                <w:color w:val="auto"/>
                <w:kern w:val="0"/>
                <w:sz w:val="21"/>
                <w:szCs w:val="21"/>
              </w:rPr>
            </w:pPr>
            <w:r>
              <w:rPr>
                <w:color w:val="auto"/>
                <w:kern w:val="0"/>
                <w:sz w:val="21"/>
                <w:szCs w:val="21"/>
              </w:rPr>
              <w:t>录井深和水位、水温、坐标</w:t>
            </w:r>
          </w:p>
        </w:tc>
        <w:tc>
          <w:tcPr>
            <w:tcW w:w="1007" w:type="dxa"/>
            <w:vMerge w:val="continue"/>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color w:val="auto"/>
                <w:kern w:val="0"/>
                <w:sz w:val="21"/>
                <w:szCs w:val="21"/>
              </w:rPr>
              <w:t>连续监测</w:t>
            </w:r>
          </w:p>
          <w:p>
            <w:pPr>
              <w:autoSpaceDE w:val="0"/>
              <w:autoSpaceDN w:val="0"/>
              <w:snapToGrid/>
              <w:spacing w:line="240" w:lineRule="auto"/>
              <w:ind w:firstLine="0" w:firstLineChars="0"/>
              <w:jc w:val="center"/>
              <w:rPr>
                <w:color w:val="auto"/>
                <w:kern w:val="0"/>
                <w:sz w:val="21"/>
                <w:szCs w:val="21"/>
              </w:rPr>
            </w:pPr>
            <w:r>
              <w:rPr>
                <w:color w:val="auto"/>
                <w:kern w:val="0"/>
                <w:sz w:val="21"/>
                <w:szCs w:val="21"/>
              </w:rPr>
              <w:t>2 天，每天</w:t>
            </w:r>
          </w:p>
          <w:p>
            <w:pPr>
              <w:autoSpaceDE w:val="0"/>
              <w:autoSpaceDN w:val="0"/>
              <w:snapToGrid/>
              <w:spacing w:line="240" w:lineRule="auto"/>
              <w:ind w:firstLine="0" w:firstLineChars="0"/>
              <w:jc w:val="center"/>
              <w:rPr>
                <w:color w:val="auto"/>
                <w:kern w:val="0"/>
                <w:sz w:val="21"/>
                <w:szCs w:val="21"/>
              </w:rPr>
            </w:pPr>
            <w:r>
              <w:rPr>
                <w:color w:val="auto"/>
                <w:kern w:val="0"/>
                <w:sz w:val="21"/>
                <w:szCs w:val="21"/>
              </w:rPr>
              <w:t>采样 1 次</w:t>
            </w:r>
          </w:p>
        </w:tc>
        <w:tc>
          <w:tcPr>
            <w:tcW w:w="1004" w:type="dxa"/>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color w:val="auto"/>
                <w:kern w:val="0"/>
                <w:sz w:val="21"/>
                <w:szCs w:val="21"/>
              </w:rPr>
              <w:t>监测点</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5" w:hRule="exact"/>
          <w:jc w:val="center"/>
        </w:trPr>
        <w:tc>
          <w:tcPr>
            <w:tcW w:w="738" w:type="dxa"/>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color w:val="auto"/>
                <w:kern w:val="0"/>
                <w:sz w:val="21"/>
                <w:szCs w:val="21"/>
              </w:rPr>
              <w:t>4#</w:t>
            </w:r>
          </w:p>
        </w:tc>
        <w:tc>
          <w:tcPr>
            <w:tcW w:w="981" w:type="dxa"/>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rFonts w:hint="eastAsia"/>
                <w:color w:val="auto"/>
                <w:kern w:val="0"/>
                <w:sz w:val="21"/>
                <w:szCs w:val="21"/>
              </w:rPr>
              <w:t>七王庙村</w:t>
            </w:r>
          </w:p>
        </w:tc>
        <w:tc>
          <w:tcPr>
            <w:tcW w:w="806" w:type="dxa"/>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rFonts w:hint="eastAsia"/>
                <w:color w:val="auto"/>
                <w:kern w:val="0"/>
                <w:sz w:val="21"/>
                <w:szCs w:val="21"/>
              </w:rPr>
              <w:t>705</w:t>
            </w:r>
          </w:p>
        </w:tc>
        <w:tc>
          <w:tcPr>
            <w:tcW w:w="788" w:type="dxa"/>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rFonts w:hint="eastAsia"/>
                <w:color w:val="auto"/>
                <w:kern w:val="0"/>
                <w:sz w:val="21"/>
                <w:szCs w:val="21"/>
              </w:rPr>
              <w:t>NW</w:t>
            </w:r>
          </w:p>
        </w:tc>
        <w:tc>
          <w:tcPr>
            <w:tcW w:w="3436" w:type="dxa"/>
            <w:vMerge w:val="restart"/>
            <w:tcBorders>
              <w:tl2br w:val="nil"/>
              <w:tr2bl w:val="nil"/>
            </w:tcBorders>
            <w:vAlign w:val="center"/>
          </w:tcPr>
          <w:p>
            <w:pPr>
              <w:snapToGrid/>
              <w:spacing w:line="240" w:lineRule="auto"/>
              <w:ind w:firstLine="0" w:firstLineChars="0"/>
              <w:jc w:val="center"/>
              <w:rPr>
                <w:color w:val="auto"/>
                <w:kern w:val="0"/>
                <w:sz w:val="21"/>
                <w:szCs w:val="21"/>
              </w:rPr>
            </w:pPr>
            <w:r>
              <w:rPr>
                <w:color w:val="auto"/>
                <w:sz w:val="21"/>
                <w:szCs w:val="21"/>
              </w:rPr>
              <w:t>记录井深、水温、水位、功能</w:t>
            </w:r>
          </w:p>
        </w:tc>
        <w:tc>
          <w:tcPr>
            <w:tcW w:w="1007" w:type="dxa"/>
            <w:vMerge w:val="restart"/>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color w:val="auto"/>
                <w:kern w:val="0"/>
                <w:sz w:val="21"/>
                <w:szCs w:val="21"/>
              </w:rPr>
              <w:t>/</w:t>
            </w:r>
          </w:p>
        </w:tc>
        <w:tc>
          <w:tcPr>
            <w:tcW w:w="1004" w:type="dxa"/>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color w:val="auto"/>
                <w:kern w:val="0"/>
                <w:sz w:val="21"/>
                <w:szCs w:val="21"/>
              </w:rPr>
              <w:t>监测点</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15" w:hRule="exact"/>
          <w:jc w:val="center"/>
        </w:trPr>
        <w:tc>
          <w:tcPr>
            <w:tcW w:w="738" w:type="dxa"/>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color w:val="auto"/>
                <w:kern w:val="0"/>
                <w:sz w:val="21"/>
                <w:szCs w:val="21"/>
              </w:rPr>
              <w:t>5#</w:t>
            </w:r>
          </w:p>
        </w:tc>
        <w:tc>
          <w:tcPr>
            <w:tcW w:w="981" w:type="dxa"/>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rFonts w:hint="eastAsia"/>
                <w:color w:val="auto"/>
                <w:kern w:val="0"/>
                <w:sz w:val="21"/>
                <w:szCs w:val="21"/>
              </w:rPr>
              <w:t>老王庄村</w:t>
            </w:r>
          </w:p>
        </w:tc>
        <w:tc>
          <w:tcPr>
            <w:tcW w:w="806" w:type="dxa"/>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rFonts w:hint="eastAsia"/>
                <w:color w:val="auto"/>
                <w:kern w:val="0"/>
                <w:sz w:val="21"/>
                <w:szCs w:val="21"/>
              </w:rPr>
              <w:t>1060</w:t>
            </w:r>
          </w:p>
        </w:tc>
        <w:tc>
          <w:tcPr>
            <w:tcW w:w="788" w:type="dxa"/>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rFonts w:hint="eastAsia"/>
                <w:color w:val="auto"/>
                <w:sz w:val="21"/>
                <w:szCs w:val="21"/>
              </w:rPr>
              <w:t>S</w:t>
            </w:r>
          </w:p>
        </w:tc>
        <w:tc>
          <w:tcPr>
            <w:tcW w:w="3436" w:type="dxa"/>
            <w:vMerge w:val="continue"/>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p>
        </w:tc>
        <w:tc>
          <w:tcPr>
            <w:tcW w:w="1007" w:type="dxa"/>
            <w:vMerge w:val="continue"/>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p>
        </w:tc>
        <w:tc>
          <w:tcPr>
            <w:tcW w:w="1004" w:type="dxa"/>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color w:val="auto"/>
                <w:kern w:val="0"/>
                <w:sz w:val="21"/>
                <w:szCs w:val="21"/>
              </w:rPr>
              <w:t>监测点</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15" w:hRule="exact"/>
          <w:jc w:val="center"/>
        </w:trPr>
        <w:tc>
          <w:tcPr>
            <w:tcW w:w="738" w:type="dxa"/>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rFonts w:hint="eastAsia"/>
                <w:color w:val="auto"/>
                <w:kern w:val="0"/>
                <w:sz w:val="21"/>
                <w:szCs w:val="21"/>
              </w:rPr>
              <w:t>6#</w:t>
            </w:r>
          </w:p>
        </w:tc>
        <w:tc>
          <w:tcPr>
            <w:tcW w:w="981" w:type="dxa"/>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rFonts w:hint="eastAsia"/>
                <w:color w:val="auto"/>
                <w:kern w:val="0"/>
                <w:sz w:val="21"/>
                <w:szCs w:val="21"/>
              </w:rPr>
              <w:t>安寨村</w:t>
            </w:r>
          </w:p>
        </w:tc>
        <w:tc>
          <w:tcPr>
            <w:tcW w:w="806" w:type="dxa"/>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rFonts w:hint="eastAsia"/>
                <w:color w:val="auto"/>
                <w:kern w:val="0"/>
                <w:sz w:val="21"/>
                <w:szCs w:val="21"/>
              </w:rPr>
              <w:t>970</w:t>
            </w:r>
          </w:p>
        </w:tc>
        <w:tc>
          <w:tcPr>
            <w:tcW w:w="788" w:type="dxa"/>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rFonts w:hint="eastAsia"/>
                <w:color w:val="auto"/>
                <w:sz w:val="21"/>
                <w:szCs w:val="21"/>
              </w:rPr>
              <w:t>N</w:t>
            </w:r>
          </w:p>
        </w:tc>
        <w:tc>
          <w:tcPr>
            <w:tcW w:w="3436" w:type="dxa"/>
            <w:vMerge w:val="continue"/>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p>
        </w:tc>
        <w:tc>
          <w:tcPr>
            <w:tcW w:w="1007" w:type="dxa"/>
            <w:vMerge w:val="continue"/>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p>
        </w:tc>
        <w:tc>
          <w:tcPr>
            <w:tcW w:w="1004" w:type="dxa"/>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color w:val="auto"/>
                <w:kern w:val="0"/>
                <w:sz w:val="21"/>
                <w:szCs w:val="21"/>
              </w:rPr>
              <w:t>监测点</w:t>
            </w:r>
          </w:p>
        </w:tc>
      </w:tr>
    </w:tbl>
    <w:p>
      <w:pPr>
        <w:autoSpaceDE w:val="0"/>
        <w:autoSpaceDN w:val="0"/>
        <w:ind w:firstLine="480"/>
        <w:rPr>
          <w:color w:val="auto"/>
        </w:rPr>
      </w:pPr>
      <w:r>
        <w:rPr>
          <w:color w:val="auto"/>
        </w:rPr>
        <w:t>4.</w:t>
      </w:r>
      <w:r>
        <w:rPr>
          <w:rFonts w:hint="eastAsia"/>
          <w:color w:val="auto"/>
        </w:rPr>
        <w:t>2</w:t>
      </w:r>
      <w:r>
        <w:rPr>
          <w:color w:val="auto"/>
        </w:rPr>
        <w:t>.3.</w:t>
      </w:r>
      <w:r>
        <w:rPr>
          <w:rFonts w:hint="eastAsia"/>
          <w:color w:val="auto"/>
        </w:rPr>
        <w:t>2</w:t>
      </w:r>
      <w:r>
        <w:rPr>
          <w:color w:val="auto"/>
        </w:rPr>
        <w:t xml:space="preserve">  监测因子分析方法</w:t>
      </w:r>
    </w:p>
    <w:p>
      <w:pPr>
        <w:pStyle w:val="44"/>
        <w:numPr>
          <w:ilvl w:val="0"/>
          <w:numId w:val="0"/>
        </w:numPr>
        <w:adjustRightInd/>
        <w:snapToGrid/>
        <w:spacing w:line="240" w:lineRule="auto"/>
        <w:ind w:firstLine="480"/>
        <w:jc w:val="left"/>
        <w:rPr>
          <w:b w:val="0"/>
          <w:color w:val="auto"/>
        </w:rPr>
      </w:pPr>
      <w:r>
        <w:rPr>
          <w:b w:val="0"/>
          <w:color w:val="auto"/>
        </w:rPr>
        <w:t>地下水各监测因子的分析方法见表4</w:t>
      </w:r>
      <w:r>
        <w:rPr>
          <w:rFonts w:hint="eastAsia"/>
          <w:b w:val="0"/>
          <w:color w:val="auto"/>
        </w:rPr>
        <w:t>.2</w:t>
      </w:r>
      <w:r>
        <w:rPr>
          <w:b w:val="0"/>
          <w:color w:val="auto"/>
        </w:rPr>
        <w:t>-1</w:t>
      </w:r>
      <w:r>
        <w:rPr>
          <w:rFonts w:hint="eastAsia"/>
          <w:b w:val="0"/>
          <w:color w:val="auto"/>
        </w:rPr>
        <w:t>2</w:t>
      </w:r>
      <w:r>
        <w:rPr>
          <w:b w:val="0"/>
          <w:color w:val="auto"/>
        </w:rPr>
        <w:t>。</w:t>
      </w:r>
    </w:p>
    <w:p>
      <w:pPr>
        <w:adjustRightInd/>
        <w:snapToGrid/>
        <w:spacing w:line="240" w:lineRule="auto"/>
        <w:ind w:firstLine="1210" w:firstLineChars="550"/>
        <w:rPr>
          <w:b/>
          <w:color w:val="auto"/>
          <w:sz w:val="22"/>
          <w:szCs w:val="22"/>
        </w:rPr>
      </w:pPr>
      <w:r>
        <w:rPr>
          <w:b/>
          <w:color w:val="auto"/>
          <w:sz w:val="22"/>
          <w:szCs w:val="22"/>
        </w:rPr>
        <w:t>表4</w:t>
      </w:r>
      <w:r>
        <w:rPr>
          <w:rFonts w:hint="eastAsia"/>
          <w:b/>
          <w:color w:val="auto"/>
          <w:sz w:val="22"/>
          <w:szCs w:val="22"/>
        </w:rPr>
        <w:t>.2</w:t>
      </w:r>
      <w:r>
        <w:rPr>
          <w:b/>
          <w:color w:val="auto"/>
          <w:sz w:val="22"/>
          <w:szCs w:val="22"/>
        </w:rPr>
        <w:t>-</w:t>
      </w:r>
      <w:r>
        <w:rPr>
          <w:rFonts w:hint="eastAsia"/>
          <w:b/>
          <w:color w:val="auto"/>
          <w:sz w:val="22"/>
          <w:szCs w:val="22"/>
        </w:rPr>
        <w:t>12</w:t>
      </w:r>
      <w:r>
        <w:rPr>
          <w:b/>
          <w:color w:val="auto"/>
          <w:sz w:val="22"/>
          <w:szCs w:val="22"/>
        </w:rPr>
        <w:t xml:space="preserve">              地下水各监测因子分析方法一览表</w:t>
      </w:r>
    </w:p>
    <w:tbl>
      <w:tblPr>
        <w:tblStyle w:val="27"/>
        <w:tblW w:w="9289" w:type="dxa"/>
        <w:jc w:val="center"/>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587"/>
        <w:gridCol w:w="1393"/>
        <w:gridCol w:w="3500"/>
        <w:gridCol w:w="2543"/>
        <w:gridCol w:w="1266"/>
      </w:tblGrid>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25" w:hRule="atLeast"/>
          <w:jc w:val="center"/>
        </w:trPr>
        <w:tc>
          <w:tcPr>
            <w:tcW w:w="587" w:type="dxa"/>
            <w:tcBorders>
              <w:tl2br w:val="nil"/>
              <w:tr2bl w:val="nil"/>
            </w:tcBorders>
            <w:vAlign w:val="center"/>
          </w:tcPr>
          <w:p>
            <w:pPr>
              <w:pStyle w:val="68"/>
              <w:keepNext w:val="0"/>
              <w:overflowPunct w:val="0"/>
              <w:topLinePunct/>
              <w:spacing w:line="240" w:lineRule="auto"/>
              <w:ind w:firstLine="0" w:firstLineChars="0"/>
              <w:rPr>
                <w:color w:val="auto"/>
                <w:sz w:val="21"/>
                <w:szCs w:val="21"/>
              </w:rPr>
            </w:pPr>
            <w:bookmarkStart w:id="476" w:name="OLE_LINK15"/>
            <w:bookmarkStart w:id="477" w:name="OLE_LINK11"/>
            <w:r>
              <w:rPr>
                <w:color w:val="auto"/>
                <w:sz w:val="21"/>
                <w:szCs w:val="21"/>
              </w:rPr>
              <w:t>序号</w:t>
            </w:r>
          </w:p>
        </w:tc>
        <w:tc>
          <w:tcPr>
            <w:tcW w:w="1393" w:type="dxa"/>
            <w:tcBorders>
              <w:tl2br w:val="nil"/>
              <w:tr2bl w:val="nil"/>
            </w:tcBorders>
            <w:vAlign w:val="center"/>
          </w:tcPr>
          <w:p>
            <w:pPr>
              <w:pStyle w:val="68"/>
              <w:keepNext w:val="0"/>
              <w:overflowPunct w:val="0"/>
              <w:topLinePunct/>
              <w:spacing w:line="240" w:lineRule="auto"/>
              <w:ind w:firstLine="0" w:firstLineChars="0"/>
              <w:rPr>
                <w:color w:val="auto"/>
                <w:sz w:val="21"/>
                <w:szCs w:val="21"/>
              </w:rPr>
            </w:pPr>
            <w:r>
              <w:rPr>
                <w:color w:val="auto"/>
                <w:sz w:val="21"/>
                <w:szCs w:val="21"/>
              </w:rPr>
              <w:t>检测项目</w:t>
            </w:r>
          </w:p>
        </w:tc>
        <w:tc>
          <w:tcPr>
            <w:tcW w:w="3500" w:type="dxa"/>
            <w:tcBorders>
              <w:tl2br w:val="nil"/>
              <w:tr2bl w:val="nil"/>
            </w:tcBorders>
            <w:vAlign w:val="center"/>
          </w:tcPr>
          <w:p>
            <w:pPr>
              <w:pStyle w:val="68"/>
              <w:keepNext w:val="0"/>
              <w:overflowPunct w:val="0"/>
              <w:topLinePunct/>
              <w:spacing w:line="240" w:lineRule="auto"/>
              <w:ind w:firstLine="0" w:firstLineChars="0"/>
              <w:rPr>
                <w:color w:val="auto"/>
                <w:sz w:val="21"/>
                <w:szCs w:val="21"/>
              </w:rPr>
            </w:pPr>
            <w:r>
              <w:rPr>
                <w:color w:val="auto"/>
                <w:sz w:val="21"/>
                <w:szCs w:val="21"/>
              </w:rPr>
              <w:t>检测分析方法</w:t>
            </w:r>
          </w:p>
        </w:tc>
        <w:tc>
          <w:tcPr>
            <w:tcW w:w="2543" w:type="dxa"/>
            <w:tcBorders>
              <w:tl2br w:val="nil"/>
              <w:tr2bl w:val="nil"/>
            </w:tcBorders>
            <w:vAlign w:val="center"/>
          </w:tcPr>
          <w:p>
            <w:pPr>
              <w:pStyle w:val="68"/>
              <w:keepNext w:val="0"/>
              <w:overflowPunct w:val="0"/>
              <w:topLinePunct/>
              <w:spacing w:line="240" w:lineRule="auto"/>
              <w:ind w:firstLine="0" w:firstLineChars="0"/>
              <w:rPr>
                <w:color w:val="auto"/>
                <w:sz w:val="21"/>
                <w:szCs w:val="21"/>
              </w:rPr>
            </w:pPr>
            <w:r>
              <w:rPr>
                <w:color w:val="auto"/>
                <w:sz w:val="21"/>
                <w:szCs w:val="21"/>
              </w:rPr>
              <w:t>检测使用标准</w:t>
            </w:r>
          </w:p>
        </w:tc>
        <w:tc>
          <w:tcPr>
            <w:tcW w:w="1266" w:type="dxa"/>
            <w:tcBorders>
              <w:tl2br w:val="nil"/>
              <w:tr2bl w:val="nil"/>
            </w:tcBorders>
            <w:vAlign w:val="center"/>
          </w:tcPr>
          <w:p>
            <w:pPr>
              <w:pStyle w:val="68"/>
              <w:keepNext w:val="0"/>
              <w:overflowPunct w:val="0"/>
              <w:topLinePunct/>
              <w:spacing w:line="240" w:lineRule="auto"/>
              <w:ind w:firstLine="0" w:firstLineChars="0"/>
              <w:rPr>
                <w:color w:val="auto"/>
                <w:sz w:val="21"/>
                <w:szCs w:val="21"/>
              </w:rPr>
            </w:pPr>
            <w:r>
              <w:rPr>
                <w:color w:val="auto"/>
                <w:sz w:val="21"/>
                <w:szCs w:val="21"/>
              </w:rPr>
              <w:t>检出限</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25" w:hRule="atLeast"/>
          <w:jc w:val="center"/>
        </w:trPr>
        <w:tc>
          <w:tcPr>
            <w:tcW w:w="587" w:type="dxa"/>
            <w:tcBorders>
              <w:tl2br w:val="nil"/>
              <w:tr2bl w:val="nil"/>
            </w:tcBorders>
            <w:vAlign w:val="center"/>
          </w:tcPr>
          <w:p>
            <w:pPr>
              <w:pStyle w:val="68"/>
              <w:keepNext w:val="0"/>
              <w:overflowPunct w:val="0"/>
              <w:topLinePunct/>
              <w:spacing w:line="240" w:lineRule="auto"/>
              <w:ind w:firstLine="0" w:firstLineChars="0"/>
              <w:rPr>
                <w:color w:val="auto"/>
                <w:sz w:val="21"/>
                <w:szCs w:val="21"/>
              </w:rPr>
            </w:pPr>
            <w:r>
              <w:rPr>
                <w:color w:val="auto"/>
                <w:sz w:val="21"/>
                <w:szCs w:val="21"/>
              </w:rPr>
              <w:t>1</w:t>
            </w:r>
          </w:p>
        </w:tc>
        <w:tc>
          <w:tcPr>
            <w:tcW w:w="1393" w:type="dxa"/>
            <w:tcBorders>
              <w:tl2br w:val="nil"/>
              <w:tr2bl w:val="nil"/>
            </w:tcBorders>
            <w:vAlign w:val="center"/>
          </w:tcPr>
          <w:p>
            <w:pPr>
              <w:spacing w:line="240" w:lineRule="auto"/>
              <w:ind w:firstLine="0" w:firstLineChars="0"/>
              <w:jc w:val="center"/>
              <w:rPr>
                <w:color w:val="auto"/>
                <w:kern w:val="1"/>
                <w:sz w:val="21"/>
                <w:szCs w:val="21"/>
              </w:rPr>
            </w:pPr>
            <w:r>
              <w:rPr>
                <w:color w:val="auto"/>
                <w:kern w:val="1"/>
                <w:sz w:val="21"/>
                <w:szCs w:val="21"/>
              </w:rPr>
              <w:t>K</w:t>
            </w:r>
            <w:r>
              <w:rPr>
                <w:color w:val="auto"/>
                <w:kern w:val="1"/>
                <w:sz w:val="21"/>
                <w:szCs w:val="21"/>
                <w:vertAlign w:val="superscript"/>
              </w:rPr>
              <w:t>+</w:t>
            </w:r>
          </w:p>
        </w:tc>
        <w:tc>
          <w:tcPr>
            <w:tcW w:w="3500" w:type="dxa"/>
            <w:tcBorders>
              <w:tl2br w:val="nil"/>
              <w:tr2bl w:val="nil"/>
            </w:tcBorders>
            <w:vAlign w:val="center"/>
          </w:tcPr>
          <w:p>
            <w:pPr>
              <w:widowControl/>
              <w:spacing w:line="240" w:lineRule="auto"/>
              <w:ind w:firstLine="0" w:firstLineChars="0"/>
              <w:jc w:val="center"/>
              <w:rPr>
                <w:color w:val="auto"/>
                <w:kern w:val="1"/>
                <w:sz w:val="21"/>
                <w:szCs w:val="21"/>
              </w:rPr>
            </w:pPr>
            <w:r>
              <w:rPr>
                <w:color w:val="auto"/>
                <w:sz w:val="21"/>
                <w:szCs w:val="21"/>
              </w:rPr>
              <w:t>水质  钾和钠的测定 火焰原子吸收分光光度法</w:t>
            </w:r>
          </w:p>
        </w:tc>
        <w:tc>
          <w:tcPr>
            <w:tcW w:w="2543" w:type="dxa"/>
            <w:tcBorders>
              <w:tl2br w:val="nil"/>
              <w:tr2bl w:val="nil"/>
            </w:tcBorders>
            <w:vAlign w:val="center"/>
          </w:tcPr>
          <w:p>
            <w:pPr>
              <w:widowControl/>
              <w:spacing w:line="240" w:lineRule="auto"/>
              <w:ind w:firstLine="0" w:firstLineChars="0"/>
              <w:jc w:val="center"/>
              <w:rPr>
                <w:color w:val="auto"/>
                <w:kern w:val="1"/>
                <w:sz w:val="21"/>
                <w:szCs w:val="21"/>
              </w:rPr>
            </w:pPr>
            <w:r>
              <w:rPr>
                <w:color w:val="auto"/>
                <w:sz w:val="21"/>
                <w:szCs w:val="21"/>
              </w:rPr>
              <w:t>GB/T 11904-1989</w:t>
            </w:r>
          </w:p>
        </w:tc>
        <w:tc>
          <w:tcPr>
            <w:tcW w:w="1266" w:type="dxa"/>
            <w:tcBorders>
              <w:tl2br w:val="nil"/>
              <w:tr2bl w:val="nil"/>
            </w:tcBorders>
            <w:vAlign w:val="center"/>
          </w:tcPr>
          <w:p>
            <w:pPr>
              <w:widowControl/>
              <w:spacing w:line="240" w:lineRule="auto"/>
              <w:ind w:firstLine="0" w:firstLineChars="0"/>
              <w:jc w:val="center"/>
              <w:rPr>
                <w:color w:val="auto"/>
                <w:sz w:val="21"/>
                <w:szCs w:val="21"/>
              </w:rPr>
            </w:pPr>
            <w:r>
              <w:rPr>
                <w:color w:val="auto"/>
                <w:sz w:val="21"/>
                <w:szCs w:val="21"/>
              </w:rPr>
              <w:t>0.05mg/L</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25" w:hRule="atLeast"/>
          <w:jc w:val="center"/>
        </w:trPr>
        <w:tc>
          <w:tcPr>
            <w:tcW w:w="587"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2</w:t>
            </w:r>
          </w:p>
        </w:tc>
        <w:tc>
          <w:tcPr>
            <w:tcW w:w="1393" w:type="dxa"/>
            <w:tcBorders>
              <w:tl2br w:val="nil"/>
              <w:tr2bl w:val="nil"/>
            </w:tcBorders>
            <w:vAlign w:val="center"/>
          </w:tcPr>
          <w:p>
            <w:pPr>
              <w:spacing w:line="240" w:lineRule="auto"/>
              <w:ind w:firstLine="0" w:firstLineChars="0"/>
              <w:jc w:val="center"/>
              <w:rPr>
                <w:color w:val="auto"/>
                <w:kern w:val="1"/>
                <w:sz w:val="21"/>
                <w:szCs w:val="21"/>
              </w:rPr>
            </w:pPr>
            <w:r>
              <w:rPr>
                <w:color w:val="auto"/>
                <w:kern w:val="1"/>
                <w:sz w:val="21"/>
                <w:szCs w:val="21"/>
              </w:rPr>
              <w:t>Na</w:t>
            </w:r>
            <w:r>
              <w:rPr>
                <w:color w:val="auto"/>
                <w:kern w:val="1"/>
                <w:sz w:val="21"/>
                <w:szCs w:val="21"/>
                <w:vertAlign w:val="superscript"/>
              </w:rPr>
              <w:t>+</w:t>
            </w:r>
          </w:p>
        </w:tc>
        <w:tc>
          <w:tcPr>
            <w:tcW w:w="3500" w:type="dxa"/>
            <w:tcBorders>
              <w:tl2br w:val="nil"/>
              <w:tr2bl w:val="nil"/>
            </w:tcBorders>
            <w:vAlign w:val="center"/>
          </w:tcPr>
          <w:p>
            <w:pPr>
              <w:widowControl/>
              <w:spacing w:line="240" w:lineRule="auto"/>
              <w:ind w:firstLine="0" w:firstLineChars="0"/>
              <w:jc w:val="center"/>
              <w:rPr>
                <w:color w:val="auto"/>
                <w:kern w:val="1"/>
                <w:sz w:val="21"/>
                <w:szCs w:val="21"/>
              </w:rPr>
            </w:pPr>
            <w:r>
              <w:rPr>
                <w:color w:val="auto"/>
                <w:sz w:val="21"/>
                <w:szCs w:val="21"/>
              </w:rPr>
              <w:t>水质  钾和钠的测定 火焰原子吸收分光光度法</w:t>
            </w:r>
          </w:p>
        </w:tc>
        <w:tc>
          <w:tcPr>
            <w:tcW w:w="2543" w:type="dxa"/>
            <w:tcBorders>
              <w:tl2br w:val="nil"/>
              <w:tr2bl w:val="nil"/>
            </w:tcBorders>
            <w:vAlign w:val="center"/>
          </w:tcPr>
          <w:p>
            <w:pPr>
              <w:widowControl/>
              <w:spacing w:line="240" w:lineRule="auto"/>
              <w:ind w:firstLine="0" w:firstLineChars="0"/>
              <w:jc w:val="center"/>
              <w:rPr>
                <w:color w:val="auto"/>
                <w:kern w:val="1"/>
                <w:sz w:val="21"/>
                <w:szCs w:val="21"/>
              </w:rPr>
            </w:pPr>
            <w:r>
              <w:rPr>
                <w:color w:val="auto"/>
                <w:sz w:val="21"/>
                <w:szCs w:val="21"/>
              </w:rPr>
              <w:t>GB/T 11904-1989</w:t>
            </w:r>
          </w:p>
        </w:tc>
        <w:tc>
          <w:tcPr>
            <w:tcW w:w="1266" w:type="dxa"/>
            <w:tcBorders>
              <w:tl2br w:val="nil"/>
              <w:tr2bl w:val="nil"/>
            </w:tcBorders>
            <w:vAlign w:val="center"/>
          </w:tcPr>
          <w:p>
            <w:pPr>
              <w:widowControl/>
              <w:spacing w:line="240" w:lineRule="auto"/>
              <w:ind w:firstLine="0" w:firstLineChars="0"/>
              <w:jc w:val="center"/>
              <w:rPr>
                <w:color w:val="auto"/>
                <w:sz w:val="21"/>
                <w:szCs w:val="21"/>
              </w:rPr>
            </w:pPr>
            <w:r>
              <w:rPr>
                <w:color w:val="auto"/>
                <w:sz w:val="21"/>
                <w:szCs w:val="21"/>
              </w:rPr>
              <w:t>0.01mg/L</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25" w:hRule="atLeast"/>
          <w:jc w:val="center"/>
        </w:trPr>
        <w:tc>
          <w:tcPr>
            <w:tcW w:w="587"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3</w:t>
            </w:r>
          </w:p>
        </w:tc>
        <w:tc>
          <w:tcPr>
            <w:tcW w:w="1393" w:type="dxa"/>
            <w:tcBorders>
              <w:tl2br w:val="nil"/>
              <w:tr2bl w:val="nil"/>
            </w:tcBorders>
            <w:vAlign w:val="center"/>
          </w:tcPr>
          <w:p>
            <w:pPr>
              <w:spacing w:line="240" w:lineRule="auto"/>
              <w:ind w:firstLine="0" w:firstLineChars="0"/>
              <w:jc w:val="center"/>
              <w:rPr>
                <w:color w:val="auto"/>
                <w:kern w:val="1"/>
                <w:sz w:val="21"/>
                <w:szCs w:val="21"/>
              </w:rPr>
            </w:pPr>
            <w:r>
              <w:rPr>
                <w:color w:val="auto"/>
                <w:kern w:val="1"/>
                <w:sz w:val="21"/>
                <w:szCs w:val="21"/>
              </w:rPr>
              <w:t>Ca</w:t>
            </w:r>
            <w:r>
              <w:rPr>
                <w:color w:val="auto"/>
                <w:kern w:val="1"/>
                <w:sz w:val="21"/>
                <w:szCs w:val="21"/>
                <w:vertAlign w:val="superscript"/>
              </w:rPr>
              <w:t>2+</w:t>
            </w:r>
          </w:p>
        </w:tc>
        <w:tc>
          <w:tcPr>
            <w:tcW w:w="3500" w:type="dxa"/>
            <w:tcBorders>
              <w:tl2br w:val="nil"/>
              <w:tr2bl w:val="nil"/>
            </w:tcBorders>
            <w:vAlign w:val="center"/>
          </w:tcPr>
          <w:p>
            <w:pPr>
              <w:widowControl/>
              <w:spacing w:line="240" w:lineRule="auto"/>
              <w:ind w:firstLine="0" w:firstLineChars="0"/>
              <w:jc w:val="center"/>
              <w:rPr>
                <w:color w:val="auto"/>
                <w:kern w:val="1"/>
                <w:sz w:val="21"/>
                <w:szCs w:val="21"/>
              </w:rPr>
            </w:pPr>
            <w:r>
              <w:rPr>
                <w:color w:val="auto"/>
                <w:sz w:val="21"/>
                <w:szCs w:val="21"/>
              </w:rPr>
              <w:t>水质 钙和镁的测定 原子吸收分光光度法</w:t>
            </w:r>
          </w:p>
        </w:tc>
        <w:tc>
          <w:tcPr>
            <w:tcW w:w="2543" w:type="dxa"/>
            <w:tcBorders>
              <w:tl2br w:val="nil"/>
              <w:tr2bl w:val="nil"/>
            </w:tcBorders>
            <w:vAlign w:val="center"/>
          </w:tcPr>
          <w:p>
            <w:pPr>
              <w:widowControl/>
              <w:spacing w:line="240" w:lineRule="auto"/>
              <w:ind w:firstLine="0" w:firstLineChars="0"/>
              <w:jc w:val="center"/>
              <w:rPr>
                <w:color w:val="auto"/>
                <w:kern w:val="1"/>
                <w:sz w:val="21"/>
                <w:szCs w:val="21"/>
              </w:rPr>
            </w:pPr>
            <w:r>
              <w:rPr>
                <w:color w:val="auto"/>
                <w:sz w:val="21"/>
                <w:szCs w:val="21"/>
              </w:rPr>
              <w:t>GB/T 11905-1989</w:t>
            </w:r>
          </w:p>
        </w:tc>
        <w:tc>
          <w:tcPr>
            <w:tcW w:w="1266" w:type="dxa"/>
            <w:tcBorders>
              <w:tl2br w:val="nil"/>
              <w:tr2bl w:val="nil"/>
            </w:tcBorders>
            <w:vAlign w:val="center"/>
          </w:tcPr>
          <w:p>
            <w:pPr>
              <w:widowControl/>
              <w:spacing w:line="240" w:lineRule="auto"/>
              <w:ind w:firstLine="0" w:firstLineChars="0"/>
              <w:jc w:val="center"/>
              <w:rPr>
                <w:color w:val="auto"/>
                <w:sz w:val="21"/>
                <w:szCs w:val="21"/>
              </w:rPr>
            </w:pPr>
            <w:r>
              <w:rPr>
                <w:color w:val="auto"/>
                <w:sz w:val="21"/>
                <w:szCs w:val="21"/>
              </w:rPr>
              <w:t>0.02mg/L</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25" w:hRule="atLeast"/>
          <w:jc w:val="center"/>
        </w:trPr>
        <w:tc>
          <w:tcPr>
            <w:tcW w:w="587"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4</w:t>
            </w:r>
          </w:p>
        </w:tc>
        <w:tc>
          <w:tcPr>
            <w:tcW w:w="1393" w:type="dxa"/>
            <w:tcBorders>
              <w:tl2br w:val="nil"/>
              <w:tr2bl w:val="nil"/>
            </w:tcBorders>
            <w:vAlign w:val="center"/>
          </w:tcPr>
          <w:p>
            <w:pPr>
              <w:spacing w:line="240" w:lineRule="auto"/>
              <w:ind w:firstLine="0" w:firstLineChars="0"/>
              <w:jc w:val="center"/>
              <w:rPr>
                <w:color w:val="auto"/>
                <w:kern w:val="1"/>
                <w:sz w:val="21"/>
                <w:szCs w:val="21"/>
              </w:rPr>
            </w:pPr>
            <w:r>
              <w:rPr>
                <w:color w:val="auto"/>
                <w:kern w:val="1"/>
                <w:sz w:val="21"/>
                <w:szCs w:val="21"/>
              </w:rPr>
              <w:t>Mg</w:t>
            </w:r>
            <w:r>
              <w:rPr>
                <w:color w:val="auto"/>
                <w:kern w:val="1"/>
                <w:sz w:val="21"/>
                <w:szCs w:val="21"/>
                <w:vertAlign w:val="superscript"/>
              </w:rPr>
              <w:t>2+</w:t>
            </w:r>
          </w:p>
        </w:tc>
        <w:tc>
          <w:tcPr>
            <w:tcW w:w="3500" w:type="dxa"/>
            <w:tcBorders>
              <w:tl2br w:val="nil"/>
              <w:tr2bl w:val="nil"/>
            </w:tcBorders>
            <w:vAlign w:val="center"/>
          </w:tcPr>
          <w:p>
            <w:pPr>
              <w:widowControl/>
              <w:spacing w:line="240" w:lineRule="auto"/>
              <w:ind w:firstLine="0" w:firstLineChars="0"/>
              <w:jc w:val="center"/>
              <w:rPr>
                <w:color w:val="auto"/>
                <w:kern w:val="1"/>
                <w:sz w:val="21"/>
                <w:szCs w:val="21"/>
              </w:rPr>
            </w:pPr>
            <w:r>
              <w:rPr>
                <w:color w:val="auto"/>
                <w:sz w:val="21"/>
                <w:szCs w:val="21"/>
              </w:rPr>
              <w:t>水质 钙和镁的测定 原子吸收分光光度法</w:t>
            </w:r>
          </w:p>
        </w:tc>
        <w:tc>
          <w:tcPr>
            <w:tcW w:w="2543" w:type="dxa"/>
            <w:tcBorders>
              <w:tl2br w:val="nil"/>
              <w:tr2bl w:val="nil"/>
            </w:tcBorders>
            <w:vAlign w:val="center"/>
          </w:tcPr>
          <w:p>
            <w:pPr>
              <w:widowControl/>
              <w:spacing w:line="240" w:lineRule="auto"/>
              <w:ind w:firstLine="0" w:firstLineChars="0"/>
              <w:jc w:val="center"/>
              <w:rPr>
                <w:color w:val="auto"/>
                <w:kern w:val="1"/>
                <w:sz w:val="21"/>
                <w:szCs w:val="21"/>
              </w:rPr>
            </w:pPr>
            <w:r>
              <w:rPr>
                <w:color w:val="auto"/>
                <w:sz w:val="21"/>
                <w:szCs w:val="21"/>
              </w:rPr>
              <w:t>GB/T 11905-1989</w:t>
            </w:r>
          </w:p>
        </w:tc>
        <w:tc>
          <w:tcPr>
            <w:tcW w:w="1266" w:type="dxa"/>
            <w:tcBorders>
              <w:tl2br w:val="nil"/>
              <w:tr2bl w:val="nil"/>
            </w:tcBorders>
            <w:vAlign w:val="center"/>
          </w:tcPr>
          <w:p>
            <w:pPr>
              <w:widowControl/>
              <w:spacing w:line="240" w:lineRule="auto"/>
              <w:ind w:firstLine="0" w:firstLineChars="0"/>
              <w:jc w:val="center"/>
              <w:rPr>
                <w:color w:val="auto"/>
                <w:sz w:val="21"/>
                <w:szCs w:val="21"/>
              </w:rPr>
            </w:pPr>
            <w:r>
              <w:rPr>
                <w:color w:val="auto"/>
                <w:sz w:val="21"/>
                <w:szCs w:val="21"/>
              </w:rPr>
              <w:t>0.002mg/L</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25" w:hRule="atLeast"/>
          <w:jc w:val="center"/>
        </w:trPr>
        <w:tc>
          <w:tcPr>
            <w:tcW w:w="587"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5</w:t>
            </w:r>
          </w:p>
        </w:tc>
        <w:tc>
          <w:tcPr>
            <w:tcW w:w="1393" w:type="dxa"/>
            <w:tcBorders>
              <w:tl2br w:val="nil"/>
              <w:tr2bl w:val="nil"/>
            </w:tcBorders>
            <w:vAlign w:val="center"/>
          </w:tcPr>
          <w:p>
            <w:pPr>
              <w:widowControl/>
              <w:spacing w:line="240" w:lineRule="auto"/>
              <w:ind w:firstLine="0" w:firstLineChars="0"/>
              <w:jc w:val="center"/>
              <w:rPr>
                <w:color w:val="auto"/>
                <w:kern w:val="1"/>
                <w:sz w:val="21"/>
                <w:szCs w:val="21"/>
              </w:rPr>
            </w:pPr>
            <w:r>
              <w:rPr>
                <w:color w:val="auto"/>
                <w:kern w:val="1"/>
                <w:sz w:val="21"/>
                <w:szCs w:val="21"/>
              </w:rPr>
              <w:t>C0</w:t>
            </w:r>
            <w:r>
              <w:rPr>
                <w:color w:val="auto"/>
                <w:kern w:val="1"/>
                <w:sz w:val="21"/>
                <w:szCs w:val="21"/>
                <w:vertAlign w:val="subscript"/>
              </w:rPr>
              <w:t>3</w:t>
            </w:r>
            <w:r>
              <w:rPr>
                <w:color w:val="auto"/>
                <w:kern w:val="1"/>
                <w:sz w:val="21"/>
                <w:szCs w:val="21"/>
                <w:vertAlign w:val="superscript"/>
              </w:rPr>
              <w:t>2-</w:t>
            </w:r>
            <w:r>
              <w:rPr>
                <w:color w:val="auto"/>
                <w:kern w:val="1"/>
                <w:sz w:val="21"/>
                <w:szCs w:val="21"/>
              </w:rPr>
              <w:t>、HCO</w:t>
            </w:r>
            <w:r>
              <w:rPr>
                <w:color w:val="auto"/>
                <w:kern w:val="1"/>
                <w:sz w:val="21"/>
                <w:szCs w:val="21"/>
                <w:vertAlign w:val="subscript"/>
              </w:rPr>
              <w:t>3</w:t>
            </w:r>
            <w:r>
              <w:rPr>
                <w:color w:val="auto"/>
                <w:kern w:val="1"/>
                <w:sz w:val="21"/>
                <w:szCs w:val="21"/>
                <w:vertAlign w:val="superscript"/>
              </w:rPr>
              <w:t>-</w:t>
            </w:r>
          </w:p>
        </w:tc>
        <w:tc>
          <w:tcPr>
            <w:tcW w:w="3500" w:type="dxa"/>
            <w:tcBorders>
              <w:tl2br w:val="nil"/>
              <w:tr2bl w:val="nil"/>
            </w:tcBorders>
            <w:vAlign w:val="center"/>
          </w:tcPr>
          <w:p>
            <w:pPr>
              <w:widowControl/>
              <w:spacing w:line="240" w:lineRule="auto"/>
              <w:ind w:firstLine="0" w:firstLineChars="0"/>
              <w:jc w:val="center"/>
              <w:rPr>
                <w:color w:val="auto"/>
                <w:kern w:val="1"/>
                <w:sz w:val="21"/>
                <w:szCs w:val="21"/>
              </w:rPr>
            </w:pPr>
            <w:r>
              <w:rPr>
                <w:color w:val="auto"/>
                <w:sz w:val="21"/>
                <w:szCs w:val="21"/>
              </w:rPr>
              <w:t>酸碱指示剂滴定法</w:t>
            </w:r>
          </w:p>
        </w:tc>
        <w:tc>
          <w:tcPr>
            <w:tcW w:w="2543" w:type="dxa"/>
            <w:tcBorders>
              <w:tl2br w:val="nil"/>
              <w:tr2bl w:val="nil"/>
            </w:tcBorders>
            <w:vAlign w:val="center"/>
          </w:tcPr>
          <w:p>
            <w:pPr>
              <w:widowControl/>
              <w:spacing w:line="240" w:lineRule="auto"/>
              <w:ind w:firstLine="0" w:firstLineChars="0"/>
              <w:jc w:val="center"/>
              <w:rPr>
                <w:color w:val="auto"/>
                <w:kern w:val="1"/>
                <w:sz w:val="21"/>
                <w:szCs w:val="21"/>
              </w:rPr>
            </w:pPr>
            <w:r>
              <w:rPr>
                <w:color w:val="auto"/>
                <w:sz w:val="21"/>
                <w:szCs w:val="21"/>
              </w:rPr>
              <w:t>《水和废水监测分析方法》(第四版增补版)  国家环境保护总局(2002年)</w:t>
            </w:r>
          </w:p>
        </w:tc>
        <w:tc>
          <w:tcPr>
            <w:tcW w:w="1266" w:type="dxa"/>
            <w:tcBorders>
              <w:tl2br w:val="nil"/>
              <w:tr2bl w:val="nil"/>
            </w:tcBorders>
            <w:vAlign w:val="center"/>
          </w:tcPr>
          <w:p>
            <w:pPr>
              <w:widowControl/>
              <w:spacing w:line="240" w:lineRule="auto"/>
              <w:ind w:firstLine="0" w:firstLineChars="0"/>
              <w:jc w:val="center"/>
              <w:rPr>
                <w:color w:val="auto"/>
                <w:kern w:val="1"/>
                <w:sz w:val="21"/>
                <w:szCs w:val="21"/>
              </w:rPr>
            </w:pPr>
            <w:r>
              <w:rPr>
                <w:color w:val="auto"/>
                <w:sz w:val="21"/>
                <w:szCs w:val="21"/>
              </w:rPr>
              <w:t>/</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25" w:hRule="atLeast"/>
          <w:jc w:val="center"/>
        </w:trPr>
        <w:tc>
          <w:tcPr>
            <w:tcW w:w="587"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6</w:t>
            </w:r>
          </w:p>
        </w:tc>
        <w:tc>
          <w:tcPr>
            <w:tcW w:w="1393" w:type="dxa"/>
            <w:tcBorders>
              <w:tl2br w:val="nil"/>
              <w:tr2bl w:val="nil"/>
            </w:tcBorders>
            <w:vAlign w:val="center"/>
          </w:tcPr>
          <w:p>
            <w:pPr>
              <w:widowControl/>
              <w:spacing w:line="240" w:lineRule="auto"/>
              <w:ind w:firstLine="0" w:firstLineChars="0"/>
              <w:jc w:val="center"/>
              <w:rPr>
                <w:color w:val="auto"/>
                <w:kern w:val="1"/>
                <w:sz w:val="21"/>
                <w:szCs w:val="21"/>
              </w:rPr>
            </w:pPr>
            <w:r>
              <w:rPr>
                <w:color w:val="auto"/>
                <w:kern w:val="1"/>
                <w:sz w:val="21"/>
                <w:szCs w:val="21"/>
              </w:rPr>
              <w:t>Cl</w:t>
            </w:r>
            <w:r>
              <w:rPr>
                <w:color w:val="auto"/>
                <w:kern w:val="1"/>
                <w:sz w:val="21"/>
                <w:szCs w:val="21"/>
                <w:vertAlign w:val="superscript"/>
              </w:rPr>
              <w:t>-</w:t>
            </w:r>
          </w:p>
        </w:tc>
        <w:tc>
          <w:tcPr>
            <w:tcW w:w="3500" w:type="dxa"/>
            <w:tcBorders>
              <w:tl2br w:val="nil"/>
              <w:tr2bl w:val="nil"/>
            </w:tcBorders>
            <w:vAlign w:val="center"/>
          </w:tcPr>
          <w:p>
            <w:pPr>
              <w:spacing w:line="240" w:lineRule="auto"/>
              <w:ind w:firstLine="0" w:firstLineChars="0"/>
              <w:jc w:val="center"/>
              <w:rPr>
                <w:color w:val="auto"/>
                <w:kern w:val="1"/>
                <w:sz w:val="21"/>
                <w:szCs w:val="21"/>
              </w:rPr>
            </w:pPr>
            <w:r>
              <w:rPr>
                <w:color w:val="auto"/>
                <w:kern w:val="1"/>
                <w:sz w:val="21"/>
                <w:szCs w:val="21"/>
              </w:rPr>
              <w:t>水质 无机阴离子的测定 离子色谱法</w:t>
            </w:r>
          </w:p>
        </w:tc>
        <w:tc>
          <w:tcPr>
            <w:tcW w:w="2543" w:type="dxa"/>
            <w:tcBorders>
              <w:tl2br w:val="nil"/>
              <w:tr2bl w:val="nil"/>
            </w:tcBorders>
            <w:vAlign w:val="center"/>
          </w:tcPr>
          <w:p>
            <w:pPr>
              <w:spacing w:line="240" w:lineRule="auto"/>
              <w:ind w:firstLine="0" w:firstLineChars="0"/>
              <w:jc w:val="center"/>
              <w:rPr>
                <w:color w:val="auto"/>
                <w:kern w:val="1"/>
                <w:sz w:val="21"/>
                <w:szCs w:val="21"/>
              </w:rPr>
            </w:pPr>
            <w:r>
              <w:rPr>
                <w:color w:val="auto"/>
                <w:kern w:val="1"/>
                <w:sz w:val="21"/>
                <w:szCs w:val="21"/>
              </w:rPr>
              <w:t>HJ/T 84-2016</w:t>
            </w:r>
          </w:p>
        </w:tc>
        <w:tc>
          <w:tcPr>
            <w:tcW w:w="1266" w:type="dxa"/>
            <w:tcBorders>
              <w:tl2br w:val="nil"/>
              <w:tr2bl w:val="nil"/>
            </w:tcBorders>
            <w:vAlign w:val="center"/>
          </w:tcPr>
          <w:p>
            <w:pPr>
              <w:spacing w:line="240" w:lineRule="auto"/>
              <w:ind w:firstLine="0" w:firstLineChars="0"/>
              <w:jc w:val="center"/>
              <w:rPr>
                <w:color w:val="auto"/>
                <w:kern w:val="1"/>
                <w:sz w:val="21"/>
                <w:szCs w:val="21"/>
              </w:rPr>
            </w:pPr>
            <w:r>
              <w:rPr>
                <w:color w:val="auto"/>
                <w:kern w:val="1"/>
                <w:sz w:val="21"/>
                <w:szCs w:val="21"/>
              </w:rPr>
              <w:t>0.007</w:t>
            </w:r>
            <w:r>
              <w:rPr>
                <w:color w:val="auto"/>
                <w:sz w:val="21"/>
                <w:szCs w:val="21"/>
              </w:rPr>
              <w:t>mg/L</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25" w:hRule="atLeast"/>
          <w:jc w:val="center"/>
        </w:trPr>
        <w:tc>
          <w:tcPr>
            <w:tcW w:w="587"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7</w:t>
            </w:r>
          </w:p>
        </w:tc>
        <w:tc>
          <w:tcPr>
            <w:tcW w:w="1393" w:type="dxa"/>
            <w:tcBorders>
              <w:tl2br w:val="nil"/>
              <w:tr2bl w:val="nil"/>
            </w:tcBorders>
            <w:vAlign w:val="center"/>
          </w:tcPr>
          <w:p>
            <w:pPr>
              <w:widowControl/>
              <w:spacing w:line="240" w:lineRule="auto"/>
              <w:ind w:firstLine="0" w:firstLineChars="0"/>
              <w:jc w:val="center"/>
              <w:rPr>
                <w:color w:val="auto"/>
                <w:kern w:val="1"/>
                <w:sz w:val="21"/>
                <w:szCs w:val="21"/>
              </w:rPr>
            </w:pPr>
            <w:r>
              <w:rPr>
                <w:color w:val="auto"/>
                <w:kern w:val="1"/>
                <w:sz w:val="21"/>
                <w:szCs w:val="21"/>
              </w:rPr>
              <w:t>SO4</w:t>
            </w:r>
            <w:r>
              <w:rPr>
                <w:color w:val="auto"/>
                <w:kern w:val="1"/>
                <w:sz w:val="21"/>
                <w:szCs w:val="21"/>
                <w:vertAlign w:val="superscript"/>
              </w:rPr>
              <w:t>2-</w:t>
            </w:r>
          </w:p>
        </w:tc>
        <w:tc>
          <w:tcPr>
            <w:tcW w:w="3500" w:type="dxa"/>
            <w:tcBorders>
              <w:tl2br w:val="nil"/>
              <w:tr2bl w:val="nil"/>
            </w:tcBorders>
            <w:vAlign w:val="center"/>
          </w:tcPr>
          <w:p>
            <w:pPr>
              <w:spacing w:line="240" w:lineRule="auto"/>
              <w:ind w:firstLine="0" w:firstLineChars="0"/>
              <w:jc w:val="center"/>
              <w:rPr>
                <w:color w:val="auto"/>
                <w:kern w:val="1"/>
                <w:sz w:val="21"/>
                <w:szCs w:val="21"/>
              </w:rPr>
            </w:pPr>
            <w:r>
              <w:rPr>
                <w:color w:val="auto"/>
                <w:kern w:val="1"/>
                <w:sz w:val="21"/>
                <w:szCs w:val="21"/>
              </w:rPr>
              <w:t>水质 无机阴离子的测定 离子色谱法</w:t>
            </w:r>
          </w:p>
        </w:tc>
        <w:tc>
          <w:tcPr>
            <w:tcW w:w="2543" w:type="dxa"/>
            <w:tcBorders>
              <w:tl2br w:val="nil"/>
              <w:tr2bl w:val="nil"/>
            </w:tcBorders>
            <w:vAlign w:val="center"/>
          </w:tcPr>
          <w:p>
            <w:pPr>
              <w:spacing w:line="240" w:lineRule="auto"/>
              <w:ind w:firstLine="0" w:firstLineChars="0"/>
              <w:jc w:val="center"/>
              <w:rPr>
                <w:color w:val="auto"/>
                <w:kern w:val="1"/>
                <w:sz w:val="21"/>
                <w:szCs w:val="21"/>
              </w:rPr>
            </w:pPr>
            <w:r>
              <w:rPr>
                <w:color w:val="auto"/>
                <w:kern w:val="1"/>
                <w:sz w:val="21"/>
                <w:szCs w:val="21"/>
              </w:rPr>
              <w:t>HJ/T 84-2016</w:t>
            </w:r>
          </w:p>
        </w:tc>
        <w:tc>
          <w:tcPr>
            <w:tcW w:w="1266" w:type="dxa"/>
            <w:tcBorders>
              <w:tl2br w:val="nil"/>
              <w:tr2bl w:val="nil"/>
            </w:tcBorders>
            <w:vAlign w:val="center"/>
          </w:tcPr>
          <w:p>
            <w:pPr>
              <w:widowControl/>
              <w:spacing w:line="240" w:lineRule="auto"/>
              <w:ind w:firstLine="0" w:firstLineChars="0"/>
              <w:jc w:val="center"/>
              <w:rPr>
                <w:color w:val="auto"/>
                <w:kern w:val="1"/>
                <w:sz w:val="21"/>
                <w:szCs w:val="21"/>
              </w:rPr>
            </w:pPr>
            <w:r>
              <w:rPr>
                <w:color w:val="auto"/>
                <w:sz w:val="21"/>
                <w:szCs w:val="21"/>
              </w:rPr>
              <w:t>0.018mg/L</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25" w:hRule="atLeast"/>
          <w:jc w:val="center"/>
        </w:trPr>
        <w:tc>
          <w:tcPr>
            <w:tcW w:w="587"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8</w:t>
            </w:r>
          </w:p>
        </w:tc>
        <w:tc>
          <w:tcPr>
            <w:tcW w:w="1393" w:type="dxa"/>
            <w:tcBorders>
              <w:tl2br w:val="nil"/>
              <w:tr2bl w:val="nil"/>
            </w:tcBorders>
            <w:vAlign w:val="center"/>
          </w:tcPr>
          <w:p>
            <w:pPr>
              <w:spacing w:line="240" w:lineRule="auto"/>
              <w:ind w:firstLine="0" w:firstLineChars="0"/>
              <w:jc w:val="center"/>
              <w:rPr>
                <w:color w:val="auto"/>
                <w:kern w:val="1"/>
                <w:sz w:val="21"/>
                <w:szCs w:val="21"/>
              </w:rPr>
            </w:pPr>
            <w:r>
              <w:rPr>
                <w:color w:val="auto"/>
                <w:kern w:val="1"/>
                <w:sz w:val="21"/>
                <w:szCs w:val="21"/>
              </w:rPr>
              <w:t>亚硝酸盐</w:t>
            </w:r>
          </w:p>
        </w:tc>
        <w:tc>
          <w:tcPr>
            <w:tcW w:w="3500" w:type="dxa"/>
            <w:tcBorders>
              <w:tl2br w:val="nil"/>
              <w:tr2bl w:val="nil"/>
            </w:tcBorders>
            <w:vAlign w:val="center"/>
          </w:tcPr>
          <w:p>
            <w:pPr>
              <w:spacing w:line="240" w:lineRule="auto"/>
              <w:ind w:firstLine="0" w:firstLineChars="0"/>
              <w:jc w:val="center"/>
              <w:rPr>
                <w:color w:val="auto"/>
                <w:kern w:val="1"/>
                <w:sz w:val="21"/>
                <w:szCs w:val="21"/>
              </w:rPr>
            </w:pPr>
            <w:r>
              <w:rPr>
                <w:color w:val="auto"/>
                <w:kern w:val="1"/>
                <w:sz w:val="21"/>
                <w:szCs w:val="21"/>
              </w:rPr>
              <w:t>水质 无机阴离子的测定 离子色谱法</w:t>
            </w:r>
          </w:p>
        </w:tc>
        <w:tc>
          <w:tcPr>
            <w:tcW w:w="2543" w:type="dxa"/>
            <w:tcBorders>
              <w:tl2br w:val="nil"/>
              <w:tr2bl w:val="nil"/>
            </w:tcBorders>
            <w:vAlign w:val="center"/>
          </w:tcPr>
          <w:p>
            <w:pPr>
              <w:spacing w:line="240" w:lineRule="auto"/>
              <w:ind w:firstLine="0" w:firstLineChars="0"/>
              <w:jc w:val="center"/>
              <w:rPr>
                <w:color w:val="auto"/>
                <w:kern w:val="1"/>
                <w:sz w:val="21"/>
                <w:szCs w:val="21"/>
              </w:rPr>
            </w:pPr>
            <w:r>
              <w:rPr>
                <w:color w:val="auto"/>
                <w:kern w:val="1"/>
                <w:sz w:val="21"/>
                <w:szCs w:val="21"/>
              </w:rPr>
              <w:t>HJ/T 84-2016</w:t>
            </w:r>
          </w:p>
        </w:tc>
        <w:tc>
          <w:tcPr>
            <w:tcW w:w="1266" w:type="dxa"/>
            <w:tcBorders>
              <w:tl2br w:val="nil"/>
              <w:tr2bl w:val="nil"/>
            </w:tcBorders>
            <w:vAlign w:val="center"/>
          </w:tcPr>
          <w:p>
            <w:pPr>
              <w:spacing w:line="240" w:lineRule="auto"/>
              <w:ind w:firstLine="0" w:firstLineChars="0"/>
              <w:jc w:val="center"/>
              <w:rPr>
                <w:color w:val="auto"/>
                <w:kern w:val="1"/>
                <w:sz w:val="21"/>
                <w:szCs w:val="21"/>
              </w:rPr>
            </w:pPr>
            <w:r>
              <w:rPr>
                <w:color w:val="auto"/>
                <w:kern w:val="1"/>
                <w:sz w:val="21"/>
                <w:szCs w:val="21"/>
              </w:rPr>
              <w:t>0.0016mg/L</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25" w:hRule="atLeast"/>
          <w:jc w:val="center"/>
        </w:trPr>
        <w:tc>
          <w:tcPr>
            <w:tcW w:w="587"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9</w:t>
            </w:r>
          </w:p>
        </w:tc>
        <w:tc>
          <w:tcPr>
            <w:tcW w:w="1393" w:type="dxa"/>
            <w:tcBorders>
              <w:tl2br w:val="nil"/>
              <w:tr2bl w:val="nil"/>
            </w:tcBorders>
            <w:vAlign w:val="center"/>
          </w:tcPr>
          <w:p>
            <w:pPr>
              <w:spacing w:line="240" w:lineRule="auto"/>
              <w:ind w:firstLine="0" w:firstLineChars="0"/>
              <w:jc w:val="center"/>
              <w:rPr>
                <w:color w:val="auto"/>
                <w:kern w:val="1"/>
                <w:sz w:val="21"/>
                <w:szCs w:val="21"/>
              </w:rPr>
            </w:pPr>
            <w:r>
              <w:rPr>
                <w:color w:val="auto"/>
                <w:kern w:val="1"/>
                <w:sz w:val="21"/>
                <w:szCs w:val="21"/>
              </w:rPr>
              <w:t>硝酸盐</w:t>
            </w:r>
          </w:p>
        </w:tc>
        <w:tc>
          <w:tcPr>
            <w:tcW w:w="3500" w:type="dxa"/>
            <w:tcBorders>
              <w:tl2br w:val="nil"/>
              <w:tr2bl w:val="nil"/>
            </w:tcBorders>
            <w:vAlign w:val="center"/>
          </w:tcPr>
          <w:p>
            <w:pPr>
              <w:widowControl/>
              <w:spacing w:line="240" w:lineRule="auto"/>
              <w:ind w:firstLine="0" w:firstLineChars="0"/>
              <w:jc w:val="center"/>
              <w:rPr>
                <w:color w:val="auto"/>
                <w:kern w:val="1"/>
                <w:sz w:val="21"/>
                <w:szCs w:val="21"/>
              </w:rPr>
            </w:pPr>
            <w:r>
              <w:rPr>
                <w:color w:val="auto"/>
                <w:kern w:val="1"/>
                <w:sz w:val="21"/>
                <w:szCs w:val="21"/>
              </w:rPr>
              <w:t>水质 无机阴离子的测定 离子色谱法</w:t>
            </w:r>
          </w:p>
        </w:tc>
        <w:tc>
          <w:tcPr>
            <w:tcW w:w="2543" w:type="dxa"/>
            <w:tcBorders>
              <w:tl2br w:val="nil"/>
              <w:tr2bl w:val="nil"/>
            </w:tcBorders>
            <w:vAlign w:val="center"/>
          </w:tcPr>
          <w:p>
            <w:pPr>
              <w:spacing w:line="240" w:lineRule="auto"/>
              <w:ind w:firstLine="0" w:firstLineChars="0"/>
              <w:jc w:val="center"/>
              <w:rPr>
                <w:color w:val="auto"/>
                <w:kern w:val="1"/>
                <w:sz w:val="21"/>
                <w:szCs w:val="21"/>
              </w:rPr>
            </w:pPr>
            <w:r>
              <w:rPr>
                <w:color w:val="auto"/>
                <w:kern w:val="1"/>
                <w:sz w:val="21"/>
                <w:szCs w:val="21"/>
              </w:rPr>
              <w:t>HJ/T 84-2016</w:t>
            </w:r>
          </w:p>
        </w:tc>
        <w:tc>
          <w:tcPr>
            <w:tcW w:w="1266" w:type="dxa"/>
            <w:tcBorders>
              <w:tl2br w:val="nil"/>
              <w:tr2bl w:val="nil"/>
            </w:tcBorders>
            <w:vAlign w:val="center"/>
          </w:tcPr>
          <w:p>
            <w:pPr>
              <w:pStyle w:val="68"/>
              <w:keepNext w:val="0"/>
              <w:spacing w:line="240" w:lineRule="auto"/>
              <w:ind w:firstLine="0" w:firstLineChars="0"/>
              <w:rPr>
                <w:color w:val="auto"/>
                <w:sz w:val="21"/>
                <w:szCs w:val="21"/>
              </w:rPr>
            </w:pPr>
            <w:r>
              <w:rPr>
                <w:color w:val="auto"/>
                <w:sz w:val="21"/>
                <w:szCs w:val="21"/>
              </w:rPr>
              <w:t>0.016mg/L</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25" w:hRule="atLeast"/>
          <w:jc w:val="center"/>
        </w:trPr>
        <w:tc>
          <w:tcPr>
            <w:tcW w:w="587"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10</w:t>
            </w:r>
          </w:p>
        </w:tc>
        <w:tc>
          <w:tcPr>
            <w:tcW w:w="1393" w:type="dxa"/>
            <w:tcBorders>
              <w:tl2br w:val="nil"/>
              <w:tr2bl w:val="nil"/>
            </w:tcBorders>
            <w:vAlign w:val="center"/>
          </w:tcPr>
          <w:p>
            <w:pPr>
              <w:spacing w:line="240" w:lineRule="auto"/>
              <w:ind w:firstLine="0" w:firstLineChars="0"/>
              <w:jc w:val="center"/>
              <w:rPr>
                <w:color w:val="auto"/>
                <w:kern w:val="1"/>
                <w:sz w:val="21"/>
                <w:szCs w:val="21"/>
              </w:rPr>
            </w:pPr>
            <w:r>
              <w:rPr>
                <w:color w:val="auto"/>
                <w:kern w:val="1"/>
                <w:sz w:val="21"/>
                <w:szCs w:val="21"/>
              </w:rPr>
              <w:t>PH</w:t>
            </w:r>
          </w:p>
        </w:tc>
        <w:tc>
          <w:tcPr>
            <w:tcW w:w="3500" w:type="dxa"/>
            <w:tcBorders>
              <w:tl2br w:val="nil"/>
              <w:tr2bl w:val="nil"/>
            </w:tcBorders>
            <w:vAlign w:val="center"/>
          </w:tcPr>
          <w:p>
            <w:pPr>
              <w:spacing w:line="240" w:lineRule="auto"/>
              <w:ind w:firstLine="0" w:firstLineChars="0"/>
              <w:jc w:val="center"/>
              <w:rPr>
                <w:color w:val="auto"/>
                <w:kern w:val="1"/>
                <w:sz w:val="21"/>
                <w:szCs w:val="21"/>
              </w:rPr>
            </w:pPr>
            <w:r>
              <w:rPr>
                <w:color w:val="auto"/>
                <w:kern w:val="1"/>
                <w:sz w:val="21"/>
                <w:szCs w:val="21"/>
              </w:rPr>
              <w:t>水质 pH值的测定  玻璃电极法</w:t>
            </w:r>
          </w:p>
        </w:tc>
        <w:tc>
          <w:tcPr>
            <w:tcW w:w="2543" w:type="dxa"/>
            <w:tcBorders>
              <w:tl2br w:val="nil"/>
              <w:tr2bl w:val="nil"/>
            </w:tcBorders>
            <w:vAlign w:val="center"/>
          </w:tcPr>
          <w:p>
            <w:pPr>
              <w:spacing w:line="240" w:lineRule="auto"/>
              <w:ind w:firstLine="0" w:firstLineChars="0"/>
              <w:jc w:val="center"/>
              <w:rPr>
                <w:color w:val="auto"/>
                <w:kern w:val="1"/>
                <w:sz w:val="21"/>
                <w:szCs w:val="21"/>
              </w:rPr>
            </w:pPr>
            <w:r>
              <w:rPr>
                <w:color w:val="auto"/>
                <w:kern w:val="1"/>
                <w:sz w:val="21"/>
                <w:szCs w:val="21"/>
              </w:rPr>
              <w:t>GB/T 6920-86</w:t>
            </w:r>
          </w:p>
        </w:tc>
        <w:tc>
          <w:tcPr>
            <w:tcW w:w="1266" w:type="dxa"/>
            <w:tcBorders>
              <w:tl2br w:val="nil"/>
              <w:tr2bl w:val="nil"/>
            </w:tcBorders>
            <w:vAlign w:val="center"/>
          </w:tcPr>
          <w:p>
            <w:pPr>
              <w:spacing w:line="240" w:lineRule="auto"/>
              <w:ind w:firstLine="0" w:firstLineChars="0"/>
              <w:jc w:val="center"/>
              <w:rPr>
                <w:color w:val="auto"/>
                <w:kern w:val="1"/>
                <w:sz w:val="21"/>
                <w:szCs w:val="21"/>
              </w:rPr>
            </w:pPr>
            <w:r>
              <w:rPr>
                <w:color w:val="auto"/>
                <w:kern w:val="1"/>
                <w:sz w:val="21"/>
                <w:szCs w:val="21"/>
              </w:rPr>
              <w:t>/</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25" w:hRule="atLeast"/>
          <w:jc w:val="center"/>
        </w:trPr>
        <w:tc>
          <w:tcPr>
            <w:tcW w:w="587"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11</w:t>
            </w:r>
          </w:p>
        </w:tc>
        <w:tc>
          <w:tcPr>
            <w:tcW w:w="1393" w:type="dxa"/>
            <w:tcBorders>
              <w:tl2br w:val="nil"/>
              <w:tr2bl w:val="nil"/>
            </w:tcBorders>
            <w:vAlign w:val="center"/>
          </w:tcPr>
          <w:p>
            <w:pPr>
              <w:spacing w:line="240" w:lineRule="auto"/>
              <w:ind w:firstLine="0" w:firstLineChars="0"/>
              <w:jc w:val="center"/>
              <w:rPr>
                <w:color w:val="auto"/>
                <w:kern w:val="1"/>
                <w:sz w:val="21"/>
                <w:szCs w:val="21"/>
              </w:rPr>
            </w:pPr>
            <w:r>
              <w:rPr>
                <w:color w:val="auto"/>
                <w:kern w:val="1"/>
                <w:sz w:val="21"/>
                <w:szCs w:val="21"/>
              </w:rPr>
              <w:t>氨氮</w:t>
            </w:r>
          </w:p>
        </w:tc>
        <w:tc>
          <w:tcPr>
            <w:tcW w:w="3500" w:type="dxa"/>
            <w:tcBorders>
              <w:tl2br w:val="nil"/>
              <w:tr2bl w:val="nil"/>
            </w:tcBorders>
            <w:vAlign w:val="center"/>
          </w:tcPr>
          <w:p>
            <w:pPr>
              <w:spacing w:line="240" w:lineRule="auto"/>
              <w:ind w:firstLine="0" w:firstLineChars="0"/>
              <w:jc w:val="center"/>
              <w:rPr>
                <w:color w:val="auto"/>
                <w:kern w:val="1"/>
                <w:sz w:val="21"/>
                <w:szCs w:val="21"/>
              </w:rPr>
            </w:pPr>
            <w:r>
              <w:rPr>
                <w:color w:val="auto"/>
                <w:kern w:val="1"/>
                <w:sz w:val="21"/>
                <w:szCs w:val="21"/>
              </w:rPr>
              <w:t>水质 氨氮的测定 纳氏试剂分光光度法</w:t>
            </w:r>
          </w:p>
        </w:tc>
        <w:tc>
          <w:tcPr>
            <w:tcW w:w="2543" w:type="dxa"/>
            <w:tcBorders>
              <w:tl2br w:val="nil"/>
              <w:tr2bl w:val="nil"/>
            </w:tcBorders>
            <w:vAlign w:val="center"/>
          </w:tcPr>
          <w:p>
            <w:pPr>
              <w:spacing w:line="240" w:lineRule="auto"/>
              <w:ind w:firstLine="0" w:firstLineChars="0"/>
              <w:jc w:val="center"/>
              <w:rPr>
                <w:color w:val="auto"/>
                <w:kern w:val="1"/>
                <w:sz w:val="21"/>
                <w:szCs w:val="21"/>
              </w:rPr>
            </w:pPr>
            <w:r>
              <w:rPr>
                <w:color w:val="auto"/>
                <w:kern w:val="1"/>
                <w:sz w:val="21"/>
                <w:szCs w:val="21"/>
              </w:rPr>
              <w:t>HJ 535-2009</w:t>
            </w:r>
          </w:p>
        </w:tc>
        <w:tc>
          <w:tcPr>
            <w:tcW w:w="1266" w:type="dxa"/>
            <w:tcBorders>
              <w:tl2br w:val="nil"/>
              <w:tr2bl w:val="nil"/>
            </w:tcBorders>
            <w:vAlign w:val="center"/>
          </w:tcPr>
          <w:p>
            <w:pPr>
              <w:spacing w:line="240" w:lineRule="auto"/>
              <w:ind w:firstLine="0" w:firstLineChars="0"/>
              <w:jc w:val="center"/>
              <w:rPr>
                <w:color w:val="auto"/>
                <w:kern w:val="1"/>
                <w:sz w:val="21"/>
                <w:szCs w:val="21"/>
              </w:rPr>
            </w:pPr>
            <w:r>
              <w:rPr>
                <w:color w:val="auto"/>
                <w:kern w:val="1"/>
                <w:sz w:val="21"/>
                <w:szCs w:val="21"/>
              </w:rPr>
              <w:t>0.025mg/L</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25" w:hRule="atLeast"/>
          <w:jc w:val="center"/>
        </w:trPr>
        <w:tc>
          <w:tcPr>
            <w:tcW w:w="587"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12</w:t>
            </w:r>
          </w:p>
        </w:tc>
        <w:tc>
          <w:tcPr>
            <w:tcW w:w="1393" w:type="dxa"/>
            <w:tcBorders>
              <w:tl2br w:val="nil"/>
              <w:tr2bl w:val="nil"/>
            </w:tcBorders>
            <w:vAlign w:val="center"/>
          </w:tcPr>
          <w:p>
            <w:pPr>
              <w:spacing w:line="240" w:lineRule="auto"/>
              <w:ind w:firstLine="0" w:firstLineChars="0"/>
              <w:jc w:val="center"/>
              <w:rPr>
                <w:color w:val="auto"/>
                <w:kern w:val="1"/>
                <w:sz w:val="21"/>
                <w:szCs w:val="21"/>
              </w:rPr>
            </w:pPr>
            <w:r>
              <w:rPr>
                <w:color w:val="auto"/>
                <w:kern w:val="1"/>
                <w:sz w:val="21"/>
                <w:szCs w:val="21"/>
              </w:rPr>
              <w:t>挥发酚</w:t>
            </w:r>
          </w:p>
        </w:tc>
        <w:tc>
          <w:tcPr>
            <w:tcW w:w="3500" w:type="dxa"/>
            <w:tcBorders>
              <w:tl2br w:val="nil"/>
              <w:tr2bl w:val="nil"/>
            </w:tcBorders>
            <w:vAlign w:val="center"/>
          </w:tcPr>
          <w:p>
            <w:pPr>
              <w:spacing w:line="240" w:lineRule="auto"/>
              <w:ind w:firstLine="0" w:firstLineChars="0"/>
              <w:jc w:val="center"/>
              <w:rPr>
                <w:color w:val="auto"/>
                <w:kern w:val="1"/>
                <w:sz w:val="21"/>
                <w:szCs w:val="21"/>
              </w:rPr>
            </w:pPr>
            <w:r>
              <w:rPr>
                <w:color w:val="auto"/>
                <w:kern w:val="1"/>
                <w:sz w:val="21"/>
                <w:szCs w:val="21"/>
              </w:rPr>
              <w:t>水质  挥发酚的测定  4-氨基安替比林分光光度法</w:t>
            </w:r>
          </w:p>
        </w:tc>
        <w:tc>
          <w:tcPr>
            <w:tcW w:w="2543" w:type="dxa"/>
            <w:tcBorders>
              <w:tl2br w:val="nil"/>
              <w:tr2bl w:val="nil"/>
            </w:tcBorders>
            <w:vAlign w:val="center"/>
          </w:tcPr>
          <w:p>
            <w:pPr>
              <w:spacing w:line="240" w:lineRule="auto"/>
              <w:ind w:firstLine="0" w:firstLineChars="0"/>
              <w:jc w:val="center"/>
              <w:rPr>
                <w:rFonts w:eastAsiaTheme="minorEastAsia"/>
                <w:color w:val="auto"/>
                <w:kern w:val="1"/>
                <w:sz w:val="21"/>
                <w:szCs w:val="21"/>
              </w:rPr>
            </w:pPr>
            <w:r>
              <w:rPr>
                <w:color w:val="auto"/>
                <w:kern w:val="1"/>
                <w:sz w:val="21"/>
                <w:szCs w:val="21"/>
              </w:rPr>
              <w:t>HJ 503-20</w:t>
            </w:r>
            <w:r>
              <w:rPr>
                <w:rFonts w:hint="eastAsia"/>
                <w:color w:val="auto"/>
                <w:kern w:val="1"/>
                <w:sz w:val="21"/>
                <w:szCs w:val="21"/>
              </w:rPr>
              <w:t>14</w:t>
            </w:r>
          </w:p>
        </w:tc>
        <w:tc>
          <w:tcPr>
            <w:tcW w:w="1266" w:type="dxa"/>
            <w:tcBorders>
              <w:tl2br w:val="nil"/>
              <w:tr2bl w:val="nil"/>
            </w:tcBorders>
            <w:vAlign w:val="center"/>
          </w:tcPr>
          <w:p>
            <w:pPr>
              <w:spacing w:line="240" w:lineRule="auto"/>
              <w:ind w:firstLine="0" w:firstLineChars="0"/>
              <w:jc w:val="center"/>
              <w:rPr>
                <w:color w:val="auto"/>
                <w:kern w:val="1"/>
                <w:sz w:val="21"/>
                <w:szCs w:val="21"/>
              </w:rPr>
            </w:pPr>
            <w:r>
              <w:rPr>
                <w:color w:val="auto"/>
                <w:kern w:val="1"/>
                <w:sz w:val="21"/>
                <w:szCs w:val="21"/>
              </w:rPr>
              <w:t>0.0003</w:t>
            </w:r>
            <w:r>
              <w:rPr>
                <w:color w:val="auto"/>
                <w:sz w:val="21"/>
                <w:szCs w:val="21"/>
              </w:rPr>
              <w:t>mg/L</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25" w:hRule="atLeast"/>
          <w:jc w:val="center"/>
        </w:trPr>
        <w:tc>
          <w:tcPr>
            <w:tcW w:w="587"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13</w:t>
            </w:r>
          </w:p>
        </w:tc>
        <w:tc>
          <w:tcPr>
            <w:tcW w:w="1393" w:type="dxa"/>
            <w:tcBorders>
              <w:tl2br w:val="nil"/>
              <w:tr2bl w:val="nil"/>
            </w:tcBorders>
            <w:vAlign w:val="center"/>
          </w:tcPr>
          <w:p>
            <w:pPr>
              <w:spacing w:line="240" w:lineRule="auto"/>
              <w:ind w:firstLine="0" w:firstLineChars="0"/>
              <w:jc w:val="center"/>
              <w:rPr>
                <w:color w:val="auto"/>
                <w:kern w:val="1"/>
                <w:sz w:val="21"/>
                <w:szCs w:val="21"/>
              </w:rPr>
            </w:pPr>
            <w:r>
              <w:rPr>
                <w:color w:val="auto"/>
                <w:kern w:val="1"/>
                <w:sz w:val="21"/>
                <w:szCs w:val="21"/>
              </w:rPr>
              <w:t>氰化物</w:t>
            </w:r>
          </w:p>
        </w:tc>
        <w:tc>
          <w:tcPr>
            <w:tcW w:w="3500" w:type="dxa"/>
            <w:tcBorders>
              <w:tl2br w:val="nil"/>
              <w:tr2bl w:val="nil"/>
            </w:tcBorders>
            <w:vAlign w:val="center"/>
          </w:tcPr>
          <w:p>
            <w:pPr>
              <w:widowControl/>
              <w:spacing w:line="240" w:lineRule="auto"/>
              <w:ind w:firstLine="0" w:firstLineChars="0"/>
              <w:jc w:val="center"/>
              <w:rPr>
                <w:color w:val="auto"/>
                <w:sz w:val="21"/>
                <w:szCs w:val="21"/>
              </w:rPr>
            </w:pPr>
            <w:r>
              <w:rPr>
                <w:color w:val="auto"/>
                <w:sz w:val="21"/>
                <w:szCs w:val="21"/>
              </w:rPr>
              <w:t>水质 氰化物的测定 容量法和分光光度法（方法2 异烟酸-吡唑啉酮分光光度法）</w:t>
            </w:r>
          </w:p>
        </w:tc>
        <w:tc>
          <w:tcPr>
            <w:tcW w:w="2543" w:type="dxa"/>
            <w:tcBorders>
              <w:tl2br w:val="nil"/>
              <w:tr2bl w:val="nil"/>
            </w:tcBorders>
            <w:vAlign w:val="center"/>
          </w:tcPr>
          <w:p>
            <w:pPr>
              <w:widowControl/>
              <w:spacing w:line="240" w:lineRule="auto"/>
              <w:ind w:firstLine="0" w:firstLineChars="0"/>
              <w:jc w:val="center"/>
              <w:rPr>
                <w:color w:val="auto"/>
                <w:kern w:val="1"/>
                <w:sz w:val="21"/>
                <w:szCs w:val="21"/>
              </w:rPr>
            </w:pPr>
            <w:r>
              <w:rPr>
                <w:color w:val="auto"/>
                <w:sz w:val="21"/>
                <w:szCs w:val="21"/>
              </w:rPr>
              <w:t>HJ 484-2009</w:t>
            </w:r>
          </w:p>
        </w:tc>
        <w:tc>
          <w:tcPr>
            <w:tcW w:w="1266" w:type="dxa"/>
            <w:tcBorders>
              <w:tl2br w:val="nil"/>
              <w:tr2bl w:val="nil"/>
            </w:tcBorders>
            <w:vAlign w:val="center"/>
          </w:tcPr>
          <w:p>
            <w:pPr>
              <w:spacing w:line="240" w:lineRule="auto"/>
              <w:ind w:firstLine="0" w:firstLineChars="0"/>
              <w:jc w:val="center"/>
              <w:rPr>
                <w:color w:val="auto"/>
                <w:kern w:val="1"/>
                <w:sz w:val="21"/>
                <w:szCs w:val="21"/>
              </w:rPr>
            </w:pPr>
            <w:r>
              <w:rPr>
                <w:color w:val="auto"/>
                <w:sz w:val="21"/>
                <w:szCs w:val="21"/>
              </w:rPr>
              <w:t>0.004mg/L</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25" w:hRule="atLeast"/>
          <w:jc w:val="center"/>
        </w:trPr>
        <w:tc>
          <w:tcPr>
            <w:tcW w:w="587"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14</w:t>
            </w:r>
          </w:p>
        </w:tc>
        <w:tc>
          <w:tcPr>
            <w:tcW w:w="1393" w:type="dxa"/>
            <w:tcBorders>
              <w:tl2br w:val="nil"/>
              <w:tr2bl w:val="nil"/>
            </w:tcBorders>
            <w:vAlign w:val="center"/>
          </w:tcPr>
          <w:p>
            <w:pPr>
              <w:spacing w:line="240" w:lineRule="auto"/>
              <w:ind w:firstLine="0" w:firstLineChars="0"/>
              <w:jc w:val="center"/>
              <w:rPr>
                <w:color w:val="auto"/>
                <w:kern w:val="1"/>
                <w:sz w:val="21"/>
                <w:szCs w:val="21"/>
              </w:rPr>
            </w:pPr>
            <w:r>
              <w:rPr>
                <w:color w:val="auto"/>
                <w:kern w:val="1"/>
                <w:sz w:val="21"/>
                <w:szCs w:val="21"/>
              </w:rPr>
              <w:t>砷</w:t>
            </w:r>
          </w:p>
        </w:tc>
        <w:tc>
          <w:tcPr>
            <w:tcW w:w="3500" w:type="dxa"/>
            <w:tcBorders>
              <w:tl2br w:val="nil"/>
              <w:tr2bl w:val="nil"/>
            </w:tcBorders>
            <w:vAlign w:val="center"/>
          </w:tcPr>
          <w:p>
            <w:pPr>
              <w:widowControl/>
              <w:spacing w:line="240" w:lineRule="auto"/>
              <w:ind w:firstLine="0" w:firstLineChars="0"/>
              <w:jc w:val="center"/>
              <w:rPr>
                <w:color w:val="auto"/>
                <w:sz w:val="21"/>
                <w:szCs w:val="21"/>
              </w:rPr>
            </w:pPr>
            <w:r>
              <w:rPr>
                <w:color w:val="auto"/>
                <w:sz w:val="21"/>
                <w:szCs w:val="21"/>
              </w:rPr>
              <w:t>水质 汞、砷、硒、铋和锑的测定 原子荧光法</w:t>
            </w:r>
          </w:p>
        </w:tc>
        <w:tc>
          <w:tcPr>
            <w:tcW w:w="2543" w:type="dxa"/>
            <w:tcBorders>
              <w:tl2br w:val="nil"/>
              <w:tr2bl w:val="nil"/>
            </w:tcBorders>
            <w:vAlign w:val="center"/>
          </w:tcPr>
          <w:p>
            <w:pPr>
              <w:widowControl/>
              <w:spacing w:line="240" w:lineRule="auto"/>
              <w:ind w:firstLine="0" w:firstLineChars="0"/>
              <w:jc w:val="center"/>
              <w:rPr>
                <w:color w:val="auto"/>
                <w:sz w:val="21"/>
                <w:szCs w:val="21"/>
              </w:rPr>
            </w:pPr>
            <w:r>
              <w:rPr>
                <w:color w:val="auto"/>
                <w:sz w:val="21"/>
                <w:szCs w:val="21"/>
              </w:rPr>
              <w:t>HJ 694-2014</w:t>
            </w:r>
          </w:p>
        </w:tc>
        <w:tc>
          <w:tcPr>
            <w:tcW w:w="1266" w:type="dxa"/>
            <w:tcBorders>
              <w:tl2br w:val="nil"/>
              <w:tr2bl w:val="nil"/>
            </w:tcBorders>
            <w:vAlign w:val="center"/>
          </w:tcPr>
          <w:p>
            <w:pPr>
              <w:spacing w:line="240" w:lineRule="auto"/>
              <w:ind w:firstLine="0" w:firstLineChars="0"/>
              <w:jc w:val="center"/>
              <w:rPr>
                <w:color w:val="auto"/>
                <w:kern w:val="1"/>
                <w:sz w:val="21"/>
                <w:szCs w:val="21"/>
              </w:rPr>
            </w:pPr>
            <w:r>
              <w:rPr>
                <w:color w:val="auto"/>
                <w:kern w:val="1"/>
                <w:sz w:val="21"/>
                <w:szCs w:val="21"/>
              </w:rPr>
              <w:t>0.3μg/L</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25" w:hRule="atLeast"/>
          <w:jc w:val="center"/>
        </w:trPr>
        <w:tc>
          <w:tcPr>
            <w:tcW w:w="587"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15</w:t>
            </w:r>
          </w:p>
        </w:tc>
        <w:tc>
          <w:tcPr>
            <w:tcW w:w="1393" w:type="dxa"/>
            <w:tcBorders>
              <w:tl2br w:val="nil"/>
              <w:tr2bl w:val="nil"/>
            </w:tcBorders>
            <w:vAlign w:val="center"/>
          </w:tcPr>
          <w:p>
            <w:pPr>
              <w:spacing w:line="240" w:lineRule="auto"/>
              <w:ind w:firstLine="0" w:firstLineChars="0"/>
              <w:jc w:val="center"/>
              <w:rPr>
                <w:color w:val="auto"/>
                <w:kern w:val="1"/>
                <w:sz w:val="21"/>
                <w:szCs w:val="21"/>
              </w:rPr>
            </w:pPr>
            <w:r>
              <w:rPr>
                <w:color w:val="auto"/>
                <w:kern w:val="1"/>
                <w:sz w:val="21"/>
                <w:szCs w:val="21"/>
              </w:rPr>
              <w:t>汞</w:t>
            </w:r>
          </w:p>
        </w:tc>
        <w:tc>
          <w:tcPr>
            <w:tcW w:w="3500" w:type="dxa"/>
            <w:tcBorders>
              <w:tl2br w:val="nil"/>
              <w:tr2bl w:val="nil"/>
            </w:tcBorders>
            <w:vAlign w:val="center"/>
          </w:tcPr>
          <w:p>
            <w:pPr>
              <w:widowControl/>
              <w:spacing w:line="240" w:lineRule="auto"/>
              <w:ind w:firstLine="0" w:firstLineChars="0"/>
              <w:jc w:val="center"/>
              <w:rPr>
                <w:color w:val="auto"/>
                <w:sz w:val="21"/>
                <w:szCs w:val="21"/>
              </w:rPr>
            </w:pPr>
            <w:r>
              <w:rPr>
                <w:color w:val="auto"/>
                <w:sz w:val="21"/>
                <w:szCs w:val="21"/>
              </w:rPr>
              <w:t>水质 汞、砷、硒、铋和锑的测定 原子荧光法</w:t>
            </w:r>
          </w:p>
        </w:tc>
        <w:tc>
          <w:tcPr>
            <w:tcW w:w="2543" w:type="dxa"/>
            <w:tcBorders>
              <w:tl2br w:val="nil"/>
              <w:tr2bl w:val="nil"/>
            </w:tcBorders>
            <w:vAlign w:val="center"/>
          </w:tcPr>
          <w:p>
            <w:pPr>
              <w:widowControl/>
              <w:spacing w:line="240" w:lineRule="auto"/>
              <w:ind w:firstLine="0" w:firstLineChars="0"/>
              <w:jc w:val="center"/>
              <w:rPr>
                <w:color w:val="auto"/>
                <w:sz w:val="21"/>
                <w:szCs w:val="21"/>
              </w:rPr>
            </w:pPr>
            <w:r>
              <w:rPr>
                <w:color w:val="auto"/>
                <w:sz w:val="21"/>
                <w:szCs w:val="21"/>
              </w:rPr>
              <w:t>HJ 694-2014</w:t>
            </w:r>
          </w:p>
        </w:tc>
        <w:tc>
          <w:tcPr>
            <w:tcW w:w="1266" w:type="dxa"/>
            <w:tcBorders>
              <w:tl2br w:val="nil"/>
              <w:tr2bl w:val="nil"/>
            </w:tcBorders>
            <w:vAlign w:val="center"/>
          </w:tcPr>
          <w:p>
            <w:pPr>
              <w:spacing w:line="240" w:lineRule="auto"/>
              <w:ind w:firstLine="0" w:firstLineChars="0"/>
              <w:jc w:val="center"/>
              <w:rPr>
                <w:color w:val="auto"/>
                <w:kern w:val="1"/>
                <w:sz w:val="21"/>
                <w:szCs w:val="21"/>
              </w:rPr>
            </w:pPr>
            <w:r>
              <w:rPr>
                <w:color w:val="auto"/>
                <w:kern w:val="1"/>
                <w:sz w:val="21"/>
                <w:szCs w:val="21"/>
              </w:rPr>
              <w:t>0.04μg/L</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25" w:hRule="atLeast"/>
          <w:jc w:val="center"/>
        </w:trPr>
        <w:tc>
          <w:tcPr>
            <w:tcW w:w="587"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16</w:t>
            </w:r>
          </w:p>
        </w:tc>
        <w:tc>
          <w:tcPr>
            <w:tcW w:w="1393" w:type="dxa"/>
            <w:tcBorders>
              <w:tl2br w:val="nil"/>
              <w:tr2bl w:val="nil"/>
            </w:tcBorders>
            <w:vAlign w:val="center"/>
          </w:tcPr>
          <w:p>
            <w:pPr>
              <w:spacing w:line="240" w:lineRule="auto"/>
              <w:ind w:firstLine="0" w:firstLineChars="0"/>
              <w:jc w:val="center"/>
              <w:rPr>
                <w:color w:val="auto"/>
                <w:kern w:val="1"/>
                <w:sz w:val="21"/>
                <w:szCs w:val="21"/>
              </w:rPr>
            </w:pPr>
            <w:r>
              <w:rPr>
                <w:color w:val="auto"/>
                <w:kern w:val="1"/>
                <w:sz w:val="21"/>
                <w:szCs w:val="21"/>
              </w:rPr>
              <w:t>六价铬</w:t>
            </w:r>
          </w:p>
        </w:tc>
        <w:tc>
          <w:tcPr>
            <w:tcW w:w="3500" w:type="dxa"/>
            <w:tcBorders>
              <w:tl2br w:val="nil"/>
              <w:tr2bl w:val="nil"/>
            </w:tcBorders>
            <w:vAlign w:val="center"/>
          </w:tcPr>
          <w:p>
            <w:pPr>
              <w:spacing w:line="240" w:lineRule="auto"/>
              <w:ind w:firstLine="0" w:firstLineChars="0"/>
              <w:jc w:val="center"/>
              <w:rPr>
                <w:color w:val="auto"/>
                <w:kern w:val="1"/>
                <w:sz w:val="21"/>
                <w:szCs w:val="21"/>
              </w:rPr>
            </w:pPr>
            <w:r>
              <w:rPr>
                <w:color w:val="auto"/>
                <w:kern w:val="1"/>
                <w:sz w:val="21"/>
                <w:szCs w:val="21"/>
              </w:rPr>
              <w:t>水质 六价铬的测定 二苯碳酰二肼分光光度法</w:t>
            </w:r>
          </w:p>
        </w:tc>
        <w:tc>
          <w:tcPr>
            <w:tcW w:w="2543" w:type="dxa"/>
            <w:tcBorders>
              <w:tl2br w:val="nil"/>
              <w:tr2bl w:val="nil"/>
            </w:tcBorders>
            <w:vAlign w:val="center"/>
          </w:tcPr>
          <w:p>
            <w:pPr>
              <w:spacing w:line="240" w:lineRule="auto"/>
              <w:ind w:firstLine="0" w:firstLineChars="0"/>
              <w:jc w:val="center"/>
              <w:rPr>
                <w:color w:val="auto"/>
                <w:kern w:val="1"/>
                <w:sz w:val="21"/>
                <w:szCs w:val="21"/>
              </w:rPr>
            </w:pPr>
            <w:r>
              <w:rPr>
                <w:color w:val="auto"/>
                <w:kern w:val="1"/>
                <w:sz w:val="21"/>
                <w:szCs w:val="21"/>
              </w:rPr>
              <w:t>GB 7467-1987</w:t>
            </w:r>
          </w:p>
        </w:tc>
        <w:tc>
          <w:tcPr>
            <w:tcW w:w="1266" w:type="dxa"/>
            <w:tcBorders>
              <w:tl2br w:val="nil"/>
              <w:tr2bl w:val="nil"/>
            </w:tcBorders>
            <w:vAlign w:val="center"/>
          </w:tcPr>
          <w:p>
            <w:pPr>
              <w:spacing w:line="240" w:lineRule="auto"/>
              <w:ind w:firstLine="0" w:firstLineChars="0"/>
              <w:jc w:val="center"/>
              <w:rPr>
                <w:color w:val="auto"/>
                <w:kern w:val="1"/>
                <w:sz w:val="21"/>
                <w:szCs w:val="21"/>
              </w:rPr>
            </w:pPr>
            <w:r>
              <w:rPr>
                <w:color w:val="auto"/>
                <w:kern w:val="1"/>
                <w:sz w:val="21"/>
                <w:szCs w:val="21"/>
              </w:rPr>
              <w:t>0.004 mg/L</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25" w:hRule="atLeast"/>
          <w:jc w:val="center"/>
        </w:trPr>
        <w:tc>
          <w:tcPr>
            <w:tcW w:w="587"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17</w:t>
            </w:r>
          </w:p>
        </w:tc>
        <w:tc>
          <w:tcPr>
            <w:tcW w:w="1393" w:type="dxa"/>
            <w:tcBorders>
              <w:tl2br w:val="nil"/>
              <w:tr2bl w:val="nil"/>
            </w:tcBorders>
            <w:vAlign w:val="center"/>
          </w:tcPr>
          <w:p>
            <w:pPr>
              <w:spacing w:line="240" w:lineRule="auto"/>
              <w:ind w:firstLine="0" w:firstLineChars="0"/>
              <w:jc w:val="center"/>
              <w:rPr>
                <w:color w:val="auto"/>
                <w:kern w:val="1"/>
                <w:sz w:val="21"/>
                <w:szCs w:val="21"/>
              </w:rPr>
            </w:pPr>
            <w:r>
              <w:rPr>
                <w:color w:val="auto"/>
                <w:kern w:val="1"/>
                <w:sz w:val="21"/>
                <w:szCs w:val="21"/>
              </w:rPr>
              <w:t>总硬度</w:t>
            </w:r>
          </w:p>
        </w:tc>
        <w:tc>
          <w:tcPr>
            <w:tcW w:w="3500" w:type="dxa"/>
            <w:tcBorders>
              <w:tl2br w:val="nil"/>
              <w:tr2bl w:val="nil"/>
            </w:tcBorders>
            <w:vAlign w:val="center"/>
          </w:tcPr>
          <w:p>
            <w:pPr>
              <w:spacing w:line="240" w:lineRule="auto"/>
              <w:ind w:firstLine="0" w:firstLineChars="0"/>
              <w:jc w:val="center"/>
              <w:rPr>
                <w:color w:val="auto"/>
                <w:kern w:val="1"/>
                <w:sz w:val="21"/>
                <w:szCs w:val="21"/>
              </w:rPr>
            </w:pPr>
            <w:r>
              <w:rPr>
                <w:color w:val="auto"/>
                <w:kern w:val="1"/>
                <w:sz w:val="21"/>
                <w:szCs w:val="21"/>
              </w:rPr>
              <w:t>水质  钙和镁总量的测定 EDTA滴定法</w:t>
            </w:r>
          </w:p>
        </w:tc>
        <w:tc>
          <w:tcPr>
            <w:tcW w:w="2543" w:type="dxa"/>
            <w:tcBorders>
              <w:tl2br w:val="nil"/>
              <w:tr2bl w:val="nil"/>
            </w:tcBorders>
            <w:vAlign w:val="center"/>
          </w:tcPr>
          <w:p>
            <w:pPr>
              <w:spacing w:line="240" w:lineRule="auto"/>
              <w:ind w:firstLine="0" w:firstLineChars="0"/>
              <w:jc w:val="center"/>
              <w:rPr>
                <w:color w:val="auto"/>
                <w:kern w:val="1"/>
                <w:sz w:val="21"/>
                <w:szCs w:val="21"/>
              </w:rPr>
            </w:pPr>
            <w:r>
              <w:rPr>
                <w:color w:val="auto"/>
                <w:kern w:val="1"/>
                <w:sz w:val="21"/>
                <w:szCs w:val="21"/>
              </w:rPr>
              <w:t>GB/T 7477-1987</w:t>
            </w:r>
          </w:p>
        </w:tc>
        <w:tc>
          <w:tcPr>
            <w:tcW w:w="1266" w:type="dxa"/>
            <w:tcBorders>
              <w:tl2br w:val="nil"/>
              <w:tr2bl w:val="nil"/>
            </w:tcBorders>
            <w:vAlign w:val="center"/>
          </w:tcPr>
          <w:p>
            <w:pPr>
              <w:spacing w:line="240" w:lineRule="auto"/>
              <w:ind w:firstLine="0" w:firstLineChars="0"/>
              <w:jc w:val="center"/>
              <w:rPr>
                <w:color w:val="auto"/>
                <w:sz w:val="21"/>
                <w:szCs w:val="21"/>
              </w:rPr>
            </w:pPr>
            <w:r>
              <w:rPr>
                <w:color w:val="auto"/>
                <w:kern w:val="1"/>
                <w:sz w:val="21"/>
                <w:szCs w:val="21"/>
              </w:rPr>
              <w:t>0.05mol/L</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25" w:hRule="atLeast"/>
          <w:jc w:val="center"/>
        </w:trPr>
        <w:tc>
          <w:tcPr>
            <w:tcW w:w="587"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18</w:t>
            </w:r>
          </w:p>
        </w:tc>
        <w:tc>
          <w:tcPr>
            <w:tcW w:w="1393" w:type="dxa"/>
            <w:tcBorders>
              <w:tl2br w:val="nil"/>
              <w:tr2bl w:val="nil"/>
            </w:tcBorders>
            <w:vAlign w:val="center"/>
          </w:tcPr>
          <w:p>
            <w:pPr>
              <w:widowControl/>
              <w:spacing w:line="240" w:lineRule="auto"/>
              <w:ind w:firstLine="0" w:firstLineChars="0"/>
              <w:jc w:val="center"/>
              <w:rPr>
                <w:color w:val="auto"/>
                <w:kern w:val="1"/>
                <w:sz w:val="21"/>
                <w:szCs w:val="21"/>
              </w:rPr>
            </w:pPr>
            <w:r>
              <w:rPr>
                <w:color w:val="auto"/>
                <w:kern w:val="1"/>
                <w:sz w:val="21"/>
                <w:szCs w:val="21"/>
              </w:rPr>
              <w:t>溶解性总固体</w:t>
            </w:r>
          </w:p>
        </w:tc>
        <w:tc>
          <w:tcPr>
            <w:tcW w:w="3500" w:type="dxa"/>
            <w:tcBorders>
              <w:tl2br w:val="nil"/>
              <w:tr2bl w:val="nil"/>
            </w:tcBorders>
            <w:vAlign w:val="center"/>
          </w:tcPr>
          <w:p>
            <w:pPr>
              <w:widowControl/>
              <w:spacing w:line="240" w:lineRule="auto"/>
              <w:ind w:firstLine="0" w:firstLineChars="0"/>
              <w:jc w:val="center"/>
              <w:rPr>
                <w:color w:val="auto"/>
                <w:kern w:val="1"/>
                <w:sz w:val="21"/>
                <w:szCs w:val="21"/>
              </w:rPr>
            </w:pPr>
            <w:r>
              <w:rPr>
                <w:color w:val="auto"/>
                <w:kern w:val="1"/>
                <w:sz w:val="21"/>
                <w:szCs w:val="21"/>
              </w:rPr>
              <w:t>生活饮用水标准检验方法 感官性状和物理指标 （8.1 溶解性总固体 称量法）</w:t>
            </w:r>
          </w:p>
        </w:tc>
        <w:tc>
          <w:tcPr>
            <w:tcW w:w="2543" w:type="dxa"/>
            <w:tcBorders>
              <w:tl2br w:val="nil"/>
              <w:tr2bl w:val="nil"/>
            </w:tcBorders>
            <w:vAlign w:val="center"/>
          </w:tcPr>
          <w:p>
            <w:pPr>
              <w:widowControl/>
              <w:spacing w:line="240" w:lineRule="auto"/>
              <w:ind w:firstLine="0" w:firstLineChars="0"/>
              <w:jc w:val="center"/>
              <w:rPr>
                <w:color w:val="auto"/>
                <w:kern w:val="1"/>
                <w:sz w:val="21"/>
                <w:szCs w:val="21"/>
              </w:rPr>
            </w:pPr>
            <w:r>
              <w:rPr>
                <w:color w:val="auto"/>
                <w:kern w:val="1"/>
                <w:sz w:val="21"/>
                <w:szCs w:val="21"/>
              </w:rPr>
              <w:t>GB/T 5750.4-2006</w:t>
            </w:r>
          </w:p>
        </w:tc>
        <w:tc>
          <w:tcPr>
            <w:tcW w:w="1266" w:type="dxa"/>
            <w:tcBorders>
              <w:tl2br w:val="nil"/>
              <w:tr2bl w:val="nil"/>
            </w:tcBorders>
            <w:vAlign w:val="center"/>
          </w:tcPr>
          <w:p>
            <w:pPr>
              <w:widowControl/>
              <w:spacing w:line="240" w:lineRule="auto"/>
              <w:ind w:firstLine="0" w:firstLineChars="0"/>
              <w:jc w:val="center"/>
              <w:rPr>
                <w:color w:val="auto"/>
                <w:kern w:val="1"/>
                <w:sz w:val="21"/>
                <w:szCs w:val="21"/>
              </w:rPr>
            </w:pPr>
            <w:r>
              <w:rPr>
                <w:color w:val="auto"/>
                <w:kern w:val="1"/>
                <w:sz w:val="21"/>
                <w:szCs w:val="21"/>
              </w:rPr>
              <w:t>/</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25" w:hRule="atLeast"/>
          <w:jc w:val="center"/>
        </w:trPr>
        <w:tc>
          <w:tcPr>
            <w:tcW w:w="587"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19</w:t>
            </w:r>
          </w:p>
        </w:tc>
        <w:tc>
          <w:tcPr>
            <w:tcW w:w="1393" w:type="dxa"/>
            <w:tcBorders>
              <w:tl2br w:val="nil"/>
              <w:tr2bl w:val="nil"/>
            </w:tcBorders>
            <w:vAlign w:val="center"/>
          </w:tcPr>
          <w:p>
            <w:pPr>
              <w:spacing w:line="240" w:lineRule="auto"/>
              <w:ind w:firstLine="0" w:firstLineChars="0"/>
              <w:jc w:val="center"/>
              <w:rPr>
                <w:color w:val="auto"/>
                <w:kern w:val="1"/>
                <w:sz w:val="21"/>
                <w:szCs w:val="21"/>
              </w:rPr>
            </w:pPr>
            <w:r>
              <w:rPr>
                <w:color w:val="auto"/>
                <w:kern w:val="1"/>
                <w:sz w:val="21"/>
                <w:szCs w:val="21"/>
              </w:rPr>
              <w:t>总大肠菌群</w:t>
            </w:r>
          </w:p>
        </w:tc>
        <w:tc>
          <w:tcPr>
            <w:tcW w:w="3500" w:type="dxa"/>
            <w:tcBorders>
              <w:tl2br w:val="nil"/>
              <w:tr2bl w:val="nil"/>
            </w:tcBorders>
            <w:vAlign w:val="center"/>
          </w:tcPr>
          <w:p>
            <w:pPr>
              <w:spacing w:line="240" w:lineRule="auto"/>
              <w:ind w:firstLine="0" w:firstLineChars="0"/>
              <w:jc w:val="center"/>
              <w:rPr>
                <w:color w:val="auto"/>
                <w:kern w:val="1"/>
                <w:sz w:val="21"/>
                <w:szCs w:val="21"/>
              </w:rPr>
            </w:pPr>
            <w:r>
              <w:rPr>
                <w:color w:val="auto"/>
                <w:kern w:val="1"/>
                <w:sz w:val="21"/>
                <w:szCs w:val="21"/>
              </w:rPr>
              <w:t>生活饮用水标准检验方法 微生物指标 （2.1 总大肠菌群 多管发酵法）</w:t>
            </w:r>
          </w:p>
        </w:tc>
        <w:tc>
          <w:tcPr>
            <w:tcW w:w="2543" w:type="dxa"/>
            <w:tcBorders>
              <w:tl2br w:val="nil"/>
              <w:tr2bl w:val="nil"/>
            </w:tcBorders>
            <w:vAlign w:val="center"/>
          </w:tcPr>
          <w:p>
            <w:pPr>
              <w:spacing w:line="240" w:lineRule="auto"/>
              <w:ind w:firstLine="0" w:firstLineChars="0"/>
              <w:jc w:val="center"/>
              <w:rPr>
                <w:color w:val="auto"/>
                <w:kern w:val="1"/>
                <w:sz w:val="21"/>
                <w:szCs w:val="21"/>
              </w:rPr>
            </w:pPr>
            <w:r>
              <w:rPr>
                <w:color w:val="auto"/>
                <w:kern w:val="1"/>
                <w:sz w:val="21"/>
                <w:szCs w:val="21"/>
              </w:rPr>
              <w:t>GB/T 5750.12-2006</w:t>
            </w:r>
          </w:p>
        </w:tc>
        <w:tc>
          <w:tcPr>
            <w:tcW w:w="1266" w:type="dxa"/>
            <w:tcBorders>
              <w:tl2br w:val="nil"/>
              <w:tr2bl w:val="nil"/>
            </w:tcBorders>
            <w:vAlign w:val="center"/>
          </w:tcPr>
          <w:p>
            <w:pPr>
              <w:spacing w:line="240" w:lineRule="auto"/>
              <w:ind w:firstLine="0" w:firstLineChars="0"/>
              <w:jc w:val="center"/>
              <w:rPr>
                <w:color w:val="auto"/>
                <w:kern w:val="1"/>
                <w:sz w:val="21"/>
                <w:szCs w:val="21"/>
              </w:rPr>
            </w:pPr>
            <w:r>
              <w:rPr>
                <w:color w:val="auto"/>
                <w:kern w:val="1"/>
                <w:sz w:val="21"/>
                <w:szCs w:val="21"/>
              </w:rPr>
              <w:t>/</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25" w:hRule="atLeast"/>
          <w:jc w:val="center"/>
        </w:trPr>
        <w:tc>
          <w:tcPr>
            <w:tcW w:w="587"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20</w:t>
            </w:r>
          </w:p>
        </w:tc>
        <w:tc>
          <w:tcPr>
            <w:tcW w:w="1393" w:type="dxa"/>
            <w:tcBorders>
              <w:tl2br w:val="nil"/>
              <w:tr2bl w:val="nil"/>
            </w:tcBorders>
            <w:vAlign w:val="center"/>
          </w:tcPr>
          <w:p>
            <w:pPr>
              <w:spacing w:line="240" w:lineRule="auto"/>
              <w:ind w:firstLine="0" w:firstLineChars="0"/>
              <w:jc w:val="center"/>
              <w:rPr>
                <w:color w:val="auto"/>
                <w:kern w:val="1"/>
                <w:sz w:val="21"/>
                <w:szCs w:val="21"/>
              </w:rPr>
            </w:pPr>
            <w:r>
              <w:rPr>
                <w:rFonts w:hint="eastAsia"/>
                <w:color w:val="auto"/>
                <w:kern w:val="1"/>
                <w:sz w:val="21"/>
                <w:szCs w:val="21"/>
              </w:rPr>
              <w:t>菌落</w:t>
            </w:r>
            <w:r>
              <w:rPr>
                <w:color w:val="auto"/>
                <w:kern w:val="1"/>
                <w:sz w:val="21"/>
                <w:szCs w:val="21"/>
              </w:rPr>
              <w:t>总数</w:t>
            </w:r>
          </w:p>
        </w:tc>
        <w:tc>
          <w:tcPr>
            <w:tcW w:w="3500" w:type="dxa"/>
            <w:tcBorders>
              <w:tl2br w:val="nil"/>
              <w:tr2bl w:val="nil"/>
            </w:tcBorders>
            <w:vAlign w:val="center"/>
          </w:tcPr>
          <w:p>
            <w:pPr>
              <w:spacing w:line="240" w:lineRule="auto"/>
              <w:ind w:firstLine="0" w:firstLineChars="0"/>
              <w:jc w:val="center"/>
              <w:rPr>
                <w:color w:val="auto"/>
                <w:kern w:val="1"/>
                <w:sz w:val="21"/>
                <w:szCs w:val="21"/>
              </w:rPr>
            </w:pPr>
            <w:r>
              <w:rPr>
                <w:color w:val="auto"/>
                <w:kern w:val="1"/>
                <w:sz w:val="21"/>
                <w:szCs w:val="21"/>
              </w:rPr>
              <w:t>生活饮用水标准检验方法  微生物指标 （1.1 菌落总数 平皿计数法）</w:t>
            </w:r>
          </w:p>
        </w:tc>
        <w:tc>
          <w:tcPr>
            <w:tcW w:w="2543" w:type="dxa"/>
            <w:tcBorders>
              <w:tl2br w:val="nil"/>
              <w:tr2bl w:val="nil"/>
            </w:tcBorders>
            <w:vAlign w:val="center"/>
          </w:tcPr>
          <w:p>
            <w:pPr>
              <w:spacing w:line="240" w:lineRule="auto"/>
              <w:ind w:firstLine="0" w:firstLineChars="0"/>
              <w:jc w:val="center"/>
              <w:rPr>
                <w:color w:val="auto"/>
                <w:kern w:val="1"/>
                <w:sz w:val="21"/>
                <w:szCs w:val="21"/>
              </w:rPr>
            </w:pPr>
            <w:r>
              <w:rPr>
                <w:color w:val="auto"/>
                <w:kern w:val="1"/>
                <w:sz w:val="21"/>
                <w:szCs w:val="21"/>
              </w:rPr>
              <w:t>GB/T 5750.12-2006</w:t>
            </w:r>
          </w:p>
        </w:tc>
        <w:tc>
          <w:tcPr>
            <w:tcW w:w="1266" w:type="dxa"/>
            <w:tcBorders>
              <w:tl2br w:val="nil"/>
              <w:tr2bl w:val="nil"/>
            </w:tcBorders>
            <w:vAlign w:val="center"/>
          </w:tcPr>
          <w:p>
            <w:pPr>
              <w:spacing w:line="240" w:lineRule="auto"/>
              <w:ind w:firstLine="0" w:firstLineChars="0"/>
              <w:jc w:val="center"/>
              <w:rPr>
                <w:color w:val="auto"/>
                <w:kern w:val="1"/>
                <w:sz w:val="21"/>
                <w:szCs w:val="21"/>
              </w:rPr>
            </w:pPr>
            <w:r>
              <w:rPr>
                <w:color w:val="auto"/>
                <w:kern w:val="1"/>
                <w:sz w:val="21"/>
                <w:szCs w:val="21"/>
              </w:rPr>
              <w:t>/</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25" w:hRule="atLeast"/>
          <w:jc w:val="center"/>
        </w:trPr>
        <w:tc>
          <w:tcPr>
            <w:tcW w:w="587"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2</w:t>
            </w:r>
            <w:r>
              <w:rPr>
                <w:rFonts w:hint="eastAsia"/>
                <w:color w:val="auto"/>
                <w:sz w:val="21"/>
                <w:szCs w:val="21"/>
              </w:rPr>
              <w:t>1</w:t>
            </w:r>
          </w:p>
        </w:tc>
        <w:tc>
          <w:tcPr>
            <w:tcW w:w="1393" w:type="dxa"/>
            <w:tcBorders>
              <w:tl2br w:val="nil"/>
              <w:tr2bl w:val="nil"/>
            </w:tcBorders>
            <w:vAlign w:val="center"/>
          </w:tcPr>
          <w:p>
            <w:pPr>
              <w:spacing w:line="240" w:lineRule="auto"/>
              <w:ind w:firstLine="0" w:firstLineChars="0"/>
              <w:jc w:val="center"/>
              <w:rPr>
                <w:color w:val="auto"/>
                <w:kern w:val="1"/>
                <w:sz w:val="21"/>
                <w:szCs w:val="21"/>
              </w:rPr>
            </w:pPr>
            <w:r>
              <w:rPr>
                <w:color w:val="auto"/>
                <w:kern w:val="1"/>
                <w:sz w:val="21"/>
                <w:szCs w:val="21"/>
              </w:rPr>
              <w:t>氟化物</w:t>
            </w:r>
          </w:p>
        </w:tc>
        <w:tc>
          <w:tcPr>
            <w:tcW w:w="3500" w:type="dxa"/>
            <w:tcBorders>
              <w:tl2br w:val="nil"/>
              <w:tr2bl w:val="nil"/>
            </w:tcBorders>
            <w:vAlign w:val="center"/>
          </w:tcPr>
          <w:p>
            <w:pPr>
              <w:spacing w:line="240" w:lineRule="auto"/>
              <w:ind w:firstLine="0" w:firstLineChars="0"/>
              <w:jc w:val="center"/>
              <w:rPr>
                <w:color w:val="auto"/>
                <w:kern w:val="1"/>
                <w:sz w:val="21"/>
                <w:szCs w:val="21"/>
              </w:rPr>
            </w:pPr>
            <w:r>
              <w:rPr>
                <w:color w:val="auto"/>
                <w:kern w:val="1"/>
                <w:sz w:val="21"/>
                <w:szCs w:val="21"/>
              </w:rPr>
              <w:t>水质 氟化物的测定 离子选择电极法</w:t>
            </w:r>
          </w:p>
        </w:tc>
        <w:tc>
          <w:tcPr>
            <w:tcW w:w="2543" w:type="dxa"/>
            <w:tcBorders>
              <w:tl2br w:val="nil"/>
              <w:tr2bl w:val="nil"/>
            </w:tcBorders>
            <w:vAlign w:val="center"/>
          </w:tcPr>
          <w:p>
            <w:pPr>
              <w:spacing w:line="240" w:lineRule="auto"/>
              <w:ind w:firstLine="0" w:firstLineChars="0"/>
              <w:jc w:val="center"/>
              <w:rPr>
                <w:color w:val="auto"/>
                <w:kern w:val="1"/>
                <w:sz w:val="21"/>
                <w:szCs w:val="21"/>
              </w:rPr>
            </w:pPr>
            <w:r>
              <w:rPr>
                <w:color w:val="auto"/>
                <w:kern w:val="1"/>
                <w:sz w:val="21"/>
                <w:szCs w:val="21"/>
              </w:rPr>
              <w:t>GB/T 7484-1987</w:t>
            </w:r>
          </w:p>
        </w:tc>
        <w:tc>
          <w:tcPr>
            <w:tcW w:w="1266" w:type="dxa"/>
            <w:tcBorders>
              <w:tl2br w:val="nil"/>
              <w:tr2bl w:val="nil"/>
            </w:tcBorders>
            <w:vAlign w:val="center"/>
          </w:tcPr>
          <w:p>
            <w:pPr>
              <w:spacing w:line="240" w:lineRule="auto"/>
              <w:ind w:firstLine="0" w:firstLineChars="0"/>
              <w:jc w:val="center"/>
              <w:rPr>
                <w:color w:val="auto"/>
                <w:kern w:val="1"/>
                <w:sz w:val="21"/>
                <w:szCs w:val="21"/>
              </w:rPr>
            </w:pPr>
            <w:r>
              <w:rPr>
                <w:color w:val="auto"/>
                <w:kern w:val="1"/>
                <w:sz w:val="21"/>
                <w:szCs w:val="21"/>
              </w:rPr>
              <w:t>0.0</w:t>
            </w:r>
            <w:r>
              <w:rPr>
                <w:rFonts w:hint="eastAsia"/>
                <w:color w:val="auto"/>
                <w:kern w:val="1"/>
                <w:sz w:val="21"/>
                <w:szCs w:val="21"/>
              </w:rPr>
              <w:t>5</w:t>
            </w:r>
            <w:r>
              <w:rPr>
                <w:color w:val="auto"/>
                <w:kern w:val="1"/>
                <w:sz w:val="21"/>
                <w:szCs w:val="21"/>
              </w:rPr>
              <w:t>mg/L</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25" w:hRule="atLeast"/>
          <w:jc w:val="center"/>
        </w:trPr>
        <w:tc>
          <w:tcPr>
            <w:tcW w:w="587"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2</w:t>
            </w:r>
            <w:r>
              <w:rPr>
                <w:rFonts w:hint="eastAsia"/>
                <w:color w:val="auto"/>
                <w:sz w:val="21"/>
                <w:szCs w:val="21"/>
              </w:rPr>
              <w:t>2</w:t>
            </w:r>
          </w:p>
        </w:tc>
        <w:tc>
          <w:tcPr>
            <w:tcW w:w="1393" w:type="dxa"/>
            <w:tcBorders>
              <w:tl2br w:val="nil"/>
              <w:tr2bl w:val="nil"/>
            </w:tcBorders>
            <w:vAlign w:val="center"/>
          </w:tcPr>
          <w:p>
            <w:pPr>
              <w:spacing w:line="240" w:lineRule="auto"/>
              <w:ind w:firstLine="0" w:firstLineChars="0"/>
              <w:jc w:val="center"/>
              <w:rPr>
                <w:rFonts w:eastAsiaTheme="minorEastAsia"/>
                <w:color w:val="auto"/>
                <w:kern w:val="1"/>
                <w:sz w:val="21"/>
                <w:szCs w:val="21"/>
              </w:rPr>
            </w:pPr>
            <w:r>
              <w:rPr>
                <w:color w:val="auto"/>
                <w:kern w:val="1"/>
                <w:sz w:val="21"/>
                <w:szCs w:val="21"/>
              </w:rPr>
              <w:t>铁</w:t>
            </w:r>
          </w:p>
        </w:tc>
        <w:tc>
          <w:tcPr>
            <w:tcW w:w="3500" w:type="dxa"/>
            <w:tcBorders>
              <w:tl2br w:val="nil"/>
              <w:tr2bl w:val="nil"/>
            </w:tcBorders>
            <w:vAlign w:val="center"/>
          </w:tcPr>
          <w:p>
            <w:pPr>
              <w:spacing w:line="240" w:lineRule="auto"/>
              <w:ind w:firstLine="0" w:firstLineChars="0"/>
              <w:jc w:val="center"/>
              <w:rPr>
                <w:rFonts w:eastAsiaTheme="minorEastAsia"/>
                <w:color w:val="auto"/>
                <w:kern w:val="1"/>
                <w:sz w:val="21"/>
                <w:szCs w:val="21"/>
              </w:rPr>
            </w:pPr>
            <w:r>
              <w:rPr>
                <w:color w:val="auto"/>
                <w:kern w:val="1"/>
                <w:sz w:val="21"/>
                <w:szCs w:val="21"/>
              </w:rPr>
              <w:t>水质 铁、锰的测定 火焰原子吸收分光光度法</w:t>
            </w:r>
          </w:p>
        </w:tc>
        <w:tc>
          <w:tcPr>
            <w:tcW w:w="2543" w:type="dxa"/>
            <w:tcBorders>
              <w:tl2br w:val="nil"/>
              <w:tr2bl w:val="nil"/>
            </w:tcBorders>
            <w:vAlign w:val="center"/>
          </w:tcPr>
          <w:p>
            <w:pPr>
              <w:spacing w:line="240" w:lineRule="auto"/>
              <w:ind w:firstLine="0" w:firstLineChars="0"/>
              <w:jc w:val="center"/>
              <w:rPr>
                <w:rFonts w:eastAsiaTheme="minorEastAsia"/>
                <w:color w:val="auto"/>
                <w:kern w:val="1"/>
                <w:sz w:val="21"/>
                <w:szCs w:val="21"/>
              </w:rPr>
            </w:pPr>
            <w:r>
              <w:rPr>
                <w:color w:val="auto"/>
                <w:kern w:val="1"/>
                <w:sz w:val="21"/>
                <w:szCs w:val="21"/>
              </w:rPr>
              <w:t>GB/T 11911-1989</w:t>
            </w:r>
          </w:p>
        </w:tc>
        <w:tc>
          <w:tcPr>
            <w:tcW w:w="1266" w:type="dxa"/>
            <w:tcBorders>
              <w:tl2br w:val="nil"/>
              <w:tr2bl w:val="nil"/>
            </w:tcBorders>
            <w:vAlign w:val="center"/>
          </w:tcPr>
          <w:p>
            <w:pPr>
              <w:spacing w:line="240" w:lineRule="auto"/>
              <w:ind w:firstLine="0" w:firstLineChars="0"/>
              <w:jc w:val="center"/>
              <w:rPr>
                <w:rFonts w:eastAsiaTheme="minorEastAsia"/>
                <w:color w:val="auto"/>
                <w:kern w:val="1"/>
                <w:sz w:val="21"/>
                <w:szCs w:val="21"/>
              </w:rPr>
            </w:pPr>
            <w:r>
              <w:rPr>
                <w:color w:val="auto"/>
                <w:kern w:val="1"/>
                <w:sz w:val="21"/>
                <w:szCs w:val="21"/>
              </w:rPr>
              <w:t>0.01 mg/L</w:t>
            </w:r>
          </w:p>
        </w:tc>
      </w:tr>
      <w:bookmarkEnd w:id="476"/>
      <w:bookmarkEnd w:id="477"/>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25" w:hRule="atLeast"/>
          <w:jc w:val="center"/>
        </w:trPr>
        <w:tc>
          <w:tcPr>
            <w:tcW w:w="587"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2</w:t>
            </w:r>
            <w:r>
              <w:rPr>
                <w:rFonts w:hint="eastAsia"/>
                <w:color w:val="auto"/>
                <w:sz w:val="21"/>
                <w:szCs w:val="21"/>
              </w:rPr>
              <w:t>3</w:t>
            </w:r>
          </w:p>
        </w:tc>
        <w:tc>
          <w:tcPr>
            <w:tcW w:w="1393" w:type="dxa"/>
            <w:tcBorders>
              <w:tl2br w:val="nil"/>
              <w:tr2bl w:val="nil"/>
            </w:tcBorders>
            <w:vAlign w:val="center"/>
          </w:tcPr>
          <w:p>
            <w:pPr>
              <w:spacing w:line="240" w:lineRule="auto"/>
              <w:ind w:firstLine="0" w:firstLineChars="0"/>
              <w:jc w:val="center"/>
              <w:rPr>
                <w:rFonts w:eastAsiaTheme="minorEastAsia"/>
                <w:color w:val="auto"/>
                <w:kern w:val="1"/>
                <w:sz w:val="21"/>
                <w:szCs w:val="21"/>
              </w:rPr>
            </w:pPr>
            <w:r>
              <w:rPr>
                <w:color w:val="auto"/>
                <w:kern w:val="1"/>
                <w:sz w:val="21"/>
                <w:szCs w:val="21"/>
              </w:rPr>
              <w:t>锰</w:t>
            </w:r>
          </w:p>
        </w:tc>
        <w:tc>
          <w:tcPr>
            <w:tcW w:w="3500" w:type="dxa"/>
            <w:tcBorders>
              <w:tl2br w:val="nil"/>
              <w:tr2bl w:val="nil"/>
            </w:tcBorders>
            <w:vAlign w:val="center"/>
          </w:tcPr>
          <w:p>
            <w:pPr>
              <w:widowControl/>
              <w:spacing w:line="240" w:lineRule="auto"/>
              <w:ind w:firstLine="0" w:firstLineChars="0"/>
              <w:jc w:val="center"/>
              <w:rPr>
                <w:rFonts w:eastAsiaTheme="minorEastAsia"/>
                <w:color w:val="auto"/>
                <w:sz w:val="21"/>
                <w:szCs w:val="21"/>
              </w:rPr>
            </w:pPr>
            <w:r>
              <w:rPr>
                <w:color w:val="auto"/>
                <w:sz w:val="21"/>
                <w:szCs w:val="21"/>
                <w:lang w:bidi="ar"/>
              </w:rPr>
              <w:t>水质 铁、锰的测定 火焰原子吸收分光光度法</w:t>
            </w:r>
          </w:p>
        </w:tc>
        <w:tc>
          <w:tcPr>
            <w:tcW w:w="2543" w:type="dxa"/>
            <w:tcBorders>
              <w:tl2br w:val="nil"/>
              <w:tr2bl w:val="nil"/>
            </w:tcBorders>
            <w:vAlign w:val="center"/>
          </w:tcPr>
          <w:p>
            <w:pPr>
              <w:widowControl/>
              <w:spacing w:line="240" w:lineRule="auto"/>
              <w:ind w:firstLine="0" w:firstLineChars="0"/>
              <w:jc w:val="center"/>
              <w:rPr>
                <w:rFonts w:eastAsiaTheme="minorEastAsia"/>
                <w:color w:val="auto"/>
                <w:sz w:val="21"/>
                <w:szCs w:val="21"/>
              </w:rPr>
            </w:pPr>
            <w:r>
              <w:rPr>
                <w:color w:val="auto"/>
                <w:sz w:val="21"/>
                <w:szCs w:val="21"/>
                <w:lang w:bidi="ar"/>
              </w:rPr>
              <w:t>GB/T 11911-1989</w:t>
            </w:r>
          </w:p>
        </w:tc>
        <w:tc>
          <w:tcPr>
            <w:tcW w:w="1266" w:type="dxa"/>
            <w:tcBorders>
              <w:tl2br w:val="nil"/>
              <w:tr2bl w:val="nil"/>
            </w:tcBorders>
            <w:vAlign w:val="center"/>
          </w:tcPr>
          <w:p>
            <w:pPr>
              <w:spacing w:line="240" w:lineRule="auto"/>
              <w:ind w:firstLine="0" w:firstLineChars="0"/>
              <w:jc w:val="center"/>
              <w:rPr>
                <w:rFonts w:eastAsiaTheme="minorEastAsia"/>
                <w:color w:val="auto"/>
                <w:kern w:val="1"/>
                <w:sz w:val="21"/>
                <w:szCs w:val="21"/>
              </w:rPr>
            </w:pPr>
            <w:r>
              <w:rPr>
                <w:color w:val="auto"/>
                <w:sz w:val="21"/>
                <w:szCs w:val="21"/>
              </w:rPr>
              <w:t>0.01 mg/L</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25" w:hRule="atLeast"/>
          <w:jc w:val="center"/>
        </w:trPr>
        <w:tc>
          <w:tcPr>
            <w:tcW w:w="587"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24</w:t>
            </w:r>
          </w:p>
        </w:tc>
        <w:tc>
          <w:tcPr>
            <w:tcW w:w="1393" w:type="dxa"/>
            <w:tcBorders>
              <w:tl2br w:val="nil"/>
              <w:tr2bl w:val="nil"/>
            </w:tcBorders>
            <w:vAlign w:val="center"/>
          </w:tcPr>
          <w:p>
            <w:pPr>
              <w:spacing w:line="240" w:lineRule="auto"/>
              <w:ind w:firstLine="0" w:firstLineChars="0"/>
              <w:jc w:val="center"/>
              <w:rPr>
                <w:rFonts w:eastAsiaTheme="minorEastAsia"/>
                <w:color w:val="auto"/>
                <w:kern w:val="1"/>
                <w:sz w:val="21"/>
                <w:szCs w:val="21"/>
              </w:rPr>
            </w:pPr>
            <w:r>
              <w:rPr>
                <w:color w:val="auto"/>
                <w:kern w:val="1"/>
                <w:sz w:val="21"/>
                <w:szCs w:val="21"/>
              </w:rPr>
              <w:t>铅</w:t>
            </w:r>
          </w:p>
        </w:tc>
        <w:tc>
          <w:tcPr>
            <w:tcW w:w="3500" w:type="dxa"/>
            <w:tcBorders>
              <w:tl2br w:val="nil"/>
              <w:tr2bl w:val="nil"/>
            </w:tcBorders>
            <w:vAlign w:val="center"/>
          </w:tcPr>
          <w:p>
            <w:pPr>
              <w:widowControl/>
              <w:spacing w:line="240" w:lineRule="auto"/>
              <w:ind w:firstLine="0" w:firstLineChars="0"/>
              <w:jc w:val="center"/>
              <w:rPr>
                <w:rFonts w:eastAsiaTheme="minorEastAsia"/>
                <w:color w:val="auto"/>
                <w:sz w:val="21"/>
                <w:szCs w:val="21"/>
              </w:rPr>
            </w:pPr>
            <w:r>
              <w:rPr>
                <w:rFonts w:hint="eastAsia"/>
                <w:color w:val="auto"/>
                <w:sz w:val="21"/>
                <w:szCs w:val="21"/>
                <w:lang w:bidi="ar"/>
              </w:rPr>
              <w:t>石墨炉原子吸收分光光度法</w:t>
            </w:r>
          </w:p>
        </w:tc>
        <w:tc>
          <w:tcPr>
            <w:tcW w:w="2543" w:type="dxa"/>
            <w:tcBorders>
              <w:tl2br w:val="nil"/>
              <w:tr2bl w:val="nil"/>
            </w:tcBorders>
            <w:vAlign w:val="center"/>
          </w:tcPr>
          <w:p>
            <w:pPr>
              <w:spacing w:line="240" w:lineRule="auto"/>
              <w:ind w:firstLine="0" w:firstLineChars="0"/>
              <w:jc w:val="center"/>
              <w:rPr>
                <w:rFonts w:eastAsiaTheme="minorEastAsia"/>
                <w:color w:val="auto"/>
                <w:sz w:val="21"/>
                <w:szCs w:val="21"/>
              </w:rPr>
            </w:pPr>
            <w:r>
              <w:rPr>
                <w:rFonts w:hint="eastAsia"/>
                <w:color w:val="auto"/>
                <w:sz w:val="21"/>
                <w:szCs w:val="21"/>
                <w:lang w:bidi="ar"/>
              </w:rPr>
              <w:t>《水和废水监测分析方法》（第四版增补版）国家环境</w:t>
            </w:r>
          </w:p>
        </w:tc>
        <w:tc>
          <w:tcPr>
            <w:tcW w:w="1266" w:type="dxa"/>
            <w:tcBorders>
              <w:tl2br w:val="nil"/>
              <w:tr2bl w:val="nil"/>
            </w:tcBorders>
            <w:vAlign w:val="center"/>
          </w:tcPr>
          <w:p>
            <w:pPr>
              <w:spacing w:line="240" w:lineRule="auto"/>
              <w:ind w:firstLine="0" w:firstLineChars="0"/>
              <w:jc w:val="center"/>
              <w:rPr>
                <w:rFonts w:eastAsiaTheme="minorEastAsia"/>
                <w:color w:val="auto"/>
                <w:kern w:val="1"/>
                <w:sz w:val="21"/>
                <w:szCs w:val="21"/>
              </w:rPr>
            </w:pPr>
            <w:r>
              <w:rPr>
                <w:color w:val="auto"/>
                <w:sz w:val="21"/>
                <w:szCs w:val="21"/>
                <w:lang w:bidi="ar"/>
              </w:rPr>
              <w:t>0.00</w:t>
            </w:r>
            <w:r>
              <w:rPr>
                <w:rFonts w:hint="eastAsia"/>
                <w:color w:val="auto"/>
                <w:sz w:val="21"/>
                <w:szCs w:val="21"/>
                <w:lang w:bidi="ar"/>
              </w:rPr>
              <w:t>01</w:t>
            </w:r>
            <w:r>
              <w:rPr>
                <w:color w:val="auto"/>
                <w:sz w:val="21"/>
                <w:szCs w:val="21"/>
                <w:lang w:bidi="ar"/>
              </w:rPr>
              <w:t>mg/L</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25" w:hRule="atLeast"/>
          <w:jc w:val="center"/>
        </w:trPr>
        <w:tc>
          <w:tcPr>
            <w:tcW w:w="587"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25</w:t>
            </w:r>
          </w:p>
        </w:tc>
        <w:tc>
          <w:tcPr>
            <w:tcW w:w="1393" w:type="dxa"/>
            <w:tcBorders>
              <w:tl2br w:val="nil"/>
              <w:tr2bl w:val="nil"/>
            </w:tcBorders>
            <w:vAlign w:val="center"/>
          </w:tcPr>
          <w:p>
            <w:pPr>
              <w:spacing w:line="240" w:lineRule="auto"/>
              <w:ind w:firstLine="0" w:firstLineChars="0"/>
              <w:jc w:val="center"/>
              <w:rPr>
                <w:rFonts w:eastAsiaTheme="minorEastAsia"/>
                <w:color w:val="auto"/>
                <w:kern w:val="1"/>
                <w:sz w:val="21"/>
                <w:szCs w:val="21"/>
              </w:rPr>
            </w:pPr>
            <w:r>
              <w:rPr>
                <w:color w:val="auto"/>
                <w:kern w:val="1"/>
                <w:sz w:val="21"/>
                <w:szCs w:val="21"/>
              </w:rPr>
              <w:t>镉</w:t>
            </w:r>
          </w:p>
        </w:tc>
        <w:tc>
          <w:tcPr>
            <w:tcW w:w="3500" w:type="dxa"/>
            <w:tcBorders>
              <w:tl2br w:val="nil"/>
              <w:tr2bl w:val="nil"/>
            </w:tcBorders>
            <w:vAlign w:val="center"/>
          </w:tcPr>
          <w:p>
            <w:pPr>
              <w:widowControl/>
              <w:spacing w:line="240" w:lineRule="auto"/>
              <w:ind w:firstLine="0" w:firstLineChars="0"/>
              <w:jc w:val="center"/>
              <w:rPr>
                <w:rFonts w:eastAsiaTheme="minorEastAsia"/>
                <w:color w:val="auto"/>
                <w:sz w:val="21"/>
                <w:szCs w:val="21"/>
              </w:rPr>
            </w:pPr>
            <w:r>
              <w:rPr>
                <w:rFonts w:hint="eastAsia"/>
                <w:color w:val="auto"/>
                <w:sz w:val="21"/>
                <w:szCs w:val="21"/>
                <w:lang w:bidi="ar"/>
              </w:rPr>
              <w:t xml:space="preserve">石墨炉原子吸收法 </w:t>
            </w:r>
          </w:p>
        </w:tc>
        <w:tc>
          <w:tcPr>
            <w:tcW w:w="2543" w:type="dxa"/>
            <w:tcBorders>
              <w:tl2br w:val="nil"/>
              <w:tr2bl w:val="nil"/>
            </w:tcBorders>
            <w:vAlign w:val="center"/>
          </w:tcPr>
          <w:p>
            <w:pPr>
              <w:widowControl/>
              <w:spacing w:line="240" w:lineRule="auto"/>
              <w:ind w:firstLine="0" w:firstLineChars="0"/>
              <w:jc w:val="center"/>
              <w:rPr>
                <w:rFonts w:eastAsiaTheme="minorEastAsia"/>
                <w:color w:val="auto"/>
                <w:sz w:val="21"/>
                <w:szCs w:val="21"/>
              </w:rPr>
            </w:pPr>
            <w:r>
              <w:rPr>
                <w:rFonts w:hint="eastAsia"/>
                <w:color w:val="auto"/>
                <w:sz w:val="21"/>
                <w:szCs w:val="21"/>
                <w:lang w:bidi="ar"/>
              </w:rPr>
              <w:t>《水和废水监测分析方法》（第四版增补</w:t>
            </w:r>
          </w:p>
        </w:tc>
        <w:tc>
          <w:tcPr>
            <w:tcW w:w="1266" w:type="dxa"/>
            <w:tcBorders>
              <w:tl2br w:val="nil"/>
              <w:tr2bl w:val="nil"/>
            </w:tcBorders>
            <w:vAlign w:val="center"/>
          </w:tcPr>
          <w:p>
            <w:pPr>
              <w:spacing w:line="240" w:lineRule="auto"/>
              <w:ind w:firstLine="0" w:firstLineChars="0"/>
              <w:jc w:val="center"/>
              <w:rPr>
                <w:rFonts w:eastAsiaTheme="minorEastAsia"/>
                <w:color w:val="auto"/>
                <w:kern w:val="1"/>
                <w:sz w:val="21"/>
                <w:szCs w:val="21"/>
              </w:rPr>
            </w:pPr>
            <w:r>
              <w:rPr>
                <w:rFonts w:hint="eastAsia"/>
                <w:color w:val="auto"/>
                <w:kern w:val="1"/>
                <w:sz w:val="21"/>
                <w:szCs w:val="21"/>
              </w:rPr>
              <w:t xml:space="preserve"> 0.0001mg/L </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25" w:hRule="atLeast"/>
          <w:jc w:val="center"/>
        </w:trPr>
        <w:tc>
          <w:tcPr>
            <w:tcW w:w="587"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26</w:t>
            </w:r>
          </w:p>
        </w:tc>
        <w:tc>
          <w:tcPr>
            <w:tcW w:w="1393" w:type="dxa"/>
            <w:tcBorders>
              <w:tl2br w:val="nil"/>
              <w:tr2bl w:val="nil"/>
            </w:tcBorders>
            <w:vAlign w:val="center"/>
          </w:tcPr>
          <w:p>
            <w:pPr>
              <w:spacing w:line="240" w:lineRule="auto"/>
              <w:ind w:firstLine="0" w:firstLineChars="0"/>
              <w:jc w:val="center"/>
              <w:rPr>
                <w:color w:val="auto"/>
                <w:kern w:val="1"/>
                <w:sz w:val="21"/>
                <w:szCs w:val="21"/>
              </w:rPr>
            </w:pPr>
            <w:r>
              <w:rPr>
                <w:color w:val="auto"/>
                <w:kern w:val="1"/>
                <w:sz w:val="21"/>
                <w:szCs w:val="21"/>
              </w:rPr>
              <w:t>高锰酸盐指数</w:t>
            </w:r>
          </w:p>
        </w:tc>
        <w:tc>
          <w:tcPr>
            <w:tcW w:w="3500" w:type="dxa"/>
            <w:tcBorders>
              <w:tl2br w:val="nil"/>
              <w:tr2bl w:val="nil"/>
            </w:tcBorders>
            <w:vAlign w:val="center"/>
          </w:tcPr>
          <w:p>
            <w:pPr>
              <w:widowControl/>
              <w:spacing w:line="240" w:lineRule="auto"/>
              <w:ind w:firstLine="0" w:firstLineChars="0"/>
              <w:jc w:val="center"/>
              <w:rPr>
                <w:color w:val="auto"/>
                <w:sz w:val="21"/>
                <w:szCs w:val="21"/>
                <w:lang w:bidi="ar"/>
              </w:rPr>
            </w:pPr>
            <w:r>
              <w:rPr>
                <w:color w:val="auto"/>
                <w:sz w:val="21"/>
                <w:szCs w:val="21"/>
                <w:lang w:bidi="ar"/>
              </w:rPr>
              <w:t>水质 高锰酸盐指数的测定</w:t>
            </w:r>
          </w:p>
        </w:tc>
        <w:tc>
          <w:tcPr>
            <w:tcW w:w="2543" w:type="dxa"/>
            <w:tcBorders>
              <w:tl2br w:val="nil"/>
              <w:tr2bl w:val="nil"/>
            </w:tcBorders>
            <w:vAlign w:val="center"/>
          </w:tcPr>
          <w:p>
            <w:pPr>
              <w:spacing w:line="240" w:lineRule="auto"/>
              <w:ind w:firstLine="0" w:firstLineChars="0"/>
              <w:jc w:val="center"/>
              <w:rPr>
                <w:color w:val="auto"/>
                <w:sz w:val="21"/>
                <w:szCs w:val="21"/>
                <w:lang w:bidi="ar"/>
              </w:rPr>
            </w:pPr>
            <w:r>
              <w:rPr>
                <w:color w:val="auto"/>
                <w:kern w:val="1"/>
                <w:sz w:val="21"/>
                <w:szCs w:val="21"/>
              </w:rPr>
              <w:t>GB/T 11892-1989</w:t>
            </w:r>
          </w:p>
        </w:tc>
        <w:tc>
          <w:tcPr>
            <w:tcW w:w="1266" w:type="dxa"/>
            <w:tcBorders>
              <w:tl2br w:val="nil"/>
              <w:tr2bl w:val="nil"/>
            </w:tcBorders>
            <w:vAlign w:val="center"/>
          </w:tcPr>
          <w:p>
            <w:pPr>
              <w:spacing w:line="240" w:lineRule="auto"/>
              <w:ind w:firstLine="0" w:firstLineChars="0"/>
              <w:jc w:val="center"/>
              <w:rPr>
                <w:color w:val="auto"/>
                <w:kern w:val="1"/>
                <w:sz w:val="21"/>
                <w:szCs w:val="21"/>
              </w:rPr>
            </w:pPr>
            <w:r>
              <w:rPr>
                <w:color w:val="auto"/>
                <w:kern w:val="1"/>
                <w:sz w:val="21"/>
                <w:szCs w:val="21"/>
              </w:rPr>
              <w:t>0.5mg/L</w:t>
            </w:r>
          </w:p>
        </w:tc>
      </w:tr>
    </w:tbl>
    <w:p>
      <w:pPr>
        <w:autoSpaceDE w:val="0"/>
        <w:autoSpaceDN w:val="0"/>
        <w:ind w:firstLine="480"/>
        <w:rPr>
          <w:color w:val="auto"/>
        </w:rPr>
      </w:pPr>
      <w:r>
        <w:rPr>
          <w:color w:val="auto"/>
        </w:rPr>
        <w:t>4.</w:t>
      </w:r>
      <w:r>
        <w:rPr>
          <w:rFonts w:hint="eastAsia"/>
          <w:color w:val="auto"/>
        </w:rPr>
        <w:t>2</w:t>
      </w:r>
      <w:r>
        <w:rPr>
          <w:color w:val="auto"/>
        </w:rPr>
        <w:t>.3.</w:t>
      </w:r>
      <w:r>
        <w:rPr>
          <w:rFonts w:hint="eastAsia"/>
          <w:color w:val="auto"/>
        </w:rPr>
        <w:t>3</w:t>
      </w:r>
      <w:r>
        <w:rPr>
          <w:color w:val="auto"/>
        </w:rPr>
        <w:t xml:space="preserve">  评价方法</w:t>
      </w:r>
    </w:p>
    <w:p>
      <w:pPr>
        <w:ind w:firstLine="480"/>
        <w:rPr>
          <w:color w:val="auto"/>
        </w:rPr>
      </w:pPr>
      <w:r>
        <w:rPr>
          <w:color w:val="auto"/>
        </w:rPr>
        <w:t>根据监测结果，采用单因子污染指数法，对照评价标准对地下水环境质量现状进行评价，计算公式如下：</w:t>
      </w:r>
    </w:p>
    <w:p>
      <w:pPr>
        <w:ind w:firstLine="480"/>
        <w:rPr>
          <w:color w:val="auto"/>
        </w:rPr>
      </w:pPr>
      <w:r>
        <w:rPr>
          <w:color w:val="auto"/>
        </w:rPr>
        <w:t>常规污染物（PH值除外）：</w:t>
      </w:r>
    </w:p>
    <w:p>
      <w:pPr>
        <w:ind w:firstLine="480"/>
        <w:jc w:val="center"/>
        <w:rPr>
          <w:color w:val="auto"/>
        </w:rPr>
      </w:pPr>
      <w:r>
        <w:rPr>
          <w:color w:val="auto"/>
        </w:rPr>
        <w:t>P</w:t>
      </w:r>
      <w:r>
        <w:rPr>
          <w:color w:val="auto"/>
          <w:vertAlign w:val="subscript"/>
        </w:rPr>
        <w:t>i</w:t>
      </w:r>
      <w:r>
        <w:rPr>
          <w:color w:val="auto"/>
        </w:rPr>
        <w:t>=C</w:t>
      </w:r>
      <w:r>
        <w:rPr>
          <w:color w:val="auto"/>
          <w:vertAlign w:val="subscript"/>
        </w:rPr>
        <w:t>i</w:t>
      </w:r>
      <w:r>
        <w:rPr>
          <w:color w:val="auto"/>
        </w:rPr>
        <w:t>/C</w:t>
      </w:r>
      <w:r>
        <w:rPr>
          <w:color w:val="auto"/>
          <w:vertAlign w:val="subscript"/>
        </w:rPr>
        <w:t>si</w:t>
      </w:r>
    </w:p>
    <w:p>
      <w:pPr>
        <w:ind w:firstLine="480"/>
        <w:rPr>
          <w:color w:val="auto"/>
        </w:rPr>
      </w:pPr>
      <w:r>
        <w:rPr>
          <w:color w:val="auto"/>
        </w:rPr>
        <w:t>式中，P</w:t>
      </w:r>
      <w:r>
        <w:rPr>
          <w:color w:val="auto"/>
          <w:vertAlign w:val="subscript"/>
        </w:rPr>
        <w:t>i</w:t>
      </w:r>
      <w:r>
        <w:rPr>
          <w:color w:val="auto"/>
        </w:rPr>
        <w:t>——第i种污染物的单项水质指数，无量纲</w:t>
      </w:r>
    </w:p>
    <w:p>
      <w:pPr>
        <w:ind w:firstLine="480"/>
        <w:rPr>
          <w:color w:val="auto"/>
        </w:rPr>
      </w:pPr>
      <w:r>
        <w:rPr>
          <w:color w:val="auto"/>
        </w:rPr>
        <w:t xml:space="preserve">      C</w:t>
      </w:r>
      <w:r>
        <w:rPr>
          <w:color w:val="auto"/>
          <w:vertAlign w:val="subscript"/>
        </w:rPr>
        <w:t>i</w:t>
      </w:r>
      <w:r>
        <w:rPr>
          <w:color w:val="auto"/>
        </w:rPr>
        <w:t>——第i种水质因子的监测浓度值，单位：mg/L</w:t>
      </w:r>
    </w:p>
    <w:p>
      <w:pPr>
        <w:ind w:firstLine="480"/>
        <w:rPr>
          <w:color w:val="auto"/>
        </w:rPr>
      </w:pPr>
      <w:r>
        <w:rPr>
          <w:color w:val="auto"/>
        </w:rPr>
        <w:tab/>
      </w:r>
      <w:r>
        <w:rPr>
          <w:color w:val="auto"/>
        </w:rPr>
        <w:t xml:space="preserve">   C</w:t>
      </w:r>
      <w:r>
        <w:rPr>
          <w:color w:val="auto"/>
          <w:vertAlign w:val="subscript"/>
        </w:rPr>
        <w:t>si</w:t>
      </w:r>
      <w:r>
        <w:rPr>
          <w:color w:val="auto"/>
        </w:rPr>
        <w:t>——第i种水质因子的标准浓度值，单位：mg/L</w:t>
      </w:r>
    </w:p>
    <w:p>
      <w:pPr>
        <w:ind w:firstLine="480"/>
        <w:rPr>
          <w:color w:val="auto"/>
        </w:rPr>
      </w:pPr>
      <w:r>
        <w:rPr>
          <w:color w:val="auto"/>
        </w:rPr>
        <w:t>水质评价因子的标准指数大于1，表明该评价因子的水质超过了规定的水质标准，已经不能满足使用功能要求。</w:t>
      </w:r>
    </w:p>
    <w:p>
      <w:pPr>
        <w:autoSpaceDE w:val="0"/>
        <w:autoSpaceDN w:val="0"/>
        <w:ind w:firstLine="480"/>
        <w:rPr>
          <w:color w:val="auto"/>
        </w:rPr>
      </w:pPr>
      <w:r>
        <w:rPr>
          <w:color w:val="auto"/>
        </w:rPr>
        <w:t>4.</w:t>
      </w:r>
      <w:r>
        <w:rPr>
          <w:rFonts w:hint="eastAsia"/>
          <w:color w:val="auto"/>
        </w:rPr>
        <w:t>2</w:t>
      </w:r>
      <w:r>
        <w:rPr>
          <w:color w:val="auto"/>
        </w:rPr>
        <w:t>.3.</w:t>
      </w:r>
      <w:r>
        <w:rPr>
          <w:rFonts w:hint="eastAsia"/>
          <w:color w:val="auto"/>
        </w:rPr>
        <w:t>4</w:t>
      </w:r>
      <w:r>
        <w:rPr>
          <w:color w:val="auto"/>
        </w:rPr>
        <w:t xml:space="preserve">  评价标准</w:t>
      </w:r>
    </w:p>
    <w:p>
      <w:pPr>
        <w:autoSpaceDE w:val="0"/>
        <w:autoSpaceDN w:val="0"/>
        <w:ind w:firstLine="480"/>
        <w:rPr>
          <w:color w:val="auto"/>
        </w:rPr>
      </w:pPr>
      <w:r>
        <w:rPr>
          <w:color w:val="auto"/>
        </w:rPr>
        <w:t>地下水水质现状评价执行《地下水质量标准》（GB/T14848-2017）中的 III 类标准。</w:t>
      </w:r>
    </w:p>
    <w:p>
      <w:pPr>
        <w:autoSpaceDE w:val="0"/>
        <w:autoSpaceDN w:val="0"/>
        <w:ind w:firstLine="480"/>
        <w:rPr>
          <w:color w:val="auto"/>
        </w:rPr>
      </w:pPr>
      <w:r>
        <w:rPr>
          <w:color w:val="auto"/>
        </w:rPr>
        <w:t>4.</w:t>
      </w:r>
      <w:r>
        <w:rPr>
          <w:rFonts w:hint="eastAsia"/>
          <w:color w:val="auto"/>
        </w:rPr>
        <w:t>2</w:t>
      </w:r>
      <w:r>
        <w:rPr>
          <w:color w:val="auto"/>
        </w:rPr>
        <w:t>.3.6  监测结果统计及评价</w:t>
      </w:r>
    </w:p>
    <w:p>
      <w:pPr>
        <w:pStyle w:val="44"/>
        <w:numPr>
          <w:ilvl w:val="0"/>
          <w:numId w:val="0"/>
        </w:numPr>
        <w:spacing w:line="240" w:lineRule="auto"/>
        <w:ind w:left="420" w:hanging="420" w:hangingChars="175"/>
        <w:jc w:val="left"/>
        <w:rPr>
          <w:b w:val="0"/>
          <w:color w:val="auto"/>
        </w:rPr>
      </w:pPr>
      <w:r>
        <w:rPr>
          <w:b w:val="0"/>
          <w:color w:val="auto"/>
        </w:rPr>
        <w:t xml:space="preserve">   </w:t>
      </w:r>
      <w:r>
        <w:rPr>
          <w:rFonts w:hint="eastAsia"/>
          <w:b w:val="0"/>
          <w:color w:val="auto"/>
        </w:rPr>
        <w:t xml:space="preserve"> </w:t>
      </w:r>
      <w:r>
        <w:rPr>
          <w:b w:val="0"/>
          <w:color w:val="auto"/>
        </w:rPr>
        <w:t>本次地下水环境质量现状监测数据统计分析结果见表4</w:t>
      </w:r>
      <w:r>
        <w:rPr>
          <w:rFonts w:hint="eastAsia"/>
          <w:b w:val="0"/>
          <w:color w:val="auto"/>
        </w:rPr>
        <w:t>.2-13</w:t>
      </w:r>
      <w:r>
        <w:rPr>
          <w:b w:val="0"/>
          <w:color w:val="auto"/>
        </w:rPr>
        <w:t>。</w:t>
      </w:r>
    </w:p>
    <w:p>
      <w:pPr>
        <w:autoSpaceDE w:val="0"/>
        <w:autoSpaceDN w:val="0"/>
        <w:ind w:firstLine="480"/>
        <w:rPr>
          <w:color w:val="auto"/>
        </w:rPr>
        <w:sectPr>
          <w:headerReference r:id="rId15" w:type="default"/>
          <w:pgSz w:w="11906" w:h="16838"/>
          <w:pgMar w:top="1701" w:right="1474" w:bottom="1701" w:left="1474" w:header="1134" w:footer="1247" w:gutter="0"/>
          <w:pgNumType w:chapStyle="1" w:chapSep="enDash"/>
          <w:cols w:space="720" w:num="1"/>
          <w:docGrid w:type="linesAndChars" w:linePitch="516" w:charSpace="-20"/>
        </w:sectPr>
      </w:pPr>
    </w:p>
    <w:p>
      <w:pPr>
        <w:spacing w:after="154" w:afterLines="30" w:line="500" w:lineRule="exact"/>
        <w:ind w:left="852" w:leftChars="355" w:firstLine="1320" w:firstLineChars="550"/>
        <w:jc w:val="center"/>
        <w:rPr>
          <w:b/>
          <w:color w:val="auto"/>
        </w:rPr>
      </w:pPr>
      <w:r>
        <w:rPr>
          <w:b/>
          <w:color w:val="auto"/>
        </w:rPr>
        <w:t>表4</w:t>
      </w:r>
      <w:r>
        <w:rPr>
          <w:rFonts w:hint="eastAsia"/>
          <w:b/>
          <w:color w:val="auto"/>
        </w:rPr>
        <w:t>.2-13</w:t>
      </w:r>
      <w:r>
        <w:rPr>
          <w:b/>
          <w:color w:val="auto"/>
        </w:rPr>
        <w:t xml:space="preserve">      地下水环境质量现状监测结果统计一览表</w:t>
      </w:r>
    </w:p>
    <w:tbl>
      <w:tblPr>
        <w:tblStyle w:val="27"/>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59"/>
        <w:gridCol w:w="1030"/>
        <w:gridCol w:w="689"/>
        <w:gridCol w:w="1030"/>
        <w:gridCol w:w="689"/>
        <w:gridCol w:w="1030"/>
        <w:gridCol w:w="715"/>
        <w:gridCol w:w="1030"/>
        <w:gridCol w:w="689"/>
        <w:gridCol w:w="1030"/>
        <w:gridCol w:w="689"/>
        <w:gridCol w:w="1031"/>
        <w:gridCol w:w="801"/>
        <w:gridCol w:w="163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2" w:type="pct"/>
            <w:tcBorders>
              <w:tl2br w:val="nil"/>
              <w:tr2bl w:val="nil"/>
            </w:tcBorders>
            <w:vAlign w:val="center"/>
          </w:tcPr>
          <w:p>
            <w:pPr>
              <w:spacing w:line="240" w:lineRule="auto"/>
              <w:ind w:firstLine="0" w:firstLineChars="0"/>
              <w:jc w:val="center"/>
              <w:rPr>
                <w:bCs/>
                <w:color w:val="auto"/>
                <w:sz w:val="21"/>
                <w:szCs w:val="21"/>
              </w:rPr>
            </w:pPr>
            <w:r>
              <w:rPr>
                <w:bCs/>
                <w:color w:val="auto"/>
                <w:sz w:val="21"/>
                <w:szCs w:val="21"/>
              </w:rPr>
              <w:t>检测时间</w:t>
            </w:r>
          </w:p>
        </w:tc>
        <w:tc>
          <w:tcPr>
            <w:tcW w:w="1898" w:type="pct"/>
            <w:gridSpan w:val="6"/>
            <w:tcBorders>
              <w:tl2br w:val="nil"/>
              <w:tr2bl w:val="nil"/>
            </w:tcBorders>
            <w:vAlign w:val="center"/>
          </w:tcPr>
          <w:p>
            <w:pPr>
              <w:spacing w:line="240" w:lineRule="auto"/>
              <w:ind w:firstLine="0" w:firstLineChars="0"/>
              <w:jc w:val="center"/>
              <w:rPr>
                <w:bCs/>
                <w:color w:val="auto"/>
                <w:sz w:val="21"/>
                <w:szCs w:val="21"/>
              </w:rPr>
            </w:pPr>
            <w:r>
              <w:rPr>
                <w:bCs/>
                <w:color w:val="auto"/>
                <w:sz w:val="21"/>
                <w:szCs w:val="21"/>
              </w:rPr>
              <w:t>20</w:t>
            </w:r>
            <w:r>
              <w:rPr>
                <w:rFonts w:hint="eastAsia"/>
                <w:bCs/>
                <w:color w:val="auto"/>
                <w:sz w:val="21"/>
                <w:szCs w:val="21"/>
              </w:rPr>
              <w:t>20</w:t>
            </w:r>
            <w:r>
              <w:rPr>
                <w:bCs/>
                <w:color w:val="auto"/>
                <w:sz w:val="21"/>
                <w:szCs w:val="21"/>
              </w:rPr>
              <w:t>.</w:t>
            </w:r>
            <w:r>
              <w:rPr>
                <w:rFonts w:hint="eastAsia"/>
                <w:bCs/>
                <w:color w:val="auto"/>
                <w:sz w:val="21"/>
                <w:szCs w:val="21"/>
              </w:rPr>
              <w:t>9.15</w:t>
            </w:r>
          </w:p>
        </w:tc>
        <w:tc>
          <w:tcPr>
            <w:tcW w:w="1929" w:type="pct"/>
            <w:gridSpan w:val="6"/>
            <w:tcBorders>
              <w:tl2br w:val="nil"/>
              <w:tr2bl w:val="nil"/>
            </w:tcBorders>
            <w:vAlign w:val="center"/>
          </w:tcPr>
          <w:p>
            <w:pPr>
              <w:spacing w:line="240" w:lineRule="auto"/>
              <w:ind w:firstLine="0" w:firstLineChars="0"/>
              <w:jc w:val="center"/>
              <w:rPr>
                <w:bCs/>
                <w:color w:val="auto"/>
                <w:sz w:val="21"/>
                <w:szCs w:val="21"/>
              </w:rPr>
            </w:pPr>
            <w:r>
              <w:rPr>
                <w:bCs/>
                <w:color w:val="auto"/>
                <w:sz w:val="21"/>
                <w:szCs w:val="21"/>
              </w:rPr>
              <w:t>20</w:t>
            </w:r>
            <w:r>
              <w:rPr>
                <w:rFonts w:hint="eastAsia"/>
                <w:bCs/>
                <w:color w:val="auto"/>
                <w:sz w:val="21"/>
                <w:szCs w:val="21"/>
              </w:rPr>
              <w:t>20</w:t>
            </w:r>
            <w:r>
              <w:rPr>
                <w:bCs/>
                <w:color w:val="auto"/>
                <w:sz w:val="21"/>
                <w:szCs w:val="21"/>
              </w:rPr>
              <w:t>.</w:t>
            </w:r>
            <w:r>
              <w:rPr>
                <w:rFonts w:hint="eastAsia"/>
                <w:bCs/>
                <w:color w:val="auto"/>
                <w:sz w:val="21"/>
                <w:szCs w:val="21"/>
              </w:rPr>
              <w:t>9.16</w:t>
            </w:r>
          </w:p>
        </w:tc>
        <w:tc>
          <w:tcPr>
            <w:tcW w:w="599" w:type="pct"/>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572" w:type="pct"/>
            <w:tcBorders>
              <w:tl2br w:val="nil"/>
              <w:tr2bl w:val="nil"/>
            </w:tcBorders>
            <w:vAlign w:val="center"/>
          </w:tcPr>
          <w:p>
            <w:pPr>
              <w:spacing w:line="240" w:lineRule="auto"/>
              <w:ind w:firstLine="0" w:firstLineChars="0"/>
              <w:jc w:val="center"/>
              <w:rPr>
                <w:bCs/>
                <w:color w:val="auto"/>
                <w:sz w:val="21"/>
                <w:szCs w:val="21"/>
              </w:rPr>
            </w:pPr>
            <w:r>
              <w:rPr>
                <w:bCs/>
                <w:color w:val="auto"/>
                <w:sz w:val="21"/>
                <w:szCs w:val="21"/>
              </w:rPr>
              <w:t>检测点位</w:t>
            </w:r>
          </w:p>
        </w:tc>
        <w:tc>
          <w:tcPr>
            <w:tcW w:w="377" w:type="pct"/>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于屯村</w:t>
            </w:r>
          </w:p>
        </w:tc>
        <w:tc>
          <w:tcPr>
            <w:tcW w:w="252" w:type="pct"/>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标准指数</w:t>
            </w:r>
          </w:p>
        </w:tc>
        <w:tc>
          <w:tcPr>
            <w:tcW w:w="377" w:type="pct"/>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柳寨村</w:t>
            </w:r>
          </w:p>
        </w:tc>
        <w:tc>
          <w:tcPr>
            <w:tcW w:w="252" w:type="pct"/>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标准指数</w:t>
            </w:r>
          </w:p>
        </w:tc>
        <w:tc>
          <w:tcPr>
            <w:tcW w:w="377" w:type="pct"/>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冯寨村</w:t>
            </w:r>
          </w:p>
        </w:tc>
        <w:tc>
          <w:tcPr>
            <w:tcW w:w="261" w:type="pct"/>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标准指数</w:t>
            </w:r>
          </w:p>
        </w:tc>
        <w:tc>
          <w:tcPr>
            <w:tcW w:w="377" w:type="pct"/>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于屯村</w:t>
            </w:r>
          </w:p>
        </w:tc>
        <w:tc>
          <w:tcPr>
            <w:tcW w:w="252" w:type="pct"/>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标准指数</w:t>
            </w:r>
          </w:p>
        </w:tc>
        <w:tc>
          <w:tcPr>
            <w:tcW w:w="377" w:type="pct"/>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柳寨村</w:t>
            </w:r>
          </w:p>
        </w:tc>
        <w:tc>
          <w:tcPr>
            <w:tcW w:w="252" w:type="pct"/>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标准指数</w:t>
            </w:r>
          </w:p>
        </w:tc>
        <w:tc>
          <w:tcPr>
            <w:tcW w:w="377" w:type="pct"/>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冯寨村</w:t>
            </w:r>
          </w:p>
        </w:tc>
        <w:tc>
          <w:tcPr>
            <w:tcW w:w="292" w:type="pct"/>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标准指数</w:t>
            </w:r>
          </w:p>
        </w:tc>
        <w:tc>
          <w:tcPr>
            <w:tcW w:w="599" w:type="pct"/>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标准值</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2"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SO</w:t>
            </w:r>
            <w:r>
              <w:rPr>
                <w:color w:val="auto"/>
                <w:sz w:val="21"/>
                <w:szCs w:val="21"/>
                <w:vertAlign w:val="subscript"/>
              </w:rPr>
              <w:t>4</w:t>
            </w:r>
            <w:r>
              <w:rPr>
                <w:color w:val="auto"/>
                <w:sz w:val="21"/>
                <w:szCs w:val="21"/>
                <w:vertAlign w:val="superscript"/>
              </w:rPr>
              <w:t>2-</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172</w:t>
            </w:r>
          </w:p>
        </w:tc>
        <w:tc>
          <w:tcPr>
            <w:tcW w:w="25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未检出</w:t>
            </w:r>
          </w:p>
        </w:tc>
        <w:tc>
          <w:tcPr>
            <w:tcW w:w="25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未检出</w:t>
            </w:r>
          </w:p>
        </w:tc>
        <w:tc>
          <w:tcPr>
            <w:tcW w:w="261"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173</w:t>
            </w:r>
          </w:p>
        </w:tc>
        <w:tc>
          <w:tcPr>
            <w:tcW w:w="25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未检出</w:t>
            </w:r>
          </w:p>
        </w:tc>
        <w:tc>
          <w:tcPr>
            <w:tcW w:w="25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未检出</w:t>
            </w:r>
          </w:p>
        </w:tc>
        <w:tc>
          <w:tcPr>
            <w:tcW w:w="29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599"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2" w:type="pct"/>
            <w:tcBorders>
              <w:tl2br w:val="nil"/>
              <w:tr2bl w:val="nil"/>
            </w:tcBorders>
            <w:vAlign w:val="center"/>
          </w:tcPr>
          <w:p>
            <w:pPr>
              <w:spacing w:line="240" w:lineRule="auto"/>
              <w:ind w:firstLine="0" w:firstLineChars="0"/>
              <w:jc w:val="center"/>
              <w:rPr>
                <w:color w:val="auto"/>
                <w:kern w:val="0"/>
                <w:sz w:val="21"/>
                <w:szCs w:val="21"/>
              </w:rPr>
            </w:pPr>
            <w:r>
              <w:rPr>
                <w:color w:val="auto"/>
                <w:sz w:val="21"/>
                <w:szCs w:val="21"/>
              </w:rPr>
              <w:t>CO</w:t>
            </w:r>
            <w:r>
              <w:rPr>
                <w:color w:val="auto"/>
                <w:sz w:val="21"/>
                <w:szCs w:val="21"/>
                <w:vertAlign w:val="subscript"/>
              </w:rPr>
              <w:t>3</w:t>
            </w:r>
            <w:r>
              <w:rPr>
                <w:color w:val="auto"/>
                <w:sz w:val="21"/>
                <w:szCs w:val="21"/>
                <w:vertAlign w:val="superscript"/>
              </w:rPr>
              <w:t>2-</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w:t>
            </w:r>
          </w:p>
        </w:tc>
        <w:tc>
          <w:tcPr>
            <w:tcW w:w="25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w:t>
            </w:r>
          </w:p>
        </w:tc>
        <w:tc>
          <w:tcPr>
            <w:tcW w:w="25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w:t>
            </w:r>
          </w:p>
        </w:tc>
        <w:tc>
          <w:tcPr>
            <w:tcW w:w="261"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w:t>
            </w:r>
          </w:p>
        </w:tc>
        <w:tc>
          <w:tcPr>
            <w:tcW w:w="25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w:t>
            </w:r>
          </w:p>
        </w:tc>
        <w:tc>
          <w:tcPr>
            <w:tcW w:w="25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w:t>
            </w:r>
          </w:p>
        </w:tc>
        <w:tc>
          <w:tcPr>
            <w:tcW w:w="29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599"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2" w:type="pct"/>
            <w:tcBorders>
              <w:tl2br w:val="nil"/>
              <w:tr2bl w:val="nil"/>
            </w:tcBorders>
            <w:vAlign w:val="center"/>
          </w:tcPr>
          <w:p>
            <w:pPr>
              <w:spacing w:line="240" w:lineRule="auto"/>
              <w:ind w:firstLine="0" w:firstLineChars="0"/>
              <w:jc w:val="center"/>
              <w:rPr>
                <w:color w:val="auto"/>
                <w:kern w:val="0"/>
                <w:sz w:val="21"/>
                <w:szCs w:val="21"/>
              </w:rPr>
            </w:pPr>
            <w:r>
              <w:rPr>
                <w:color w:val="auto"/>
                <w:sz w:val="21"/>
                <w:szCs w:val="21"/>
              </w:rPr>
              <w:t>HCO</w:t>
            </w:r>
            <w:r>
              <w:rPr>
                <w:color w:val="auto"/>
                <w:sz w:val="21"/>
                <w:szCs w:val="21"/>
                <w:vertAlign w:val="subscript"/>
              </w:rPr>
              <w:t>3</w:t>
            </w:r>
            <w:r>
              <w:rPr>
                <w:color w:val="auto"/>
                <w:sz w:val="21"/>
                <w:szCs w:val="21"/>
                <w:vertAlign w:val="superscript"/>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8.09</w:t>
            </w:r>
          </w:p>
        </w:tc>
        <w:tc>
          <w:tcPr>
            <w:tcW w:w="25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7.8</w:t>
            </w:r>
          </w:p>
        </w:tc>
        <w:tc>
          <w:tcPr>
            <w:tcW w:w="25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8.42</w:t>
            </w:r>
          </w:p>
        </w:tc>
        <w:tc>
          <w:tcPr>
            <w:tcW w:w="261"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8.13</w:t>
            </w:r>
          </w:p>
        </w:tc>
        <w:tc>
          <w:tcPr>
            <w:tcW w:w="25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7.82</w:t>
            </w:r>
          </w:p>
        </w:tc>
        <w:tc>
          <w:tcPr>
            <w:tcW w:w="25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8.57</w:t>
            </w:r>
          </w:p>
        </w:tc>
        <w:tc>
          <w:tcPr>
            <w:tcW w:w="29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599"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2" w:type="pct"/>
            <w:tcBorders>
              <w:tl2br w:val="nil"/>
              <w:tr2bl w:val="nil"/>
            </w:tcBorders>
            <w:vAlign w:val="center"/>
          </w:tcPr>
          <w:p>
            <w:pPr>
              <w:spacing w:line="240" w:lineRule="auto"/>
              <w:ind w:firstLine="0" w:firstLineChars="0"/>
              <w:jc w:val="center"/>
              <w:rPr>
                <w:color w:val="auto"/>
                <w:kern w:val="0"/>
                <w:sz w:val="21"/>
                <w:szCs w:val="21"/>
              </w:rPr>
            </w:pPr>
            <w:r>
              <w:rPr>
                <w:color w:val="auto"/>
                <w:sz w:val="21"/>
                <w:szCs w:val="21"/>
              </w:rPr>
              <w:t>K</w:t>
            </w:r>
            <w:r>
              <w:rPr>
                <w:color w:val="auto"/>
                <w:sz w:val="21"/>
                <w:szCs w:val="21"/>
                <w:vertAlign w:val="superscript"/>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2.95</w:t>
            </w:r>
          </w:p>
        </w:tc>
        <w:tc>
          <w:tcPr>
            <w:tcW w:w="25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2.42</w:t>
            </w:r>
          </w:p>
        </w:tc>
        <w:tc>
          <w:tcPr>
            <w:tcW w:w="25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1.62</w:t>
            </w:r>
          </w:p>
        </w:tc>
        <w:tc>
          <w:tcPr>
            <w:tcW w:w="261"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2.93</w:t>
            </w:r>
          </w:p>
        </w:tc>
        <w:tc>
          <w:tcPr>
            <w:tcW w:w="25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2.46</w:t>
            </w:r>
          </w:p>
        </w:tc>
        <w:tc>
          <w:tcPr>
            <w:tcW w:w="25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1.58</w:t>
            </w:r>
          </w:p>
        </w:tc>
        <w:tc>
          <w:tcPr>
            <w:tcW w:w="29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599"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2" w:type="pct"/>
            <w:tcBorders>
              <w:tl2br w:val="nil"/>
              <w:tr2bl w:val="nil"/>
            </w:tcBorders>
            <w:vAlign w:val="center"/>
          </w:tcPr>
          <w:p>
            <w:pPr>
              <w:spacing w:line="240" w:lineRule="auto"/>
              <w:ind w:firstLine="0" w:firstLineChars="0"/>
              <w:jc w:val="center"/>
              <w:rPr>
                <w:color w:val="auto"/>
                <w:kern w:val="0"/>
                <w:sz w:val="21"/>
                <w:szCs w:val="21"/>
              </w:rPr>
            </w:pPr>
            <w:r>
              <w:rPr>
                <w:color w:val="auto"/>
                <w:sz w:val="21"/>
                <w:szCs w:val="21"/>
              </w:rPr>
              <w:t>Na</w:t>
            </w:r>
            <w:r>
              <w:rPr>
                <w:color w:val="auto"/>
                <w:sz w:val="21"/>
                <w:szCs w:val="21"/>
                <w:vertAlign w:val="superscript"/>
              </w:rPr>
              <w:t>+</w:t>
            </w:r>
          </w:p>
        </w:tc>
        <w:tc>
          <w:tcPr>
            <w:tcW w:w="377"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5.29</w:t>
            </w:r>
          </w:p>
        </w:tc>
        <w:tc>
          <w:tcPr>
            <w:tcW w:w="252"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w:t>
            </w:r>
          </w:p>
        </w:tc>
        <w:tc>
          <w:tcPr>
            <w:tcW w:w="377"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5.37</w:t>
            </w:r>
          </w:p>
        </w:tc>
        <w:tc>
          <w:tcPr>
            <w:tcW w:w="252"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w:t>
            </w:r>
          </w:p>
        </w:tc>
        <w:tc>
          <w:tcPr>
            <w:tcW w:w="377"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5.14</w:t>
            </w:r>
          </w:p>
        </w:tc>
        <w:tc>
          <w:tcPr>
            <w:tcW w:w="261"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w:t>
            </w:r>
          </w:p>
        </w:tc>
        <w:tc>
          <w:tcPr>
            <w:tcW w:w="377"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5.25</w:t>
            </w:r>
          </w:p>
        </w:tc>
        <w:tc>
          <w:tcPr>
            <w:tcW w:w="25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5.11</w:t>
            </w:r>
          </w:p>
        </w:tc>
        <w:tc>
          <w:tcPr>
            <w:tcW w:w="25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4.24</w:t>
            </w:r>
          </w:p>
        </w:tc>
        <w:tc>
          <w:tcPr>
            <w:tcW w:w="292"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w:t>
            </w:r>
          </w:p>
        </w:tc>
        <w:tc>
          <w:tcPr>
            <w:tcW w:w="599"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2" w:type="pct"/>
            <w:tcBorders>
              <w:tl2br w:val="nil"/>
              <w:tr2bl w:val="nil"/>
            </w:tcBorders>
            <w:vAlign w:val="center"/>
          </w:tcPr>
          <w:p>
            <w:pPr>
              <w:spacing w:line="240" w:lineRule="auto"/>
              <w:ind w:firstLine="0" w:firstLineChars="0"/>
              <w:jc w:val="center"/>
              <w:rPr>
                <w:color w:val="auto"/>
                <w:kern w:val="0"/>
                <w:sz w:val="21"/>
                <w:szCs w:val="21"/>
              </w:rPr>
            </w:pPr>
            <w:r>
              <w:rPr>
                <w:color w:val="auto"/>
                <w:sz w:val="21"/>
                <w:szCs w:val="21"/>
              </w:rPr>
              <w:t>Ca</w:t>
            </w:r>
            <w:r>
              <w:rPr>
                <w:color w:val="auto"/>
                <w:sz w:val="21"/>
                <w:szCs w:val="21"/>
                <w:vertAlign w:val="superscript"/>
              </w:rPr>
              <w:t>2+</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19.4</w:t>
            </w:r>
          </w:p>
        </w:tc>
        <w:tc>
          <w:tcPr>
            <w:tcW w:w="25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12.2</w:t>
            </w:r>
          </w:p>
        </w:tc>
        <w:tc>
          <w:tcPr>
            <w:tcW w:w="25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13.3</w:t>
            </w:r>
          </w:p>
        </w:tc>
        <w:tc>
          <w:tcPr>
            <w:tcW w:w="261"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19.4</w:t>
            </w:r>
          </w:p>
        </w:tc>
        <w:tc>
          <w:tcPr>
            <w:tcW w:w="25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12.6</w:t>
            </w:r>
          </w:p>
        </w:tc>
        <w:tc>
          <w:tcPr>
            <w:tcW w:w="25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13.5</w:t>
            </w:r>
          </w:p>
        </w:tc>
        <w:tc>
          <w:tcPr>
            <w:tcW w:w="29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599"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2" w:type="pct"/>
            <w:tcBorders>
              <w:tl2br w:val="nil"/>
              <w:tr2bl w:val="nil"/>
            </w:tcBorders>
            <w:vAlign w:val="center"/>
          </w:tcPr>
          <w:p>
            <w:pPr>
              <w:spacing w:line="240" w:lineRule="auto"/>
              <w:ind w:firstLine="0" w:firstLineChars="0"/>
              <w:jc w:val="center"/>
              <w:rPr>
                <w:color w:val="auto"/>
                <w:kern w:val="0"/>
                <w:sz w:val="21"/>
                <w:szCs w:val="21"/>
              </w:rPr>
            </w:pPr>
            <w:r>
              <w:rPr>
                <w:color w:val="auto"/>
                <w:sz w:val="21"/>
                <w:szCs w:val="21"/>
              </w:rPr>
              <w:t>Mg</w:t>
            </w:r>
            <w:r>
              <w:rPr>
                <w:color w:val="auto"/>
                <w:sz w:val="21"/>
                <w:szCs w:val="21"/>
                <w:vertAlign w:val="superscript"/>
              </w:rPr>
              <w:t>2+</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2.2</w:t>
            </w:r>
          </w:p>
        </w:tc>
        <w:tc>
          <w:tcPr>
            <w:tcW w:w="25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1.9</w:t>
            </w:r>
          </w:p>
        </w:tc>
        <w:tc>
          <w:tcPr>
            <w:tcW w:w="25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1.69</w:t>
            </w:r>
          </w:p>
        </w:tc>
        <w:tc>
          <w:tcPr>
            <w:tcW w:w="261"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2.16</w:t>
            </w:r>
          </w:p>
        </w:tc>
        <w:tc>
          <w:tcPr>
            <w:tcW w:w="25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1.63</w:t>
            </w:r>
          </w:p>
        </w:tc>
        <w:tc>
          <w:tcPr>
            <w:tcW w:w="25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1.71</w:t>
            </w:r>
          </w:p>
        </w:tc>
        <w:tc>
          <w:tcPr>
            <w:tcW w:w="29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599"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2" w:type="pct"/>
            <w:tcBorders>
              <w:tl2br w:val="nil"/>
              <w:tr2bl w:val="nil"/>
            </w:tcBorders>
            <w:vAlign w:val="center"/>
          </w:tcPr>
          <w:p>
            <w:pPr>
              <w:spacing w:line="240" w:lineRule="auto"/>
              <w:ind w:firstLine="0" w:firstLineChars="0"/>
              <w:jc w:val="center"/>
              <w:rPr>
                <w:color w:val="auto"/>
                <w:kern w:val="0"/>
                <w:sz w:val="21"/>
                <w:szCs w:val="21"/>
              </w:rPr>
            </w:pPr>
            <w:r>
              <w:rPr>
                <w:color w:val="auto"/>
                <w:sz w:val="21"/>
                <w:szCs w:val="21"/>
              </w:rPr>
              <w:t>Cl</w:t>
            </w:r>
            <w:r>
              <w:rPr>
                <w:color w:val="auto"/>
                <w:sz w:val="21"/>
                <w:szCs w:val="21"/>
                <w:vertAlign w:val="superscript"/>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168</w:t>
            </w:r>
          </w:p>
        </w:tc>
        <w:tc>
          <w:tcPr>
            <w:tcW w:w="25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240</w:t>
            </w:r>
          </w:p>
        </w:tc>
        <w:tc>
          <w:tcPr>
            <w:tcW w:w="25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256</w:t>
            </w:r>
          </w:p>
        </w:tc>
        <w:tc>
          <w:tcPr>
            <w:tcW w:w="261"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169</w:t>
            </w:r>
          </w:p>
        </w:tc>
        <w:tc>
          <w:tcPr>
            <w:tcW w:w="25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243</w:t>
            </w:r>
          </w:p>
        </w:tc>
        <w:tc>
          <w:tcPr>
            <w:tcW w:w="25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259</w:t>
            </w:r>
          </w:p>
        </w:tc>
        <w:tc>
          <w:tcPr>
            <w:tcW w:w="29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599"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菌落总数（CFU/mL）</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95</w:t>
            </w:r>
          </w:p>
        </w:tc>
        <w:tc>
          <w:tcPr>
            <w:tcW w:w="25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0.95</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97</w:t>
            </w:r>
          </w:p>
        </w:tc>
        <w:tc>
          <w:tcPr>
            <w:tcW w:w="25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0.97</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90</w:t>
            </w:r>
          </w:p>
        </w:tc>
        <w:tc>
          <w:tcPr>
            <w:tcW w:w="261"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0.9</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93</w:t>
            </w:r>
          </w:p>
        </w:tc>
        <w:tc>
          <w:tcPr>
            <w:tcW w:w="25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0.93</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94</w:t>
            </w:r>
          </w:p>
        </w:tc>
        <w:tc>
          <w:tcPr>
            <w:tcW w:w="25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0.94</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92</w:t>
            </w:r>
          </w:p>
        </w:tc>
        <w:tc>
          <w:tcPr>
            <w:tcW w:w="29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0.92</w:t>
            </w:r>
          </w:p>
        </w:tc>
        <w:tc>
          <w:tcPr>
            <w:tcW w:w="599"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2"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亚硝酸盐</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未检出</w:t>
            </w:r>
          </w:p>
        </w:tc>
        <w:tc>
          <w:tcPr>
            <w:tcW w:w="252" w:type="pct"/>
            <w:tcBorders>
              <w:tl2br w:val="nil"/>
              <w:tr2bl w:val="nil"/>
            </w:tcBorders>
            <w:vAlign w:val="center"/>
          </w:tcPr>
          <w:p>
            <w:pPr>
              <w:spacing w:line="240" w:lineRule="auto"/>
              <w:ind w:firstLine="0" w:firstLineChars="0"/>
              <w:jc w:val="center"/>
              <w:rPr>
                <w:bCs/>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未检出</w:t>
            </w:r>
          </w:p>
        </w:tc>
        <w:tc>
          <w:tcPr>
            <w:tcW w:w="252" w:type="pct"/>
            <w:tcBorders>
              <w:tl2br w:val="nil"/>
              <w:tr2bl w:val="nil"/>
            </w:tcBorders>
            <w:vAlign w:val="center"/>
          </w:tcPr>
          <w:p>
            <w:pPr>
              <w:spacing w:line="240" w:lineRule="auto"/>
              <w:ind w:firstLine="0" w:firstLineChars="0"/>
              <w:jc w:val="center"/>
              <w:rPr>
                <w:bCs/>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未检出</w:t>
            </w:r>
          </w:p>
        </w:tc>
        <w:tc>
          <w:tcPr>
            <w:tcW w:w="261" w:type="pct"/>
            <w:tcBorders>
              <w:tl2br w:val="nil"/>
              <w:tr2bl w:val="nil"/>
            </w:tcBorders>
            <w:vAlign w:val="center"/>
          </w:tcPr>
          <w:p>
            <w:pPr>
              <w:spacing w:line="240" w:lineRule="auto"/>
              <w:ind w:firstLine="0" w:firstLineChars="0"/>
              <w:jc w:val="center"/>
              <w:rPr>
                <w:bCs/>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未检出</w:t>
            </w:r>
          </w:p>
        </w:tc>
        <w:tc>
          <w:tcPr>
            <w:tcW w:w="252" w:type="pct"/>
            <w:tcBorders>
              <w:tl2br w:val="nil"/>
              <w:tr2bl w:val="nil"/>
            </w:tcBorders>
            <w:vAlign w:val="center"/>
          </w:tcPr>
          <w:p>
            <w:pPr>
              <w:spacing w:line="240" w:lineRule="auto"/>
              <w:ind w:firstLine="0" w:firstLineChars="0"/>
              <w:jc w:val="center"/>
              <w:rPr>
                <w:bCs/>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未检出</w:t>
            </w:r>
          </w:p>
        </w:tc>
        <w:tc>
          <w:tcPr>
            <w:tcW w:w="252" w:type="pct"/>
            <w:tcBorders>
              <w:tl2br w:val="nil"/>
              <w:tr2bl w:val="nil"/>
            </w:tcBorders>
            <w:vAlign w:val="center"/>
          </w:tcPr>
          <w:p>
            <w:pPr>
              <w:spacing w:line="240" w:lineRule="auto"/>
              <w:ind w:firstLine="0" w:firstLineChars="0"/>
              <w:jc w:val="center"/>
              <w:rPr>
                <w:bCs/>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未检出</w:t>
            </w:r>
          </w:p>
        </w:tc>
        <w:tc>
          <w:tcPr>
            <w:tcW w:w="292" w:type="pct"/>
            <w:tcBorders>
              <w:tl2br w:val="nil"/>
              <w:tr2bl w:val="nil"/>
            </w:tcBorders>
            <w:vAlign w:val="center"/>
          </w:tcPr>
          <w:p>
            <w:pPr>
              <w:widowControl/>
              <w:spacing w:line="240" w:lineRule="auto"/>
              <w:ind w:firstLine="0" w:firstLineChars="0"/>
              <w:jc w:val="center"/>
              <w:textAlignment w:val="center"/>
              <w:rPr>
                <w:bCs/>
                <w:color w:val="auto"/>
                <w:sz w:val="21"/>
                <w:szCs w:val="21"/>
              </w:rPr>
            </w:pPr>
            <w:r>
              <w:rPr>
                <w:rFonts w:hint="eastAsia"/>
                <w:color w:val="auto"/>
                <w:sz w:val="21"/>
                <w:szCs w:val="21"/>
              </w:rPr>
              <w:t>/</w:t>
            </w:r>
          </w:p>
        </w:tc>
        <w:tc>
          <w:tcPr>
            <w:tcW w:w="599" w:type="pct"/>
            <w:tcBorders>
              <w:tl2br w:val="nil"/>
              <w:tr2bl w:val="nil"/>
            </w:tcBorders>
            <w:vAlign w:val="center"/>
          </w:tcPr>
          <w:p>
            <w:pPr>
              <w:widowControl/>
              <w:spacing w:line="240" w:lineRule="auto"/>
              <w:ind w:firstLine="0" w:firstLineChars="0"/>
              <w:jc w:val="center"/>
              <w:textAlignment w:val="center"/>
              <w:rPr>
                <w:bCs/>
                <w:color w:val="auto"/>
                <w:sz w:val="21"/>
                <w:szCs w:val="21"/>
              </w:rPr>
            </w:pPr>
            <w:r>
              <w:rPr>
                <w:rFonts w:hint="eastAsia"/>
                <w:color w:val="auto"/>
                <w:sz w:val="21"/>
                <w:szCs w:val="21"/>
              </w:rPr>
              <w:t>≤</w:t>
            </w:r>
            <w:r>
              <w:rPr>
                <w:rFonts w:hint="eastAsia"/>
                <w:bCs/>
                <w:color w:val="auto"/>
                <w:sz w:val="21"/>
                <w:szCs w:val="21"/>
              </w:rPr>
              <w:t>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2"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氨氮</w:t>
            </w:r>
          </w:p>
        </w:tc>
        <w:tc>
          <w:tcPr>
            <w:tcW w:w="377"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0.081</w:t>
            </w:r>
          </w:p>
        </w:tc>
        <w:tc>
          <w:tcPr>
            <w:tcW w:w="252"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0.162</w:t>
            </w:r>
          </w:p>
        </w:tc>
        <w:tc>
          <w:tcPr>
            <w:tcW w:w="377"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0.076</w:t>
            </w:r>
          </w:p>
        </w:tc>
        <w:tc>
          <w:tcPr>
            <w:tcW w:w="252"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0.152</w:t>
            </w:r>
          </w:p>
        </w:tc>
        <w:tc>
          <w:tcPr>
            <w:tcW w:w="377"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0.205</w:t>
            </w:r>
          </w:p>
        </w:tc>
        <w:tc>
          <w:tcPr>
            <w:tcW w:w="261"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0.41</w:t>
            </w:r>
          </w:p>
        </w:tc>
        <w:tc>
          <w:tcPr>
            <w:tcW w:w="377"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0.136</w:t>
            </w:r>
          </w:p>
        </w:tc>
        <w:tc>
          <w:tcPr>
            <w:tcW w:w="252"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0.272</w:t>
            </w:r>
          </w:p>
        </w:tc>
        <w:tc>
          <w:tcPr>
            <w:tcW w:w="377"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0.133</w:t>
            </w:r>
          </w:p>
        </w:tc>
        <w:tc>
          <w:tcPr>
            <w:tcW w:w="252"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0.266</w:t>
            </w:r>
          </w:p>
        </w:tc>
        <w:tc>
          <w:tcPr>
            <w:tcW w:w="377"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0.242</w:t>
            </w:r>
          </w:p>
        </w:tc>
        <w:tc>
          <w:tcPr>
            <w:tcW w:w="292"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0.484</w:t>
            </w:r>
          </w:p>
        </w:tc>
        <w:tc>
          <w:tcPr>
            <w:tcW w:w="599"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≤0.5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2" w:type="pct"/>
            <w:tcBorders>
              <w:tl2br w:val="nil"/>
              <w:tr2bl w:val="nil"/>
            </w:tcBorders>
            <w:vAlign w:val="center"/>
          </w:tcPr>
          <w:p>
            <w:pPr>
              <w:spacing w:line="240" w:lineRule="auto"/>
              <w:ind w:firstLine="0" w:firstLineChars="0"/>
              <w:jc w:val="center"/>
              <w:rPr>
                <w:color w:val="auto"/>
                <w:sz w:val="21"/>
                <w:szCs w:val="21"/>
              </w:rPr>
            </w:pPr>
            <w:r>
              <w:rPr>
                <w:color w:val="auto"/>
                <w:kern w:val="0"/>
                <w:sz w:val="21"/>
                <w:szCs w:val="21"/>
              </w:rPr>
              <w:t>总硬度</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412</w:t>
            </w:r>
          </w:p>
        </w:tc>
        <w:tc>
          <w:tcPr>
            <w:tcW w:w="25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0.916</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385</w:t>
            </w:r>
          </w:p>
        </w:tc>
        <w:tc>
          <w:tcPr>
            <w:tcW w:w="25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0.86</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408</w:t>
            </w:r>
          </w:p>
        </w:tc>
        <w:tc>
          <w:tcPr>
            <w:tcW w:w="261"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0.91</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402</w:t>
            </w:r>
          </w:p>
        </w:tc>
        <w:tc>
          <w:tcPr>
            <w:tcW w:w="25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0.893</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364</w:t>
            </w:r>
          </w:p>
        </w:tc>
        <w:tc>
          <w:tcPr>
            <w:tcW w:w="25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0.81</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416</w:t>
            </w:r>
          </w:p>
        </w:tc>
        <w:tc>
          <w:tcPr>
            <w:tcW w:w="29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0.924</w:t>
            </w:r>
          </w:p>
        </w:tc>
        <w:tc>
          <w:tcPr>
            <w:tcW w:w="599"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≤450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2" w:type="pct"/>
            <w:tcBorders>
              <w:tl2br w:val="nil"/>
              <w:tr2bl w:val="nil"/>
            </w:tcBorders>
            <w:vAlign w:val="center"/>
          </w:tcPr>
          <w:p>
            <w:pPr>
              <w:spacing w:line="240" w:lineRule="auto"/>
              <w:ind w:firstLine="0" w:firstLineChars="0"/>
              <w:jc w:val="center"/>
              <w:rPr>
                <w:color w:val="auto"/>
                <w:sz w:val="21"/>
                <w:szCs w:val="21"/>
              </w:rPr>
            </w:pPr>
            <w:r>
              <w:rPr>
                <w:color w:val="auto"/>
                <w:kern w:val="0"/>
                <w:sz w:val="21"/>
                <w:szCs w:val="21"/>
              </w:rPr>
              <w:t>溶解性总固体</w:t>
            </w:r>
          </w:p>
        </w:tc>
        <w:tc>
          <w:tcPr>
            <w:tcW w:w="377"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914</w:t>
            </w:r>
          </w:p>
        </w:tc>
        <w:tc>
          <w:tcPr>
            <w:tcW w:w="252"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0.914</w:t>
            </w:r>
          </w:p>
        </w:tc>
        <w:tc>
          <w:tcPr>
            <w:tcW w:w="377"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991</w:t>
            </w:r>
          </w:p>
        </w:tc>
        <w:tc>
          <w:tcPr>
            <w:tcW w:w="252"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0.991</w:t>
            </w:r>
          </w:p>
        </w:tc>
        <w:tc>
          <w:tcPr>
            <w:tcW w:w="377"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935</w:t>
            </w:r>
          </w:p>
        </w:tc>
        <w:tc>
          <w:tcPr>
            <w:tcW w:w="261"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0.935</w:t>
            </w:r>
          </w:p>
        </w:tc>
        <w:tc>
          <w:tcPr>
            <w:tcW w:w="377"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923</w:t>
            </w:r>
          </w:p>
        </w:tc>
        <w:tc>
          <w:tcPr>
            <w:tcW w:w="252"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0.923</w:t>
            </w:r>
          </w:p>
        </w:tc>
        <w:tc>
          <w:tcPr>
            <w:tcW w:w="377"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958</w:t>
            </w:r>
          </w:p>
        </w:tc>
        <w:tc>
          <w:tcPr>
            <w:tcW w:w="252"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0.958</w:t>
            </w:r>
          </w:p>
        </w:tc>
        <w:tc>
          <w:tcPr>
            <w:tcW w:w="377"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944</w:t>
            </w:r>
          </w:p>
        </w:tc>
        <w:tc>
          <w:tcPr>
            <w:tcW w:w="292" w:type="pct"/>
            <w:tcBorders>
              <w:tl2br w:val="nil"/>
              <w:tr2bl w:val="nil"/>
            </w:tcBorders>
            <w:vAlign w:val="center"/>
          </w:tcPr>
          <w:p>
            <w:pPr>
              <w:widowControl/>
              <w:spacing w:line="240" w:lineRule="auto"/>
              <w:ind w:firstLine="0" w:firstLineChars="0"/>
              <w:jc w:val="center"/>
              <w:textAlignment w:val="center"/>
              <w:rPr>
                <w:color w:val="auto"/>
                <w:sz w:val="20"/>
                <w:szCs w:val="20"/>
              </w:rPr>
            </w:pPr>
            <w:r>
              <w:rPr>
                <w:rFonts w:hint="eastAsia"/>
                <w:color w:val="auto"/>
                <w:sz w:val="20"/>
                <w:szCs w:val="20"/>
              </w:rPr>
              <w:t>0.944</w:t>
            </w:r>
          </w:p>
        </w:tc>
        <w:tc>
          <w:tcPr>
            <w:tcW w:w="599" w:type="pct"/>
            <w:tcBorders>
              <w:tl2br w:val="nil"/>
              <w:tr2bl w:val="nil"/>
            </w:tcBorders>
            <w:vAlign w:val="center"/>
          </w:tcPr>
          <w:p>
            <w:pPr>
              <w:widowControl/>
              <w:spacing w:line="240" w:lineRule="auto"/>
              <w:ind w:firstLine="0" w:firstLineChars="0"/>
              <w:jc w:val="center"/>
              <w:textAlignment w:val="center"/>
              <w:rPr>
                <w:color w:val="auto"/>
                <w:sz w:val="20"/>
                <w:szCs w:val="20"/>
              </w:rPr>
            </w:pPr>
            <w:r>
              <w:rPr>
                <w:color w:val="auto"/>
                <w:sz w:val="22"/>
                <w:szCs w:val="22"/>
              </w:rPr>
              <w:t>≤1000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挥发酚</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未检出</w:t>
            </w:r>
          </w:p>
        </w:tc>
        <w:tc>
          <w:tcPr>
            <w:tcW w:w="25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未检出</w:t>
            </w:r>
          </w:p>
        </w:tc>
        <w:tc>
          <w:tcPr>
            <w:tcW w:w="252" w:type="pct"/>
            <w:tcBorders>
              <w:tl2br w:val="nil"/>
              <w:tr2bl w:val="nil"/>
            </w:tcBorders>
            <w:vAlign w:val="center"/>
          </w:tcPr>
          <w:p>
            <w:pPr>
              <w:spacing w:line="240" w:lineRule="auto"/>
              <w:ind w:firstLine="0" w:firstLineChars="0"/>
              <w:jc w:val="center"/>
              <w:rPr>
                <w:bCs/>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未检出</w:t>
            </w:r>
          </w:p>
        </w:tc>
        <w:tc>
          <w:tcPr>
            <w:tcW w:w="261" w:type="pct"/>
            <w:tcBorders>
              <w:tl2br w:val="nil"/>
              <w:tr2bl w:val="nil"/>
            </w:tcBorders>
            <w:vAlign w:val="center"/>
          </w:tcPr>
          <w:p>
            <w:pPr>
              <w:spacing w:line="240" w:lineRule="auto"/>
              <w:ind w:firstLine="0" w:firstLineChars="0"/>
              <w:jc w:val="center"/>
              <w:rPr>
                <w:bCs/>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未检出</w:t>
            </w:r>
          </w:p>
        </w:tc>
        <w:tc>
          <w:tcPr>
            <w:tcW w:w="252" w:type="pct"/>
            <w:tcBorders>
              <w:tl2br w:val="nil"/>
              <w:tr2bl w:val="nil"/>
            </w:tcBorders>
            <w:vAlign w:val="center"/>
          </w:tcPr>
          <w:p>
            <w:pPr>
              <w:spacing w:line="240" w:lineRule="auto"/>
              <w:ind w:firstLine="0" w:firstLineChars="0"/>
              <w:jc w:val="center"/>
              <w:rPr>
                <w:bCs/>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未检出</w:t>
            </w:r>
          </w:p>
        </w:tc>
        <w:tc>
          <w:tcPr>
            <w:tcW w:w="252" w:type="pct"/>
            <w:tcBorders>
              <w:tl2br w:val="nil"/>
              <w:tr2bl w:val="nil"/>
            </w:tcBorders>
            <w:vAlign w:val="center"/>
          </w:tcPr>
          <w:p>
            <w:pPr>
              <w:spacing w:line="240" w:lineRule="auto"/>
              <w:ind w:firstLine="0" w:firstLineChars="0"/>
              <w:jc w:val="center"/>
              <w:rPr>
                <w:bCs/>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未检出</w:t>
            </w:r>
          </w:p>
        </w:tc>
        <w:tc>
          <w:tcPr>
            <w:tcW w:w="292" w:type="pct"/>
            <w:tcBorders>
              <w:tl2br w:val="nil"/>
              <w:tr2bl w:val="nil"/>
            </w:tcBorders>
            <w:vAlign w:val="center"/>
          </w:tcPr>
          <w:p>
            <w:pPr>
              <w:spacing w:line="240" w:lineRule="auto"/>
              <w:ind w:firstLine="0" w:firstLineChars="0"/>
              <w:jc w:val="center"/>
              <w:rPr>
                <w:bCs/>
                <w:color w:val="auto"/>
                <w:sz w:val="21"/>
                <w:szCs w:val="21"/>
              </w:rPr>
            </w:pPr>
            <w:r>
              <w:rPr>
                <w:rFonts w:hint="eastAsia"/>
                <w:color w:val="auto"/>
                <w:sz w:val="21"/>
                <w:szCs w:val="21"/>
              </w:rPr>
              <w:t>/</w:t>
            </w:r>
          </w:p>
        </w:tc>
        <w:tc>
          <w:tcPr>
            <w:tcW w:w="599" w:type="pct"/>
            <w:tcBorders>
              <w:tl2br w:val="nil"/>
              <w:tr2bl w:val="nil"/>
            </w:tcBorders>
            <w:vAlign w:val="center"/>
          </w:tcPr>
          <w:p>
            <w:pPr>
              <w:widowControl/>
              <w:spacing w:line="240" w:lineRule="auto"/>
              <w:ind w:firstLine="0" w:firstLineChars="0"/>
              <w:jc w:val="center"/>
              <w:textAlignment w:val="center"/>
              <w:rPr>
                <w:bCs/>
                <w:color w:val="auto"/>
                <w:sz w:val="21"/>
                <w:szCs w:val="21"/>
              </w:rPr>
            </w:pPr>
            <w:r>
              <w:rPr>
                <w:bCs/>
                <w:color w:val="auto"/>
                <w:sz w:val="21"/>
                <w:szCs w:val="21"/>
              </w:rPr>
              <w:t>≤0.002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氟化物</w:t>
            </w:r>
          </w:p>
        </w:tc>
        <w:tc>
          <w:tcPr>
            <w:tcW w:w="377"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0.688</w:t>
            </w:r>
          </w:p>
        </w:tc>
        <w:tc>
          <w:tcPr>
            <w:tcW w:w="252"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0.688</w:t>
            </w:r>
          </w:p>
        </w:tc>
        <w:tc>
          <w:tcPr>
            <w:tcW w:w="377"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0.605</w:t>
            </w:r>
          </w:p>
        </w:tc>
        <w:tc>
          <w:tcPr>
            <w:tcW w:w="252"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0.605</w:t>
            </w:r>
          </w:p>
        </w:tc>
        <w:tc>
          <w:tcPr>
            <w:tcW w:w="377"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0.712</w:t>
            </w:r>
          </w:p>
        </w:tc>
        <w:tc>
          <w:tcPr>
            <w:tcW w:w="261"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0.712</w:t>
            </w:r>
          </w:p>
        </w:tc>
        <w:tc>
          <w:tcPr>
            <w:tcW w:w="377"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0.782</w:t>
            </w:r>
          </w:p>
        </w:tc>
        <w:tc>
          <w:tcPr>
            <w:tcW w:w="252"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0.782</w:t>
            </w:r>
          </w:p>
        </w:tc>
        <w:tc>
          <w:tcPr>
            <w:tcW w:w="377"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0.554</w:t>
            </w:r>
          </w:p>
        </w:tc>
        <w:tc>
          <w:tcPr>
            <w:tcW w:w="252"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0.554</w:t>
            </w:r>
          </w:p>
        </w:tc>
        <w:tc>
          <w:tcPr>
            <w:tcW w:w="377"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0.605</w:t>
            </w:r>
          </w:p>
        </w:tc>
        <w:tc>
          <w:tcPr>
            <w:tcW w:w="292"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0.605</w:t>
            </w:r>
          </w:p>
        </w:tc>
        <w:tc>
          <w:tcPr>
            <w:tcW w:w="599"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总大肠菌群（CFU/mL）</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w:t>
            </w:r>
          </w:p>
        </w:tc>
        <w:tc>
          <w:tcPr>
            <w:tcW w:w="25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w:t>
            </w:r>
          </w:p>
        </w:tc>
        <w:tc>
          <w:tcPr>
            <w:tcW w:w="25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w:t>
            </w:r>
          </w:p>
        </w:tc>
        <w:tc>
          <w:tcPr>
            <w:tcW w:w="261"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w:t>
            </w:r>
          </w:p>
        </w:tc>
        <w:tc>
          <w:tcPr>
            <w:tcW w:w="25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w:t>
            </w:r>
          </w:p>
        </w:tc>
        <w:tc>
          <w:tcPr>
            <w:tcW w:w="25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w:t>
            </w:r>
          </w:p>
        </w:tc>
        <w:tc>
          <w:tcPr>
            <w:tcW w:w="29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w:t>
            </w:r>
          </w:p>
        </w:tc>
        <w:tc>
          <w:tcPr>
            <w:tcW w:w="599"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≤3.0MPNb/100ml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72" w:type="pc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六价铬</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未检出</w:t>
            </w:r>
          </w:p>
        </w:tc>
        <w:tc>
          <w:tcPr>
            <w:tcW w:w="25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未检出</w:t>
            </w:r>
          </w:p>
        </w:tc>
        <w:tc>
          <w:tcPr>
            <w:tcW w:w="25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未检出</w:t>
            </w:r>
          </w:p>
        </w:tc>
        <w:tc>
          <w:tcPr>
            <w:tcW w:w="261"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未检出</w:t>
            </w:r>
          </w:p>
        </w:tc>
        <w:tc>
          <w:tcPr>
            <w:tcW w:w="25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未检出</w:t>
            </w:r>
          </w:p>
        </w:tc>
        <w:tc>
          <w:tcPr>
            <w:tcW w:w="25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未检出</w:t>
            </w:r>
          </w:p>
        </w:tc>
        <w:tc>
          <w:tcPr>
            <w:tcW w:w="29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599"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≤0.05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2" w:type="pct"/>
            <w:tcBorders>
              <w:tl2br w:val="nil"/>
              <w:tr2bl w:val="nil"/>
            </w:tcBorders>
            <w:vAlign w:val="center"/>
          </w:tcPr>
          <w:p>
            <w:pPr>
              <w:spacing w:line="240" w:lineRule="auto"/>
              <w:ind w:firstLine="0" w:firstLineChars="0"/>
              <w:jc w:val="center"/>
              <w:rPr>
                <w:color w:val="auto"/>
                <w:kern w:val="0"/>
                <w:sz w:val="21"/>
                <w:szCs w:val="21"/>
              </w:rPr>
            </w:pPr>
            <w:r>
              <w:rPr>
                <w:rFonts w:hint="eastAsia"/>
                <w:color w:val="auto"/>
                <w:kern w:val="0"/>
                <w:sz w:val="21"/>
                <w:szCs w:val="21"/>
              </w:rPr>
              <w:t>锰</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0.093</w:t>
            </w:r>
          </w:p>
        </w:tc>
        <w:tc>
          <w:tcPr>
            <w:tcW w:w="252" w:type="pct"/>
            <w:tcBorders>
              <w:tl2br w:val="nil"/>
              <w:tr2bl w:val="nil"/>
            </w:tcBorders>
            <w:vAlign w:val="center"/>
          </w:tcPr>
          <w:p>
            <w:pPr>
              <w:spacing w:line="240" w:lineRule="auto"/>
              <w:ind w:firstLine="0" w:firstLineChars="0"/>
              <w:jc w:val="center"/>
              <w:rPr>
                <w:bCs/>
                <w:color w:val="auto"/>
                <w:sz w:val="21"/>
                <w:szCs w:val="21"/>
              </w:rPr>
            </w:pPr>
            <w:r>
              <w:rPr>
                <w:rFonts w:hint="eastAsia"/>
                <w:color w:val="auto"/>
                <w:sz w:val="21"/>
                <w:szCs w:val="21"/>
              </w:rPr>
              <w:t>0.93</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未检出</w:t>
            </w:r>
          </w:p>
        </w:tc>
        <w:tc>
          <w:tcPr>
            <w:tcW w:w="252" w:type="pct"/>
            <w:tcBorders>
              <w:tl2br w:val="nil"/>
              <w:tr2bl w:val="nil"/>
            </w:tcBorders>
            <w:vAlign w:val="center"/>
          </w:tcPr>
          <w:p>
            <w:pPr>
              <w:spacing w:line="240" w:lineRule="auto"/>
              <w:ind w:firstLine="0" w:firstLineChars="0"/>
              <w:jc w:val="center"/>
              <w:rPr>
                <w:bCs/>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未检出</w:t>
            </w:r>
          </w:p>
        </w:tc>
        <w:tc>
          <w:tcPr>
            <w:tcW w:w="261" w:type="pct"/>
            <w:tcBorders>
              <w:tl2br w:val="nil"/>
              <w:tr2bl w:val="nil"/>
            </w:tcBorders>
            <w:vAlign w:val="center"/>
          </w:tcPr>
          <w:p>
            <w:pPr>
              <w:spacing w:line="240" w:lineRule="auto"/>
              <w:ind w:firstLine="0" w:firstLineChars="0"/>
              <w:jc w:val="center"/>
              <w:rPr>
                <w:bCs/>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0.094</w:t>
            </w:r>
          </w:p>
        </w:tc>
        <w:tc>
          <w:tcPr>
            <w:tcW w:w="252" w:type="pct"/>
            <w:tcBorders>
              <w:tl2br w:val="nil"/>
              <w:tr2bl w:val="nil"/>
            </w:tcBorders>
            <w:vAlign w:val="center"/>
          </w:tcPr>
          <w:p>
            <w:pPr>
              <w:spacing w:line="240" w:lineRule="auto"/>
              <w:ind w:firstLine="0" w:firstLineChars="0"/>
              <w:jc w:val="center"/>
              <w:rPr>
                <w:bCs/>
                <w:color w:val="auto"/>
                <w:sz w:val="21"/>
                <w:szCs w:val="21"/>
              </w:rPr>
            </w:pPr>
            <w:r>
              <w:rPr>
                <w:rFonts w:hint="eastAsia"/>
                <w:color w:val="auto"/>
                <w:sz w:val="21"/>
                <w:szCs w:val="21"/>
              </w:rPr>
              <w:t>0.94</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未检出</w:t>
            </w:r>
          </w:p>
        </w:tc>
        <w:tc>
          <w:tcPr>
            <w:tcW w:w="252" w:type="pct"/>
            <w:tcBorders>
              <w:tl2br w:val="nil"/>
              <w:tr2bl w:val="nil"/>
            </w:tcBorders>
            <w:vAlign w:val="center"/>
          </w:tcPr>
          <w:p>
            <w:pPr>
              <w:spacing w:line="240" w:lineRule="auto"/>
              <w:ind w:firstLine="0" w:firstLineChars="0"/>
              <w:jc w:val="center"/>
              <w:rPr>
                <w:bCs/>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未检出</w:t>
            </w:r>
          </w:p>
        </w:tc>
        <w:tc>
          <w:tcPr>
            <w:tcW w:w="292" w:type="pct"/>
            <w:tcBorders>
              <w:tl2br w:val="nil"/>
              <w:tr2bl w:val="nil"/>
            </w:tcBorders>
            <w:vAlign w:val="center"/>
          </w:tcPr>
          <w:p>
            <w:pPr>
              <w:spacing w:line="240" w:lineRule="auto"/>
              <w:ind w:firstLine="0" w:firstLineChars="0"/>
              <w:jc w:val="center"/>
              <w:rPr>
                <w:bCs/>
                <w:color w:val="auto"/>
                <w:sz w:val="21"/>
                <w:szCs w:val="21"/>
              </w:rPr>
            </w:pPr>
            <w:r>
              <w:rPr>
                <w:rFonts w:hint="eastAsia"/>
                <w:color w:val="auto"/>
                <w:sz w:val="21"/>
                <w:szCs w:val="21"/>
              </w:rPr>
              <w:t>/</w:t>
            </w:r>
          </w:p>
        </w:tc>
        <w:tc>
          <w:tcPr>
            <w:tcW w:w="599" w:type="pct"/>
            <w:tcBorders>
              <w:tl2br w:val="nil"/>
              <w:tr2bl w:val="nil"/>
            </w:tcBorders>
            <w:vAlign w:val="center"/>
          </w:tcPr>
          <w:p>
            <w:pPr>
              <w:widowControl/>
              <w:spacing w:line="240" w:lineRule="auto"/>
              <w:ind w:firstLine="0" w:firstLineChars="0"/>
              <w:jc w:val="center"/>
              <w:textAlignment w:val="center"/>
              <w:rPr>
                <w:bCs/>
                <w:color w:val="auto"/>
                <w:sz w:val="21"/>
                <w:szCs w:val="21"/>
              </w:rPr>
            </w:pPr>
            <w:r>
              <w:rPr>
                <w:rFonts w:hint="eastAsia"/>
                <w:bCs/>
                <w:color w:val="auto"/>
                <w:sz w:val="21"/>
                <w:szCs w:val="21"/>
              </w:rPr>
              <w:t>≤0.1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2" w:type="pct"/>
            <w:tcBorders>
              <w:tl2br w:val="nil"/>
              <w:tr2bl w:val="nil"/>
            </w:tcBorders>
            <w:vAlign w:val="center"/>
          </w:tcPr>
          <w:p>
            <w:pPr>
              <w:spacing w:line="240" w:lineRule="auto"/>
              <w:ind w:firstLine="0" w:firstLineChars="0"/>
              <w:jc w:val="center"/>
              <w:rPr>
                <w:color w:val="auto"/>
                <w:kern w:val="0"/>
                <w:sz w:val="21"/>
                <w:szCs w:val="21"/>
              </w:rPr>
            </w:pPr>
            <w:r>
              <w:rPr>
                <w:rFonts w:hint="eastAsia"/>
                <w:color w:val="auto"/>
                <w:kern w:val="0"/>
                <w:sz w:val="21"/>
                <w:szCs w:val="21"/>
              </w:rPr>
              <w:t>铁</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未检出</w:t>
            </w:r>
          </w:p>
        </w:tc>
        <w:tc>
          <w:tcPr>
            <w:tcW w:w="252" w:type="pct"/>
            <w:tcBorders>
              <w:tl2br w:val="nil"/>
              <w:tr2bl w:val="nil"/>
            </w:tcBorders>
            <w:vAlign w:val="center"/>
          </w:tcPr>
          <w:p>
            <w:pPr>
              <w:spacing w:line="240" w:lineRule="auto"/>
              <w:ind w:firstLine="0" w:firstLineChars="0"/>
              <w:jc w:val="center"/>
              <w:rPr>
                <w:bCs/>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未检出</w:t>
            </w:r>
          </w:p>
        </w:tc>
        <w:tc>
          <w:tcPr>
            <w:tcW w:w="252" w:type="pct"/>
            <w:tcBorders>
              <w:tl2br w:val="nil"/>
              <w:tr2bl w:val="nil"/>
            </w:tcBorders>
            <w:vAlign w:val="center"/>
          </w:tcPr>
          <w:p>
            <w:pPr>
              <w:spacing w:line="240" w:lineRule="auto"/>
              <w:ind w:firstLine="0" w:firstLineChars="0"/>
              <w:jc w:val="center"/>
              <w:rPr>
                <w:bCs/>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未检出</w:t>
            </w:r>
          </w:p>
        </w:tc>
        <w:tc>
          <w:tcPr>
            <w:tcW w:w="261" w:type="pct"/>
            <w:tcBorders>
              <w:tl2br w:val="nil"/>
              <w:tr2bl w:val="nil"/>
            </w:tcBorders>
            <w:vAlign w:val="center"/>
          </w:tcPr>
          <w:p>
            <w:pPr>
              <w:spacing w:line="240" w:lineRule="auto"/>
              <w:ind w:firstLine="0" w:firstLineChars="0"/>
              <w:jc w:val="center"/>
              <w:rPr>
                <w:bCs/>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未检出</w:t>
            </w:r>
          </w:p>
        </w:tc>
        <w:tc>
          <w:tcPr>
            <w:tcW w:w="252" w:type="pct"/>
            <w:tcBorders>
              <w:tl2br w:val="nil"/>
              <w:tr2bl w:val="nil"/>
            </w:tcBorders>
            <w:vAlign w:val="center"/>
          </w:tcPr>
          <w:p>
            <w:pPr>
              <w:spacing w:line="240" w:lineRule="auto"/>
              <w:ind w:firstLine="0" w:firstLineChars="0"/>
              <w:jc w:val="center"/>
              <w:rPr>
                <w:bCs/>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未检出</w:t>
            </w:r>
          </w:p>
        </w:tc>
        <w:tc>
          <w:tcPr>
            <w:tcW w:w="252" w:type="pct"/>
            <w:tcBorders>
              <w:tl2br w:val="nil"/>
              <w:tr2bl w:val="nil"/>
            </w:tcBorders>
            <w:vAlign w:val="center"/>
          </w:tcPr>
          <w:p>
            <w:pPr>
              <w:spacing w:line="240" w:lineRule="auto"/>
              <w:ind w:firstLine="0" w:firstLineChars="0"/>
              <w:jc w:val="center"/>
              <w:rPr>
                <w:bCs/>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未检出</w:t>
            </w:r>
          </w:p>
        </w:tc>
        <w:tc>
          <w:tcPr>
            <w:tcW w:w="292" w:type="pct"/>
            <w:tcBorders>
              <w:tl2br w:val="nil"/>
              <w:tr2bl w:val="nil"/>
            </w:tcBorders>
            <w:vAlign w:val="center"/>
          </w:tcPr>
          <w:p>
            <w:pPr>
              <w:widowControl/>
              <w:spacing w:line="240" w:lineRule="auto"/>
              <w:ind w:firstLine="0" w:firstLineChars="0"/>
              <w:jc w:val="center"/>
              <w:textAlignment w:val="center"/>
              <w:rPr>
                <w:bCs/>
                <w:color w:val="auto"/>
                <w:sz w:val="21"/>
                <w:szCs w:val="21"/>
              </w:rPr>
            </w:pPr>
            <w:r>
              <w:rPr>
                <w:rFonts w:hint="eastAsia"/>
                <w:color w:val="auto"/>
                <w:sz w:val="21"/>
                <w:szCs w:val="21"/>
              </w:rPr>
              <w:t>/</w:t>
            </w:r>
          </w:p>
        </w:tc>
        <w:tc>
          <w:tcPr>
            <w:tcW w:w="599" w:type="pct"/>
            <w:tcBorders>
              <w:tl2br w:val="nil"/>
              <w:tr2bl w:val="nil"/>
            </w:tcBorders>
            <w:vAlign w:val="center"/>
          </w:tcPr>
          <w:p>
            <w:pPr>
              <w:widowControl/>
              <w:spacing w:line="240" w:lineRule="auto"/>
              <w:ind w:firstLine="0" w:firstLineChars="0"/>
              <w:jc w:val="center"/>
              <w:textAlignment w:val="center"/>
              <w:rPr>
                <w:bCs/>
                <w:color w:val="auto"/>
                <w:sz w:val="21"/>
                <w:szCs w:val="21"/>
              </w:rPr>
            </w:pPr>
            <w:r>
              <w:rPr>
                <w:bCs/>
                <w:color w:val="auto"/>
                <w:sz w:val="21"/>
                <w:szCs w:val="21"/>
              </w:rPr>
              <w:t>≤0.3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2" w:type="pct"/>
            <w:tcBorders>
              <w:tl2br w:val="nil"/>
              <w:tr2bl w:val="nil"/>
            </w:tcBorders>
            <w:vAlign w:val="center"/>
          </w:tcPr>
          <w:p>
            <w:pPr>
              <w:spacing w:line="240" w:lineRule="auto"/>
              <w:ind w:firstLine="0" w:firstLineChars="0"/>
              <w:jc w:val="center"/>
              <w:rPr>
                <w:color w:val="auto"/>
                <w:kern w:val="0"/>
                <w:sz w:val="21"/>
                <w:szCs w:val="21"/>
              </w:rPr>
            </w:pPr>
            <w:r>
              <w:rPr>
                <w:rFonts w:hint="eastAsia"/>
                <w:color w:val="auto"/>
                <w:kern w:val="0"/>
                <w:sz w:val="21"/>
                <w:szCs w:val="21"/>
              </w:rPr>
              <w:t>砷</w:t>
            </w:r>
          </w:p>
        </w:tc>
        <w:tc>
          <w:tcPr>
            <w:tcW w:w="377"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1.51</w:t>
            </w:r>
            <w:r>
              <w:rPr>
                <w:rFonts w:ascii="Arial" w:hAnsi="Arial" w:cs="Arial"/>
                <w:color w:val="auto"/>
                <w:sz w:val="21"/>
                <w:szCs w:val="21"/>
              </w:rPr>
              <w:t>×</w:t>
            </w:r>
            <w:r>
              <w:rPr>
                <w:rFonts w:hint="eastAsia"/>
                <w:color w:val="auto"/>
                <w:sz w:val="21"/>
                <w:szCs w:val="21"/>
              </w:rPr>
              <w:t>10</w:t>
            </w:r>
            <w:r>
              <w:rPr>
                <w:rFonts w:hint="eastAsia"/>
                <w:color w:val="auto"/>
                <w:sz w:val="21"/>
                <w:szCs w:val="21"/>
                <w:vertAlign w:val="superscript"/>
              </w:rPr>
              <w:t>-3</w:t>
            </w:r>
          </w:p>
        </w:tc>
        <w:tc>
          <w:tcPr>
            <w:tcW w:w="252"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0.15</w:t>
            </w:r>
          </w:p>
        </w:tc>
        <w:tc>
          <w:tcPr>
            <w:tcW w:w="377"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1.56</w:t>
            </w:r>
            <w:r>
              <w:rPr>
                <w:rFonts w:ascii="Arial" w:hAnsi="Arial" w:cs="Arial"/>
                <w:color w:val="auto"/>
                <w:sz w:val="21"/>
                <w:szCs w:val="21"/>
              </w:rPr>
              <w:t>×</w:t>
            </w:r>
            <w:r>
              <w:rPr>
                <w:rFonts w:hint="eastAsia"/>
                <w:color w:val="auto"/>
                <w:sz w:val="21"/>
                <w:szCs w:val="21"/>
              </w:rPr>
              <w:t>10</w:t>
            </w:r>
            <w:r>
              <w:rPr>
                <w:rFonts w:hint="eastAsia"/>
                <w:color w:val="auto"/>
                <w:sz w:val="21"/>
                <w:szCs w:val="21"/>
                <w:vertAlign w:val="superscript"/>
              </w:rPr>
              <w:t>-3</w:t>
            </w:r>
          </w:p>
        </w:tc>
        <w:tc>
          <w:tcPr>
            <w:tcW w:w="252"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0.16</w:t>
            </w:r>
          </w:p>
        </w:tc>
        <w:tc>
          <w:tcPr>
            <w:tcW w:w="377"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1.61</w:t>
            </w:r>
            <w:r>
              <w:rPr>
                <w:rFonts w:ascii="Arial" w:hAnsi="Arial" w:cs="Arial"/>
                <w:color w:val="auto"/>
                <w:sz w:val="21"/>
                <w:szCs w:val="21"/>
              </w:rPr>
              <w:t>×</w:t>
            </w:r>
            <w:r>
              <w:rPr>
                <w:rFonts w:hint="eastAsia"/>
                <w:color w:val="auto"/>
                <w:sz w:val="21"/>
                <w:szCs w:val="21"/>
              </w:rPr>
              <w:t>10</w:t>
            </w:r>
            <w:r>
              <w:rPr>
                <w:rFonts w:hint="eastAsia"/>
                <w:color w:val="auto"/>
                <w:sz w:val="21"/>
                <w:szCs w:val="21"/>
                <w:vertAlign w:val="superscript"/>
              </w:rPr>
              <w:t>-3</w:t>
            </w:r>
          </w:p>
        </w:tc>
        <w:tc>
          <w:tcPr>
            <w:tcW w:w="261"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0.16</w:t>
            </w:r>
          </w:p>
        </w:tc>
        <w:tc>
          <w:tcPr>
            <w:tcW w:w="377"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1.21</w:t>
            </w:r>
            <w:r>
              <w:rPr>
                <w:rFonts w:ascii="Arial" w:hAnsi="Arial" w:cs="Arial"/>
                <w:color w:val="auto"/>
                <w:sz w:val="21"/>
                <w:szCs w:val="21"/>
              </w:rPr>
              <w:t>×</w:t>
            </w:r>
            <w:r>
              <w:rPr>
                <w:rFonts w:hint="eastAsia"/>
                <w:color w:val="auto"/>
                <w:sz w:val="21"/>
                <w:szCs w:val="21"/>
              </w:rPr>
              <w:t>10</w:t>
            </w:r>
            <w:r>
              <w:rPr>
                <w:rFonts w:hint="eastAsia"/>
                <w:color w:val="auto"/>
                <w:sz w:val="21"/>
                <w:szCs w:val="21"/>
                <w:vertAlign w:val="superscript"/>
              </w:rPr>
              <w:t>-3</w:t>
            </w:r>
          </w:p>
        </w:tc>
        <w:tc>
          <w:tcPr>
            <w:tcW w:w="252"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0.212</w:t>
            </w:r>
          </w:p>
        </w:tc>
        <w:tc>
          <w:tcPr>
            <w:tcW w:w="377"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1.28</w:t>
            </w:r>
            <w:r>
              <w:rPr>
                <w:rFonts w:ascii="Arial" w:hAnsi="Arial" w:cs="Arial"/>
                <w:color w:val="auto"/>
                <w:sz w:val="21"/>
                <w:szCs w:val="21"/>
              </w:rPr>
              <w:t>×</w:t>
            </w:r>
            <w:r>
              <w:rPr>
                <w:rFonts w:hint="eastAsia"/>
                <w:color w:val="auto"/>
                <w:sz w:val="21"/>
                <w:szCs w:val="21"/>
              </w:rPr>
              <w:t>10</w:t>
            </w:r>
            <w:r>
              <w:rPr>
                <w:rFonts w:hint="eastAsia"/>
                <w:color w:val="auto"/>
                <w:sz w:val="21"/>
                <w:szCs w:val="21"/>
                <w:vertAlign w:val="superscript"/>
              </w:rPr>
              <w:t>-3</w:t>
            </w:r>
          </w:p>
        </w:tc>
        <w:tc>
          <w:tcPr>
            <w:tcW w:w="252"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0.13</w:t>
            </w:r>
          </w:p>
        </w:tc>
        <w:tc>
          <w:tcPr>
            <w:tcW w:w="377"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1.8</w:t>
            </w:r>
            <w:r>
              <w:rPr>
                <w:rFonts w:ascii="Arial" w:hAnsi="Arial" w:cs="Arial"/>
                <w:color w:val="auto"/>
                <w:sz w:val="21"/>
                <w:szCs w:val="21"/>
              </w:rPr>
              <w:t>×</w:t>
            </w:r>
            <w:r>
              <w:rPr>
                <w:rFonts w:hint="eastAsia"/>
                <w:color w:val="auto"/>
                <w:sz w:val="21"/>
                <w:szCs w:val="21"/>
              </w:rPr>
              <w:t>10</w:t>
            </w:r>
            <w:r>
              <w:rPr>
                <w:rFonts w:hint="eastAsia"/>
                <w:color w:val="auto"/>
                <w:sz w:val="21"/>
                <w:szCs w:val="21"/>
                <w:vertAlign w:val="superscript"/>
              </w:rPr>
              <w:t>-3</w:t>
            </w:r>
          </w:p>
        </w:tc>
        <w:tc>
          <w:tcPr>
            <w:tcW w:w="292"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0.18</w:t>
            </w:r>
          </w:p>
        </w:tc>
        <w:tc>
          <w:tcPr>
            <w:tcW w:w="599"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≤0.01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2" w:type="pct"/>
            <w:tcBorders>
              <w:tl2br w:val="nil"/>
              <w:tr2bl w:val="nil"/>
            </w:tcBorders>
            <w:vAlign w:val="center"/>
          </w:tcPr>
          <w:p>
            <w:pPr>
              <w:spacing w:line="240" w:lineRule="auto"/>
              <w:ind w:firstLine="0" w:firstLineChars="0"/>
              <w:jc w:val="center"/>
              <w:rPr>
                <w:color w:val="auto"/>
                <w:kern w:val="0"/>
                <w:sz w:val="21"/>
                <w:szCs w:val="21"/>
              </w:rPr>
            </w:pPr>
            <w:r>
              <w:rPr>
                <w:rFonts w:hint="eastAsia"/>
                <w:color w:val="auto"/>
                <w:kern w:val="0"/>
                <w:sz w:val="21"/>
                <w:szCs w:val="21"/>
              </w:rPr>
              <w:t>汞</w:t>
            </w:r>
          </w:p>
        </w:tc>
        <w:tc>
          <w:tcPr>
            <w:tcW w:w="377"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8.82</w:t>
            </w:r>
            <w:r>
              <w:rPr>
                <w:rFonts w:ascii="Arial" w:hAnsi="Arial" w:cs="Arial"/>
                <w:color w:val="auto"/>
                <w:sz w:val="21"/>
                <w:szCs w:val="21"/>
              </w:rPr>
              <w:t>×</w:t>
            </w:r>
            <w:r>
              <w:rPr>
                <w:rFonts w:hint="eastAsia"/>
                <w:color w:val="auto"/>
                <w:sz w:val="21"/>
                <w:szCs w:val="21"/>
              </w:rPr>
              <w:t>10</w:t>
            </w:r>
            <w:r>
              <w:rPr>
                <w:rFonts w:hint="eastAsia"/>
                <w:color w:val="auto"/>
                <w:sz w:val="21"/>
                <w:szCs w:val="21"/>
                <w:vertAlign w:val="superscript"/>
              </w:rPr>
              <w:t>-5</w:t>
            </w:r>
          </w:p>
        </w:tc>
        <w:tc>
          <w:tcPr>
            <w:tcW w:w="252" w:type="pct"/>
            <w:tcBorders>
              <w:tl2br w:val="nil"/>
              <w:tr2bl w:val="nil"/>
            </w:tcBorders>
            <w:vAlign w:val="center"/>
          </w:tcPr>
          <w:p>
            <w:pPr>
              <w:widowControl/>
              <w:spacing w:line="240" w:lineRule="auto"/>
              <w:ind w:firstLine="0" w:firstLineChars="0"/>
              <w:jc w:val="center"/>
              <w:textAlignment w:val="center"/>
              <w:rPr>
                <w:bCs/>
                <w:color w:val="auto"/>
                <w:sz w:val="21"/>
                <w:szCs w:val="21"/>
              </w:rPr>
            </w:pPr>
            <w:r>
              <w:rPr>
                <w:rFonts w:hint="eastAsia"/>
                <w:bCs/>
                <w:color w:val="auto"/>
                <w:sz w:val="21"/>
                <w:szCs w:val="21"/>
              </w:rPr>
              <w:t>0.09</w:t>
            </w:r>
          </w:p>
        </w:tc>
        <w:tc>
          <w:tcPr>
            <w:tcW w:w="377"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3.85</w:t>
            </w:r>
            <w:r>
              <w:rPr>
                <w:rFonts w:ascii="Arial" w:hAnsi="Arial" w:cs="Arial"/>
                <w:color w:val="auto"/>
                <w:sz w:val="21"/>
                <w:szCs w:val="21"/>
              </w:rPr>
              <w:t>×</w:t>
            </w:r>
            <w:r>
              <w:rPr>
                <w:rFonts w:hint="eastAsia"/>
                <w:color w:val="auto"/>
                <w:sz w:val="21"/>
                <w:szCs w:val="21"/>
              </w:rPr>
              <w:t>10</w:t>
            </w:r>
            <w:r>
              <w:rPr>
                <w:rFonts w:hint="eastAsia"/>
                <w:color w:val="auto"/>
                <w:sz w:val="21"/>
                <w:szCs w:val="21"/>
                <w:vertAlign w:val="superscript"/>
              </w:rPr>
              <w:t>-4</w:t>
            </w:r>
          </w:p>
        </w:tc>
        <w:tc>
          <w:tcPr>
            <w:tcW w:w="252" w:type="pct"/>
            <w:tcBorders>
              <w:tl2br w:val="nil"/>
              <w:tr2bl w:val="nil"/>
            </w:tcBorders>
            <w:vAlign w:val="center"/>
          </w:tcPr>
          <w:p>
            <w:pPr>
              <w:widowControl/>
              <w:spacing w:line="240" w:lineRule="auto"/>
              <w:ind w:firstLine="0" w:firstLineChars="0"/>
              <w:jc w:val="center"/>
              <w:textAlignment w:val="center"/>
              <w:rPr>
                <w:bCs/>
                <w:color w:val="auto"/>
                <w:sz w:val="21"/>
                <w:szCs w:val="21"/>
              </w:rPr>
            </w:pPr>
            <w:r>
              <w:rPr>
                <w:rFonts w:hint="eastAsia"/>
                <w:bCs/>
                <w:color w:val="auto"/>
                <w:sz w:val="21"/>
                <w:szCs w:val="21"/>
              </w:rPr>
              <w:t>0.38</w:t>
            </w:r>
          </w:p>
        </w:tc>
        <w:tc>
          <w:tcPr>
            <w:tcW w:w="377"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2.83</w:t>
            </w:r>
            <w:r>
              <w:rPr>
                <w:rFonts w:ascii="Arial" w:hAnsi="Arial" w:cs="Arial"/>
                <w:color w:val="auto"/>
                <w:sz w:val="21"/>
                <w:szCs w:val="21"/>
              </w:rPr>
              <w:t>×</w:t>
            </w:r>
            <w:r>
              <w:rPr>
                <w:rFonts w:hint="eastAsia"/>
                <w:color w:val="auto"/>
                <w:sz w:val="21"/>
                <w:szCs w:val="21"/>
              </w:rPr>
              <w:t>10</w:t>
            </w:r>
            <w:r>
              <w:rPr>
                <w:rFonts w:hint="eastAsia"/>
                <w:color w:val="auto"/>
                <w:sz w:val="21"/>
                <w:szCs w:val="21"/>
                <w:vertAlign w:val="superscript"/>
              </w:rPr>
              <w:t>-4</w:t>
            </w:r>
          </w:p>
        </w:tc>
        <w:tc>
          <w:tcPr>
            <w:tcW w:w="261" w:type="pct"/>
            <w:tcBorders>
              <w:tl2br w:val="nil"/>
              <w:tr2bl w:val="nil"/>
            </w:tcBorders>
            <w:vAlign w:val="center"/>
          </w:tcPr>
          <w:p>
            <w:pPr>
              <w:widowControl/>
              <w:spacing w:line="240" w:lineRule="auto"/>
              <w:ind w:firstLine="0" w:firstLineChars="0"/>
              <w:jc w:val="center"/>
              <w:textAlignment w:val="center"/>
              <w:rPr>
                <w:bCs/>
                <w:color w:val="auto"/>
                <w:sz w:val="21"/>
                <w:szCs w:val="21"/>
              </w:rPr>
            </w:pPr>
            <w:r>
              <w:rPr>
                <w:rFonts w:hint="eastAsia"/>
                <w:bCs/>
                <w:color w:val="auto"/>
                <w:sz w:val="21"/>
                <w:szCs w:val="21"/>
              </w:rPr>
              <w:t>0.28</w:t>
            </w:r>
          </w:p>
        </w:tc>
        <w:tc>
          <w:tcPr>
            <w:tcW w:w="377"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9.23</w:t>
            </w:r>
            <w:r>
              <w:rPr>
                <w:rFonts w:ascii="Arial" w:hAnsi="Arial" w:cs="Arial"/>
                <w:color w:val="auto"/>
                <w:sz w:val="21"/>
                <w:szCs w:val="21"/>
              </w:rPr>
              <w:t>×</w:t>
            </w:r>
            <w:r>
              <w:rPr>
                <w:rFonts w:hint="eastAsia"/>
                <w:color w:val="auto"/>
                <w:sz w:val="21"/>
                <w:szCs w:val="21"/>
              </w:rPr>
              <w:t>10</w:t>
            </w:r>
            <w:r>
              <w:rPr>
                <w:rFonts w:hint="eastAsia"/>
                <w:color w:val="auto"/>
                <w:sz w:val="21"/>
                <w:szCs w:val="21"/>
                <w:vertAlign w:val="superscript"/>
              </w:rPr>
              <w:t>-5</w:t>
            </w:r>
          </w:p>
        </w:tc>
        <w:tc>
          <w:tcPr>
            <w:tcW w:w="252" w:type="pct"/>
            <w:tcBorders>
              <w:tl2br w:val="nil"/>
              <w:tr2bl w:val="nil"/>
            </w:tcBorders>
            <w:vAlign w:val="center"/>
          </w:tcPr>
          <w:p>
            <w:pPr>
              <w:widowControl/>
              <w:spacing w:line="240" w:lineRule="auto"/>
              <w:ind w:firstLine="0" w:firstLineChars="0"/>
              <w:jc w:val="center"/>
              <w:textAlignment w:val="center"/>
              <w:rPr>
                <w:bCs/>
                <w:color w:val="auto"/>
                <w:sz w:val="21"/>
                <w:szCs w:val="21"/>
              </w:rPr>
            </w:pPr>
            <w:r>
              <w:rPr>
                <w:rFonts w:hint="eastAsia"/>
                <w:bCs/>
                <w:color w:val="auto"/>
                <w:sz w:val="21"/>
                <w:szCs w:val="21"/>
              </w:rPr>
              <w:t>0.1</w:t>
            </w:r>
          </w:p>
        </w:tc>
        <w:tc>
          <w:tcPr>
            <w:tcW w:w="377"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4.45</w:t>
            </w:r>
            <w:r>
              <w:rPr>
                <w:rFonts w:ascii="Arial" w:hAnsi="Arial" w:cs="Arial"/>
                <w:color w:val="auto"/>
                <w:sz w:val="21"/>
                <w:szCs w:val="21"/>
              </w:rPr>
              <w:t>×</w:t>
            </w:r>
            <w:r>
              <w:rPr>
                <w:rFonts w:hint="eastAsia"/>
                <w:color w:val="auto"/>
                <w:sz w:val="21"/>
                <w:szCs w:val="21"/>
              </w:rPr>
              <w:t>10</w:t>
            </w:r>
            <w:r>
              <w:rPr>
                <w:rFonts w:hint="eastAsia"/>
                <w:color w:val="auto"/>
                <w:sz w:val="21"/>
                <w:szCs w:val="21"/>
                <w:vertAlign w:val="superscript"/>
              </w:rPr>
              <w:t>-4</w:t>
            </w:r>
          </w:p>
        </w:tc>
        <w:tc>
          <w:tcPr>
            <w:tcW w:w="252" w:type="pct"/>
            <w:tcBorders>
              <w:tl2br w:val="nil"/>
              <w:tr2bl w:val="nil"/>
            </w:tcBorders>
            <w:vAlign w:val="center"/>
          </w:tcPr>
          <w:p>
            <w:pPr>
              <w:widowControl/>
              <w:spacing w:line="240" w:lineRule="auto"/>
              <w:ind w:firstLine="0" w:firstLineChars="0"/>
              <w:jc w:val="center"/>
              <w:textAlignment w:val="center"/>
              <w:rPr>
                <w:bCs/>
                <w:color w:val="auto"/>
                <w:sz w:val="21"/>
                <w:szCs w:val="21"/>
              </w:rPr>
            </w:pPr>
            <w:r>
              <w:rPr>
                <w:rFonts w:hint="eastAsia"/>
                <w:bCs/>
                <w:color w:val="auto"/>
                <w:sz w:val="21"/>
                <w:szCs w:val="21"/>
              </w:rPr>
              <w:t>0.45</w:t>
            </w:r>
          </w:p>
        </w:tc>
        <w:tc>
          <w:tcPr>
            <w:tcW w:w="377" w:type="pct"/>
            <w:tcBorders>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2.91</w:t>
            </w:r>
            <w:r>
              <w:rPr>
                <w:rFonts w:ascii="Arial" w:hAnsi="Arial" w:cs="Arial"/>
                <w:color w:val="auto"/>
                <w:sz w:val="21"/>
                <w:szCs w:val="21"/>
              </w:rPr>
              <w:t>×</w:t>
            </w:r>
            <w:r>
              <w:rPr>
                <w:rFonts w:hint="eastAsia"/>
                <w:color w:val="auto"/>
                <w:sz w:val="21"/>
                <w:szCs w:val="21"/>
              </w:rPr>
              <w:t>10</w:t>
            </w:r>
            <w:r>
              <w:rPr>
                <w:rFonts w:hint="eastAsia"/>
                <w:color w:val="auto"/>
                <w:sz w:val="21"/>
                <w:szCs w:val="21"/>
                <w:vertAlign w:val="superscript"/>
              </w:rPr>
              <w:t>-4</w:t>
            </w:r>
          </w:p>
        </w:tc>
        <w:tc>
          <w:tcPr>
            <w:tcW w:w="292" w:type="pct"/>
            <w:tcBorders>
              <w:tl2br w:val="nil"/>
              <w:tr2bl w:val="nil"/>
            </w:tcBorders>
            <w:vAlign w:val="center"/>
          </w:tcPr>
          <w:p>
            <w:pPr>
              <w:widowControl/>
              <w:spacing w:line="240" w:lineRule="auto"/>
              <w:ind w:firstLine="0" w:firstLineChars="0"/>
              <w:jc w:val="center"/>
              <w:textAlignment w:val="center"/>
              <w:rPr>
                <w:bCs/>
                <w:color w:val="auto"/>
                <w:sz w:val="21"/>
                <w:szCs w:val="21"/>
              </w:rPr>
            </w:pPr>
            <w:r>
              <w:rPr>
                <w:rFonts w:hint="eastAsia"/>
                <w:bCs/>
                <w:color w:val="auto"/>
                <w:sz w:val="21"/>
                <w:szCs w:val="21"/>
              </w:rPr>
              <w:t>0.29</w:t>
            </w:r>
          </w:p>
        </w:tc>
        <w:tc>
          <w:tcPr>
            <w:tcW w:w="599" w:type="pct"/>
            <w:tcBorders>
              <w:tl2br w:val="nil"/>
              <w:tr2bl w:val="nil"/>
            </w:tcBorders>
            <w:vAlign w:val="center"/>
          </w:tcPr>
          <w:p>
            <w:pPr>
              <w:widowControl/>
              <w:spacing w:line="240" w:lineRule="auto"/>
              <w:ind w:firstLine="0" w:firstLineChars="0"/>
              <w:jc w:val="center"/>
              <w:textAlignment w:val="center"/>
              <w:rPr>
                <w:bCs/>
                <w:color w:val="auto"/>
                <w:sz w:val="21"/>
                <w:szCs w:val="21"/>
              </w:rPr>
            </w:pPr>
            <w:r>
              <w:rPr>
                <w:bCs/>
                <w:color w:val="auto"/>
                <w:sz w:val="21"/>
                <w:szCs w:val="21"/>
              </w:rPr>
              <w:t>≤0.001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2" w:type="pct"/>
            <w:tcBorders>
              <w:tl2br w:val="nil"/>
              <w:tr2bl w:val="nil"/>
            </w:tcBorders>
            <w:vAlign w:val="center"/>
          </w:tcPr>
          <w:p>
            <w:pPr>
              <w:spacing w:line="240" w:lineRule="auto"/>
              <w:ind w:firstLine="0" w:firstLineChars="0"/>
              <w:jc w:val="center"/>
              <w:rPr>
                <w:color w:val="auto"/>
                <w:kern w:val="0"/>
                <w:sz w:val="21"/>
                <w:szCs w:val="21"/>
              </w:rPr>
            </w:pPr>
            <w:r>
              <w:rPr>
                <w:rFonts w:hint="eastAsia"/>
                <w:color w:val="auto"/>
                <w:kern w:val="0"/>
                <w:sz w:val="21"/>
                <w:szCs w:val="21"/>
              </w:rPr>
              <w:t>氰化物</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未检出</w:t>
            </w:r>
          </w:p>
        </w:tc>
        <w:tc>
          <w:tcPr>
            <w:tcW w:w="252" w:type="pct"/>
            <w:tcBorders>
              <w:tl2br w:val="nil"/>
              <w:tr2bl w:val="nil"/>
            </w:tcBorders>
            <w:vAlign w:val="center"/>
          </w:tcPr>
          <w:p>
            <w:pPr>
              <w:spacing w:line="240" w:lineRule="auto"/>
              <w:ind w:firstLine="0" w:firstLineChars="0"/>
              <w:jc w:val="center"/>
              <w:rPr>
                <w:bCs/>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未检出</w:t>
            </w:r>
          </w:p>
        </w:tc>
        <w:tc>
          <w:tcPr>
            <w:tcW w:w="252" w:type="pct"/>
            <w:tcBorders>
              <w:tl2br w:val="nil"/>
              <w:tr2bl w:val="nil"/>
            </w:tcBorders>
            <w:vAlign w:val="center"/>
          </w:tcPr>
          <w:p>
            <w:pPr>
              <w:spacing w:line="240" w:lineRule="auto"/>
              <w:ind w:firstLine="0" w:firstLineChars="0"/>
              <w:jc w:val="center"/>
              <w:rPr>
                <w:bCs/>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未检出</w:t>
            </w:r>
          </w:p>
        </w:tc>
        <w:tc>
          <w:tcPr>
            <w:tcW w:w="261" w:type="pct"/>
            <w:tcBorders>
              <w:tl2br w:val="nil"/>
              <w:tr2bl w:val="nil"/>
            </w:tcBorders>
            <w:vAlign w:val="center"/>
          </w:tcPr>
          <w:p>
            <w:pPr>
              <w:spacing w:line="240" w:lineRule="auto"/>
              <w:ind w:firstLine="0" w:firstLineChars="0"/>
              <w:jc w:val="center"/>
              <w:rPr>
                <w:bCs/>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未检出</w:t>
            </w:r>
          </w:p>
        </w:tc>
        <w:tc>
          <w:tcPr>
            <w:tcW w:w="252" w:type="pct"/>
            <w:tcBorders>
              <w:tl2br w:val="nil"/>
              <w:tr2bl w:val="nil"/>
            </w:tcBorders>
            <w:vAlign w:val="center"/>
          </w:tcPr>
          <w:p>
            <w:pPr>
              <w:spacing w:line="240" w:lineRule="auto"/>
              <w:ind w:firstLine="0" w:firstLineChars="0"/>
              <w:jc w:val="center"/>
              <w:rPr>
                <w:bCs/>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未检出</w:t>
            </w:r>
          </w:p>
        </w:tc>
        <w:tc>
          <w:tcPr>
            <w:tcW w:w="252" w:type="pct"/>
            <w:tcBorders>
              <w:tl2br w:val="nil"/>
              <w:tr2bl w:val="nil"/>
            </w:tcBorders>
            <w:vAlign w:val="center"/>
          </w:tcPr>
          <w:p>
            <w:pPr>
              <w:spacing w:line="240" w:lineRule="auto"/>
              <w:ind w:firstLine="0" w:firstLineChars="0"/>
              <w:jc w:val="center"/>
              <w:rPr>
                <w:bCs/>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未检出</w:t>
            </w:r>
          </w:p>
        </w:tc>
        <w:tc>
          <w:tcPr>
            <w:tcW w:w="292" w:type="pct"/>
            <w:tcBorders>
              <w:tl2br w:val="nil"/>
              <w:tr2bl w:val="nil"/>
            </w:tcBorders>
            <w:vAlign w:val="center"/>
          </w:tcPr>
          <w:p>
            <w:pPr>
              <w:spacing w:line="240" w:lineRule="auto"/>
              <w:ind w:firstLine="0" w:firstLineChars="0"/>
              <w:jc w:val="center"/>
              <w:rPr>
                <w:bCs/>
                <w:color w:val="auto"/>
                <w:sz w:val="21"/>
                <w:szCs w:val="21"/>
              </w:rPr>
            </w:pPr>
            <w:r>
              <w:rPr>
                <w:rFonts w:hint="eastAsia"/>
                <w:color w:val="auto"/>
                <w:sz w:val="21"/>
                <w:szCs w:val="21"/>
              </w:rPr>
              <w:t>/</w:t>
            </w:r>
          </w:p>
        </w:tc>
        <w:tc>
          <w:tcPr>
            <w:tcW w:w="599" w:type="pct"/>
            <w:tcBorders>
              <w:tl2br w:val="nil"/>
              <w:tr2bl w:val="nil"/>
            </w:tcBorders>
            <w:vAlign w:val="center"/>
          </w:tcPr>
          <w:p>
            <w:pPr>
              <w:widowControl/>
              <w:spacing w:line="240" w:lineRule="auto"/>
              <w:ind w:firstLine="0" w:firstLineChars="0"/>
              <w:jc w:val="center"/>
              <w:textAlignment w:val="center"/>
              <w:rPr>
                <w:bCs/>
                <w:color w:val="auto"/>
                <w:sz w:val="21"/>
                <w:szCs w:val="21"/>
              </w:rPr>
            </w:pPr>
            <w:r>
              <w:rPr>
                <w:bCs/>
                <w:color w:val="auto"/>
                <w:sz w:val="21"/>
                <w:szCs w:val="21"/>
              </w:rPr>
              <w:t>≤0.05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2" w:type="pct"/>
            <w:tcBorders>
              <w:tl2br w:val="nil"/>
              <w:tr2bl w:val="nil"/>
            </w:tcBorders>
            <w:vAlign w:val="center"/>
          </w:tcPr>
          <w:p>
            <w:pPr>
              <w:spacing w:line="240" w:lineRule="auto"/>
              <w:ind w:firstLine="0" w:firstLineChars="0"/>
              <w:jc w:val="center"/>
              <w:rPr>
                <w:color w:val="auto"/>
                <w:kern w:val="0"/>
                <w:sz w:val="21"/>
                <w:szCs w:val="21"/>
              </w:rPr>
            </w:pPr>
            <w:r>
              <w:rPr>
                <w:rFonts w:hint="eastAsia"/>
                <w:color w:val="auto"/>
                <w:kern w:val="0"/>
                <w:sz w:val="21"/>
                <w:szCs w:val="21"/>
              </w:rPr>
              <w:t>PH</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7.19</w:t>
            </w:r>
          </w:p>
        </w:tc>
        <w:tc>
          <w:tcPr>
            <w:tcW w:w="25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0.095</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6.83</w:t>
            </w:r>
          </w:p>
        </w:tc>
        <w:tc>
          <w:tcPr>
            <w:tcW w:w="25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0.085</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7.38</w:t>
            </w:r>
          </w:p>
        </w:tc>
        <w:tc>
          <w:tcPr>
            <w:tcW w:w="261"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0.19</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7.17</w:t>
            </w:r>
          </w:p>
        </w:tc>
        <w:tc>
          <w:tcPr>
            <w:tcW w:w="25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0.085</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6.87</w:t>
            </w:r>
          </w:p>
        </w:tc>
        <w:tc>
          <w:tcPr>
            <w:tcW w:w="25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0.065</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7.39</w:t>
            </w:r>
          </w:p>
        </w:tc>
        <w:tc>
          <w:tcPr>
            <w:tcW w:w="29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0.195</w:t>
            </w:r>
          </w:p>
        </w:tc>
        <w:tc>
          <w:tcPr>
            <w:tcW w:w="599"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6.5-8.5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572" w:type="pct"/>
            <w:tcBorders>
              <w:tl2br w:val="nil"/>
              <w:tr2bl w:val="nil"/>
            </w:tcBorders>
            <w:vAlign w:val="center"/>
          </w:tcPr>
          <w:p>
            <w:pPr>
              <w:spacing w:line="240" w:lineRule="auto"/>
              <w:ind w:firstLine="0" w:firstLineChars="0"/>
              <w:jc w:val="center"/>
              <w:rPr>
                <w:color w:val="auto"/>
                <w:kern w:val="0"/>
                <w:sz w:val="21"/>
                <w:szCs w:val="21"/>
              </w:rPr>
            </w:pPr>
            <w:r>
              <w:rPr>
                <w:rFonts w:hint="eastAsia"/>
                <w:color w:val="auto"/>
                <w:kern w:val="0"/>
                <w:sz w:val="21"/>
                <w:szCs w:val="21"/>
              </w:rPr>
              <w:t>硝酸盐</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未检出</w:t>
            </w:r>
          </w:p>
        </w:tc>
        <w:tc>
          <w:tcPr>
            <w:tcW w:w="25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未检出</w:t>
            </w:r>
          </w:p>
        </w:tc>
        <w:tc>
          <w:tcPr>
            <w:tcW w:w="25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未检出</w:t>
            </w:r>
          </w:p>
        </w:tc>
        <w:tc>
          <w:tcPr>
            <w:tcW w:w="261"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未检出</w:t>
            </w:r>
          </w:p>
        </w:tc>
        <w:tc>
          <w:tcPr>
            <w:tcW w:w="25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未检出</w:t>
            </w:r>
          </w:p>
        </w:tc>
        <w:tc>
          <w:tcPr>
            <w:tcW w:w="25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未检出</w:t>
            </w:r>
          </w:p>
        </w:tc>
        <w:tc>
          <w:tcPr>
            <w:tcW w:w="29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599"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6" w:hRule="atLeast"/>
          <w:jc w:val="center"/>
        </w:trPr>
        <w:tc>
          <w:tcPr>
            <w:tcW w:w="572" w:type="pct"/>
            <w:tcBorders>
              <w:bottom w:val="single" w:color="000000" w:sz="4" w:space="0"/>
              <w:tl2br w:val="nil"/>
              <w:tr2bl w:val="nil"/>
            </w:tcBorders>
            <w:vAlign w:val="center"/>
          </w:tcPr>
          <w:p>
            <w:pPr>
              <w:spacing w:line="240" w:lineRule="auto"/>
              <w:ind w:firstLine="0" w:firstLineChars="0"/>
              <w:jc w:val="center"/>
              <w:rPr>
                <w:color w:val="auto"/>
                <w:kern w:val="0"/>
                <w:sz w:val="21"/>
                <w:szCs w:val="21"/>
              </w:rPr>
            </w:pPr>
            <w:r>
              <w:rPr>
                <w:rFonts w:hint="eastAsia"/>
                <w:color w:val="auto"/>
                <w:kern w:val="0"/>
                <w:sz w:val="21"/>
                <w:szCs w:val="21"/>
              </w:rPr>
              <w:t>镉</w:t>
            </w:r>
          </w:p>
        </w:tc>
        <w:tc>
          <w:tcPr>
            <w:tcW w:w="377" w:type="pct"/>
            <w:tcBorders>
              <w:bottom w:val="single" w:color="000000" w:sz="4" w:space="0"/>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1.51</w:t>
            </w:r>
            <w:r>
              <w:rPr>
                <w:rFonts w:ascii="Arial" w:hAnsi="Arial" w:cs="Arial"/>
                <w:color w:val="auto"/>
                <w:sz w:val="21"/>
                <w:szCs w:val="21"/>
              </w:rPr>
              <w:t>×</w:t>
            </w:r>
            <w:r>
              <w:rPr>
                <w:rFonts w:hint="eastAsia"/>
                <w:color w:val="auto"/>
                <w:sz w:val="21"/>
                <w:szCs w:val="21"/>
              </w:rPr>
              <w:t>10</w:t>
            </w:r>
            <w:r>
              <w:rPr>
                <w:rFonts w:hint="eastAsia"/>
                <w:color w:val="auto"/>
                <w:sz w:val="21"/>
                <w:szCs w:val="21"/>
                <w:vertAlign w:val="superscript"/>
              </w:rPr>
              <w:t>-3</w:t>
            </w:r>
          </w:p>
        </w:tc>
        <w:tc>
          <w:tcPr>
            <w:tcW w:w="252" w:type="pct"/>
            <w:tcBorders>
              <w:bottom w:val="single" w:color="000000" w:sz="4" w:space="0"/>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0.302</w:t>
            </w:r>
          </w:p>
        </w:tc>
        <w:tc>
          <w:tcPr>
            <w:tcW w:w="377" w:type="pct"/>
            <w:tcBorders>
              <w:bottom w:val="single" w:color="000000" w:sz="4" w:space="0"/>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1.56</w:t>
            </w:r>
            <w:r>
              <w:rPr>
                <w:rFonts w:ascii="Arial" w:hAnsi="Arial" w:cs="Arial"/>
                <w:color w:val="auto"/>
                <w:sz w:val="21"/>
                <w:szCs w:val="21"/>
              </w:rPr>
              <w:t>×</w:t>
            </w:r>
            <w:r>
              <w:rPr>
                <w:rFonts w:hint="eastAsia"/>
                <w:color w:val="auto"/>
                <w:sz w:val="21"/>
                <w:szCs w:val="21"/>
              </w:rPr>
              <w:t>10</w:t>
            </w:r>
            <w:r>
              <w:rPr>
                <w:rFonts w:hint="eastAsia"/>
                <w:color w:val="auto"/>
                <w:sz w:val="21"/>
                <w:szCs w:val="21"/>
                <w:vertAlign w:val="superscript"/>
              </w:rPr>
              <w:t>-3</w:t>
            </w:r>
          </w:p>
        </w:tc>
        <w:tc>
          <w:tcPr>
            <w:tcW w:w="252" w:type="pct"/>
            <w:tcBorders>
              <w:bottom w:val="single" w:color="000000" w:sz="4" w:space="0"/>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0.312</w:t>
            </w:r>
          </w:p>
        </w:tc>
        <w:tc>
          <w:tcPr>
            <w:tcW w:w="377" w:type="pct"/>
            <w:tcBorders>
              <w:bottom w:val="single" w:color="000000" w:sz="4" w:space="0"/>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1.61</w:t>
            </w:r>
            <w:r>
              <w:rPr>
                <w:rFonts w:ascii="Arial" w:hAnsi="Arial" w:cs="Arial"/>
                <w:color w:val="auto"/>
                <w:sz w:val="21"/>
                <w:szCs w:val="21"/>
              </w:rPr>
              <w:t>×</w:t>
            </w:r>
            <w:r>
              <w:rPr>
                <w:rFonts w:hint="eastAsia"/>
                <w:color w:val="auto"/>
                <w:sz w:val="21"/>
                <w:szCs w:val="21"/>
              </w:rPr>
              <w:t>10</w:t>
            </w:r>
            <w:r>
              <w:rPr>
                <w:rFonts w:hint="eastAsia"/>
                <w:color w:val="auto"/>
                <w:sz w:val="21"/>
                <w:szCs w:val="21"/>
                <w:vertAlign w:val="superscript"/>
              </w:rPr>
              <w:t>-3</w:t>
            </w:r>
          </w:p>
        </w:tc>
        <w:tc>
          <w:tcPr>
            <w:tcW w:w="261" w:type="pct"/>
            <w:tcBorders>
              <w:bottom w:val="single" w:color="000000" w:sz="4" w:space="0"/>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0.322</w:t>
            </w:r>
          </w:p>
        </w:tc>
        <w:tc>
          <w:tcPr>
            <w:tcW w:w="377" w:type="pct"/>
            <w:tcBorders>
              <w:bottom w:val="single" w:color="000000" w:sz="4" w:space="0"/>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1.21</w:t>
            </w:r>
            <w:r>
              <w:rPr>
                <w:rFonts w:ascii="Arial" w:hAnsi="Arial" w:cs="Arial"/>
                <w:color w:val="auto"/>
                <w:sz w:val="21"/>
                <w:szCs w:val="21"/>
              </w:rPr>
              <w:t>×</w:t>
            </w:r>
            <w:r>
              <w:rPr>
                <w:rFonts w:hint="eastAsia"/>
                <w:color w:val="auto"/>
                <w:sz w:val="21"/>
                <w:szCs w:val="21"/>
              </w:rPr>
              <w:t>10</w:t>
            </w:r>
            <w:r>
              <w:rPr>
                <w:rFonts w:hint="eastAsia"/>
                <w:color w:val="auto"/>
                <w:sz w:val="21"/>
                <w:szCs w:val="21"/>
                <w:vertAlign w:val="superscript"/>
              </w:rPr>
              <w:t>-3</w:t>
            </w:r>
          </w:p>
        </w:tc>
        <w:tc>
          <w:tcPr>
            <w:tcW w:w="252" w:type="pct"/>
            <w:tcBorders>
              <w:bottom w:val="single" w:color="000000" w:sz="4" w:space="0"/>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0.242</w:t>
            </w:r>
          </w:p>
        </w:tc>
        <w:tc>
          <w:tcPr>
            <w:tcW w:w="377" w:type="pct"/>
            <w:tcBorders>
              <w:bottom w:val="single" w:color="000000" w:sz="4" w:space="0"/>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1.28</w:t>
            </w:r>
            <w:r>
              <w:rPr>
                <w:rFonts w:ascii="Arial" w:hAnsi="Arial" w:cs="Arial"/>
                <w:color w:val="auto"/>
                <w:sz w:val="21"/>
                <w:szCs w:val="21"/>
              </w:rPr>
              <w:t>×</w:t>
            </w:r>
            <w:r>
              <w:rPr>
                <w:rFonts w:hint="eastAsia"/>
                <w:color w:val="auto"/>
                <w:sz w:val="21"/>
                <w:szCs w:val="21"/>
              </w:rPr>
              <w:t>10</w:t>
            </w:r>
            <w:r>
              <w:rPr>
                <w:rFonts w:hint="eastAsia"/>
                <w:color w:val="auto"/>
                <w:sz w:val="21"/>
                <w:szCs w:val="21"/>
                <w:vertAlign w:val="superscript"/>
              </w:rPr>
              <w:t>-3</w:t>
            </w:r>
          </w:p>
        </w:tc>
        <w:tc>
          <w:tcPr>
            <w:tcW w:w="252" w:type="pct"/>
            <w:tcBorders>
              <w:bottom w:val="single" w:color="000000" w:sz="4" w:space="0"/>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0.256</w:t>
            </w:r>
          </w:p>
        </w:tc>
        <w:tc>
          <w:tcPr>
            <w:tcW w:w="377" w:type="pct"/>
            <w:tcBorders>
              <w:bottom w:val="single" w:color="000000" w:sz="4" w:space="0"/>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1.8</w:t>
            </w:r>
            <w:r>
              <w:rPr>
                <w:rFonts w:ascii="Arial" w:hAnsi="Arial" w:cs="Arial"/>
                <w:color w:val="auto"/>
                <w:sz w:val="21"/>
                <w:szCs w:val="21"/>
              </w:rPr>
              <w:t>×</w:t>
            </w:r>
            <w:r>
              <w:rPr>
                <w:rFonts w:hint="eastAsia"/>
                <w:color w:val="auto"/>
                <w:sz w:val="21"/>
                <w:szCs w:val="21"/>
              </w:rPr>
              <w:t>10</w:t>
            </w:r>
            <w:r>
              <w:rPr>
                <w:rFonts w:hint="eastAsia"/>
                <w:color w:val="auto"/>
                <w:sz w:val="21"/>
                <w:szCs w:val="21"/>
                <w:vertAlign w:val="superscript"/>
              </w:rPr>
              <w:t>-3</w:t>
            </w:r>
          </w:p>
        </w:tc>
        <w:tc>
          <w:tcPr>
            <w:tcW w:w="292" w:type="pct"/>
            <w:tcBorders>
              <w:bottom w:val="single" w:color="000000" w:sz="4" w:space="0"/>
              <w:tl2br w:val="nil"/>
              <w:tr2bl w:val="nil"/>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0.36</w:t>
            </w:r>
          </w:p>
        </w:tc>
        <w:tc>
          <w:tcPr>
            <w:tcW w:w="599" w:type="pct"/>
            <w:tcBorders>
              <w:bottom w:val="single" w:color="000000" w:sz="4" w:space="0"/>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≤0.005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1" w:hRule="atLeast"/>
          <w:jc w:val="center"/>
        </w:trPr>
        <w:tc>
          <w:tcPr>
            <w:tcW w:w="572" w:type="pct"/>
            <w:tcBorders>
              <w:top w:val="single" w:color="000000" w:sz="4" w:space="0"/>
              <w:bottom w:val="single" w:color="000000" w:sz="4" w:space="0"/>
              <w:tl2br w:val="nil"/>
              <w:tr2bl w:val="nil"/>
            </w:tcBorders>
            <w:vAlign w:val="center"/>
          </w:tcPr>
          <w:p>
            <w:pPr>
              <w:spacing w:line="240" w:lineRule="auto"/>
              <w:ind w:firstLine="0" w:firstLineChars="0"/>
              <w:jc w:val="center"/>
              <w:rPr>
                <w:color w:val="auto"/>
                <w:kern w:val="0"/>
                <w:sz w:val="21"/>
                <w:szCs w:val="21"/>
              </w:rPr>
            </w:pPr>
            <w:r>
              <w:rPr>
                <w:rFonts w:hint="eastAsia"/>
                <w:color w:val="auto"/>
                <w:kern w:val="0"/>
                <w:sz w:val="21"/>
                <w:szCs w:val="21"/>
              </w:rPr>
              <w:t>铅</w:t>
            </w:r>
          </w:p>
        </w:tc>
        <w:tc>
          <w:tcPr>
            <w:tcW w:w="377" w:type="pct"/>
            <w:tcBorders>
              <w:top w:val="single" w:color="000000" w:sz="4" w:space="0"/>
              <w:bottom w:val="single" w:color="000000" w:sz="4" w:space="0"/>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未检出</w:t>
            </w:r>
          </w:p>
        </w:tc>
        <w:tc>
          <w:tcPr>
            <w:tcW w:w="252" w:type="pct"/>
            <w:tcBorders>
              <w:top w:val="single" w:color="000000" w:sz="4" w:space="0"/>
              <w:bottom w:val="single" w:color="000000" w:sz="4" w:space="0"/>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op w:val="single" w:color="000000" w:sz="4" w:space="0"/>
              <w:bottom w:val="single" w:color="000000" w:sz="4" w:space="0"/>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未检出</w:t>
            </w:r>
          </w:p>
        </w:tc>
        <w:tc>
          <w:tcPr>
            <w:tcW w:w="252" w:type="pct"/>
            <w:tcBorders>
              <w:top w:val="single" w:color="000000" w:sz="4" w:space="0"/>
              <w:bottom w:val="single" w:color="000000" w:sz="4" w:space="0"/>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op w:val="single" w:color="000000" w:sz="4" w:space="0"/>
              <w:bottom w:val="single" w:color="000000" w:sz="4" w:space="0"/>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1.48</w:t>
            </w:r>
            <w:r>
              <w:rPr>
                <w:rFonts w:ascii="Arial" w:hAnsi="Arial" w:cs="Arial"/>
                <w:color w:val="auto"/>
                <w:sz w:val="21"/>
                <w:szCs w:val="21"/>
              </w:rPr>
              <w:t>×</w:t>
            </w:r>
            <w:r>
              <w:rPr>
                <w:rFonts w:hint="eastAsia"/>
                <w:color w:val="auto"/>
                <w:sz w:val="21"/>
                <w:szCs w:val="21"/>
              </w:rPr>
              <w:t>10</w:t>
            </w:r>
            <w:r>
              <w:rPr>
                <w:rFonts w:hint="eastAsia"/>
                <w:color w:val="auto"/>
                <w:sz w:val="21"/>
                <w:szCs w:val="21"/>
                <w:vertAlign w:val="superscript"/>
              </w:rPr>
              <w:t>-3</w:t>
            </w:r>
          </w:p>
        </w:tc>
        <w:tc>
          <w:tcPr>
            <w:tcW w:w="261" w:type="pct"/>
            <w:tcBorders>
              <w:top w:val="single" w:color="000000" w:sz="4" w:space="0"/>
              <w:bottom w:val="single" w:color="000000" w:sz="4" w:space="0"/>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0.148</w:t>
            </w:r>
          </w:p>
        </w:tc>
        <w:tc>
          <w:tcPr>
            <w:tcW w:w="377" w:type="pct"/>
            <w:tcBorders>
              <w:top w:val="single" w:color="000000" w:sz="4" w:space="0"/>
              <w:bottom w:val="single" w:color="000000" w:sz="4" w:space="0"/>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1.67</w:t>
            </w:r>
            <w:r>
              <w:rPr>
                <w:rFonts w:ascii="Arial" w:hAnsi="Arial" w:cs="Arial"/>
                <w:color w:val="auto"/>
                <w:sz w:val="21"/>
                <w:szCs w:val="21"/>
              </w:rPr>
              <w:t>×</w:t>
            </w:r>
            <w:r>
              <w:rPr>
                <w:rFonts w:hint="eastAsia"/>
                <w:color w:val="auto"/>
                <w:sz w:val="21"/>
                <w:szCs w:val="21"/>
              </w:rPr>
              <w:t>10</w:t>
            </w:r>
            <w:r>
              <w:rPr>
                <w:rFonts w:hint="eastAsia"/>
                <w:color w:val="auto"/>
                <w:sz w:val="21"/>
                <w:szCs w:val="21"/>
                <w:vertAlign w:val="superscript"/>
              </w:rPr>
              <w:t>-3</w:t>
            </w:r>
          </w:p>
        </w:tc>
        <w:tc>
          <w:tcPr>
            <w:tcW w:w="252" w:type="pct"/>
            <w:tcBorders>
              <w:top w:val="single" w:color="000000" w:sz="4" w:space="0"/>
              <w:bottom w:val="single" w:color="000000" w:sz="4" w:space="0"/>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0.167</w:t>
            </w:r>
          </w:p>
        </w:tc>
        <w:tc>
          <w:tcPr>
            <w:tcW w:w="377" w:type="pct"/>
            <w:tcBorders>
              <w:top w:val="single" w:color="000000" w:sz="4" w:space="0"/>
              <w:bottom w:val="single" w:color="000000" w:sz="4" w:space="0"/>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1.64</w:t>
            </w:r>
            <w:r>
              <w:rPr>
                <w:rFonts w:ascii="Arial" w:hAnsi="Arial" w:cs="Arial"/>
                <w:color w:val="auto"/>
                <w:sz w:val="21"/>
                <w:szCs w:val="21"/>
              </w:rPr>
              <w:t>×</w:t>
            </w:r>
            <w:r>
              <w:rPr>
                <w:rFonts w:hint="eastAsia"/>
                <w:color w:val="auto"/>
                <w:sz w:val="21"/>
                <w:szCs w:val="21"/>
              </w:rPr>
              <w:t>10</w:t>
            </w:r>
            <w:r>
              <w:rPr>
                <w:rFonts w:hint="eastAsia"/>
                <w:color w:val="auto"/>
                <w:sz w:val="21"/>
                <w:szCs w:val="21"/>
                <w:vertAlign w:val="superscript"/>
              </w:rPr>
              <w:t>-3</w:t>
            </w:r>
          </w:p>
        </w:tc>
        <w:tc>
          <w:tcPr>
            <w:tcW w:w="252" w:type="pct"/>
            <w:tcBorders>
              <w:top w:val="single" w:color="000000" w:sz="4" w:space="0"/>
              <w:bottom w:val="single" w:color="000000" w:sz="4" w:space="0"/>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0.164</w:t>
            </w:r>
          </w:p>
        </w:tc>
        <w:tc>
          <w:tcPr>
            <w:tcW w:w="377" w:type="pct"/>
            <w:tcBorders>
              <w:top w:val="single" w:color="000000" w:sz="4" w:space="0"/>
              <w:bottom w:val="single" w:color="000000" w:sz="4" w:space="0"/>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1.71</w:t>
            </w:r>
            <w:r>
              <w:rPr>
                <w:rFonts w:ascii="Arial" w:hAnsi="Arial" w:cs="Arial"/>
                <w:color w:val="auto"/>
                <w:sz w:val="21"/>
                <w:szCs w:val="21"/>
              </w:rPr>
              <w:t>×</w:t>
            </w:r>
            <w:r>
              <w:rPr>
                <w:rFonts w:hint="eastAsia"/>
                <w:color w:val="auto"/>
                <w:sz w:val="21"/>
                <w:szCs w:val="21"/>
              </w:rPr>
              <w:t>10</w:t>
            </w:r>
            <w:r>
              <w:rPr>
                <w:rFonts w:hint="eastAsia"/>
                <w:color w:val="auto"/>
                <w:sz w:val="21"/>
                <w:szCs w:val="21"/>
                <w:vertAlign w:val="superscript"/>
              </w:rPr>
              <w:t>-3</w:t>
            </w:r>
          </w:p>
        </w:tc>
        <w:tc>
          <w:tcPr>
            <w:tcW w:w="292" w:type="pct"/>
            <w:tcBorders>
              <w:top w:val="single" w:color="000000" w:sz="4" w:space="0"/>
              <w:bottom w:val="single" w:color="000000" w:sz="4" w:space="0"/>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0.171</w:t>
            </w:r>
          </w:p>
        </w:tc>
        <w:tc>
          <w:tcPr>
            <w:tcW w:w="599" w:type="pct"/>
            <w:tcBorders>
              <w:top w:val="single" w:color="000000" w:sz="4" w:space="0"/>
              <w:bottom w:val="single" w:color="000000" w:sz="4" w:space="0"/>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≤0.01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0" w:hRule="atLeast"/>
          <w:jc w:val="center"/>
        </w:trPr>
        <w:tc>
          <w:tcPr>
            <w:tcW w:w="572" w:type="pct"/>
            <w:tcBorders>
              <w:top w:val="single" w:color="000000" w:sz="4" w:space="0"/>
              <w:tl2br w:val="nil"/>
              <w:tr2bl w:val="nil"/>
            </w:tcBorders>
            <w:vAlign w:val="center"/>
          </w:tcPr>
          <w:p>
            <w:pPr>
              <w:spacing w:line="240" w:lineRule="auto"/>
              <w:ind w:firstLine="0" w:firstLineChars="0"/>
              <w:jc w:val="center"/>
              <w:rPr>
                <w:color w:val="auto"/>
                <w:kern w:val="0"/>
                <w:sz w:val="21"/>
                <w:szCs w:val="21"/>
              </w:rPr>
            </w:pPr>
            <w:r>
              <w:rPr>
                <w:rFonts w:hint="eastAsia"/>
                <w:color w:val="auto"/>
                <w:kern w:val="0"/>
                <w:sz w:val="21"/>
                <w:szCs w:val="21"/>
              </w:rPr>
              <w:t>高锰酸盐指数</w:t>
            </w:r>
          </w:p>
        </w:tc>
        <w:tc>
          <w:tcPr>
            <w:tcW w:w="377" w:type="pct"/>
            <w:tcBorders>
              <w:top w:val="single" w:color="000000" w:sz="4" w:space="0"/>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1.5</w:t>
            </w:r>
          </w:p>
        </w:tc>
        <w:tc>
          <w:tcPr>
            <w:tcW w:w="252" w:type="pct"/>
            <w:tcBorders>
              <w:top w:val="single" w:color="000000" w:sz="4" w:space="0"/>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op w:val="single" w:color="000000" w:sz="4" w:space="0"/>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0.89</w:t>
            </w:r>
          </w:p>
        </w:tc>
        <w:tc>
          <w:tcPr>
            <w:tcW w:w="252" w:type="pct"/>
            <w:tcBorders>
              <w:top w:val="single" w:color="000000" w:sz="4" w:space="0"/>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op w:val="single" w:color="000000" w:sz="4" w:space="0"/>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1.0</w:t>
            </w:r>
          </w:p>
        </w:tc>
        <w:tc>
          <w:tcPr>
            <w:tcW w:w="261" w:type="pct"/>
            <w:tcBorders>
              <w:top w:val="single" w:color="000000" w:sz="4" w:space="0"/>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op w:val="single" w:color="000000" w:sz="4" w:space="0"/>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1.4</w:t>
            </w:r>
          </w:p>
        </w:tc>
        <w:tc>
          <w:tcPr>
            <w:tcW w:w="252" w:type="pct"/>
            <w:tcBorders>
              <w:top w:val="single" w:color="000000" w:sz="4" w:space="0"/>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op w:val="single" w:color="000000" w:sz="4" w:space="0"/>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0.85</w:t>
            </w:r>
          </w:p>
        </w:tc>
        <w:tc>
          <w:tcPr>
            <w:tcW w:w="252" w:type="pct"/>
            <w:tcBorders>
              <w:top w:val="single" w:color="000000" w:sz="4" w:space="0"/>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377" w:type="pct"/>
            <w:tcBorders>
              <w:top w:val="single" w:color="000000" w:sz="4" w:space="0"/>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1.1</w:t>
            </w:r>
          </w:p>
        </w:tc>
        <w:tc>
          <w:tcPr>
            <w:tcW w:w="292" w:type="pct"/>
            <w:tcBorders>
              <w:top w:val="single" w:color="000000" w:sz="4" w:space="0"/>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c>
          <w:tcPr>
            <w:tcW w:w="599" w:type="pct"/>
            <w:tcBorders>
              <w:top w:val="single" w:color="000000" w:sz="4" w:space="0"/>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t>
            </w:r>
          </w:p>
        </w:tc>
      </w:tr>
    </w:tbl>
    <w:p>
      <w:pPr>
        <w:spacing w:after="154" w:afterLines="30" w:line="500" w:lineRule="exact"/>
        <w:ind w:left="852" w:leftChars="355" w:firstLine="1320" w:firstLineChars="550"/>
        <w:rPr>
          <w:b/>
          <w:color w:val="auto"/>
        </w:rPr>
      </w:pPr>
      <w:r>
        <w:rPr>
          <w:b/>
          <w:color w:val="auto"/>
        </w:rPr>
        <w:t>表4</w:t>
      </w:r>
      <w:r>
        <w:rPr>
          <w:rFonts w:hint="eastAsia"/>
          <w:b/>
          <w:color w:val="auto"/>
        </w:rPr>
        <w:t>.2-14</w:t>
      </w:r>
      <w:r>
        <w:rPr>
          <w:b/>
          <w:color w:val="auto"/>
        </w:rPr>
        <w:t xml:space="preserve">                       地下水环境质量现状监测结果统计一览表</w:t>
      </w:r>
    </w:p>
    <w:tbl>
      <w:tblPr>
        <w:tblStyle w:val="28"/>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521"/>
        <w:gridCol w:w="2234"/>
        <w:gridCol w:w="1341"/>
        <w:gridCol w:w="1915"/>
        <w:gridCol w:w="1896"/>
        <w:gridCol w:w="1879"/>
        <w:gridCol w:w="186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92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检测点位</w:t>
            </w:r>
          </w:p>
        </w:tc>
        <w:tc>
          <w:tcPr>
            <w:tcW w:w="81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检测时间</w:t>
            </w:r>
          </w:p>
        </w:tc>
        <w:tc>
          <w:tcPr>
            <w:tcW w:w="491"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测次</w:t>
            </w:r>
          </w:p>
        </w:tc>
        <w:tc>
          <w:tcPr>
            <w:tcW w:w="701"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井深（m）</w:t>
            </w:r>
          </w:p>
        </w:tc>
        <w:tc>
          <w:tcPr>
            <w:tcW w:w="694"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水位（m）</w:t>
            </w:r>
          </w:p>
        </w:tc>
        <w:tc>
          <w:tcPr>
            <w:tcW w:w="68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水温( ℃)</w:t>
            </w:r>
          </w:p>
        </w:tc>
        <w:tc>
          <w:tcPr>
            <w:tcW w:w="681"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功能</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2521"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于屯村</w:t>
            </w:r>
          </w:p>
        </w:tc>
        <w:tc>
          <w:tcPr>
            <w:tcW w:w="2234"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9.15</w:t>
            </w:r>
          </w:p>
        </w:tc>
        <w:tc>
          <w:tcPr>
            <w:tcW w:w="1341"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1</w:t>
            </w:r>
          </w:p>
        </w:tc>
        <w:tc>
          <w:tcPr>
            <w:tcW w:w="1915"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35</w:t>
            </w:r>
          </w:p>
        </w:tc>
        <w:tc>
          <w:tcPr>
            <w:tcW w:w="1896"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30</w:t>
            </w:r>
          </w:p>
        </w:tc>
        <w:tc>
          <w:tcPr>
            <w:tcW w:w="1879"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17</w:t>
            </w:r>
          </w:p>
        </w:tc>
        <w:tc>
          <w:tcPr>
            <w:tcW w:w="1861"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灌溉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2521"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柳寨村</w:t>
            </w:r>
          </w:p>
        </w:tc>
        <w:tc>
          <w:tcPr>
            <w:tcW w:w="2234"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9.15</w:t>
            </w:r>
          </w:p>
        </w:tc>
        <w:tc>
          <w:tcPr>
            <w:tcW w:w="1341"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1</w:t>
            </w:r>
          </w:p>
        </w:tc>
        <w:tc>
          <w:tcPr>
            <w:tcW w:w="1915"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35</w:t>
            </w:r>
          </w:p>
        </w:tc>
        <w:tc>
          <w:tcPr>
            <w:tcW w:w="1896"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30</w:t>
            </w:r>
          </w:p>
        </w:tc>
        <w:tc>
          <w:tcPr>
            <w:tcW w:w="1879"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18</w:t>
            </w:r>
          </w:p>
        </w:tc>
        <w:tc>
          <w:tcPr>
            <w:tcW w:w="1861"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灌溉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2521"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冯寨村</w:t>
            </w:r>
          </w:p>
        </w:tc>
        <w:tc>
          <w:tcPr>
            <w:tcW w:w="2234"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9.15</w:t>
            </w:r>
          </w:p>
        </w:tc>
        <w:tc>
          <w:tcPr>
            <w:tcW w:w="1341"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1</w:t>
            </w:r>
          </w:p>
        </w:tc>
        <w:tc>
          <w:tcPr>
            <w:tcW w:w="1915"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40</w:t>
            </w:r>
          </w:p>
        </w:tc>
        <w:tc>
          <w:tcPr>
            <w:tcW w:w="1896"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30</w:t>
            </w:r>
          </w:p>
        </w:tc>
        <w:tc>
          <w:tcPr>
            <w:tcW w:w="1879"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15</w:t>
            </w:r>
          </w:p>
        </w:tc>
        <w:tc>
          <w:tcPr>
            <w:tcW w:w="1861"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灌溉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jc w:val="center"/>
        </w:trPr>
        <w:tc>
          <w:tcPr>
            <w:tcW w:w="2521"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七王庙村</w:t>
            </w:r>
          </w:p>
        </w:tc>
        <w:tc>
          <w:tcPr>
            <w:tcW w:w="2234"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9.15</w:t>
            </w:r>
          </w:p>
        </w:tc>
        <w:tc>
          <w:tcPr>
            <w:tcW w:w="1341"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w:t>
            </w:r>
          </w:p>
        </w:tc>
        <w:tc>
          <w:tcPr>
            <w:tcW w:w="1915"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37</w:t>
            </w:r>
          </w:p>
        </w:tc>
        <w:tc>
          <w:tcPr>
            <w:tcW w:w="1896"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32</w:t>
            </w:r>
          </w:p>
        </w:tc>
        <w:tc>
          <w:tcPr>
            <w:tcW w:w="1879"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17</w:t>
            </w:r>
          </w:p>
        </w:tc>
        <w:tc>
          <w:tcPr>
            <w:tcW w:w="1861"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灌溉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2521"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老王庄村</w:t>
            </w:r>
          </w:p>
        </w:tc>
        <w:tc>
          <w:tcPr>
            <w:tcW w:w="2234"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9.15</w:t>
            </w:r>
          </w:p>
        </w:tc>
        <w:tc>
          <w:tcPr>
            <w:tcW w:w="1341"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w:t>
            </w:r>
          </w:p>
        </w:tc>
        <w:tc>
          <w:tcPr>
            <w:tcW w:w="1915"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42</w:t>
            </w:r>
          </w:p>
        </w:tc>
        <w:tc>
          <w:tcPr>
            <w:tcW w:w="1896"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34</w:t>
            </w:r>
          </w:p>
        </w:tc>
        <w:tc>
          <w:tcPr>
            <w:tcW w:w="1879"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16</w:t>
            </w:r>
          </w:p>
        </w:tc>
        <w:tc>
          <w:tcPr>
            <w:tcW w:w="1861"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灌溉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2521"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安寨村</w:t>
            </w:r>
          </w:p>
        </w:tc>
        <w:tc>
          <w:tcPr>
            <w:tcW w:w="2234"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9.15</w:t>
            </w:r>
          </w:p>
        </w:tc>
        <w:tc>
          <w:tcPr>
            <w:tcW w:w="1341"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w:t>
            </w:r>
          </w:p>
        </w:tc>
        <w:tc>
          <w:tcPr>
            <w:tcW w:w="1915"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40</w:t>
            </w:r>
          </w:p>
        </w:tc>
        <w:tc>
          <w:tcPr>
            <w:tcW w:w="1896"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33</w:t>
            </w:r>
          </w:p>
        </w:tc>
        <w:tc>
          <w:tcPr>
            <w:tcW w:w="1879"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17</w:t>
            </w:r>
          </w:p>
        </w:tc>
        <w:tc>
          <w:tcPr>
            <w:tcW w:w="1861"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灌溉</w:t>
            </w:r>
          </w:p>
        </w:tc>
      </w:tr>
    </w:tbl>
    <w:p>
      <w:pPr>
        <w:pStyle w:val="44"/>
        <w:numPr>
          <w:ilvl w:val="0"/>
          <w:numId w:val="0"/>
        </w:numPr>
        <w:ind w:firstLine="480"/>
        <w:jc w:val="left"/>
        <w:rPr>
          <w:b w:val="0"/>
          <w:color w:val="auto"/>
        </w:rPr>
      </w:pPr>
      <w:r>
        <w:rPr>
          <w:b w:val="0"/>
          <w:color w:val="auto"/>
        </w:rPr>
        <w:t>由表</w:t>
      </w:r>
      <w:r>
        <w:rPr>
          <w:rFonts w:hint="eastAsia"/>
          <w:b w:val="0"/>
          <w:color w:val="auto"/>
        </w:rPr>
        <w:t>4.2-13~4.2-14</w:t>
      </w:r>
      <w:r>
        <w:rPr>
          <w:b w:val="0"/>
          <w:color w:val="auto"/>
        </w:rPr>
        <w:t>的监测结果可知，各监测点位的各监测因子</w:t>
      </w:r>
      <w:r>
        <w:rPr>
          <w:rFonts w:hint="eastAsia"/>
          <w:b w:val="0"/>
          <w:color w:val="auto"/>
        </w:rPr>
        <w:t>均满足</w:t>
      </w:r>
      <w:r>
        <w:rPr>
          <w:b w:val="0"/>
          <w:color w:val="auto"/>
        </w:rPr>
        <w:t>《地下水质量标准》（GB/T14848-</w:t>
      </w:r>
      <w:r>
        <w:rPr>
          <w:rFonts w:hint="eastAsia"/>
          <w:b w:val="0"/>
          <w:color w:val="auto"/>
        </w:rPr>
        <w:t>2017</w:t>
      </w:r>
      <w:r>
        <w:rPr>
          <w:b w:val="0"/>
          <w:color w:val="auto"/>
        </w:rPr>
        <w:t>）中的</w:t>
      </w:r>
      <w:r>
        <w:rPr>
          <w:b w:val="0"/>
          <w:color w:val="auto"/>
        </w:rPr>
        <w:fldChar w:fldCharType="begin"/>
      </w:r>
      <w:r>
        <w:rPr>
          <w:b w:val="0"/>
          <w:color w:val="auto"/>
        </w:rPr>
        <w:instrText xml:space="preserve"> = 3 \* ROMAN </w:instrText>
      </w:r>
      <w:r>
        <w:rPr>
          <w:b w:val="0"/>
          <w:color w:val="auto"/>
        </w:rPr>
        <w:fldChar w:fldCharType="separate"/>
      </w:r>
      <w:r>
        <w:rPr>
          <w:b w:val="0"/>
          <w:color w:val="auto"/>
        </w:rPr>
        <w:t>III</w:t>
      </w:r>
      <w:r>
        <w:rPr>
          <w:b w:val="0"/>
          <w:color w:val="auto"/>
        </w:rPr>
        <w:fldChar w:fldCharType="end"/>
      </w:r>
      <w:r>
        <w:rPr>
          <w:b w:val="0"/>
          <w:color w:val="auto"/>
        </w:rPr>
        <w:t>类标准及</w:t>
      </w:r>
      <w:r>
        <w:rPr>
          <w:rFonts w:hint="eastAsia"/>
          <w:b w:val="0"/>
          <w:color w:val="auto"/>
        </w:rPr>
        <w:t>《畜禽养殖产地环境评价规范》（HJ568-2011）中相关要求</w:t>
      </w:r>
      <w:r>
        <w:rPr>
          <w:b w:val="0"/>
          <w:color w:val="auto"/>
        </w:rPr>
        <w:t>。</w:t>
      </w:r>
    </w:p>
    <w:p>
      <w:pPr>
        <w:pStyle w:val="44"/>
        <w:numPr>
          <w:ilvl w:val="0"/>
          <w:numId w:val="0"/>
        </w:numPr>
        <w:spacing w:line="240" w:lineRule="auto"/>
        <w:ind w:firstLine="480"/>
        <w:jc w:val="left"/>
        <w:rPr>
          <w:b w:val="0"/>
          <w:color w:val="auto"/>
        </w:rPr>
      </w:pPr>
    </w:p>
    <w:p>
      <w:pPr>
        <w:pStyle w:val="44"/>
        <w:numPr>
          <w:ilvl w:val="0"/>
          <w:numId w:val="0"/>
        </w:numPr>
        <w:spacing w:line="240" w:lineRule="auto"/>
        <w:ind w:left="420" w:hanging="420" w:hangingChars="175"/>
        <w:jc w:val="left"/>
        <w:rPr>
          <w:b w:val="0"/>
          <w:color w:val="auto"/>
        </w:rPr>
        <w:sectPr>
          <w:pgSz w:w="16838" w:h="11906" w:orient="landscape"/>
          <w:pgMar w:top="1474" w:right="1701" w:bottom="1474" w:left="1701" w:header="1134" w:footer="1247" w:gutter="0"/>
          <w:pgNumType w:chapStyle="1" w:chapSep="enDash"/>
          <w:cols w:space="720" w:num="1"/>
          <w:docGrid w:type="linesAndChars" w:linePitch="516" w:charSpace="-20"/>
        </w:sectPr>
      </w:pPr>
    </w:p>
    <w:p>
      <w:pPr>
        <w:pStyle w:val="6"/>
        <w:tabs>
          <w:tab w:val="left" w:pos="0"/>
        </w:tabs>
        <w:spacing w:before="120"/>
        <w:rPr>
          <w:color w:val="auto"/>
        </w:rPr>
      </w:pPr>
      <w:r>
        <w:rPr>
          <w:color w:val="auto"/>
        </w:rPr>
        <w:t>4.</w:t>
      </w:r>
      <w:r>
        <w:rPr>
          <w:rFonts w:hint="eastAsia"/>
          <w:color w:val="auto"/>
          <w:lang w:val="en-US"/>
        </w:rPr>
        <w:t>2</w:t>
      </w:r>
      <w:r>
        <w:rPr>
          <w:color w:val="auto"/>
        </w:rPr>
        <w:t>.4  声环境质量现状监测与评价</w:t>
      </w:r>
    </w:p>
    <w:p>
      <w:pPr>
        <w:autoSpaceDE w:val="0"/>
        <w:autoSpaceDN w:val="0"/>
        <w:ind w:firstLine="480"/>
        <w:rPr>
          <w:color w:val="auto"/>
        </w:rPr>
      </w:pPr>
      <w:r>
        <w:rPr>
          <w:color w:val="auto"/>
        </w:rPr>
        <w:t>4.</w:t>
      </w:r>
      <w:r>
        <w:rPr>
          <w:rFonts w:hint="eastAsia"/>
          <w:color w:val="auto"/>
        </w:rPr>
        <w:t>2</w:t>
      </w:r>
      <w:r>
        <w:rPr>
          <w:color w:val="auto"/>
        </w:rPr>
        <w:t>.4.1  监测点位布设</w:t>
      </w:r>
    </w:p>
    <w:p>
      <w:pPr>
        <w:pStyle w:val="44"/>
        <w:numPr>
          <w:ilvl w:val="0"/>
          <w:numId w:val="0"/>
        </w:numPr>
        <w:ind w:firstLine="480"/>
        <w:jc w:val="left"/>
        <w:rPr>
          <w:b w:val="0"/>
          <w:color w:val="auto"/>
        </w:rPr>
      </w:pPr>
      <w:r>
        <w:rPr>
          <w:b w:val="0"/>
          <w:color w:val="auto"/>
        </w:rPr>
        <w:t>根据项目厂址周围环境实况，本次评价声环境监测点在厂界四周各设置一个监测点（共</w:t>
      </w:r>
      <w:r>
        <w:rPr>
          <w:rFonts w:hint="eastAsia"/>
          <w:b w:val="0"/>
          <w:color w:val="auto"/>
        </w:rPr>
        <w:t>4</w:t>
      </w:r>
      <w:r>
        <w:rPr>
          <w:b w:val="0"/>
          <w:color w:val="auto"/>
        </w:rPr>
        <w:t>个监测点）。</w:t>
      </w:r>
    </w:p>
    <w:p>
      <w:pPr>
        <w:autoSpaceDE w:val="0"/>
        <w:autoSpaceDN w:val="0"/>
        <w:ind w:firstLine="480"/>
        <w:rPr>
          <w:color w:val="auto"/>
        </w:rPr>
      </w:pPr>
      <w:r>
        <w:rPr>
          <w:color w:val="auto"/>
        </w:rPr>
        <w:t>4.</w:t>
      </w:r>
      <w:r>
        <w:rPr>
          <w:rFonts w:hint="eastAsia"/>
          <w:color w:val="auto"/>
        </w:rPr>
        <w:t>2</w:t>
      </w:r>
      <w:r>
        <w:rPr>
          <w:color w:val="auto"/>
        </w:rPr>
        <w:t>.4.2  监测时间及监测频率</w:t>
      </w:r>
    </w:p>
    <w:p>
      <w:pPr>
        <w:pStyle w:val="44"/>
        <w:numPr>
          <w:ilvl w:val="0"/>
          <w:numId w:val="0"/>
        </w:numPr>
        <w:ind w:firstLine="480"/>
        <w:jc w:val="left"/>
        <w:rPr>
          <w:b w:val="0"/>
          <w:color w:val="auto"/>
        </w:rPr>
      </w:pPr>
      <w:r>
        <w:rPr>
          <w:b w:val="0"/>
          <w:color w:val="auto"/>
        </w:rPr>
        <w:t>连续监测2天，每天昼、夜各监测一次。</w:t>
      </w:r>
      <w:r>
        <w:rPr>
          <w:rFonts w:hint="eastAsia"/>
          <w:b w:val="0"/>
          <w:color w:val="auto"/>
        </w:rPr>
        <w:t>河南中玖环保科技有限公司</w:t>
      </w:r>
      <w:r>
        <w:rPr>
          <w:b w:val="0"/>
          <w:color w:val="auto"/>
        </w:rPr>
        <w:t>于20</w:t>
      </w:r>
      <w:r>
        <w:rPr>
          <w:rFonts w:hint="eastAsia"/>
          <w:b w:val="0"/>
          <w:color w:val="auto"/>
        </w:rPr>
        <w:t>20</w:t>
      </w:r>
      <w:r>
        <w:rPr>
          <w:b w:val="0"/>
          <w:color w:val="auto"/>
        </w:rPr>
        <w:t>年</w:t>
      </w:r>
      <w:r>
        <w:rPr>
          <w:rFonts w:hint="eastAsia"/>
          <w:b w:val="0"/>
          <w:color w:val="auto"/>
        </w:rPr>
        <w:t>9</w:t>
      </w:r>
      <w:r>
        <w:rPr>
          <w:b w:val="0"/>
          <w:color w:val="auto"/>
        </w:rPr>
        <w:t>月</w:t>
      </w:r>
      <w:r>
        <w:rPr>
          <w:rFonts w:hint="eastAsia"/>
          <w:b w:val="0"/>
          <w:color w:val="auto"/>
        </w:rPr>
        <w:t>15</w:t>
      </w:r>
      <w:r>
        <w:rPr>
          <w:b w:val="0"/>
          <w:color w:val="auto"/>
        </w:rPr>
        <w:t>日～20</w:t>
      </w:r>
      <w:r>
        <w:rPr>
          <w:rFonts w:hint="eastAsia"/>
          <w:b w:val="0"/>
          <w:color w:val="auto"/>
        </w:rPr>
        <w:t>20</w:t>
      </w:r>
      <w:r>
        <w:rPr>
          <w:b w:val="0"/>
          <w:color w:val="auto"/>
        </w:rPr>
        <w:t>年</w:t>
      </w:r>
      <w:r>
        <w:rPr>
          <w:rFonts w:hint="eastAsia"/>
          <w:b w:val="0"/>
          <w:color w:val="auto"/>
        </w:rPr>
        <w:t>9</w:t>
      </w:r>
      <w:r>
        <w:rPr>
          <w:b w:val="0"/>
          <w:color w:val="auto"/>
        </w:rPr>
        <w:t>月</w:t>
      </w:r>
      <w:r>
        <w:rPr>
          <w:rFonts w:hint="eastAsia"/>
          <w:b w:val="0"/>
          <w:color w:val="auto"/>
        </w:rPr>
        <w:t>16</w:t>
      </w:r>
      <w:r>
        <w:rPr>
          <w:b w:val="0"/>
          <w:color w:val="auto"/>
        </w:rPr>
        <w:t>日对布设点位进行监测。</w:t>
      </w:r>
    </w:p>
    <w:p>
      <w:pPr>
        <w:autoSpaceDE w:val="0"/>
        <w:autoSpaceDN w:val="0"/>
        <w:ind w:firstLine="480"/>
        <w:rPr>
          <w:color w:val="auto"/>
        </w:rPr>
      </w:pPr>
      <w:r>
        <w:rPr>
          <w:color w:val="auto"/>
        </w:rPr>
        <w:t>4.</w:t>
      </w:r>
      <w:r>
        <w:rPr>
          <w:rFonts w:hint="eastAsia"/>
          <w:color w:val="auto"/>
        </w:rPr>
        <w:t>2</w:t>
      </w:r>
      <w:r>
        <w:rPr>
          <w:color w:val="auto"/>
        </w:rPr>
        <w:t>.4.3  评价方法</w:t>
      </w:r>
    </w:p>
    <w:p>
      <w:pPr>
        <w:pStyle w:val="44"/>
        <w:numPr>
          <w:ilvl w:val="0"/>
          <w:numId w:val="0"/>
        </w:numPr>
        <w:ind w:firstLine="480"/>
        <w:jc w:val="left"/>
        <w:rPr>
          <w:b w:val="0"/>
          <w:color w:val="auto"/>
        </w:rPr>
      </w:pPr>
      <w:r>
        <w:rPr>
          <w:b w:val="0"/>
          <w:color w:val="auto"/>
        </w:rPr>
        <w:t>根据声环境现状监测结果，采用等效声级法，结合噪声评价标准，对</w:t>
      </w:r>
      <w:r>
        <w:rPr>
          <w:rFonts w:hint="eastAsia"/>
          <w:b w:val="0"/>
          <w:color w:val="auto"/>
        </w:rPr>
        <w:t>场</w:t>
      </w:r>
      <w:r>
        <w:rPr>
          <w:b w:val="0"/>
          <w:color w:val="auto"/>
        </w:rPr>
        <w:t>址声环境质量现状进行评价。</w:t>
      </w:r>
    </w:p>
    <w:p>
      <w:pPr>
        <w:autoSpaceDE w:val="0"/>
        <w:autoSpaceDN w:val="0"/>
        <w:ind w:firstLine="480"/>
        <w:rPr>
          <w:color w:val="auto"/>
        </w:rPr>
      </w:pPr>
      <w:r>
        <w:rPr>
          <w:color w:val="auto"/>
        </w:rPr>
        <w:t>4.</w:t>
      </w:r>
      <w:r>
        <w:rPr>
          <w:rFonts w:hint="eastAsia"/>
          <w:color w:val="auto"/>
        </w:rPr>
        <w:t>2</w:t>
      </w:r>
      <w:r>
        <w:rPr>
          <w:color w:val="auto"/>
        </w:rPr>
        <w:t>.4.4  评价标准</w:t>
      </w:r>
    </w:p>
    <w:p>
      <w:pPr>
        <w:pStyle w:val="44"/>
        <w:numPr>
          <w:ilvl w:val="0"/>
          <w:numId w:val="0"/>
        </w:numPr>
        <w:ind w:firstLine="480"/>
        <w:jc w:val="left"/>
        <w:rPr>
          <w:b w:val="0"/>
          <w:color w:val="auto"/>
        </w:rPr>
      </w:pPr>
      <w:r>
        <w:rPr>
          <w:b w:val="0"/>
          <w:color w:val="auto"/>
        </w:rPr>
        <w:t>本次声环境质量现状评价执行《声环境质量标准》（GB3096-2008）</w:t>
      </w:r>
      <w:r>
        <w:rPr>
          <w:rFonts w:hint="eastAsia"/>
          <w:b w:val="0"/>
          <w:color w:val="auto"/>
        </w:rPr>
        <w:t>2</w:t>
      </w:r>
      <w:r>
        <w:rPr>
          <w:b w:val="0"/>
          <w:color w:val="auto"/>
        </w:rPr>
        <w:t>类标准要求，本次声环境质量评价标准见表4</w:t>
      </w:r>
      <w:r>
        <w:rPr>
          <w:rFonts w:hint="eastAsia"/>
          <w:b w:val="0"/>
          <w:color w:val="auto"/>
        </w:rPr>
        <w:t>.2</w:t>
      </w:r>
      <w:r>
        <w:rPr>
          <w:b w:val="0"/>
          <w:color w:val="auto"/>
        </w:rPr>
        <w:t>-1</w:t>
      </w:r>
      <w:r>
        <w:rPr>
          <w:rFonts w:hint="eastAsia"/>
          <w:b w:val="0"/>
          <w:color w:val="auto"/>
        </w:rPr>
        <w:t>5</w:t>
      </w:r>
      <w:r>
        <w:rPr>
          <w:b w:val="0"/>
          <w:color w:val="auto"/>
        </w:rPr>
        <w:t>。</w:t>
      </w:r>
    </w:p>
    <w:p>
      <w:pPr>
        <w:pStyle w:val="44"/>
        <w:numPr>
          <w:ilvl w:val="0"/>
          <w:numId w:val="0"/>
        </w:numPr>
        <w:rPr>
          <w:color w:val="auto"/>
        </w:rPr>
      </w:pPr>
      <w:r>
        <w:rPr>
          <w:color w:val="auto"/>
        </w:rPr>
        <w:t>表4</w:t>
      </w:r>
      <w:r>
        <w:rPr>
          <w:rFonts w:hint="eastAsia"/>
          <w:color w:val="auto"/>
        </w:rPr>
        <w:t>.2</w:t>
      </w:r>
      <w:r>
        <w:rPr>
          <w:color w:val="auto"/>
        </w:rPr>
        <w:t>-1</w:t>
      </w:r>
      <w:r>
        <w:rPr>
          <w:rFonts w:hint="eastAsia"/>
          <w:color w:val="auto"/>
        </w:rPr>
        <w:t>5</w:t>
      </w:r>
      <w:r>
        <w:rPr>
          <w:color w:val="auto"/>
        </w:rPr>
        <w:t xml:space="preserve">                      声环境质量评价标准</w:t>
      </w:r>
    </w:p>
    <w:tbl>
      <w:tblPr>
        <w:tblStyle w:val="27"/>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897"/>
        <w:gridCol w:w="3058"/>
        <w:gridCol w:w="305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897" w:type="dxa"/>
            <w:tcMar>
              <w:top w:w="85" w:type="dxa"/>
              <w:bottom w:w="85" w:type="dxa"/>
            </w:tcMar>
            <w:vAlign w:val="center"/>
          </w:tcPr>
          <w:p>
            <w:pPr>
              <w:spacing w:line="240" w:lineRule="auto"/>
              <w:ind w:firstLine="420"/>
              <w:jc w:val="center"/>
              <w:rPr>
                <w:color w:val="auto"/>
                <w:sz w:val="21"/>
                <w:szCs w:val="21"/>
              </w:rPr>
            </w:pPr>
            <w:r>
              <w:rPr>
                <w:color w:val="auto"/>
                <w:sz w:val="21"/>
                <w:szCs w:val="21"/>
              </w:rPr>
              <w:t>声环境功能区类别</w:t>
            </w:r>
          </w:p>
        </w:tc>
        <w:tc>
          <w:tcPr>
            <w:tcW w:w="3058" w:type="dxa"/>
            <w:tcMar>
              <w:top w:w="85" w:type="dxa"/>
              <w:bottom w:w="85" w:type="dxa"/>
            </w:tcMar>
            <w:vAlign w:val="center"/>
          </w:tcPr>
          <w:p>
            <w:pPr>
              <w:spacing w:line="240" w:lineRule="auto"/>
              <w:ind w:firstLine="420"/>
              <w:jc w:val="center"/>
              <w:rPr>
                <w:color w:val="auto"/>
                <w:sz w:val="21"/>
                <w:szCs w:val="21"/>
              </w:rPr>
            </w:pPr>
            <w:r>
              <w:rPr>
                <w:color w:val="auto"/>
                <w:sz w:val="21"/>
                <w:szCs w:val="21"/>
              </w:rPr>
              <w:t>昼间[dB(A)]</w:t>
            </w:r>
          </w:p>
        </w:tc>
        <w:tc>
          <w:tcPr>
            <w:tcW w:w="3059" w:type="dxa"/>
            <w:tcMar>
              <w:top w:w="85" w:type="dxa"/>
              <w:bottom w:w="85" w:type="dxa"/>
            </w:tcMar>
            <w:vAlign w:val="center"/>
          </w:tcPr>
          <w:p>
            <w:pPr>
              <w:spacing w:line="240" w:lineRule="auto"/>
              <w:ind w:firstLine="420"/>
              <w:jc w:val="center"/>
              <w:rPr>
                <w:color w:val="auto"/>
                <w:sz w:val="21"/>
                <w:szCs w:val="21"/>
              </w:rPr>
            </w:pPr>
            <w:r>
              <w:rPr>
                <w:color w:val="auto"/>
                <w:sz w:val="21"/>
                <w:szCs w:val="21"/>
              </w:rPr>
              <w:t>夜间[dB(A)]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897" w:type="dxa"/>
            <w:tcMar>
              <w:top w:w="85" w:type="dxa"/>
              <w:bottom w:w="85" w:type="dxa"/>
            </w:tcMar>
            <w:vAlign w:val="center"/>
          </w:tcPr>
          <w:p>
            <w:pPr>
              <w:spacing w:line="240" w:lineRule="auto"/>
              <w:ind w:firstLine="420"/>
              <w:jc w:val="center"/>
              <w:rPr>
                <w:color w:val="auto"/>
                <w:sz w:val="21"/>
                <w:szCs w:val="21"/>
              </w:rPr>
            </w:pPr>
            <w:r>
              <w:rPr>
                <w:rFonts w:hint="eastAsia"/>
                <w:color w:val="auto"/>
                <w:sz w:val="21"/>
                <w:szCs w:val="21"/>
              </w:rPr>
              <w:t>2</w:t>
            </w:r>
            <w:r>
              <w:rPr>
                <w:color w:val="auto"/>
                <w:sz w:val="21"/>
                <w:szCs w:val="21"/>
              </w:rPr>
              <w:t>类</w:t>
            </w:r>
          </w:p>
        </w:tc>
        <w:tc>
          <w:tcPr>
            <w:tcW w:w="3058" w:type="dxa"/>
            <w:tcMar>
              <w:top w:w="85" w:type="dxa"/>
              <w:bottom w:w="85" w:type="dxa"/>
            </w:tcMar>
            <w:vAlign w:val="center"/>
          </w:tcPr>
          <w:p>
            <w:pPr>
              <w:spacing w:line="240" w:lineRule="auto"/>
              <w:ind w:firstLine="420"/>
              <w:jc w:val="center"/>
              <w:rPr>
                <w:color w:val="auto"/>
                <w:sz w:val="21"/>
                <w:szCs w:val="21"/>
              </w:rPr>
            </w:pPr>
            <w:r>
              <w:rPr>
                <w:rFonts w:hint="eastAsia"/>
                <w:color w:val="auto"/>
                <w:sz w:val="21"/>
                <w:szCs w:val="21"/>
              </w:rPr>
              <w:t>60</w:t>
            </w:r>
          </w:p>
        </w:tc>
        <w:tc>
          <w:tcPr>
            <w:tcW w:w="3059" w:type="dxa"/>
            <w:tcMar>
              <w:top w:w="85" w:type="dxa"/>
              <w:bottom w:w="85" w:type="dxa"/>
            </w:tcMar>
            <w:vAlign w:val="center"/>
          </w:tcPr>
          <w:p>
            <w:pPr>
              <w:spacing w:line="240" w:lineRule="auto"/>
              <w:ind w:firstLine="420"/>
              <w:jc w:val="center"/>
              <w:rPr>
                <w:color w:val="auto"/>
                <w:sz w:val="21"/>
                <w:szCs w:val="21"/>
              </w:rPr>
            </w:pPr>
            <w:r>
              <w:rPr>
                <w:rFonts w:hint="eastAsia"/>
                <w:color w:val="auto"/>
                <w:sz w:val="21"/>
                <w:szCs w:val="21"/>
              </w:rPr>
              <w:t>50</w:t>
            </w:r>
          </w:p>
        </w:tc>
      </w:tr>
    </w:tbl>
    <w:p>
      <w:pPr>
        <w:autoSpaceDE w:val="0"/>
        <w:autoSpaceDN w:val="0"/>
        <w:ind w:firstLine="480"/>
        <w:rPr>
          <w:color w:val="auto"/>
        </w:rPr>
      </w:pPr>
      <w:r>
        <w:rPr>
          <w:color w:val="auto"/>
        </w:rPr>
        <w:t>4.</w:t>
      </w:r>
      <w:r>
        <w:rPr>
          <w:rFonts w:hint="eastAsia"/>
          <w:color w:val="auto"/>
        </w:rPr>
        <w:t>2</w:t>
      </w:r>
      <w:r>
        <w:rPr>
          <w:color w:val="auto"/>
        </w:rPr>
        <w:t>.4.5  监测结果统计及评价</w:t>
      </w:r>
    </w:p>
    <w:p>
      <w:pPr>
        <w:pStyle w:val="44"/>
        <w:numPr>
          <w:ilvl w:val="0"/>
          <w:numId w:val="0"/>
        </w:numPr>
        <w:spacing w:line="240" w:lineRule="auto"/>
        <w:ind w:left="420" w:hanging="420"/>
        <w:jc w:val="left"/>
        <w:rPr>
          <w:b w:val="0"/>
          <w:color w:val="auto"/>
        </w:rPr>
      </w:pPr>
      <w:r>
        <w:rPr>
          <w:b w:val="0"/>
          <w:color w:val="auto"/>
        </w:rPr>
        <w:t xml:space="preserve">    本次声环境质量现状监测数据统计分析结果见表4</w:t>
      </w:r>
      <w:r>
        <w:rPr>
          <w:rFonts w:hint="eastAsia"/>
          <w:b w:val="0"/>
          <w:color w:val="auto"/>
        </w:rPr>
        <w:t>.2</w:t>
      </w:r>
      <w:r>
        <w:rPr>
          <w:b w:val="0"/>
          <w:color w:val="auto"/>
        </w:rPr>
        <w:t>-1</w:t>
      </w:r>
      <w:r>
        <w:rPr>
          <w:rFonts w:hint="eastAsia"/>
          <w:b w:val="0"/>
          <w:color w:val="auto"/>
        </w:rPr>
        <w:t>6</w:t>
      </w:r>
      <w:r>
        <w:rPr>
          <w:b w:val="0"/>
          <w:color w:val="auto"/>
        </w:rPr>
        <w:t>。</w:t>
      </w:r>
    </w:p>
    <w:p>
      <w:pPr>
        <w:spacing w:after="93" w:afterLines="30" w:line="500" w:lineRule="exact"/>
        <w:ind w:firstLine="0" w:firstLineChars="0"/>
        <w:jc w:val="center"/>
        <w:rPr>
          <w:b/>
          <w:color w:val="auto"/>
        </w:rPr>
      </w:pPr>
      <w:r>
        <w:rPr>
          <w:b/>
          <w:color w:val="auto"/>
        </w:rPr>
        <w:t>表4</w:t>
      </w:r>
      <w:r>
        <w:rPr>
          <w:rFonts w:hint="eastAsia"/>
          <w:b/>
          <w:color w:val="auto"/>
        </w:rPr>
        <w:t>.2</w:t>
      </w:r>
      <w:r>
        <w:rPr>
          <w:b/>
          <w:color w:val="auto"/>
        </w:rPr>
        <w:t>-1</w:t>
      </w:r>
      <w:r>
        <w:rPr>
          <w:rFonts w:hint="eastAsia"/>
          <w:b/>
          <w:color w:val="auto"/>
        </w:rPr>
        <w:t>6</w:t>
      </w:r>
      <w:r>
        <w:rPr>
          <w:b/>
          <w:color w:val="auto"/>
        </w:rPr>
        <w:t xml:space="preserve">        声环境质量现状监测结果统计一览表</w:t>
      </w:r>
      <w:r>
        <w:rPr>
          <w:rStyle w:val="31"/>
          <w:rFonts w:hint="eastAsia"/>
          <w:color w:val="auto"/>
        </w:rPr>
        <w:t xml:space="preserve"> 单位：</w:t>
      </w:r>
      <w:r>
        <w:rPr>
          <w:color w:val="auto"/>
          <w:sz w:val="21"/>
          <w:szCs w:val="21"/>
        </w:rPr>
        <w:t>dB(A)</w:t>
      </w:r>
    </w:p>
    <w:tbl>
      <w:tblPr>
        <w:tblStyle w:val="27"/>
        <w:tblW w:w="4999"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427"/>
        <w:gridCol w:w="1575"/>
        <w:gridCol w:w="1362"/>
        <w:gridCol w:w="1090"/>
        <w:gridCol w:w="1226"/>
        <w:gridCol w:w="2048"/>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1" w:hRule="exact"/>
          <w:jc w:val="center"/>
        </w:trPr>
        <w:tc>
          <w:tcPr>
            <w:tcW w:w="1720" w:type="pct"/>
            <w:gridSpan w:val="2"/>
            <w:vMerge w:val="restart"/>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color w:val="auto"/>
                <w:kern w:val="0"/>
                <w:sz w:val="21"/>
                <w:szCs w:val="21"/>
              </w:rPr>
              <w:t>监测时间</w:t>
            </w:r>
          </w:p>
        </w:tc>
        <w:tc>
          <w:tcPr>
            <w:tcW w:w="3279" w:type="pct"/>
            <w:gridSpan w:val="4"/>
            <w:tcBorders>
              <w:tl2br w:val="nil"/>
              <w:tr2bl w:val="nil"/>
            </w:tcBorders>
            <w:vAlign w:val="center"/>
          </w:tcPr>
          <w:p>
            <w:pPr>
              <w:autoSpaceDE w:val="0"/>
              <w:autoSpaceDN w:val="0"/>
              <w:snapToGrid/>
              <w:spacing w:line="240" w:lineRule="auto"/>
              <w:ind w:firstLine="0" w:firstLineChars="0"/>
              <w:jc w:val="center"/>
              <w:rPr>
                <w:b/>
                <w:bCs/>
                <w:color w:val="auto"/>
                <w:kern w:val="0"/>
                <w:sz w:val="21"/>
                <w:szCs w:val="21"/>
              </w:rPr>
            </w:pPr>
            <w:r>
              <w:rPr>
                <w:color w:val="auto"/>
                <w:kern w:val="0"/>
                <w:sz w:val="21"/>
                <w:szCs w:val="21"/>
              </w:rPr>
              <w:t>监测点位</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1" w:hRule="exact"/>
          <w:jc w:val="center"/>
        </w:trPr>
        <w:tc>
          <w:tcPr>
            <w:tcW w:w="1720" w:type="pct"/>
            <w:gridSpan w:val="2"/>
            <w:vMerge w:val="continue"/>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color w:val="auto"/>
                <w:kern w:val="0"/>
                <w:sz w:val="21"/>
                <w:szCs w:val="21"/>
              </w:rPr>
              <w:t>监测点位</w:t>
            </w:r>
          </w:p>
        </w:tc>
        <w:tc>
          <w:tcPr>
            <w:tcW w:w="780" w:type="pct"/>
            <w:tcBorders>
              <w:tl2br w:val="nil"/>
              <w:tr2bl w:val="nil"/>
            </w:tcBorders>
            <w:vAlign w:val="center"/>
          </w:tcPr>
          <w:p>
            <w:pPr>
              <w:adjustRightInd/>
              <w:snapToGrid/>
              <w:spacing w:line="240" w:lineRule="auto"/>
              <w:ind w:firstLine="0" w:firstLineChars="0"/>
              <w:jc w:val="center"/>
              <w:rPr>
                <w:color w:val="auto"/>
                <w:kern w:val="0"/>
                <w:sz w:val="21"/>
                <w:szCs w:val="21"/>
              </w:rPr>
            </w:pPr>
            <w:r>
              <w:rPr>
                <w:color w:val="auto"/>
                <w:sz w:val="18"/>
                <w:szCs w:val="18"/>
              </w:rPr>
              <w:t>东厂</w:t>
            </w:r>
            <w:r>
              <w:rPr>
                <w:rFonts w:hint="eastAsia"/>
                <w:color w:val="auto"/>
                <w:sz w:val="18"/>
                <w:szCs w:val="18"/>
              </w:rPr>
              <w:t>址</w:t>
            </w:r>
          </w:p>
        </w:tc>
        <w:tc>
          <w:tcPr>
            <w:tcW w:w="624" w:type="pct"/>
            <w:tcBorders>
              <w:tl2br w:val="nil"/>
              <w:tr2bl w:val="nil"/>
            </w:tcBorders>
            <w:vAlign w:val="center"/>
          </w:tcPr>
          <w:p>
            <w:pPr>
              <w:adjustRightInd/>
              <w:snapToGrid/>
              <w:spacing w:line="240" w:lineRule="auto"/>
              <w:ind w:firstLine="0" w:firstLineChars="0"/>
              <w:jc w:val="center"/>
              <w:rPr>
                <w:color w:val="auto"/>
                <w:kern w:val="0"/>
                <w:sz w:val="21"/>
                <w:szCs w:val="21"/>
              </w:rPr>
            </w:pPr>
            <w:r>
              <w:rPr>
                <w:rFonts w:hint="eastAsia"/>
                <w:color w:val="auto"/>
                <w:sz w:val="18"/>
                <w:szCs w:val="18"/>
              </w:rPr>
              <w:t>南</w:t>
            </w:r>
            <w:r>
              <w:rPr>
                <w:color w:val="auto"/>
                <w:sz w:val="18"/>
                <w:szCs w:val="18"/>
              </w:rPr>
              <w:t>厂</w:t>
            </w:r>
            <w:r>
              <w:rPr>
                <w:rFonts w:hint="eastAsia"/>
                <w:color w:val="auto"/>
                <w:sz w:val="18"/>
                <w:szCs w:val="18"/>
              </w:rPr>
              <w:t>址</w:t>
            </w:r>
          </w:p>
        </w:tc>
        <w:tc>
          <w:tcPr>
            <w:tcW w:w="702" w:type="pct"/>
            <w:tcBorders>
              <w:tl2br w:val="nil"/>
              <w:tr2bl w:val="nil"/>
            </w:tcBorders>
            <w:vAlign w:val="center"/>
          </w:tcPr>
          <w:p>
            <w:pPr>
              <w:adjustRightInd/>
              <w:snapToGrid/>
              <w:spacing w:line="240" w:lineRule="auto"/>
              <w:ind w:firstLine="0" w:firstLineChars="0"/>
              <w:jc w:val="center"/>
              <w:rPr>
                <w:color w:val="auto"/>
                <w:kern w:val="0"/>
                <w:sz w:val="21"/>
                <w:szCs w:val="21"/>
              </w:rPr>
            </w:pPr>
            <w:r>
              <w:rPr>
                <w:rFonts w:hint="eastAsia"/>
                <w:color w:val="auto"/>
                <w:sz w:val="18"/>
                <w:szCs w:val="18"/>
              </w:rPr>
              <w:t>西</w:t>
            </w:r>
            <w:r>
              <w:rPr>
                <w:color w:val="auto"/>
                <w:sz w:val="18"/>
                <w:szCs w:val="18"/>
              </w:rPr>
              <w:t>厂</w:t>
            </w:r>
            <w:r>
              <w:rPr>
                <w:rFonts w:hint="eastAsia"/>
                <w:color w:val="auto"/>
                <w:sz w:val="18"/>
                <w:szCs w:val="18"/>
              </w:rPr>
              <w:t>址</w:t>
            </w:r>
          </w:p>
        </w:tc>
        <w:tc>
          <w:tcPr>
            <w:tcW w:w="1172" w:type="pct"/>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rFonts w:hint="eastAsia"/>
                <w:color w:val="auto"/>
                <w:sz w:val="18"/>
                <w:szCs w:val="18"/>
              </w:rPr>
              <w:t>北</w:t>
            </w:r>
            <w:r>
              <w:rPr>
                <w:color w:val="auto"/>
                <w:sz w:val="18"/>
                <w:szCs w:val="18"/>
              </w:rPr>
              <w:t>厂</w:t>
            </w:r>
            <w:r>
              <w:rPr>
                <w:rFonts w:hint="eastAsia"/>
                <w:color w:val="auto"/>
                <w:sz w:val="18"/>
                <w:szCs w:val="18"/>
              </w:rPr>
              <w:t>址</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1" w:hRule="exact"/>
          <w:jc w:val="center"/>
        </w:trPr>
        <w:tc>
          <w:tcPr>
            <w:tcW w:w="818" w:type="pct"/>
            <w:vMerge w:val="restart"/>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color w:val="auto"/>
                <w:kern w:val="0"/>
                <w:sz w:val="21"/>
                <w:szCs w:val="21"/>
              </w:rPr>
              <w:t>20</w:t>
            </w:r>
            <w:r>
              <w:rPr>
                <w:rFonts w:hint="eastAsia"/>
                <w:color w:val="auto"/>
                <w:kern w:val="0"/>
                <w:sz w:val="21"/>
                <w:szCs w:val="21"/>
              </w:rPr>
              <w:t>20</w:t>
            </w:r>
            <w:r>
              <w:rPr>
                <w:color w:val="auto"/>
                <w:kern w:val="0"/>
                <w:sz w:val="21"/>
                <w:szCs w:val="21"/>
              </w:rPr>
              <w:t>.</w:t>
            </w:r>
            <w:r>
              <w:rPr>
                <w:rFonts w:hint="eastAsia"/>
                <w:color w:val="auto"/>
                <w:kern w:val="0"/>
                <w:sz w:val="21"/>
                <w:szCs w:val="21"/>
              </w:rPr>
              <w:t>9.15</w:t>
            </w:r>
          </w:p>
        </w:tc>
        <w:tc>
          <w:tcPr>
            <w:tcW w:w="901" w:type="pct"/>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color w:val="auto"/>
                <w:kern w:val="0"/>
                <w:sz w:val="21"/>
                <w:szCs w:val="21"/>
              </w:rPr>
              <w:t>昼间</w:t>
            </w:r>
          </w:p>
        </w:tc>
        <w:tc>
          <w:tcPr>
            <w:tcW w:w="1362" w:type="dxa"/>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rFonts w:hint="eastAsia"/>
                <w:color w:val="auto"/>
                <w:kern w:val="0"/>
                <w:sz w:val="21"/>
                <w:szCs w:val="21"/>
              </w:rPr>
              <w:t>44.8</w:t>
            </w:r>
          </w:p>
        </w:tc>
        <w:tc>
          <w:tcPr>
            <w:tcW w:w="1090" w:type="dxa"/>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rFonts w:hint="eastAsia"/>
                <w:color w:val="auto"/>
                <w:kern w:val="0"/>
                <w:sz w:val="21"/>
                <w:szCs w:val="21"/>
              </w:rPr>
              <w:t>36.7</w:t>
            </w:r>
          </w:p>
        </w:tc>
        <w:tc>
          <w:tcPr>
            <w:tcW w:w="1226" w:type="dxa"/>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rFonts w:hint="eastAsia"/>
                <w:color w:val="auto"/>
                <w:kern w:val="0"/>
                <w:sz w:val="21"/>
                <w:szCs w:val="21"/>
              </w:rPr>
              <w:t>44.6</w:t>
            </w:r>
          </w:p>
        </w:tc>
        <w:tc>
          <w:tcPr>
            <w:tcW w:w="2048" w:type="dxa"/>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rFonts w:hint="eastAsia"/>
                <w:color w:val="auto"/>
                <w:kern w:val="0"/>
                <w:sz w:val="21"/>
                <w:szCs w:val="21"/>
              </w:rPr>
              <w:t>36.5</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82" w:hRule="exact"/>
          <w:jc w:val="center"/>
        </w:trPr>
        <w:tc>
          <w:tcPr>
            <w:tcW w:w="818" w:type="pct"/>
            <w:vMerge w:val="continue"/>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p>
        </w:tc>
        <w:tc>
          <w:tcPr>
            <w:tcW w:w="901" w:type="pct"/>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color w:val="auto"/>
                <w:kern w:val="0"/>
                <w:sz w:val="21"/>
                <w:szCs w:val="21"/>
              </w:rPr>
              <w:t>夜间</w:t>
            </w:r>
          </w:p>
        </w:tc>
        <w:tc>
          <w:tcPr>
            <w:tcW w:w="1362" w:type="dxa"/>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rFonts w:hint="eastAsia"/>
                <w:color w:val="auto"/>
                <w:kern w:val="0"/>
                <w:sz w:val="21"/>
                <w:szCs w:val="21"/>
              </w:rPr>
              <w:t>43.9</w:t>
            </w:r>
          </w:p>
        </w:tc>
        <w:tc>
          <w:tcPr>
            <w:tcW w:w="1090" w:type="dxa"/>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rFonts w:hint="eastAsia"/>
                <w:color w:val="auto"/>
                <w:kern w:val="0"/>
                <w:sz w:val="21"/>
                <w:szCs w:val="21"/>
              </w:rPr>
              <w:t>35.6</w:t>
            </w:r>
          </w:p>
        </w:tc>
        <w:tc>
          <w:tcPr>
            <w:tcW w:w="1226" w:type="dxa"/>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rFonts w:hint="eastAsia"/>
                <w:color w:val="auto"/>
                <w:kern w:val="0"/>
                <w:sz w:val="21"/>
                <w:szCs w:val="21"/>
              </w:rPr>
              <w:t>43.5</w:t>
            </w:r>
          </w:p>
        </w:tc>
        <w:tc>
          <w:tcPr>
            <w:tcW w:w="2048" w:type="dxa"/>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rFonts w:hint="eastAsia"/>
                <w:color w:val="auto"/>
                <w:kern w:val="0"/>
                <w:sz w:val="21"/>
                <w:szCs w:val="21"/>
              </w:rPr>
              <w:t>35.1</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1" w:hRule="exact"/>
          <w:jc w:val="center"/>
        </w:trPr>
        <w:tc>
          <w:tcPr>
            <w:tcW w:w="818" w:type="pct"/>
            <w:vMerge w:val="restart"/>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color w:val="auto"/>
                <w:kern w:val="0"/>
                <w:sz w:val="21"/>
                <w:szCs w:val="21"/>
              </w:rPr>
              <w:t>20</w:t>
            </w:r>
            <w:r>
              <w:rPr>
                <w:rFonts w:hint="eastAsia"/>
                <w:color w:val="auto"/>
                <w:kern w:val="0"/>
                <w:sz w:val="21"/>
                <w:szCs w:val="21"/>
              </w:rPr>
              <w:t>20</w:t>
            </w:r>
            <w:r>
              <w:rPr>
                <w:color w:val="auto"/>
                <w:kern w:val="0"/>
                <w:sz w:val="21"/>
                <w:szCs w:val="21"/>
              </w:rPr>
              <w:t>.</w:t>
            </w:r>
            <w:r>
              <w:rPr>
                <w:rFonts w:hint="eastAsia"/>
                <w:color w:val="auto"/>
                <w:kern w:val="0"/>
                <w:sz w:val="21"/>
                <w:szCs w:val="21"/>
              </w:rPr>
              <w:t>9.16</w:t>
            </w:r>
          </w:p>
        </w:tc>
        <w:tc>
          <w:tcPr>
            <w:tcW w:w="901" w:type="pct"/>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color w:val="auto"/>
                <w:kern w:val="0"/>
                <w:sz w:val="21"/>
                <w:szCs w:val="21"/>
              </w:rPr>
              <w:t>昼间</w:t>
            </w:r>
          </w:p>
        </w:tc>
        <w:tc>
          <w:tcPr>
            <w:tcW w:w="1362" w:type="dxa"/>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rFonts w:hint="eastAsia"/>
                <w:color w:val="auto"/>
                <w:kern w:val="0"/>
                <w:sz w:val="21"/>
                <w:szCs w:val="21"/>
              </w:rPr>
              <w:t>45.2</w:t>
            </w:r>
          </w:p>
        </w:tc>
        <w:tc>
          <w:tcPr>
            <w:tcW w:w="1090" w:type="dxa"/>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rFonts w:hint="eastAsia"/>
                <w:color w:val="auto"/>
                <w:kern w:val="0"/>
                <w:sz w:val="21"/>
                <w:szCs w:val="21"/>
              </w:rPr>
              <w:t>36.9</w:t>
            </w:r>
          </w:p>
        </w:tc>
        <w:tc>
          <w:tcPr>
            <w:tcW w:w="1226" w:type="dxa"/>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rFonts w:hint="eastAsia"/>
                <w:color w:val="auto"/>
                <w:kern w:val="0"/>
                <w:sz w:val="21"/>
                <w:szCs w:val="21"/>
              </w:rPr>
              <w:t>44.8</w:t>
            </w:r>
          </w:p>
        </w:tc>
        <w:tc>
          <w:tcPr>
            <w:tcW w:w="2048" w:type="dxa"/>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rFonts w:hint="eastAsia"/>
                <w:color w:val="auto"/>
                <w:kern w:val="0"/>
                <w:sz w:val="21"/>
                <w:szCs w:val="21"/>
              </w:rPr>
              <w:t>36.8</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1" w:hRule="exact"/>
          <w:jc w:val="center"/>
        </w:trPr>
        <w:tc>
          <w:tcPr>
            <w:tcW w:w="818" w:type="pct"/>
            <w:vMerge w:val="continue"/>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p>
        </w:tc>
        <w:tc>
          <w:tcPr>
            <w:tcW w:w="901" w:type="pct"/>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color w:val="auto"/>
                <w:kern w:val="0"/>
                <w:sz w:val="21"/>
                <w:szCs w:val="21"/>
              </w:rPr>
              <w:t>夜间</w:t>
            </w:r>
          </w:p>
        </w:tc>
        <w:tc>
          <w:tcPr>
            <w:tcW w:w="1362" w:type="dxa"/>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rFonts w:hint="eastAsia"/>
                <w:color w:val="auto"/>
                <w:kern w:val="0"/>
                <w:sz w:val="21"/>
                <w:szCs w:val="21"/>
              </w:rPr>
              <w:t>42.1</w:t>
            </w:r>
          </w:p>
        </w:tc>
        <w:tc>
          <w:tcPr>
            <w:tcW w:w="1090" w:type="dxa"/>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rFonts w:hint="eastAsia"/>
                <w:color w:val="auto"/>
                <w:kern w:val="0"/>
                <w:sz w:val="21"/>
                <w:szCs w:val="21"/>
              </w:rPr>
              <w:t>34.2</w:t>
            </w:r>
          </w:p>
        </w:tc>
        <w:tc>
          <w:tcPr>
            <w:tcW w:w="1226" w:type="dxa"/>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rFonts w:hint="eastAsia"/>
                <w:color w:val="auto"/>
                <w:kern w:val="0"/>
                <w:sz w:val="21"/>
                <w:szCs w:val="21"/>
              </w:rPr>
              <w:t>41.9</w:t>
            </w:r>
          </w:p>
        </w:tc>
        <w:tc>
          <w:tcPr>
            <w:tcW w:w="2048" w:type="dxa"/>
            <w:tcBorders>
              <w:tl2br w:val="nil"/>
              <w:tr2bl w:val="nil"/>
            </w:tcBorders>
            <w:vAlign w:val="center"/>
          </w:tcPr>
          <w:p>
            <w:pPr>
              <w:autoSpaceDE w:val="0"/>
              <w:autoSpaceDN w:val="0"/>
              <w:snapToGrid/>
              <w:spacing w:line="240" w:lineRule="auto"/>
              <w:ind w:firstLine="0" w:firstLineChars="0"/>
              <w:jc w:val="center"/>
              <w:rPr>
                <w:color w:val="auto"/>
                <w:kern w:val="0"/>
                <w:sz w:val="21"/>
                <w:szCs w:val="21"/>
              </w:rPr>
            </w:pPr>
            <w:r>
              <w:rPr>
                <w:rFonts w:hint="eastAsia"/>
                <w:color w:val="auto"/>
                <w:kern w:val="0"/>
                <w:sz w:val="21"/>
                <w:szCs w:val="21"/>
              </w:rPr>
              <w:t>34.6</w:t>
            </w:r>
          </w:p>
        </w:tc>
      </w:tr>
    </w:tbl>
    <w:p>
      <w:pPr>
        <w:pStyle w:val="44"/>
        <w:numPr>
          <w:ilvl w:val="0"/>
          <w:numId w:val="0"/>
        </w:numPr>
        <w:ind w:firstLine="480" w:firstLineChars="200"/>
        <w:jc w:val="left"/>
        <w:rPr>
          <w:b w:val="0"/>
          <w:color w:val="auto"/>
        </w:rPr>
      </w:pPr>
      <w:r>
        <w:rPr>
          <w:b w:val="0"/>
          <w:color w:val="auto"/>
        </w:rPr>
        <w:t>由表4</w:t>
      </w:r>
      <w:r>
        <w:rPr>
          <w:rFonts w:hint="eastAsia"/>
          <w:b w:val="0"/>
          <w:color w:val="auto"/>
        </w:rPr>
        <w:t>.2</w:t>
      </w:r>
      <w:r>
        <w:rPr>
          <w:b w:val="0"/>
          <w:color w:val="auto"/>
        </w:rPr>
        <w:t>-1</w:t>
      </w:r>
      <w:r>
        <w:rPr>
          <w:rFonts w:hint="eastAsia"/>
          <w:b w:val="0"/>
          <w:color w:val="auto"/>
        </w:rPr>
        <w:t>6</w:t>
      </w:r>
      <w:r>
        <w:rPr>
          <w:b w:val="0"/>
          <w:color w:val="auto"/>
        </w:rPr>
        <w:t>可以看出：项目厂址四周声环境质量现状昼、夜监测结果均能满足《声环境质量标准》（GB3096-2008）</w:t>
      </w:r>
      <w:r>
        <w:rPr>
          <w:rFonts w:hint="eastAsia"/>
          <w:b w:val="0"/>
          <w:color w:val="auto"/>
        </w:rPr>
        <w:t>2</w:t>
      </w:r>
      <w:r>
        <w:rPr>
          <w:b w:val="0"/>
          <w:color w:val="auto"/>
        </w:rPr>
        <w:t>类标准要求，说明项目厂址所在区域声环境质量现状良好。</w:t>
      </w:r>
    </w:p>
    <w:p>
      <w:pPr>
        <w:pStyle w:val="6"/>
        <w:tabs>
          <w:tab w:val="left" w:pos="0"/>
        </w:tabs>
        <w:rPr>
          <w:color w:val="auto"/>
        </w:rPr>
      </w:pPr>
      <w:r>
        <w:rPr>
          <w:color w:val="auto"/>
        </w:rPr>
        <w:t>4.</w:t>
      </w:r>
      <w:r>
        <w:rPr>
          <w:rFonts w:hint="eastAsia"/>
          <w:color w:val="auto"/>
          <w:lang w:val="en-US"/>
        </w:rPr>
        <w:t>2</w:t>
      </w:r>
      <w:r>
        <w:rPr>
          <w:color w:val="auto"/>
        </w:rPr>
        <w:t xml:space="preserve">.5  </w:t>
      </w:r>
      <w:r>
        <w:rPr>
          <w:rFonts w:hint="eastAsia"/>
          <w:color w:val="auto"/>
        </w:rPr>
        <w:t>土壤</w:t>
      </w:r>
      <w:r>
        <w:rPr>
          <w:color w:val="auto"/>
        </w:rPr>
        <w:t>环境质量现状监测与评价</w:t>
      </w:r>
    </w:p>
    <w:p>
      <w:pPr>
        <w:autoSpaceDE w:val="0"/>
        <w:autoSpaceDN w:val="0"/>
        <w:ind w:firstLine="480"/>
        <w:rPr>
          <w:color w:val="auto"/>
        </w:rPr>
      </w:pPr>
      <w:r>
        <w:rPr>
          <w:color w:val="auto"/>
        </w:rPr>
        <w:t>4.</w:t>
      </w:r>
      <w:r>
        <w:rPr>
          <w:rFonts w:hint="eastAsia"/>
          <w:color w:val="auto"/>
        </w:rPr>
        <w:t>2</w:t>
      </w:r>
      <w:r>
        <w:rPr>
          <w:color w:val="auto"/>
        </w:rPr>
        <w:t>.</w:t>
      </w:r>
      <w:r>
        <w:rPr>
          <w:rFonts w:hint="eastAsia"/>
          <w:color w:val="auto"/>
        </w:rPr>
        <w:t>5</w:t>
      </w:r>
      <w:r>
        <w:rPr>
          <w:color w:val="auto"/>
        </w:rPr>
        <w:t>.1  监测点位及监测因子</w:t>
      </w:r>
      <w:r>
        <w:rPr>
          <w:rFonts w:hint="eastAsia"/>
          <w:color w:val="auto"/>
        </w:rPr>
        <w:t>、时间、频率</w:t>
      </w:r>
    </w:p>
    <w:p>
      <w:pPr>
        <w:adjustRightInd/>
        <w:snapToGrid/>
        <w:ind w:firstLine="480"/>
        <w:rPr>
          <w:color w:val="auto"/>
          <w:szCs w:val="28"/>
        </w:rPr>
      </w:pPr>
      <w:r>
        <w:rPr>
          <w:color w:val="auto"/>
          <w:szCs w:val="28"/>
        </w:rPr>
        <w:t>土壤监测布点设置见表</w:t>
      </w:r>
      <w:r>
        <w:rPr>
          <w:rFonts w:hint="eastAsia"/>
          <w:color w:val="auto"/>
          <w:szCs w:val="28"/>
        </w:rPr>
        <w:t>4.2</w:t>
      </w:r>
      <w:r>
        <w:rPr>
          <w:color w:val="auto"/>
          <w:szCs w:val="28"/>
        </w:rPr>
        <w:t>-1</w:t>
      </w:r>
      <w:r>
        <w:rPr>
          <w:rFonts w:hint="eastAsia"/>
          <w:color w:val="auto"/>
          <w:szCs w:val="28"/>
        </w:rPr>
        <w:t>7</w:t>
      </w:r>
      <w:r>
        <w:rPr>
          <w:color w:val="auto"/>
          <w:szCs w:val="28"/>
        </w:rPr>
        <w:t>。</w:t>
      </w:r>
    </w:p>
    <w:p>
      <w:pPr>
        <w:ind w:firstLine="442"/>
        <w:jc w:val="center"/>
        <w:rPr>
          <w:rFonts w:ascii="宋体" w:hAnsi="宋体" w:cs="宋体"/>
          <w:b/>
          <w:bCs/>
          <w:color w:val="auto"/>
          <w:sz w:val="22"/>
          <w:szCs w:val="22"/>
        </w:rPr>
      </w:pPr>
      <w:r>
        <w:rPr>
          <w:b/>
          <w:bCs/>
          <w:color w:val="auto"/>
          <w:sz w:val="22"/>
          <w:szCs w:val="22"/>
        </w:rPr>
        <w:t>表4.2-17   土</w:t>
      </w:r>
      <w:r>
        <w:rPr>
          <w:rFonts w:hint="eastAsia" w:ascii="宋体" w:hAnsi="宋体" w:cs="宋体"/>
          <w:b/>
          <w:bCs/>
          <w:color w:val="auto"/>
          <w:sz w:val="22"/>
          <w:szCs w:val="22"/>
        </w:rPr>
        <w:t>壤现状监测点位布设一览表</w:t>
      </w:r>
    </w:p>
    <w:tbl>
      <w:tblPr>
        <w:tblStyle w:val="27"/>
        <w:tblW w:w="4998"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540"/>
        <w:gridCol w:w="3631"/>
        <w:gridCol w:w="3556"/>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882" w:type="pct"/>
            <w:tcBorders>
              <w:tl2br w:val="nil"/>
              <w:tr2bl w:val="nil"/>
            </w:tcBorders>
            <w:vAlign w:val="center"/>
          </w:tcPr>
          <w:p>
            <w:pPr>
              <w:autoSpaceDE w:val="0"/>
              <w:autoSpaceDN w:val="0"/>
              <w:spacing w:line="240" w:lineRule="auto"/>
              <w:ind w:firstLine="0" w:firstLineChars="0"/>
              <w:jc w:val="center"/>
              <w:rPr>
                <w:color w:val="auto"/>
                <w:kern w:val="0"/>
                <w:sz w:val="21"/>
                <w:szCs w:val="21"/>
              </w:rPr>
            </w:pPr>
            <w:r>
              <w:rPr>
                <w:color w:val="auto"/>
                <w:kern w:val="0"/>
                <w:sz w:val="21"/>
                <w:szCs w:val="21"/>
              </w:rPr>
              <w:t>点号</w:t>
            </w:r>
          </w:p>
        </w:tc>
        <w:tc>
          <w:tcPr>
            <w:tcW w:w="2080" w:type="pct"/>
            <w:tcBorders>
              <w:tl2br w:val="nil"/>
              <w:tr2bl w:val="nil"/>
            </w:tcBorders>
            <w:vAlign w:val="center"/>
          </w:tcPr>
          <w:p>
            <w:pPr>
              <w:autoSpaceDE w:val="0"/>
              <w:autoSpaceDN w:val="0"/>
              <w:spacing w:line="240" w:lineRule="auto"/>
              <w:ind w:firstLine="0" w:firstLineChars="0"/>
              <w:jc w:val="center"/>
              <w:rPr>
                <w:color w:val="auto"/>
                <w:kern w:val="0"/>
                <w:sz w:val="21"/>
                <w:szCs w:val="21"/>
              </w:rPr>
            </w:pPr>
            <w:r>
              <w:rPr>
                <w:color w:val="auto"/>
                <w:kern w:val="0"/>
                <w:sz w:val="21"/>
                <w:szCs w:val="21"/>
              </w:rPr>
              <w:t>监测点名称</w:t>
            </w:r>
          </w:p>
        </w:tc>
        <w:tc>
          <w:tcPr>
            <w:tcW w:w="2037" w:type="pct"/>
            <w:tcBorders>
              <w:tl2br w:val="nil"/>
              <w:tr2bl w:val="nil"/>
            </w:tcBorders>
            <w:vAlign w:val="center"/>
          </w:tcPr>
          <w:p>
            <w:pPr>
              <w:autoSpaceDE w:val="0"/>
              <w:autoSpaceDN w:val="0"/>
              <w:spacing w:line="240" w:lineRule="auto"/>
              <w:ind w:firstLine="0" w:firstLineChars="0"/>
              <w:jc w:val="center"/>
              <w:rPr>
                <w:color w:val="auto"/>
                <w:kern w:val="0"/>
                <w:sz w:val="21"/>
                <w:szCs w:val="21"/>
              </w:rPr>
            </w:pPr>
            <w:r>
              <w:rPr>
                <w:color w:val="auto"/>
                <w:kern w:val="0"/>
                <w:sz w:val="21"/>
                <w:szCs w:val="21"/>
              </w:rPr>
              <w:t>监测时间</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882" w:type="pct"/>
            <w:tcBorders>
              <w:tl2br w:val="nil"/>
              <w:tr2bl w:val="nil"/>
            </w:tcBorders>
            <w:vAlign w:val="center"/>
          </w:tcPr>
          <w:p>
            <w:pPr>
              <w:autoSpaceDE w:val="0"/>
              <w:autoSpaceDN w:val="0"/>
              <w:spacing w:line="240" w:lineRule="auto"/>
              <w:ind w:firstLine="0" w:firstLineChars="0"/>
              <w:jc w:val="center"/>
              <w:rPr>
                <w:color w:val="auto"/>
                <w:kern w:val="0"/>
                <w:sz w:val="21"/>
                <w:szCs w:val="21"/>
              </w:rPr>
            </w:pPr>
            <w:r>
              <w:rPr>
                <w:color w:val="auto"/>
                <w:kern w:val="0"/>
                <w:sz w:val="21"/>
                <w:szCs w:val="21"/>
              </w:rPr>
              <w:t>1#</w:t>
            </w:r>
          </w:p>
        </w:tc>
        <w:tc>
          <w:tcPr>
            <w:tcW w:w="2080" w:type="pct"/>
            <w:tcBorders>
              <w:tl2br w:val="nil"/>
              <w:tr2bl w:val="nil"/>
            </w:tcBorders>
            <w:vAlign w:val="center"/>
          </w:tcPr>
          <w:p>
            <w:pPr>
              <w:adjustRightInd/>
              <w:spacing w:line="240" w:lineRule="auto"/>
              <w:ind w:firstLine="0" w:firstLineChars="0"/>
              <w:jc w:val="center"/>
              <w:rPr>
                <w:color w:val="auto"/>
                <w:kern w:val="0"/>
                <w:sz w:val="21"/>
                <w:szCs w:val="21"/>
              </w:rPr>
            </w:pPr>
            <w:r>
              <w:rPr>
                <w:rFonts w:hint="eastAsia"/>
                <w:color w:val="auto"/>
                <w:kern w:val="0"/>
                <w:sz w:val="21"/>
                <w:szCs w:val="21"/>
              </w:rPr>
              <w:t>厂址空地</w:t>
            </w:r>
          </w:p>
        </w:tc>
        <w:tc>
          <w:tcPr>
            <w:tcW w:w="2037" w:type="pct"/>
            <w:tcBorders>
              <w:tl2br w:val="nil"/>
              <w:tr2bl w:val="nil"/>
            </w:tcBorders>
            <w:vAlign w:val="center"/>
          </w:tcPr>
          <w:p>
            <w:pPr>
              <w:autoSpaceDE w:val="0"/>
              <w:autoSpaceDN w:val="0"/>
              <w:spacing w:line="240" w:lineRule="auto"/>
              <w:ind w:firstLine="0" w:firstLineChars="0"/>
              <w:jc w:val="center"/>
              <w:rPr>
                <w:color w:val="auto"/>
                <w:kern w:val="0"/>
                <w:sz w:val="21"/>
                <w:szCs w:val="21"/>
              </w:rPr>
            </w:pPr>
            <w:r>
              <w:rPr>
                <w:color w:val="auto"/>
                <w:kern w:val="0"/>
                <w:sz w:val="21"/>
                <w:szCs w:val="21"/>
              </w:rPr>
              <w:t>连续监测</w:t>
            </w:r>
            <w:r>
              <w:rPr>
                <w:rFonts w:hint="eastAsia"/>
                <w:color w:val="auto"/>
                <w:kern w:val="0"/>
                <w:sz w:val="21"/>
                <w:szCs w:val="21"/>
              </w:rPr>
              <w:t>1</w:t>
            </w:r>
            <w:r>
              <w:rPr>
                <w:color w:val="auto"/>
                <w:kern w:val="0"/>
                <w:sz w:val="21"/>
                <w:szCs w:val="21"/>
              </w:rPr>
              <w:t>天，每天采样一次</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882" w:type="pct"/>
            <w:tcBorders>
              <w:tl2br w:val="nil"/>
              <w:tr2bl w:val="nil"/>
            </w:tcBorders>
            <w:vAlign w:val="center"/>
          </w:tcPr>
          <w:p>
            <w:pPr>
              <w:autoSpaceDE w:val="0"/>
              <w:autoSpaceDN w:val="0"/>
              <w:spacing w:line="240" w:lineRule="auto"/>
              <w:ind w:firstLine="0" w:firstLineChars="0"/>
              <w:jc w:val="center"/>
              <w:rPr>
                <w:color w:val="auto"/>
                <w:kern w:val="0"/>
                <w:sz w:val="21"/>
                <w:szCs w:val="21"/>
              </w:rPr>
            </w:pPr>
            <w:r>
              <w:rPr>
                <w:rFonts w:hint="eastAsia"/>
                <w:color w:val="auto"/>
                <w:kern w:val="0"/>
                <w:sz w:val="21"/>
                <w:szCs w:val="21"/>
              </w:rPr>
              <w:t>2#</w:t>
            </w:r>
          </w:p>
        </w:tc>
        <w:tc>
          <w:tcPr>
            <w:tcW w:w="2080" w:type="pct"/>
            <w:tcBorders>
              <w:tl2br w:val="nil"/>
              <w:tr2bl w:val="nil"/>
            </w:tcBorders>
            <w:vAlign w:val="center"/>
          </w:tcPr>
          <w:p>
            <w:pPr>
              <w:adjustRightInd/>
              <w:spacing w:line="240" w:lineRule="auto"/>
              <w:ind w:firstLine="0" w:firstLineChars="0"/>
              <w:jc w:val="center"/>
              <w:rPr>
                <w:color w:val="auto"/>
                <w:kern w:val="0"/>
                <w:sz w:val="21"/>
                <w:szCs w:val="21"/>
              </w:rPr>
            </w:pPr>
            <w:r>
              <w:rPr>
                <w:rFonts w:hint="eastAsia"/>
                <w:color w:val="auto"/>
                <w:kern w:val="0"/>
                <w:sz w:val="21"/>
                <w:szCs w:val="21"/>
              </w:rPr>
              <w:t>粪污处理区</w:t>
            </w:r>
          </w:p>
        </w:tc>
        <w:tc>
          <w:tcPr>
            <w:tcW w:w="2037" w:type="pct"/>
            <w:tcBorders>
              <w:tl2br w:val="nil"/>
              <w:tr2bl w:val="nil"/>
            </w:tcBorders>
            <w:vAlign w:val="center"/>
          </w:tcPr>
          <w:p>
            <w:pPr>
              <w:autoSpaceDE w:val="0"/>
              <w:autoSpaceDN w:val="0"/>
              <w:spacing w:line="240" w:lineRule="auto"/>
              <w:ind w:firstLine="0" w:firstLineChars="0"/>
              <w:jc w:val="center"/>
              <w:rPr>
                <w:color w:val="auto"/>
                <w:kern w:val="0"/>
                <w:sz w:val="21"/>
                <w:szCs w:val="21"/>
              </w:rPr>
            </w:pPr>
            <w:r>
              <w:rPr>
                <w:color w:val="auto"/>
                <w:kern w:val="0"/>
                <w:sz w:val="21"/>
                <w:szCs w:val="21"/>
              </w:rPr>
              <w:t>连续监测</w:t>
            </w:r>
            <w:r>
              <w:rPr>
                <w:rFonts w:hint="eastAsia"/>
                <w:color w:val="auto"/>
                <w:kern w:val="0"/>
                <w:sz w:val="21"/>
                <w:szCs w:val="21"/>
              </w:rPr>
              <w:t>1</w:t>
            </w:r>
            <w:r>
              <w:rPr>
                <w:color w:val="auto"/>
                <w:kern w:val="0"/>
                <w:sz w:val="21"/>
                <w:szCs w:val="21"/>
              </w:rPr>
              <w:t>天，每天采样一次</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882" w:type="pct"/>
            <w:tcBorders>
              <w:tl2br w:val="nil"/>
              <w:tr2bl w:val="nil"/>
            </w:tcBorders>
            <w:vAlign w:val="center"/>
          </w:tcPr>
          <w:p>
            <w:pPr>
              <w:autoSpaceDE w:val="0"/>
              <w:autoSpaceDN w:val="0"/>
              <w:spacing w:line="240" w:lineRule="auto"/>
              <w:ind w:firstLine="0" w:firstLineChars="0"/>
              <w:jc w:val="center"/>
              <w:rPr>
                <w:color w:val="auto"/>
                <w:kern w:val="0"/>
                <w:sz w:val="21"/>
                <w:szCs w:val="21"/>
              </w:rPr>
            </w:pPr>
            <w:r>
              <w:rPr>
                <w:rFonts w:hint="eastAsia"/>
                <w:color w:val="auto"/>
                <w:kern w:val="0"/>
                <w:sz w:val="21"/>
                <w:szCs w:val="21"/>
              </w:rPr>
              <w:t>3#</w:t>
            </w:r>
          </w:p>
        </w:tc>
        <w:tc>
          <w:tcPr>
            <w:tcW w:w="2080" w:type="pct"/>
            <w:tcBorders>
              <w:tl2br w:val="nil"/>
              <w:tr2bl w:val="nil"/>
            </w:tcBorders>
            <w:vAlign w:val="center"/>
          </w:tcPr>
          <w:p>
            <w:pPr>
              <w:adjustRightInd/>
              <w:spacing w:line="240" w:lineRule="auto"/>
              <w:ind w:firstLine="0" w:firstLineChars="0"/>
              <w:jc w:val="center"/>
              <w:rPr>
                <w:color w:val="auto"/>
                <w:kern w:val="0"/>
                <w:sz w:val="21"/>
                <w:szCs w:val="21"/>
              </w:rPr>
            </w:pPr>
            <w:r>
              <w:rPr>
                <w:rFonts w:hint="eastAsia"/>
                <w:color w:val="auto"/>
                <w:kern w:val="0"/>
                <w:sz w:val="21"/>
                <w:szCs w:val="21"/>
              </w:rPr>
              <w:t>养殖区</w:t>
            </w:r>
          </w:p>
        </w:tc>
        <w:tc>
          <w:tcPr>
            <w:tcW w:w="2037" w:type="pct"/>
            <w:tcBorders>
              <w:tl2br w:val="nil"/>
              <w:tr2bl w:val="nil"/>
            </w:tcBorders>
            <w:vAlign w:val="center"/>
          </w:tcPr>
          <w:p>
            <w:pPr>
              <w:autoSpaceDE w:val="0"/>
              <w:autoSpaceDN w:val="0"/>
              <w:spacing w:line="240" w:lineRule="auto"/>
              <w:ind w:firstLine="0" w:firstLineChars="0"/>
              <w:jc w:val="center"/>
              <w:rPr>
                <w:color w:val="auto"/>
                <w:kern w:val="0"/>
                <w:sz w:val="21"/>
                <w:szCs w:val="21"/>
              </w:rPr>
            </w:pPr>
            <w:r>
              <w:rPr>
                <w:color w:val="auto"/>
                <w:kern w:val="0"/>
                <w:sz w:val="21"/>
                <w:szCs w:val="21"/>
              </w:rPr>
              <w:t>连续监测</w:t>
            </w:r>
            <w:r>
              <w:rPr>
                <w:rFonts w:hint="eastAsia"/>
                <w:color w:val="auto"/>
                <w:kern w:val="0"/>
                <w:sz w:val="21"/>
                <w:szCs w:val="21"/>
              </w:rPr>
              <w:t>1</w:t>
            </w:r>
            <w:r>
              <w:rPr>
                <w:color w:val="auto"/>
                <w:kern w:val="0"/>
                <w:sz w:val="21"/>
                <w:szCs w:val="21"/>
              </w:rPr>
              <w:t>天，每天采样一次</w:t>
            </w:r>
          </w:p>
        </w:tc>
      </w:tr>
    </w:tbl>
    <w:p>
      <w:pPr>
        <w:adjustRightInd/>
        <w:snapToGrid/>
        <w:spacing w:line="520" w:lineRule="exact"/>
        <w:ind w:firstLine="480"/>
        <w:rPr>
          <w:color w:val="auto"/>
          <w:szCs w:val="28"/>
        </w:rPr>
      </w:pPr>
      <w:r>
        <w:rPr>
          <w:color w:val="auto"/>
          <w:szCs w:val="28"/>
        </w:rPr>
        <w:t>监测布点：评价设</w:t>
      </w:r>
      <w:r>
        <w:rPr>
          <w:rFonts w:hint="eastAsia"/>
          <w:color w:val="auto"/>
          <w:szCs w:val="28"/>
        </w:rPr>
        <w:t>3</w:t>
      </w:r>
      <w:r>
        <w:rPr>
          <w:color w:val="auto"/>
          <w:szCs w:val="28"/>
        </w:rPr>
        <w:t>个土壤监测点</w:t>
      </w:r>
      <w:r>
        <w:rPr>
          <w:rFonts w:hint="eastAsia"/>
          <w:color w:val="auto"/>
          <w:szCs w:val="28"/>
        </w:rPr>
        <w:t>，</w:t>
      </w:r>
      <w:r>
        <w:rPr>
          <w:rFonts w:hint="eastAsia"/>
          <w:color w:val="auto"/>
        </w:rPr>
        <w:t>厂区空地、粪污处理区、养殖区，</w:t>
      </w:r>
      <w:r>
        <w:rPr>
          <w:color w:val="auto"/>
          <w:szCs w:val="28"/>
        </w:rPr>
        <w:t>分别取0-20cm</w:t>
      </w:r>
      <w:r>
        <w:rPr>
          <w:rFonts w:hint="eastAsia"/>
          <w:color w:val="auto"/>
          <w:szCs w:val="28"/>
        </w:rPr>
        <w:t>表层土样</w:t>
      </w:r>
      <w:r>
        <w:rPr>
          <w:color w:val="auto"/>
          <w:szCs w:val="28"/>
        </w:rPr>
        <w:t>。</w:t>
      </w:r>
    </w:p>
    <w:p>
      <w:pPr>
        <w:adjustRightInd/>
        <w:snapToGrid/>
        <w:spacing w:line="520" w:lineRule="exact"/>
        <w:ind w:firstLine="480"/>
        <w:rPr>
          <w:color w:val="auto"/>
          <w:szCs w:val="28"/>
        </w:rPr>
      </w:pPr>
      <w:r>
        <w:rPr>
          <w:color w:val="auto"/>
          <w:szCs w:val="28"/>
        </w:rPr>
        <w:t>监测因子：pH、镉、汞、铅、砷、铜、锌、镍</w:t>
      </w:r>
      <w:r>
        <w:rPr>
          <w:rFonts w:hint="eastAsia"/>
          <w:color w:val="auto"/>
          <w:szCs w:val="28"/>
        </w:rPr>
        <w:t>、铬</w:t>
      </w:r>
      <w:r>
        <w:rPr>
          <w:color w:val="auto"/>
          <w:szCs w:val="28"/>
        </w:rPr>
        <w:t>共</w:t>
      </w:r>
      <w:r>
        <w:rPr>
          <w:rFonts w:hint="eastAsia"/>
          <w:color w:val="auto"/>
          <w:szCs w:val="28"/>
        </w:rPr>
        <w:t>9</w:t>
      </w:r>
      <w:r>
        <w:rPr>
          <w:color w:val="auto"/>
          <w:szCs w:val="28"/>
        </w:rPr>
        <w:t>项。</w:t>
      </w:r>
    </w:p>
    <w:p>
      <w:pPr>
        <w:autoSpaceDE w:val="0"/>
        <w:autoSpaceDN w:val="0"/>
        <w:ind w:firstLine="480"/>
        <w:rPr>
          <w:color w:val="auto"/>
        </w:rPr>
      </w:pPr>
      <w:r>
        <w:rPr>
          <w:color w:val="auto"/>
        </w:rPr>
        <w:t>4.</w:t>
      </w:r>
      <w:r>
        <w:rPr>
          <w:rFonts w:hint="eastAsia"/>
          <w:color w:val="auto"/>
        </w:rPr>
        <w:t>2</w:t>
      </w:r>
      <w:r>
        <w:rPr>
          <w:color w:val="auto"/>
        </w:rPr>
        <w:t>.</w:t>
      </w:r>
      <w:r>
        <w:rPr>
          <w:rFonts w:hint="eastAsia"/>
          <w:color w:val="auto"/>
        </w:rPr>
        <w:t>5</w:t>
      </w:r>
      <w:r>
        <w:rPr>
          <w:color w:val="auto"/>
        </w:rPr>
        <w:t>.</w:t>
      </w:r>
      <w:r>
        <w:rPr>
          <w:rFonts w:hint="eastAsia"/>
          <w:color w:val="auto"/>
        </w:rPr>
        <w:t>2</w:t>
      </w:r>
      <w:r>
        <w:rPr>
          <w:color w:val="auto"/>
        </w:rPr>
        <w:t xml:space="preserve">  监测因子分析方法</w:t>
      </w:r>
    </w:p>
    <w:p>
      <w:pPr>
        <w:pStyle w:val="44"/>
        <w:numPr>
          <w:ilvl w:val="0"/>
          <w:numId w:val="0"/>
        </w:numPr>
        <w:spacing w:line="240" w:lineRule="auto"/>
        <w:ind w:firstLine="480"/>
        <w:jc w:val="left"/>
        <w:rPr>
          <w:b w:val="0"/>
          <w:color w:val="auto"/>
        </w:rPr>
      </w:pPr>
      <w:r>
        <w:rPr>
          <w:b w:val="0"/>
          <w:color w:val="auto"/>
        </w:rPr>
        <w:t>地下水各监测因子的分析方法见表4</w:t>
      </w:r>
      <w:r>
        <w:rPr>
          <w:rFonts w:hint="eastAsia"/>
          <w:b w:val="0"/>
          <w:color w:val="auto"/>
        </w:rPr>
        <w:t>.2</w:t>
      </w:r>
      <w:r>
        <w:rPr>
          <w:b w:val="0"/>
          <w:color w:val="auto"/>
        </w:rPr>
        <w:t>-</w:t>
      </w:r>
      <w:r>
        <w:rPr>
          <w:rFonts w:hint="eastAsia"/>
          <w:b w:val="0"/>
          <w:color w:val="auto"/>
        </w:rPr>
        <w:t>18</w:t>
      </w:r>
      <w:r>
        <w:rPr>
          <w:b w:val="0"/>
          <w:color w:val="auto"/>
        </w:rPr>
        <w:t>。</w:t>
      </w:r>
    </w:p>
    <w:p>
      <w:pPr>
        <w:spacing w:after="93" w:afterLines="30" w:line="500" w:lineRule="exact"/>
        <w:ind w:left="852" w:leftChars="355" w:firstLine="1215" w:firstLineChars="550"/>
        <w:rPr>
          <w:b/>
          <w:color w:val="auto"/>
          <w:sz w:val="22"/>
          <w:szCs w:val="22"/>
        </w:rPr>
      </w:pPr>
      <w:r>
        <w:rPr>
          <w:b/>
          <w:color w:val="auto"/>
          <w:sz w:val="22"/>
          <w:szCs w:val="22"/>
        </w:rPr>
        <w:t>表4</w:t>
      </w:r>
      <w:r>
        <w:rPr>
          <w:rFonts w:hint="eastAsia"/>
          <w:b/>
          <w:color w:val="auto"/>
          <w:sz w:val="22"/>
          <w:szCs w:val="22"/>
        </w:rPr>
        <w:t>.2</w:t>
      </w:r>
      <w:r>
        <w:rPr>
          <w:b/>
          <w:color w:val="auto"/>
          <w:sz w:val="22"/>
          <w:szCs w:val="22"/>
        </w:rPr>
        <w:t>-</w:t>
      </w:r>
      <w:r>
        <w:rPr>
          <w:rFonts w:hint="eastAsia"/>
          <w:b/>
          <w:color w:val="auto"/>
          <w:sz w:val="22"/>
          <w:szCs w:val="22"/>
        </w:rPr>
        <w:t>18</w:t>
      </w:r>
      <w:r>
        <w:rPr>
          <w:b/>
          <w:color w:val="auto"/>
          <w:sz w:val="22"/>
          <w:szCs w:val="22"/>
        </w:rPr>
        <w:t xml:space="preserve">             </w:t>
      </w:r>
      <w:r>
        <w:rPr>
          <w:rFonts w:hint="eastAsia"/>
          <w:b/>
          <w:color w:val="auto"/>
          <w:sz w:val="22"/>
          <w:szCs w:val="22"/>
        </w:rPr>
        <w:t>土壤</w:t>
      </w:r>
      <w:r>
        <w:rPr>
          <w:b/>
          <w:color w:val="auto"/>
          <w:sz w:val="22"/>
          <w:szCs w:val="22"/>
        </w:rPr>
        <w:t>各监测因子分析方法一览表</w:t>
      </w:r>
    </w:p>
    <w:tbl>
      <w:tblPr>
        <w:tblStyle w:val="27"/>
        <w:tblW w:w="9174"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71"/>
        <w:gridCol w:w="2972"/>
        <w:gridCol w:w="2982"/>
        <w:gridCol w:w="154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1671" w:type="dxa"/>
            <w:tcMar>
              <w:top w:w="85" w:type="dxa"/>
              <w:bottom w:w="85" w:type="dxa"/>
            </w:tcMar>
            <w:vAlign w:val="center"/>
          </w:tcPr>
          <w:p>
            <w:pPr>
              <w:spacing w:line="240" w:lineRule="auto"/>
              <w:ind w:firstLine="0" w:firstLineChars="0"/>
              <w:jc w:val="center"/>
              <w:rPr>
                <w:color w:val="auto"/>
                <w:sz w:val="21"/>
                <w:szCs w:val="21"/>
              </w:rPr>
            </w:pPr>
            <w:r>
              <w:rPr>
                <w:color w:val="auto"/>
                <w:sz w:val="21"/>
                <w:szCs w:val="21"/>
              </w:rPr>
              <w:t>监测因子</w:t>
            </w:r>
          </w:p>
        </w:tc>
        <w:tc>
          <w:tcPr>
            <w:tcW w:w="2972" w:type="dxa"/>
            <w:tcMar>
              <w:top w:w="85" w:type="dxa"/>
              <w:bottom w:w="85" w:type="dxa"/>
            </w:tcMar>
            <w:vAlign w:val="center"/>
          </w:tcPr>
          <w:p>
            <w:pPr>
              <w:spacing w:line="240" w:lineRule="auto"/>
              <w:ind w:firstLine="0" w:firstLineChars="0"/>
              <w:jc w:val="center"/>
              <w:rPr>
                <w:color w:val="auto"/>
                <w:sz w:val="21"/>
                <w:szCs w:val="21"/>
              </w:rPr>
            </w:pPr>
            <w:r>
              <w:rPr>
                <w:color w:val="auto"/>
                <w:sz w:val="21"/>
                <w:szCs w:val="21"/>
              </w:rPr>
              <w:t>监测分析方法</w:t>
            </w:r>
          </w:p>
        </w:tc>
        <w:tc>
          <w:tcPr>
            <w:tcW w:w="2982" w:type="dxa"/>
            <w:tcMar>
              <w:top w:w="85" w:type="dxa"/>
              <w:bottom w:w="85" w:type="dxa"/>
            </w:tcMar>
            <w:vAlign w:val="center"/>
          </w:tcPr>
          <w:p>
            <w:pPr>
              <w:spacing w:line="240" w:lineRule="auto"/>
              <w:ind w:firstLine="0" w:firstLineChars="0"/>
              <w:jc w:val="center"/>
              <w:rPr>
                <w:color w:val="auto"/>
                <w:sz w:val="21"/>
                <w:szCs w:val="21"/>
              </w:rPr>
            </w:pPr>
            <w:r>
              <w:rPr>
                <w:color w:val="auto"/>
                <w:sz w:val="21"/>
                <w:szCs w:val="21"/>
              </w:rPr>
              <w:t>方法来源</w:t>
            </w:r>
          </w:p>
        </w:tc>
        <w:tc>
          <w:tcPr>
            <w:tcW w:w="1549" w:type="dxa"/>
            <w:tcMar>
              <w:top w:w="85" w:type="dxa"/>
              <w:bottom w:w="85" w:type="dxa"/>
            </w:tcMar>
            <w:vAlign w:val="center"/>
          </w:tcPr>
          <w:p>
            <w:pPr>
              <w:spacing w:line="240" w:lineRule="auto"/>
              <w:ind w:firstLine="0" w:firstLineChars="0"/>
              <w:jc w:val="center"/>
              <w:rPr>
                <w:color w:val="auto"/>
                <w:sz w:val="21"/>
                <w:szCs w:val="21"/>
              </w:rPr>
            </w:pPr>
            <w:r>
              <w:rPr>
                <w:color w:val="auto"/>
                <w:sz w:val="21"/>
                <w:szCs w:val="21"/>
              </w:rPr>
              <w:t>检出限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47" w:hRule="atLeast"/>
          <w:jc w:val="center"/>
        </w:trPr>
        <w:tc>
          <w:tcPr>
            <w:tcW w:w="1671" w:type="dxa"/>
            <w:tcMar>
              <w:top w:w="85" w:type="dxa"/>
              <w:bottom w:w="85" w:type="dxa"/>
            </w:tcMar>
            <w:vAlign w:val="center"/>
          </w:tcPr>
          <w:p>
            <w:pPr>
              <w:widowControl/>
              <w:spacing w:line="240" w:lineRule="auto"/>
              <w:ind w:firstLine="0" w:firstLineChars="0"/>
              <w:jc w:val="center"/>
              <w:textAlignment w:val="center"/>
              <w:rPr>
                <w:color w:val="auto"/>
                <w:sz w:val="21"/>
                <w:szCs w:val="21"/>
              </w:rPr>
            </w:pPr>
            <w:r>
              <w:rPr>
                <w:color w:val="auto"/>
                <w:kern w:val="0"/>
                <w:sz w:val="21"/>
                <w:szCs w:val="21"/>
              </w:rPr>
              <w:t>pH</w:t>
            </w:r>
            <w:r>
              <w:rPr>
                <w:rStyle w:val="45"/>
                <w:color w:val="auto"/>
                <w:sz w:val="21"/>
                <w:szCs w:val="21"/>
              </w:rPr>
              <w:t>值</w:t>
            </w:r>
          </w:p>
        </w:tc>
        <w:tc>
          <w:tcPr>
            <w:tcW w:w="2972" w:type="dxa"/>
            <w:tcMar>
              <w:top w:w="85" w:type="dxa"/>
              <w:bottom w:w="85" w:type="dxa"/>
            </w:tcMar>
            <w:vAlign w:val="center"/>
          </w:tcPr>
          <w:p>
            <w:pPr>
              <w:widowControl/>
              <w:spacing w:line="240" w:lineRule="auto"/>
              <w:ind w:firstLine="0" w:firstLineChars="0"/>
              <w:jc w:val="center"/>
              <w:textAlignment w:val="center"/>
              <w:rPr>
                <w:color w:val="auto"/>
                <w:kern w:val="0"/>
                <w:sz w:val="21"/>
                <w:szCs w:val="21"/>
              </w:rPr>
            </w:pPr>
            <w:r>
              <w:rPr>
                <w:color w:val="auto"/>
                <w:kern w:val="0"/>
                <w:sz w:val="21"/>
                <w:szCs w:val="21"/>
              </w:rPr>
              <w:t>玻璃电极法</w:t>
            </w:r>
          </w:p>
        </w:tc>
        <w:tc>
          <w:tcPr>
            <w:tcW w:w="2982" w:type="dxa"/>
            <w:tcMar>
              <w:top w:w="85" w:type="dxa"/>
              <w:bottom w:w="85" w:type="dxa"/>
            </w:tcMar>
            <w:vAlign w:val="center"/>
          </w:tcPr>
          <w:p>
            <w:pPr>
              <w:widowControl/>
              <w:spacing w:line="240" w:lineRule="auto"/>
              <w:ind w:firstLine="0" w:firstLineChars="0"/>
              <w:jc w:val="center"/>
              <w:textAlignment w:val="center"/>
              <w:rPr>
                <w:color w:val="auto"/>
                <w:kern w:val="0"/>
                <w:sz w:val="21"/>
                <w:szCs w:val="21"/>
              </w:rPr>
            </w:pPr>
            <w:r>
              <w:rPr>
                <w:color w:val="auto"/>
                <w:kern w:val="0"/>
                <w:sz w:val="21"/>
                <w:szCs w:val="21"/>
              </w:rPr>
              <w:t>GB/T6920-1986</w:t>
            </w:r>
          </w:p>
        </w:tc>
        <w:tc>
          <w:tcPr>
            <w:tcW w:w="1549" w:type="dxa"/>
            <w:tcMar>
              <w:top w:w="85" w:type="dxa"/>
              <w:bottom w:w="85" w:type="dxa"/>
            </w:tcMar>
            <w:vAlign w:val="center"/>
          </w:tcPr>
          <w:p>
            <w:pPr>
              <w:widowControl/>
              <w:spacing w:line="240" w:lineRule="auto"/>
              <w:ind w:firstLine="0" w:firstLineChars="0"/>
              <w:jc w:val="center"/>
              <w:textAlignment w:val="center"/>
              <w:rPr>
                <w:color w:val="auto"/>
                <w:kern w:val="0"/>
                <w:sz w:val="21"/>
                <w:szCs w:val="21"/>
              </w:rPr>
            </w:pPr>
            <w:r>
              <w:rPr>
                <w:rFonts w:hint="eastAsia"/>
                <w:color w:val="auto"/>
                <w:kern w:val="0"/>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02" w:hRule="atLeast"/>
          <w:jc w:val="center"/>
        </w:trPr>
        <w:tc>
          <w:tcPr>
            <w:tcW w:w="1671" w:type="dxa"/>
            <w:tcMar>
              <w:top w:w="85" w:type="dxa"/>
              <w:bottom w:w="85" w:type="dxa"/>
            </w:tcMar>
            <w:vAlign w:val="center"/>
          </w:tcPr>
          <w:p>
            <w:pPr>
              <w:spacing w:line="240" w:lineRule="auto"/>
              <w:ind w:firstLine="0" w:firstLineChars="0"/>
              <w:jc w:val="center"/>
              <w:rPr>
                <w:color w:val="auto"/>
                <w:sz w:val="21"/>
                <w:szCs w:val="21"/>
              </w:rPr>
            </w:pPr>
            <w:r>
              <w:rPr>
                <w:rFonts w:hint="eastAsia"/>
                <w:color w:val="auto"/>
                <w:kern w:val="0"/>
                <w:sz w:val="21"/>
                <w:szCs w:val="21"/>
              </w:rPr>
              <w:t>镉</w:t>
            </w:r>
          </w:p>
        </w:tc>
        <w:tc>
          <w:tcPr>
            <w:tcW w:w="2972" w:type="dxa"/>
            <w:tcMar>
              <w:top w:w="85" w:type="dxa"/>
              <w:bottom w:w="85" w:type="dxa"/>
            </w:tcMar>
            <w:vAlign w:val="center"/>
          </w:tcPr>
          <w:p>
            <w:pPr>
              <w:widowControl/>
              <w:spacing w:line="240" w:lineRule="auto"/>
              <w:ind w:firstLine="0" w:firstLineChars="0"/>
              <w:jc w:val="center"/>
              <w:textAlignment w:val="center"/>
              <w:rPr>
                <w:color w:val="auto"/>
                <w:kern w:val="0"/>
                <w:sz w:val="21"/>
                <w:szCs w:val="21"/>
              </w:rPr>
            </w:pPr>
            <w:r>
              <w:rPr>
                <w:color w:val="auto"/>
                <w:kern w:val="0"/>
                <w:sz w:val="21"/>
                <w:szCs w:val="21"/>
              </w:rPr>
              <w:t>石墨炉</w:t>
            </w:r>
            <w:r>
              <w:rPr>
                <w:rStyle w:val="46"/>
                <w:color w:val="auto"/>
                <w:sz w:val="21"/>
                <w:szCs w:val="21"/>
              </w:rPr>
              <w:t>原子吸收分光光度法</w:t>
            </w:r>
          </w:p>
        </w:tc>
        <w:tc>
          <w:tcPr>
            <w:tcW w:w="2982" w:type="dxa"/>
            <w:tcMar>
              <w:top w:w="85" w:type="dxa"/>
              <w:bottom w:w="85" w:type="dxa"/>
            </w:tcMar>
            <w:vAlign w:val="center"/>
          </w:tcPr>
          <w:p>
            <w:pPr>
              <w:widowControl/>
              <w:spacing w:line="240" w:lineRule="auto"/>
              <w:ind w:firstLine="0" w:firstLineChars="0"/>
              <w:jc w:val="center"/>
              <w:textAlignment w:val="center"/>
              <w:rPr>
                <w:color w:val="auto"/>
                <w:kern w:val="0"/>
                <w:sz w:val="21"/>
                <w:szCs w:val="21"/>
              </w:rPr>
            </w:pPr>
            <w:r>
              <w:rPr>
                <w:color w:val="auto"/>
                <w:kern w:val="0"/>
                <w:sz w:val="21"/>
                <w:szCs w:val="21"/>
              </w:rPr>
              <w:t>GB/T17141-1997</w:t>
            </w:r>
          </w:p>
        </w:tc>
        <w:tc>
          <w:tcPr>
            <w:tcW w:w="1549" w:type="dxa"/>
            <w:tcMar>
              <w:top w:w="85" w:type="dxa"/>
              <w:bottom w:w="85" w:type="dxa"/>
            </w:tcMar>
            <w:vAlign w:val="center"/>
          </w:tcPr>
          <w:p>
            <w:pPr>
              <w:widowControl/>
              <w:spacing w:line="240" w:lineRule="auto"/>
              <w:ind w:firstLine="0" w:firstLineChars="0"/>
              <w:jc w:val="center"/>
              <w:textAlignment w:val="center"/>
              <w:rPr>
                <w:color w:val="auto"/>
                <w:kern w:val="0"/>
                <w:sz w:val="21"/>
                <w:szCs w:val="21"/>
              </w:rPr>
            </w:pPr>
            <w:r>
              <w:rPr>
                <w:color w:val="auto"/>
                <w:kern w:val="0"/>
                <w:sz w:val="21"/>
                <w:szCs w:val="21"/>
              </w:rPr>
              <w:t>0.01mg/kg</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1671" w:type="dxa"/>
            <w:tcMar>
              <w:top w:w="85" w:type="dxa"/>
              <w:bottom w:w="85" w:type="dxa"/>
            </w:tcMar>
            <w:vAlign w:val="center"/>
          </w:tcPr>
          <w:p>
            <w:pPr>
              <w:spacing w:line="240" w:lineRule="auto"/>
              <w:ind w:firstLine="0" w:firstLineChars="0"/>
              <w:jc w:val="center"/>
              <w:rPr>
                <w:color w:val="auto"/>
                <w:sz w:val="21"/>
                <w:szCs w:val="21"/>
              </w:rPr>
            </w:pPr>
            <w:r>
              <w:rPr>
                <w:rFonts w:hint="eastAsia"/>
                <w:color w:val="auto"/>
                <w:kern w:val="0"/>
                <w:sz w:val="21"/>
                <w:szCs w:val="21"/>
              </w:rPr>
              <w:t>汞</w:t>
            </w:r>
          </w:p>
        </w:tc>
        <w:tc>
          <w:tcPr>
            <w:tcW w:w="2972" w:type="dxa"/>
            <w:tcMar>
              <w:top w:w="85" w:type="dxa"/>
              <w:bottom w:w="85" w:type="dxa"/>
            </w:tcMar>
            <w:vAlign w:val="center"/>
          </w:tcPr>
          <w:p>
            <w:pPr>
              <w:widowControl/>
              <w:spacing w:line="240" w:lineRule="auto"/>
              <w:ind w:firstLine="0" w:firstLineChars="0"/>
              <w:jc w:val="center"/>
              <w:textAlignment w:val="center"/>
              <w:rPr>
                <w:color w:val="auto"/>
                <w:kern w:val="0"/>
                <w:sz w:val="21"/>
                <w:szCs w:val="21"/>
              </w:rPr>
            </w:pPr>
            <w:r>
              <w:rPr>
                <w:color w:val="auto"/>
                <w:kern w:val="0"/>
                <w:sz w:val="21"/>
                <w:szCs w:val="21"/>
              </w:rPr>
              <w:t>冷原子吸收法</w:t>
            </w:r>
          </w:p>
        </w:tc>
        <w:tc>
          <w:tcPr>
            <w:tcW w:w="2982" w:type="dxa"/>
            <w:tcMar>
              <w:top w:w="85" w:type="dxa"/>
              <w:bottom w:w="85" w:type="dxa"/>
            </w:tcMar>
            <w:vAlign w:val="center"/>
          </w:tcPr>
          <w:p>
            <w:pPr>
              <w:widowControl/>
              <w:spacing w:line="240" w:lineRule="auto"/>
              <w:ind w:firstLine="0" w:firstLineChars="0"/>
              <w:jc w:val="center"/>
              <w:textAlignment w:val="center"/>
              <w:rPr>
                <w:color w:val="auto"/>
                <w:kern w:val="0"/>
                <w:sz w:val="21"/>
                <w:szCs w:val="21"/>
              </w:rPr>
            </w:pPr>
            <w:r>
              <w:rPr>
                <w:color w:val="auto"/>
                <w:kern w:val="0"/>
                <w:sz w:val="21"/>
                <w:szCs w:val="21"/>
              </w:rPr>
              <w:t>GB/T17136-1997</w:t>
            </w:r>
          </w:p>
        </w:tc>
        <w:tc>
          <w:tcPr>
            <w:tcW w:w="1549" w:type="dxa"/>
            <w:tcMar>
              <w:top w:w="85" w:type="dxa"/>
              <w:bottom w:w="85" w:type="dxa"/>
            </w:tcMar>
            <w:vAlign w:val="center"/>
          </w:tcPr>
          <w:p>
            <w:pPr>
              <w:widowControl/>
              <w:spacing w:line="240" w:lineRule="auto"/>
              <w:ind w:firstLine="0" w:firstLineChars="0"/>
              <w:jc w:val="center"/>
              <w:textAlignment w:val="center"/>
              <w:rPr>
                <w:color w:val="auto"/>
                <w:kern w:val="0"/>
                <w:sz w:val="21"/>
                <w:szCs w:val="21"/>
              </w:rPr>
            </w:pPr>
            <w:r>
              <w:rPr>
                <w:color w:val="auto"/>
                <w:kern w:val="0"/>
                <w:sz w:val="21"/>
                <w:szCs w:val="21"/>
              </w:rPr>
              <w:t>0.005mg/kg</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1671" w:type="dxa"/>
            <w:tcMar>
              <w:top w:w="85" w:type="dxa"/>
              <w:bottom w:w="85" w:type="dxa"/>
            </w:tcMar>
            <w:vAlign w:val="center"/>
          </w:tcPr>
          <w:p>
            <w:pPr>
              <w:spacing w:line="240" w:lineRule="auto"/>
              <w:ind w:firstLine="0" w:firstLineChars="0"/>
              <w:jc w:val="center"/>
              <w:rPr>
                <w:color w:val="auto"/>
                <w:sz w:val="21"/>
                <w:szCs w:val="21"/>
              </w:rPr>
            </w:pPr>
            <w:r>
              <w:rPr>
                <w:rFonts w:hint="eastAsia"/>
                <w:color w:val="auto"/>
                <w:kern w:val="0"/>
                <w:sz w:val="21"/>
                <w:szCs w:val="21"/>
              </w:rPr>
              <w:t>砷</w:t>
            </w:r>
          </w:p>
        </w:tc>
        <w:tc>
          <w:tcPr>
            <w:tcW w:w="2972" w:type="dxa"/>
            <w:tcMar>
              <w:top w:w="85" w:type="dxa"/>
              <w:bottom w:w="85" w:type="dxa"/>
            </w:tcMar>
            <w:vAlign w:val="center"/>
          </w:tcPr>
          <w:p>
            <w:pPr>
              <w:widowControl/>
              <w:spacing w:line="240" w:lineRule="auto"/>
              <w:ind w:firstLine="0" w:firstLineChars="0"/>
              <w:jc w:val="center"/>
              <w:textAlignment w:val="center"/>
              <w:rPr>
                <w:color w:val="auto"/>
                <w:kern w:val="0"/>
                <w:sz w:val="21"/>
                <w:szCs w:val="21"/>
              </w:rPr>
            </w:pPr>
            <w:r>
              <w:rPr>
                <w:color w:val="auto"/>
                <w:kern w:val="0"/>
                <w:sz w:val="21"/>
                <w:szCs w:val="21"/>
              </w:rPr>
              <w:t>原子荧光法</w:t>
            </w:r>
          </w:p>
        </w:tc>
        <w:tc>
          <w:tcPr>
            <w:tcW w:w="2982" w:type="dxa"/>
            <w:tcMar>
              <w:top w:w="85" w:type="dxa"/>
              <w:bottom w:w="85" w:type="dxa"/>
            </w:tcMar>
            <w:vAlign w:val="center"/>
          </w:tcPr>
          <w:p>
            <w:pPr>
              <w:widowControl/>
              <w:spacing w:line="240" w:lineRule="auto"/>
              <w:ind w:firstLine="0" w:firstLineChars="0"/>
              <w:jc w:val="center"/>
              <w:textAlignment w:val="center"/>
              <w:rPr>
                <w:color w:val="auto"/>
                <w:kern w:val="0"/>
                <w:sz w:val="21"/>
                <w:szCs w:val="21"/>
              </w:rPr>
            </w:pPr>
            <w:r>
              <w:rPr>
                <w:color w:val="auto"/>
                <w:kern w:val="0"/>
                <w:sz w:val="21"/>
                <w:szCs w:val="21"/>
              </w:rPr>
              <w:t>GB/T 22105.2-2008</w:t>
            </w:r>
          </w:p>
        </w:tc>
        <w:tc>
          <w:tcPr>
            <w:tcW w:w="1549" w:type="dxa"/>
            <w:tcMar>
              <w:top w:w="85" w:type="dxa"/>
              <w:bottom w:w="85" w:type="dxa"/>
            </w:tcMar>
            <w:vAlign w:val="center"/>
          </w:tcPr>
          <w:p>
            <w:pPr>
              <w:widowControl/>
              <w:spacing w:line="240" w:lineRule="auto"/>
              <w:ind w:firstLine="0" w:firstLineChars="0"/>
              <w:jc w:val="center"/>
              <w:textAlignment w:val="center"/>
              <w:rPr>
                <w:color w:val="auto"/>
                <w:kern w:val="0"/>
                <w:sz w:val="21"/>
                <w:szCs w:val="21"/>
              </w:rPr>
            </w:pPr>
            <w:r>
              <w:rPr>
                <w:color w:val="auto"/>
                <w:kern w:val="0"/>
                <w:sz w:val="21"/>
                <w:szCs w:val="21"/>
              </w:rPr>
              <w:t>0.01mg/kg</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1671" w:type="dxa"/>
            <w:tcMar>
              <w:top w:w="85" w:type="dxa"/>
              <w:bottom w:w="85" w:type="dxa"/>
            </w:tcMar>
            <w:vAlign w:val="center"/>
          </w:tcPr>
          <w:p>
            <w:pPr>
              <w:spacing w:line="240" w:lineRule="auto"/>
              <w:ind w:firstLine="0" w:firstLineChars="0"/>
              <w:jc w:val="center"/>
              <w:rPr>
                <w:color w:val="auto"/>
                <w:sz w:val="21"/>
                <w:szCs w:val="21"/>
              </w:rPr>
            </w:pPr>
            <w:r>
              <w:rPr>
                <w:rFonts w:hint="eastAsia"/>
                <w:color w:val="auto"/>
                <w:kern w:val="0"/>
                <w:sz w:val="21"/>
                <w:szCs w:val="21"/>
              </w:rPr>
              <w:t>铜</w:t>
            </w:r>
          </w:p>
        </w:tc>
        <w:tc>
          <w:tcPr>
            <w:tcW w:w="2972" w:type="dxa"/>
            <w:tcMar>
              <w:top w:w="85" w:type="dxa"/>
              <w:bottom w:w="85" w:type="dxa"/>
            </w:tcMar>
            <w:vAlign w:val="center"/>
          </w:tcPr>
          <w:p>
            <w:pPr>
              <w:widowControl/>
              <w:spacing w:line="240" w:lineRule="auto"/>
              <w:ind w:firstLine="0" w:firstLineChars="0"/>
              <w:jc w:val="center"/>
              <w:textAlignment w:val="top"/>
              <w:rPr>
                <w:color w:val="auto"/>
                <w:kern w:val="0"/>
                <w:sz w:val="21"/>
                <w:szCs w:val="21"/>
              </w:rPr>
            </w:pPr>
            <w:r>
              <w:rPr>
                <w:color w:val="auto"/>
                <w:kern w:val="0"/>
                <w:sz w:val="21"/>
                <w:szCs w:val="21"/>
              </w:rPr>
              <w:t>火焰原子吸收分光光度法</w:t>
            </w:r>
          </w:p>
        </w:tc>
        <w:tc>
          <w:tcPr>
            <w:tcW w:w="2982" w:type="dxa"/>
            <w:tcMar>
              <w:top w:w="85" w:type="dxa"/>
              <w:bottom w:w="85" w:type="dxa"/>
            </w:tcMar>
            <w:vAlign w:val="center"/>
          </w:tcPr>
          <w:p>
            <w:pPr>
              <w:widowControl/>
              <w:spacing w:line="240" w:lineRule="auto"/>
              <w:ind w:firstLine="0" w:firstLineChars="0"/>
              <w:jc w:val="center"/>
              <w:textAlignment w:val="center"/>
              <w:rPr>
                <w:color w:val="auto"/>
                <w:kern w:val="0"/>
                <w:sz w:val="21"/>
                <w:szCs w:val="21"/>
              </w:rPr>
            </w:pPr>
            <w:r>
              <w:rPr>
                <w:color w:val="auto"/>
                <w:kern w:val="0"/>
                <w:sz w:val="21"/>
                <w:szCs w:val="21"/>
              </w:rPr>
              <w:t>GB/T17138-1997</w:t>
            </w:r>
          </w:p>
        </w:tc>
        <w:tc>
          <w:tcPr>
            <w:tcW w:w="1549" w:type="dxa"/>
            <w:tcMar>
              <w:top w:w="85" w:type="dxa"/>
              <w:bottom w:w="85" w:type="dxa"/>
            </w:tcMar>
            <w:vAlign w:val="center"/>
          </w:tcPr>
          <w:p>
            <w:pPr>
              <w:widowControl/>
              <w:spacing w:line="240" w:lineRule="auto"/>
              <w:ind w:firstLine="0" w:firstLineChars="0"/>
              <w:jc w:val="center"/>
              <w:textAlignment w:val="center"/>
              <w:rPr>
                <w:color w:val="auto"/>
                <w:kern w:val="0"/>
                <w:sz w:val="21"/>
                <w:szCs w:val="21"/>
              </w:rPr>
            </w:pPr>
            <w:r>
              <w:rPr>
                <w:color w:val="auto"/>
                <w:kern w:val="0"/>
                <w:sz w:val="21"/>
                <w:szCs w:val="21"/>
              </w:rPr>
              <w:t>1mg/kg</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1671" w:type="dxa"/>
            <w:tcMar>
              <w:top w:w="85" w:type="dxa"/>
              <w:bottom w:w="85" w:type="dxa"/>
            </w:tcMar>
            <w:vAlign w:val="center"/>
          </w:tcPr>
          <w:p>
            <w:pPr>
              <w:spacing w:line="240" w:lineRule="auto"/>
              <w:ind w:firstLine="0" w:firstLineChars="0"/>
              <w:jc w:val="center"/>
              <w:rPr>
                <w:color w:val="auto"/>
                <w:sz w:val="21"/>
                <w:szCs w:val="21"/>
              </w:rPr>
            </w:pPr>
            <w:r>
              <w:rPr>
                <w:rFonts w:hint="eastAsia"/>
                <w:color w:val="auto"/>
                <w:kern w:val="0"/>
                <w:sz w:val="21"/>
                <w:szCs w:val="21"/>
              </w:rPr>
              <w:t>铅</w:t>
            </w:r>
          </w:p>
        </w:tc>
        <w:tc>
          <w:tcPr>
            <w:tcW w:w="2972" w:type="dxa"/>
            <w:tcMar>
              <w:top w:w="85" w:type="dxa"/>
              <w:bottom w:w="85" w:type="dxa"/>
            </w:tcMar>
            <w:vAlign w:val="center"/>
          </w:tcPr>
          <w:p>
            <w:pPr>
              <w:widowControl/>
              <w:spacing w:line="240" w:lineRule="auto"/>
              <w:ind w:firstLine="0" w:firstLineChars="0"/>
              <w:jc w:val="center"/>
              <w:textAlignment w:val="center"/>
              <w:rPr>
                <w:color w:val="auto"/>
                <w:kern w:val="0"/>
                <w:sz w:val="21"/>
                <w:szCs w:val="21"/>
              </w:rPr>
            </w:pPr>
            <w:r>
              <w:rPr>
                <w:color w:val="auto"/>
                <w:kern w:val="0"/>
                <w:sz w:val="21"/>
                <w:szCs w:val="21"/>
              </w:rPr>
              <w:t>石墨炉</w:t>
            </w:r>
            <w:r>
              <w:rPr>
                <w:rStyle w:val="46"/>
                <w:color w:val="auto"/>
                <w:sz w:val="21"/>
                <w:szCs w:val="21"/>
              </w:rPr>
              <w:t>原子吸收分光光度法</w:t>
            </w:r>
          </w:p>
        </w:tc>
        <w:tc>
          <w:tcPr>
            <w:tcW w:w="2982" w:type="dxa"/>
            <w:tcMar>
              <w:top w:w="85" w:type="dxa"/>
              <w:bottom w:w="85" w:type="dxa"/>
            </w:tcMar>
            <w:vAlign w:val="center"/>
          </w:tcPr>
          <w:p>
            <w:pPr>
              <w:widowControl/>
              <w:spacing w:line="240" w:lineRule="auto"/>
              <w:ind w:firstLine="0" w:firstLineChars="0"/>
              <w:jc w:val="center"/>
              <w:textAlignment w:val="center"/>
              <w:rPr>
                <w:color w:val="auto"/>
                <w:kern w:val="0"/>
                <w:sz w:val="21"/>
                <w:szCs w:val="21"/>
              </w:rPr>
            </w:pPr>
            <w:r>
              <w:rPr>
                <w:color w:val="auto"/>
                <w:kern w:val="0"/>
                <w:sz w:val="21"/>
                <w:szCs w:val="21"/>
              </w:rPr>
              <w:t>GB/T17141-1997</w:t>
            </w:r>
          </w:p>
        </w:tc>
        <w:tc>
          <w:tcPr>
            <w:tcW w:w="1549" w:type="dxa"/>
            <w:tcMar>
              <w:top w:w="85" w:type="dxa"/>
              <w:bottom w:w="85" w:type="dxa"/>
            </w:tcMar>
            <w:vAlign w:val="center"/>
          </w:tcPr>
          <w:p>
            <w:pPr>
              <w:widowControl/>
              <w:spacing w:line="240" w:lineRule="auto"/>
              <w:ind w:firstLine="0" w:firstLineChars="0"/>
              <w:jc w:val="center"/>
              <w:textAlignment w:val="center"/>
              <w:rPr>
                <w:color w:val="auto"/>
                <w:kern w:val="0"/>
                <w:sz w:val="21"/>
                <w:szCs w:val="21"/>
              </w:rPr>
            </w:pPr>
            <w:r>
              <w:rPr>
                <w:color w:val="auto"/>
                <w:kern w:val="0"/>
                <w:sz w:val="21"/>
                <w:szCs w:val="21"/>
              </w:rPr>
              <w:t>0.1mg/kg</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1671" w:type="dxa"/>
            <w:tcMar>
              <w:top w:w="85" w:type="dxa"/>
              <w:bottom w:w="85" w:type="dxa"/>
            </w:tcMar>
            <w:vAlign w:val="center"/>
          </w:tcPr>
          <w:p>
            <w:pPr>
              <w:spacing w:line="240" w:lineRule="auto"/>
              <w:ind w:firstLine="0" w:firstLineChars="0"/>
              <w:jc w:val="center"/>
              <w:rPr>
                <w:color w:val="auto"/>
                <w:sz w:val="21"/>
                <w:szCs w:val="21"/>
              </w:rPr>
            </w:pPr>
            <w:r>
              <w:rPr>
                <w:rFonts w:hint="eastAsia"/>
                <w:color w:val="auto"/>
                <w:kern w:val="0"/>
                <w:sz w:val="21"/>
                <w:szCs w:val="21"/>
              </w:rPr>
              <w:t>锌</w:t>
            </w:r>
          </w:p>
        </w:tc>
        <w:tc>
          <w:tcPr>
            <w:tcW w:w="2972" w:type="dxa"/>
            <w:tcMar>
              <w:top w:w="85" w:type="dxa"/>
              <w:bottom w:w="85" w:type="dxa"/>
            </w:tcMar>
            <w:vAlign w:val="center"/>
          </w:tcPr>
          <w:p>
            <w:pPr>
              <w:widowControl/>
              <w:spacing w:line="240" w:lineRule="auto"/>
              <w:ind w:firstLine="0" w:firstLineChars="0"/>
              <w:jc w:val="center"/>
              <w:textAlignment w:val="top"/>
              <w:rPr>
                <w:color w:val="auto"/>
                <w:kern w:val="0"/>
                <w:sz w:val="21"/>
                <w:szCs w:val="21"/>
              </w:rPr>
            </w:pPr>
            <w:r>
              <w:rPr>
                <w:color w:val="auto"/>
                <w:kern w:val="0"/>
                <w:sz w:val="21"/>
                <w:szCs w:val="21"/>
              </w:rPr>
              <w:t>火焰原子吸收分光光度法</w:t>
            </w:r>
          </w:p>
        </w:tc>
        <w:tc>
          <w:tcPr>
            <w:tcW w:w="2982" w:type="dxa"/>
            <w:tcMar>
              <w:top w:w="85" w:type="dxa"/>
              <w:bottom w:w="85" w:type="dxa"/>
            </w:tcMar>
            <w:vAlign w:val="center"/>
          </w:tcPr>
          <w:p>
            <w:pPr>
              <w:widowControl/>
              <w:spacing w:line="240" w:lineRule="auto"/>
              <w:ind w:firstLine="0" w:firstLineChars="0"/>
              <w:jc w:val="center"/>
              <w:textAlignment w:val="center"/>
              <w:rPr>
                <w:color w:val="auto"/>
                <w:kern w:val="0"/>
                <w:sz w:val="21"/>
                <w:szCs w:val="21"/>
              </w:rPr>
            </w:pPr>
            <w:r>
              <w:rPr>
                <w:color w:val="auto"/>
                <w:kern w:val="0"/>
                <w:sz w:val="21"/>
                <w:szCs w:val="21"/>
              </w:rPr>
              <w:t>GB/T17138-1997</w:t>
            </w:r>
          </w:p>
        </w:tc>
        <w:tc>
          <w:tcPr>
            <w:tcW w:w="1549" w:type="dxa"/>
            <w:tcMar>
              <w:top w:w="85" w:type="dxa"/>
              <w:bottom w:w="85" w:type="dxa"/>
            </w:tcMar>
            <w:vAlign w:val="center"/>
          </w:tcPr>
          <w:p>
            <w:pPr>
              <w:widowControl/>
              <w:spacing w:line="240" w:lineRule="auto"/>
              <w:ind w:firstLine="0" w:firstLineChars="0"/>
              <w:jc w:val="center"/>
              <w:textAlignment w:val="center"/>
              <w:rPr>
                <w:color w:val="auto"/>
                <w:kern w:val="0"/>
                <w:sz w:val="21"/>
                <w:szCs w:val="21"/>
              </w:rPr>
            </w:pPr>
            <w:r>
              <w:rPr>
                <w:color w:val="auto"/>
                <w:kern w:val="0"/>
                <w:sz w:val="21"/>
                <w:szCs w:val="21"/>
              </w:rPr>
              <w:t>0.5mg/kg</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1671" w:type="dxa"/>
            <w:tcMar>
              <w:top w:w="85" w:type="dxa"/>
              <w:bottom w:w="85" w:type="dxa"/>
            </w:tcMar>
            <w:vAlign w:val="center"/>
          </w:tcPr>
          <w:p>
            <w:pPr>
              <w:spacing w:line="240" w:lineRule="auto"/>
              <w:ind w:firstLine="0" w:firstLineChars="0"/>
              <w:jc w:val="center"/>
              <w:rPr>
                <w:color w:val="auto"/>
                <w:kern w:val="0"/>
                <w:sz w:val="21"/>
                <w:szCs w:val="21"/>
              </w:rPr>
            </w:pPr>
            <w:r>
              <w:rPr>
                <w:rFonts w:hint="eastAsia"/>
                <w:color w:val="auto"/>
                <w:kern w:val="0"/>
                <w:sz w:val="21"/>
                <w:szCs w:val="21"/>
              </w:rPr>
              <w:t>镍</w:t>
            </w:r>
          </w:p>
        </w:tc>
        <w:tc>
          <w:tcPr>
            <w:tcW w:w="2972" w:type="dxa"/>
            <w:tcMar>
              <w:top w:w="85" w:type="dxa"/>
              <w:bottom w:w="85" w:type="dxa"/>
            </w:tcMar>
            <w:vAlign w:val="center"/>
          </w:tcPr>
          <w:p>
            <w:pPr>
              <w:widowControl/>
              <w:spacing w:line="240" w:lineRule="auto"/>
              <w:ind w:firstLine="0" w:firstLineChars="0"/>
              <w:jc w:val="center"/>
              <w:textAlignment w:val="center"/>
              <w:rPr>
                <w:color w:val="auto"/>
                <w:kern w:val="0"/>
                <w:sz w:val="21"/>
                <w:szCs w:val="21"/>
              </w:rPr>
            </w:pPr>
            <w:r>
              <w:rPr>
                <w:color w:val="auto"/>
                <w:kern w:val="0"/>
                <w:sz w:val="21"/>
                <w:szCs w:val="21"/>
              </w:rPr>
              <w:t>火焰原子吸收分光光度法</w:t>
            </w:r>
          </w:p>
        </w:tc>
        <w:tc>
          <w:tcPr>
            <w:tcW w:w="2982" w:type="dxa"/>
            <w:tcMar>
              <w:top w:w="85" w:type="dxa"/>
              <w:bottom w:w="85" w:type="dxa"/>
            </w:tcMar>
            <w:vAlign w:val="center"/>
          </w:tcPr>
          <w:p>
            <w:pPr>
              <w:widowControl/>
              <w:spacing w:line="240" w:lineRule="auto"/>
              <w:ind w:firstLine="0" w:firstLineChars="0"/>
              <w:jc w:val="center"/>
              <w:textAlignment w:val="center"/>
              <w:rPr>
                <w:color w:val="auto"/>
                <w:kern w:val="0"/>
                <w:sz w:val="21"/>
                <w:szCs w:val="21"/>
              </w:rPr>
            </w:pPr>
            <w:r>
              <w:rPr>
                <w:color w:val="auto"/>
                <w:kern w:val="0"/>
                <w:sz w:val="21"/>
                <w:szCs w:val="21"/>
              </w:rPr>
              <w:t>GB/T17139-1997</w:t>
            </w:r>
          </w:p>
        </w:tc>
        <w:tc>
          <w:tcPr>
            <w:tcW w:w="1549" w:type="dxa"/>
            <w:tcMar>
              <w:top w:w="85" w:type="dxa"/>
              <w:bottom w:w="85" w:type="dxa"/>
            </w:tcMar>
            <w:vAlign w:val="center"/>
          </w:tcPr>
          <w:p>
            <w:pPr>
              <w:widowControl/>
              <w:spacing w:line="240" w:lineRule="auto"/>
              <w:ind w:firstLine="0" w:firstLineChars="0"/>
              <w:jc w:val="center"/>
              <w:textAlignment w:val="center"/>
              <w:rPr>
                <w:color w:val="auto"/>
                <w:kern w:val="0"/>
                <w:sz w:val="21"/>
                <w:szCs w:val="21"/>
              </w:rPr>
            </w:pPr>
            <w:r>
              <w:rPr>
                <w:color w:val="auto"/>
                <w:kern w:val="0"/>
                <w:sz w:val="21"/>
                <w:szCs w:val="21"/>
              </w:rPr>
              <w:t>5mg/kg</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1671" w:type="dxa"/>
            <w:tcMar>
              <w:top w:w="85" w:type="dxa"/>
              <w:bottom w:w="85" w:type="dxa"/>
            </w:tcMar>
            <w:vAlign w:val="center"/>
          </w:tcPr>
          <w:p>
            <w:pPr>
              <w:spacing w:line="240" w:lineRule="auto"/>
              <w:ind w:firstLine="0" w:firstLineChars="0"/>
              <w:jc w:val="center"/>
              <w:rPr>
                <w:color w:val="auto"/>
                <w:kern w:val="0"/>
                <w:sz w:val="21"/>
                <w:szCs w:val="21"/>
              </w:rPr>
            </w:pPr>
            <w:r>
              <w:rPr>
                <w:rFonts w:hint="eastAsia"/>
                <w:color w:val="auto"/>
                <w:kern w:val="0"/>
                <w:sz w:val="21"/>
                <w:szCs w:val="21"/>
              </w:rPr>
              <w:t>铬</w:t>
            </w:r>
          </w:p>
        </w:tc>
        <w:tc>
          <w:tcPr>
            <w:tcW w:w="2972" w:type="dxa"/>
            <w:tcMar>
              <w:top w:w="85" w:type="dxa"/>
              <w:bottom w:w="85" w:type="dxa"/>
            </w:tcMar>
            <w:vAlign w:val="center"/>
          </w:tcPr>
          <w:p>
            <w:pPr>
              <w:widowControl/>
              <w:spacing w:line="240" w:lineRule="auto"/>
              <w:ind w:firstLine="0" w:firstLineChars="0"/>
              <w:jc w:val="center"/>
              <w:textAlignment w:val="center"/>
              <w:rPr>
                <w:color w:val="auto"/>
                <w:kern w:val="0"/>
                <w:sz w:val="21"/>
                <w:szCs w:val="21"/>
              </w:rPr>
            </w:pPr>
            <w:r>
              <w:rPr>
                <w:color w:val="auto"/>
                <w:kern w:val="0"/>
                <w:sz w:val="21"/>
                <w:szCs w:val="21"/>
              </w:rPr>
              <w:t>火焰原子吸收分光光度法</w:t>
            </w:r>
          </w:p>
        </w:tc>
        <w:tc>
          <w:tcPr>
            <w:tcW w:w="2982" w:type="dxa"/>
            <w:tcMar>
              <w:top w:w="85" w:type="dxa"/>
              <w:bottom w:w="85" w:type="dxa"/>
            </w:tcMar>
            <w:vAlign w:val="center"/>
          </w:tcPr>
          <w:p>
            <w:pPr>
              <w:widowControl/>
              <w:spacing w:line="240" w:lineRule="auto"/>
              <w:ind w:firstLine="0" w:firstLineChars="0"/>
              <w:jc w:val="center"/>
              <w:textAlignment w:val="center"/>
              <w:rPr>
                <w:color w:val="auto"/>
                <w:kern w:val="0"/>
                <w:sz w:val="21"/>
                <w:szCs w:val="21"/>
              </w:rPr>
            </w:pPr>
            <w:r>
              <w:rPr>
                <w:rFonts w:hint="eastAsia"/>
                <w:color w:val="auto"/>
                <w:kern w:val="0"/>
                <w:sz w:val="21"/>
                <w:szCs w:val="21"/>
              </w:rPr>
              <w:t>HJ491-2009</w:t>
            </w:r>
          </w:p>
        </w:tc>
        <w:tc>
          <w:tcPr>
            <w:tcW w:w="1549" w:type="dxa"/>
            <w:tcMar>
              <w:top w:w="85" w:type="dxa"/>
              <w:bottom w:w="85" w:type="dxa"/>
            </w:tcMar>
            <w:vAlign w:val="center"/>
          </w:tcPr>
          <w:p>
            <w:pPr>
              <w:widowControl/>
              <w:spacing w:line="240" w:lineRule="auto"/>
              <w:ind w:firstLine="0" w:firstLineChars="0"/>
              <w:jc w:val="center"/>
              <w:textAlignment w:val="center"/>
              <w:rPr>
                <w:color w:val="auto"/>
                <w:kern w:val="0"/>
                <w:sz w:val="21"/>
                <w:szCs w:val="21"/>
              </w:rPr>
            </w:pPr>
            <w:r>
              <w:rPr>
                <w:rFonts w:hint="eastAsia"/>
                <w:color w:val="auto"/>
                <w:kern w:val="0"/>
                <w:sz w:val="21"/>
                <w:szCs w:val="21"/>
              </w:rPr>
              <w:t>0.004mg/L</w:t>
            </w:r>
          </w:p>
        </w:tc>
      </w:tr>
    </w:tbl>
    <w:p>
      <w:pPr>
        <w:autoSpaceDE w:val="0"/>
        <w:autoSpaceDN w:val="0"/>
        <w:ind w:firstLine="480"/>
        <w:rPr>
          <w:color w:val="auto"/>
        </w:rPr>
      </w:pPr>
      <w:r>
        <w:rPr>
          <w:color w:val="auto"/>
        </w:rPr>
        <w:t>4.</w:t>
      </w:r>
      <w:r>
        <w:rPr>
          <w:rFonts w:hint="eastAsia"/>
          <w:color w:val="auto"/>
        </w:rPr>
        <w:t>2</w:t>
      </w:r>
      <w:r>
        <w:rPr>
          <w:color w:val="auto"/>
        </w:rPr>
        <w:t>.</w:t>
      </w:r>
      <w:r>
        <w:rPr>
          <w:rFonts w:hint="eastAsia"/>
          <w:color w:val="auto"/>
        </w:rPr>
        <w:t>5</w:t>
      </w:r>
      <w:r>
        <w:rPr>
          <w:color w:val="auto"/>
        </w:rPr>
        <w:t>.</w:t>
      </w:r>
      <w:r>
        <w:rPr>
          <w:rFonts w:hint="eastAsia"/>
          <w:color w:val="auto"/>
        </w:rPr>
        <w:t>3</w:t>
      </w:r>
      <w:r>
        <w:rPr>
          <w:color w:val="auto"/>
        </w:rPr>
        <w:t xml:space="preserve">  评价标准</w:t>
      </w:r>
    </w:p>
    <w:p>
      <w:pPr>
        <w:adjustRightInd/>
        <w:snapToGrid/>
        <w:ind w:firstLine="480"/>
        <w:rPr>
          <w:color w:val="auto"/>
          <w:szCs w:val="28"/>
        </w:rPr>
      </w:pPr>
      <w:r>
        <w:rPr>
          <w:color w:val="auto"/>
          <w:szCs w:val="28"/>
        </w:rPr>
        <w:t>土壤现状中各监测因子执行</w:t>
      </w:r>
      <w:r>
        <w:rPr>
          <w:color w:val="auto"/>
          <w:kern w:val="0"/>
        </w:rPr>
        <w:t>《土壤环境质量--农用地土壤污染风险管控标准（试行）》（GB15618-2018）</w:t>
      </w:r>
      <w:r>
        <w:rPr>
          <w:color w:val="auto"/>
          <w:szCs w:val="28"/>
        </w:rPr>
        <w:t>。见表</w:t>
      </w:r>
      <w:r>
        <w:rPr>
          <w:rFonts w:hint="eastAsia"/>
          <w:color w:val="auto"/>
          <w:szCs w:val="28"/>
        </w:rPr>
        <w:t>4.2-19</w:t>
      </w:r>
      <w:r>
        <w:rPr>
          <w:color w:val="auto"/>
          <w:szCs w:val="28"/>
        </w:rPr>
        <w:t>。</w:t>
      </w:r>
    </w:p>
    <w:p>
      <w:pPr>
        <w:ind w:firstLine="442"/>
        <w:jc w:val="center"/>
        <w:rPr>
          <w:b/>
          <w:bCs/>
          <w:color w:val="auto"/>
          <w:sz w:val="22"/>
          <w:szCs w:val="22"/>
        </w:rPr>
      </w:pPr>
      <w:r>
        <w:rPr>
          <w:b/>
          <w:bCs/>
          <w:color w:val="auto"/>
          <w:sz w:val="22"/>
          <w:szCs w:val="22"/>
        </w:rPr>
        <w:t>表4.2-19    农用地土壤污染风险筛选值    单位：mg/kg(pH 除外)</w:t>
      </w:r>
    </w:p>
    <w:tbl>
      <w:tblPr>
        <w:tblStyle w:val="27"/>
        <w:tblW w:w="4997"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808"/>
        <w:gridCol w:w="1005"/>
        <w:gridCol w:w="960"/>
        <w:gridCol w:w="986"/>
        <w:gridCol w:w="974"/>
        <w:gridCol w:w="960"/>
        <w:gridCol w:w="876"/>
        <w:gridCol w:w="766"/>
        <w:gridCol w:w="693"/>
        <w:gridCol w:w="697"/>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463"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b/>
                <w:bCs/>
                <w:color w:val="auto"/>
                <w:kern w:val="0"/>
                <w:sz w:val="21"/>
                <w:szCs w:val="21"/>
              </w:rPr>
              <w:t>pH</w:t>
            </w:r>
            <w:r>
              <w:rPr>
                <w:color w:val="auto"/>
                <w:kern w:val="0"/>
                <w:sz w:val="21"/>
                <w:szCs w:val="21"/>
              </w:rPr>
              <w:t xml:space="preserve"> 值</w:t>
            </w:r>
          </w:p>
        </w:tc>
        <w:tc>
          <w:tcPr>
            <w:tcW w:w="576"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color w:val="auto"/>
                <w:kern w:val="0"/>
                <w:sz w:val="21"/>
                <w:szCs w:val="21"/>
              </w:rPr>
              <w:t>镉</w:t>
            </w:r>
            <w:r>
              <w:rPr>
                <w:rFonts w:hint="eastAsia"/>
                <w:color w:val="auto"/>
                <w:kern w:val="0"/>
                <w:sz w:val="21"/>
                <w:szCs w:val="21"/>
              </w:rPr>
              <w:t>（其他）</w:t>
            </w:r>
          </w:p>
        </w:tc>
        <w:tc>
          <w:tcPr>
            <w:tcW w:w="550"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color w:val="auto"/>
                <w:kern w:val="0"/>
                <w:sz w:val="21"/>
                <w:szCs w:val="21"/>
              </w:rPr>
              <w:t>汞</w:t>
            </w:r>
            <w:r>
              <w:rPr>
                <w:rFonts w:hint="eastAsia"/>
                <w:color w:val="auto"/>
                <w:kern w:val="0"/>
                <w:sz w:val="21"/>
                <w:szCs w:val="21"/>
              </w:rPr>
              <w:t>（其他）</w:t>
            </w:r>
          </w:p>
        </w:tc>
        <w:tc>
          <w:tcPr>
            <w:tcW w:w="565" w:type="pct"/>
            <w:tcBorders>
              <w:tl2br w:val="nil"/>
              <w:tr2bl w:val="nil"/>
            </w:tcBorders>
            <w:vAlign w:val="center"/>
          </w:tcPr>
          <w:p>
            <w:pPr>
              <w:autoSpaceDE w:val="0"/>
              <w:autoSpaceDN w:val="0"/>
              <w:adjustRightInd/>
              <w:snapToGrid/>
              <w:spacing w:line="240" w:lineRule="auto"/>
              <w:ind w:firstLine="0" w:firstLineChars="0"/>
              <w:jc w:val="center"/>
              <w:rPr>
                <w:b/>
                <w:bCs/>
                <w:color w:val="auto"/>
                <w:kern w:val="0"/>
                <w:sz w:val="21"/>
                <w:szCs w:val="21"/>
              </w:rPr>
            </w:pPr>
            <w:r>
              <w:rPr>
                <w:color w:val="auto"/>
                <w:kern w:val="0"/>
                <w:sz w:val="21"/>
                <w:szCs w:val="21"/>
              </w:rPr>
              <w:t>砷</w:t>
            </w:r>
            <w:r>
              <w:rPr>
                <w:rFonts w:hint="eastAsia"/>
                <w:color w:val="auto"/>
                <w:kern w:val="0"/>
                <w:sz w:val="21"/>
                <w:szCs w:val="21"/>
              </w:rPr>
              <w:t>（其他）</w:t>
            </w:r>
          </w:p>
        </w:tc>
        <w:tc>
          <w:tcPr>
            <w:tcW w:w="558" w:type="pct"/>
            <w:tcBorders>
              <w:tl2br w:val="nil"/>
              <w:tr2bl w:val="nil"/>
            </w:tcBorders>
            <w:vAlign w:val="center"/>
          </w:tcPr>
          <w:p>
            <w:pPr>
              <w:autoSpaceDE w:val="0"/>
              <w:autoSpaceDN w:val="0"/>
              <w:adjustRightInd/>
              <w:snapToGrid/>
              <w:spacing w:line="240" w:lineRule="auto"/>
              <w:ind w:firstLine="0" w:firstLineChars="0"/>
              <w:jc w:val="center"/>
              <w:rPr>
                <w:b/>
                <w:bCs/>
                <w:color w:val="auto"/>
                <w:kern w:val="0"/>
                <w:sz w:val="21"/>
                <w:szCs w:val="21"/>
              </w:rPr>
            </w:pPr>
            <w:r>
              <w:rPr>
                <w:color w:val="auto"/>
                <w:kern w:val="0"/>
                <w:sz w:val="21"/>
                <w:szCs w:val="21"/>
              </w:rPr>
              <w:t>铜</w:t>
            </w:r>
            <w:r>
              <w:rPr>
                <w:rFonts w:hint="eastAsia"/>
                <w:color w:val="auto"/>
                <w:kern w:val="0"/>
                <w:sz w:val="21"/>
                <w:szCs w:val="21"/>
              </w:rPr>
              <w:t>（其他）</w:t>
            </w:r>
          </w:p>
        </w:tc>
        <w:tc>
          <w:tcPr>
            <w:tcW w:w="550"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color w:val="auto"/>
                <w:kern w:val="0"/>
                <w:sz w:val="21"/>
                <w:szCs w:val="21"/>
              </w:rPr>
              <w:t>铅</w:t>
            </w:r>
            <w:r>
              <w:rPr>
                <w:rFonts w:hint="eastAsia"/>
                <w:color w:val="auto"/>
                <w:kern w:val="0"/>
                <w:sz w:val="21"/>
                <w:szCs w:val="21"/>
              </w:rPr>
              <w:t>（其他）</w:t>
            </w:r>
          </w:p>
        </w:tc>
        <w:tc>
          <w:tcPr>
            <w:tcW w:w="502" w:type="pct"/>
            <w:tcBorders>
              <w:tl2br w:val="nil"/>
              <w:tr2bl w:val="nil"/>
            </w:tcBorders>
            <w:vAlign w:val="center"/>
          </w:tcPr>
          <w:p>
            <w:pPr>
              <w:autoSpaceDE w:val="0"/>
              <w:autoSpaceDN w:val="0"/>
              <w:adjustRightInd/>
              <w:snapToGrid/>
              <w:spacing w:line="240" w:lineRule="auto"/>
              <w:ind w:firstLine="0" w:firstLineChars="0"/>
              <w:jc w:val="center"/>
              <w:rPr>
                <w:b/>
                <w:bCs/>
                <w:color w:val="auto"/>
                <w:kern w:val="0"/>
                <w:sz w:val="21"/>
                <w:szCs w:val="21"/>
              </w:rPr>
            </w:pPr>
            <w:r>
              <w:rPr>
                <w:color w:val="auto"/>
                <w:kern w:val="0"/>
                <w:sz w:val="21"/>
                <w:szCs w:val="21"/>
              </w:rPr>
              <w:t>铬</w:t>
            </w:r>
            <w:r>
              <w:rPr>
                <w:rFonts w:hint="eastAsia"/>
                <w:color w:val="auto"/>
                <w:kern w:val="0"/>
                <w:sz w:val="21"/>
                <w:szCs w:val="21"/>
              </w:rPr>
              <w:t>（其他）</w:t>
            </w:r>
          </w:p>
        </w:tc>
        <w:tc>
          <w:tcPr>
            <w:tcW w:w="439"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color w:val="auto"/>
                <w:kern w:val="0"/>
                <w:sz w:val="21"/>
                <w:szCs w:val="21"/>
              </w:rPr>
              <w:t>锌</w:t>
            </w:r>
          </w:p>
        </w:tc>
        <w:tc>
          <w:tcPr>
            <w:tcW w:w="397"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color w:val="auto"/>
                <w:kern w:val="0"/>
                <w:sz w:val="21"/>
                <w:szCs w:val="21"/>
              </w:rPr>
              <w:t>镍</w:t>
            </w:r>
          </w:p>
        </w:tc>
        <w:tc>
          <w:tcPr>
            <w:tcW w:w="397"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镉</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463"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color w:val="auto"/>
                <w:kern w:val="0"/>
                <w:sz w:val="21"/>
                <w:szCs w:val="21"/>
              </w:rPr>
              <w:t>≤5.5</w:t>
            </w:r>
          </w:p>
        </w:tc>
        <w:tc>
          <w:tcPr>
            <w:tcW w:w="576"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color w:val="auto"/>
                <w:kern w:val="0"/>
                <w:sz w:val="21"/>
                <w:szCs w:val="21"/>
              </w:rPr>
              <w:t>0.3</w:t>
            </w:r>
          </w:p>
        </w:tc>
        <w:tc>
          <w:tcPr>
            <w:tcW w:w="550"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color w:val="auto"/>
                <w:kern w:val="0"/>
                <w:sz w:val="21"/>
                <w:szCs w:val="21"/>
              </w:rPr>
              <w:t>1.3</w:t>
            </w:r>
          </w:p>
        </w:tc>
        <w:tc>
          <w:tcPr>
            <w:tcW w:w="565"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color w:val="auto"/>
                <w:kern w:val="0"/>
                <w:sz w:val="21"/>
                <w:szCs w:val="21"/>
              </w:rPr>
              <w:t>40</w:t>
            </w:r>
          </w:p>
        </w:tc>
        <w:tc>
          <w:tcPr>
            <w:tcW w:w="558"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color w:val="auto"/>
                <w:kern w:val="0"/>
                <w:sz w:val="21"/>
                <w:szCs w:val="21"/>
              </w:rPr>
              <w:t>50</w:t>
            </w:r>
          </w:p>
        </w:tc>
        <w:tc>
          <w:tcPr>
            <w:tcW w:w="550"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color w:val="auto"/>
                <w:kern w:val="0"/>
                <w:sz w:val="21"/>
                <w:szCs w:val="21"/>
              </w:rPr>
              <w:t>70</w:t>
            </w:r>
          </w:p>
        </w:tc>
        <w:tc>
          <w:tcPr>
            <w:tcW w:w="502"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color w:val="auto"/>
                <w:kern w:val="0"/>
                <w:sz w:val="21"/>
                <w:szCs w:val="21"/>
              </w:rPr>
              <w:t>150</w:t>
            </w:r>
          </w:p>
        </w:tc>
        <w:tc>
          <w:tcPr>
            <w:tcW w:w="439"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color w:val="auto"/>
                <w:kern w:val="0"/>
                <w:sz w:val="21"/>
                <w:szCs w:val="21"/>
              </w:rPr>
              <w:t>200</w:t>
            </w:r>
          </w:p>
        </w:tc>
        <w:tc>
          <w:tcPr>
            <w:tcW w:w="397"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color w:val="auto"/>
                <w:kern w:val="0"/>
                <w:sz w:val="21"/>
                <w:szCs w:val="21"/>
              </w:rPr>
              <w:t>60</w:t>
            </w:r>
          </w:p>
        </w:tc>
        <w:tc>
          <w:tcPr>
            <w:tcW w:w="397"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0.3</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463"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color w:val="auto"/>
                <w:kern w:val="0"/>
                <w:sz w:val="21"/>
                <w:szCs w:val="21"/>
              </w:rPr>
              <w:t>5.5~6.5</w:t>
            </w:r>
          </w:p>
        </w:tc>
        <w:tc>
          <w:tcPr>
            <w:tcW w:w="576"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color w:val="auto"/>
                <w:kern w:val="0"/>
                <w:sz w:val="21"/>
                <w:szCs w:val="21"/>
              </w:rPr>
              <w:t>0.3</w:t>
            </w:r>
          </w:p>
        </w:tc>
        <w:tc>
          <w:tcPr>
            <w:tcW w:w="550"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color w:val="auto"/>
                <w:kern w:val="0"/>
                <w:sz w:val="21"/>
                <w:szCs w:val="21"/>
              </w:rPr>
              <w:t>1.8</w:t>
            </w:r>
          </w:p>
        </w:tc>
        <w:tc>
          <w:tcPr>
            <w:tcW w:w="565"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color w:val="auto"/>
                <w:kern w:val="0"/>
                <w:sz w:val="21"/>
                <w:szCs w:val="21"/>
              </w:rPr>
              <w:t>40</w:t>
            </w:r>
          </w:p>
        </w:tc>
        <w:tc>
          <w:tcPr>
            <w:tcW w:w="558"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color w:val="auto"/>
                <w:kern w:val="0"/>
                <w:sz w:val="21"/>
                <w:szCs w:val="21"/>
              </w:rPr>
              <w:t>50</w:t>
            </w:r>
          </w:p>
        </w:tc>
        <w:tc>
          <w:tcPr>
            <w:tcW w:w="550"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color w:val="auto"/>
                <w:kern w:val="0"/>
                <w:sz w:val="21"/>
                <w:szCs w:val="21"/>
              </w:rPr>
              <w:t>90</w:t>
            </w:r>
          </w:p>
        </w:tc>
        <w:tc>
          <w:tcPr>
            <w:tcW w:w="502"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color w:val="auto"/>
                <w:kern w:val="0"/>
                <w:sz w:val="21"/>
                <w:szCs w:val="21"/>
              </w:rPr>
              <w:t>150</w:t>
            </w:r>
          </w:p>
        </w:tc>
        <w:tc>
          <w:tcPr>
            <w:tcW w:w="439"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color w:val="auto"/>
                <w:kern w:val="0"/>
                <w:sz w:val="21"/>
                <w:szCs w:val="21"/>
              </w:rPr>
              <w:t>200</w:t>
            </w:r>
          </w:p>
        </w:tc>
        <w:tc>
          <w:tcPr>
            <w:tcW w:w="397"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color w:val="auto"/>
                <w:kern w:val="0"/>
                <w:sz w:val="21"/>
                <w:szCs w:val="21"/>
              </w:rPr>
              <w:t>70</w:t>
            </w:r>
          </w:p>
        </w:tc>
        <w:tc>
          <w:tcPr>
            <w:tcW w:w="397"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0.3</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463"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color w:val="auto"/>
                <w:kern w:val="0"/>
                <w:sz w:val="21"/>
                <w:szCs w:val="21"/>
              </w:rPr>
              <w:t>6.5~7.5</w:t>
            </w:r>
          </w:p>
        </w:tc>
        <w:tc>
          <w:tcPr>
            <w:tcW w:w="576"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color w:val="auto"/>
                <w:kern w:val="0"/>
                <w:sz w:val="21"/>
                <w:szCs w:val="21"/>
              </w:rPr>
              <w:t>0.3</w:t>
            </w:r>
          </w:p>
        </w:tc>
        <w:tc>
          <w:tcPr>
            <w:tcW w:w="550"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color w:val="auto"/>
                <w:kern w:val="0"/>
                <w:sz w:val="21"/>
                <w:szCs w:val="21"/>
              </w:rPr>
              <w:t>2.4</w:t>
            </w:r>
          </w:p>
        </w:tc>
        <w:tc>
          <w:tcPr>
            <w:tcW w:w="565"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color w:val="auto"/>
                <w:kern w:val="0"/>
                <w:sz w:val="21"/>
                <w:szCs w:val="21"/>
              </w:rPr>
              <w:t>30</w:t>
            </w:r>
          </w:p>
        </w:tc>
        <w:tc>
          <w:tcPr>
            <w:tcW w:w="558"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color w:val="auto"/>
                <w:kern w:val="0"/>
                <w:sz w:val="21"/>
                <w:szCs w:val="21"/>
              </w:rPr>
              <w:t>100</w:t>
            </w:r>
          </w:p>
        </w:tc>
        <w:tc>
          <w:tcPr>
            <w:tcW w:w="550"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color w:val="auto"/>
                <w:kern w:val="0"/>
                <w:sz w:val="21"/>
                <w:szCs w:val="21"/>
              </w:rPr>
              <w:t>120</w:t>
            </w:r>
          </w:p>
        </w:tc>
        <w:tc>
          <w:tcPr>
            <w:tcW w:w="502"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color w:val="auto"/>
                <w:kern w:val="0"/>
                <w:sz w:val="21"/>
                <w:szCs w:val="21"/>
              </w:rPr>
              <w:t>200</w:t>
            </w:r>
          </w:p>
        </w:tc>
        <w:tc>
          <w:tcPr>
            <w:tcW w:w="439"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color w:val="auto"/>
                <w:kern w:val="0"/>
                <w:sz w:val="21"/>
                <w:szCs w:val="21"/>
              </w:rPr>
              <w:t>250</w:t>
            </w:r>
          </w:p>
        </w:tc>
        <w:tc>
          <w:tcPr>
            <w:tcW w:w="397"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color w:val="auto"/>
                <w:kern w:val="0"/>
                <w:sz w:val="21"/>
                <w:szCs w:val="21"/>
              </w:rPr>
              <w:t>100</w:t>
            </w:r>
          </w:p>
        </w:tc>
        <w:tc>
          <w:tcPr>
            <w:tcW w:w="397"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0.3</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463"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shd w:val="clear" w:color="FFFFFF" w:fill="D9D9D9"/>
              </w:rPr>
            </w:pPr>
            <w:r>
              <w:rPr>
                <w:color w:val="auto"/>
                <w:kern w:val="0"/>
                <w:sz w:val="21"/>
                <w:szCs w:val="21"/>
                <w:shd w:val="clear" w:color="FFFFFF" w:fill="D9D9D9"/>
              </w:rPr>
              <w:t>&gt;7.5</w:t>
            </w:r>
          </w:p>
        </w:tc>
        <w:tc>
          <w:tcPr>
            <w:tcW w:w="576"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shd w:val="clear" w:color="FFFFFF" w:fill="D9D9D9"/>
              </w:rPr>
            </w:pPr>
            <w:r>
              <w:rPr>
                <w:color w:val="auto"/>
                <w:kern w:val="0"/>
                <w:sz w:val="21"/>
                <w:szCs w:val="21"/>
                <w:shd w:val="clear" w:color="FFFFFF" w:fill="D9D9D9"/>
              </w:rPr>
              <w:t>0.6</w:t>
            </w:r>
          </w:p>
        </w:tc>
        <w:tc>
          <w:tcPr>
            <w:tcW w:w="550"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shd w:val="clear" w:color="FFFFFF" w:fill="D9D9D9"/>
              </w:rPr>
            </w:pPr>
            <w:r>
              <w:rPr>
                <w:color w:val="auto"/>
                <w:kern w:val="0"/>
                <w:sz w:val="21"/>
                <w:szCs w:val="21"/>
                <w:shd w:val="clear" w:color="FFFFFF" w:fill="D9D9D9"/>
              </w:rPr>
              <w:t>3.4</w:t>
            </w:r>
          </w:p>
        </w:tc>
        <w:tc>
          <w:tcPr>
            <w:tcW w:w="565"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shd w:val="clear" w:color="FFFFFF" w:fill="D9D9D9"/>
              </w:rPr>
            </w:pPr>
            <w:r>
              <w:rPr>
                <w:color w:val="auto"/>
                <w:kern w:val="0"/>
                <w:sz w:val="21"/>
                <w:szCs w:val="21"/>
                <w:shd w:val="clear" w:color="FFFFFF" w:fill="D9D9D9"/>
              </w:rPr>
              <w:t>25</w:t>
            </w:r>
          </w:p>
        </w:tc>
        <w:tc>
          <w:tcPr>
            <w:tcW w:w="558"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shd w:val="clear" w:color="FFFFFF" w:fill="D9D9D9"/>
              </w:rPr>
            </w:pPr>
            <w:r>
              <w:rPr>
                <w:color w:val="auto"/>
                <w:kern w:val="0"/>
                <w:sz w:val="21"/>
                <w:szCs w:val="21"/>
                <w:shd w:val="clear" w:color="FFFFFF" w:fill="D9D9D9"/>
              </w:rPr>
              <w:t>100</w:t>
            </w:r>
          </w:p>
        </w:tc>
        <w:tc>
          <w:tcPr>
            <w:tcW w:w="550"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shd w:val="clear" w:color="FFFFFF" w:fill="D9D9D9"/>
              </w:rPr>
            </w:pPr>
            <w:r>
              <w:rPr>
                <w:color w:val="auto"/>
                <w:kern w:val="0"/>
                <w:sz w:val="21"/>
                <w:szCs w:val="21"/>
                <w:shd w:val="clear" w:color="FFFFFF" w:fill="D9D9D9"/>
              </w:rPr>
              <w:t>170</w:t>
            </w:r>
          </w:p>
        </w:tc>
        <w:tc>
          <w:tcPr>
            <w:tcW w:w="502"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shd w:val="clear" w:color="FFFFFF" w:fill="D9D9D9"/>
              </w:rPr>
            </w:pPr>
            <w:r>
              <w:rPr>
                <w:color w:val="auto"/>
                <w:kern w:val="0"/>
                <w:sz w:val="21"/>
                <w:szCs w:val="21"/>
                <w:shd w:val="clear" w:color="FFFFFF" w:fill="D9D9D9"/>
              </w:rPr>
              <w:t>250</w:t>
            </w:r>
          </w:p>
        </w:tc>
        <w:tc>
          <w:tcPr>
            <w:tcW w:w="439"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shd w:val="clear" w:color="FFFFFF" w:fill="D9D9D9"/>
              </w:rPr>
            </w:pPr>
            <w:r>
              <w:rPr>
                <w:color w:val="auto"/>
                <w:kern w:val="0"/>
                <w:sz w:val="21"/>
                <w:szCs w:val="21"/>
                <w:shd w:val="clear" w:color="FFFFFF" w:fill="D9D9D9"/>
              </w:rPr>
              <w:t>300</w:t>
            </w:r>
          </w:p>
        </w:tc>
        <w:tc>
          <w:tcPr>
            <w:tcW w:w="397"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shd w:val="clear" w:color="FFFFFF" w:fill="D9D9D9"/>
              </w:rPr>
            </w:pPr>
            <w:r>
              <w:rPr>
                <w:color w:val="auto"/>
                <w:kern w:val="0"/>
                <w:sz w:val="21"/>
                <w:szCs w:val="21"/>
                <w:shd w:val="clear" w:color="FFFFFF" w:fill="D9D9D9"/>
              </w:rPr>
              <w:t>190</w:t>
            </w:r>
          </w:p>
        </w:tc>
        <w:tc>
          <w:tcPr>
            <w:tcW w:w="397"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shd w:val="clear" w:color="FFFFFF" w:fill="D9D9D9"/>
              </w:rPr>
            </w:pPr>
            <w:r>
              <w:rPr>
                <w:rFonts w:hint="eastAsia"/>
                <w:color w:val="auto"/>
                <w:kern w:val="0"/>
                <w:sz w:val="21"/>
                <w:szCs w:val="21"/>
                <w:shd w:val="clear" w:color="FFFFFF" w:fill="D9D9D9"/>
              </w:rPr>
              <w:t>0.6</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463"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color w:val="auto"/>
                <w:kern w:val="0"/>
                <w:sz w:val="21"/>
                <w:szCs w:val="21"/>
              </w:rPr>
              <w:t>依据</w:t>
            </w:r>
          </w:p>
        </w:tc>
        <w:tc>
          <w:tcPr>
            <w:tcW w:w="4536" w:type="pct"/>
            <w:gridSpan w:val="9"/>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color w:val="auto"/>
                <w:kern w:val="0"/>
                <w:sz w:val="21"/>
                <w:szCs w:val="21"/>
              </w:rPr>
              <w:t>《土壤环境质量--农用地土壤污染风险管控标准（试行）》（GB15618-2018）</w:t>
            </w:r>
          </w:p>
        </w:tc>
      </w:tr>
    </w:tbl>
    <w:p>
      <w:pPr>
        <w:autoSpaceDE w:val="0"/>
        <w:autoSpaceDN w:val="0"/>
        <w:ind w:firstLine="480"/>
        <w:rPr>
          <w:color w:val="auto"/>
        </w:rPr>
      </w:pPr>
      <w:r>
        <w:rPr>
          <w:color w:val="auto"/>
        </w:rPr>
        <w:t>4.</w:t>
      </w:r>
      <w:r>
        <w:rPr>
          <w:rFonts w:hint="eastAsia"/>
          <w:color w:val="auto"/>
        </w:rPr>
        <w:t>2</w:t>
      </w:r>
      <w:r>
        <w:rPr>
          <w:color w:val="auto"/>
        </w:rPr>
        <w:t>.</w:t>
      </w:r>
      <w:r>
        <w:rPr>
          <w:rFonts w:hint="eastAsia"/>
          <w:color w:val="auto"/>
        </w:rPr>
        <w:t>5</w:t>
      </w:r>
      <w:r>
        <w:rPr>
          <w:color w:val="auto"/>
        </w:rPr>
        <w:t>.</w:t>
      </w:r>
      <w:r>
        <w:rPr>
          <w:rFonts w:hint="eastAsia"/>
          <w:color w:val="auto"/>
        </w:rPr>
        <w:t>5</w:t>
      </w:r>
      <w:r>
        <w:rPr>
          <w:color w:val="auto"/>
        </w:rPr>
        <w:t xml:space="preserve">  监测结果统计及评价</w:t>
      </w:r>
    </w:p>
    <w:p>
      <w:pPr>
        <w:pStyle w:val="44"/>
        <w:numPr>
          <w:ilvl w:val="0"/>
          <w:numId w:val="0"/>
        </w:numPr>
        <w:ind w:left="480" w:leftChars="200" w:firstLine="60" w:firstLineChars="25"/>
        <w:jc w:val="left"/>
        <w:rPr>
          <w:b w:val="0"/>
          <w:color w:val="auto"/>
        </w:rPr>
      </w:pPr>
      <w:r>
        <w:rPr>
          <w:b w:val="0"/>
          <w:color w:val="auto"/>
        </w:rPr>
        <w:t>本次地下水环境质量现状监测数据统计分析结果见表4</w:t>
      </w:r>
      <w:r>
        <w:rPr>
          <w:rFonts w:hint="eastAsia"/>
          <w:b w:val="0"/>
          <w:color w:val="auto"/>
        </w:rPr>
        <w:t>.2</w:t>
      </w:r>
      <w:r>
        <w:rPr>
          <w:b w:val="0"/>
          <w:color w:val="auto"/>
        </w:rPr>
        <w:t>-</w:t>
      </w:r>
      <w:r>
        <w:rPr>
          <w:rFonts w:hint="eastAsia"/>
          <w:b w:val="0"/>
          <w:color w:val="auto"/>
        </w:rPr>
        <w:t>20</w:t>
      </w:r>
      <w:r>
        <w:rPr>
          <w:b w:val="0"/>
          <w:color w:val="auto"/>
        </w:rPr>
        <w:t>。</w:t>
      </w:r>
    </w:p>
    <w:p>
      <w:pPr>
        <w:pStyle w:val="44"/>
        <w:numPr>
          <w:ilvl w:val="0"/>
          <w:numId w:val="0"/>
        </w:numPr>
        <w:ind w:left="422" w:hanging="422" w:hangingChars="175"/>
        <w:rPr>
          <w:b w:val="0"/>
          <w:color w:val="auto"/>
        </w:rPr>
      </w:pPr>
      <w:r>
        <w:rPr>
          <w:bCs/>
          <w:color w:val="auto"/>
        </w:rPr>
        <w:t>表4</w:t>
      </w:r>
      <w:r>
        <w:rPr>
          <w:rFonts w:hint="eastAsia"/>
          <w:bCs/>
          <w:color w:val="auto"/>
        </w:rPr>
        <w:t>.2</w:t>
      </w:r>
      <w:r>
        <w:rPr>
          <w:bCs/>
          <w:color w:val="auto"/>
        </w:rPr>
        <w:t>-</w:t>
      </w:r>
      <w:r>
        <w:rPr>
          <w:rFonts w:hint="eastAsia"/>
          <w:bCs/>
          <w:color w:val="auto"/>
        </w:rPr>
        <w:t>20</w:t>
      </w:r>
      <w:r>
        <w:rPr>
          <w:bCs/>
          <w:color w:val="auto"/>
        </w:rPr>
        <w:t xml:space="preserve">                        </w:t>
      </w:r>
      <w:r>
        <w:rPr>
          <w:rFonts w:hint="eastAsia"/>
          <w:bCs/>
          <w:color w:val="auto"/>
        </w:rPr>
        <w:t>土壤</w:t>
      </w:r>
      <w:r>
        <w:rPr>
          <w:bCs/>
          <w:color w:val="auto"/>
        </w:rPr>
        <w:t>环境质量现状监测结果统计一览表</w:t>
      </w:r>
    </w:p>
    <w:tbl>
      <w:tblPr>
        <w:tblStyle w:val="27"/>
        <w:tblW w:w="4995"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184"/>
        <w:gridCol w:w="1442"/>
        <w:gridCol w:w="693"/>
        <w:gridCol w:w="651"/>
        <w:gridCol w:w="651"/>
        <w:gridCol w:w="693"/>
        <w:gridCol w:w="733"/>
        <w:gridCol w:w="705"/>
        <w:gridCol w:w="693"/>
        <w:gridCol w:w="638"/>
        <w:gridCol w:w="638"/>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678"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color w:val="auto"/>
                <w:kern w:val="0"/>
                <w:sz w:val="21"/>
                <w:szCs w:val="21"/>
              </w:rPr>
              <w:t>监测</w:t>
            </w:r>
          </w:p>
          <w:p>
            <w:pPr>
              <w:autoSpaceDE w:val="0"/>
              <w:autoSpaceDN w:val="0"/>
              <w:adjustRightInd/>
              <w:snapToGrid/>
              <w:spacing w:line="240" w:lineRule="auto"/>
              <w:ind w:firstLine="0" w:firstLineChars="0"/>
              <w:jc w:val="center"/>
              <w:rPr>
                <w:color w:val="auto"/>
                <w:kern w:val="0"/>
                <w:sz w:val="21"/>
                <w:szCs w:val="21"/>
              </w:rPr>
            </w:pPr>
            <w:r>
              <w:rPr>
                <w:color w:val="auto"/>
                <w:kern w:val="0"/>
                <w:sz w:val="21"/>
                <w:szCs w:val="21"/>
              </w:rPr>
              <w:t>点</w:t>
            </w:r>
          </w:p>
        </w:tc>
        <w:tc>
          <w:tcPr>
            <w:tcW w:w="826"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color w:val="auto"/>
                <w:kern w:val="0"/>
                <w:sz w:val="21"/>
                <w:szCs w:val="21"/>
              </w:rPr>
              <w:t>项目</w:t>
            </w:r>
          </w:p>
        </w:tc>
        <w:tc>
          <w:tcPr>
            <w:tcW w:w="397"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color w:val="auto"/>
                <w:kern w:val="0"/>
                <w:sz w:val="21"/>
                <w:szCs w:val="21"/>
              </w:rPr>
              <w:t>pH</w:t>
            </w:r>
          </w:p>
        </w:tc>
        <w:tc>
          <w:tcPr>
            <w:tcW w:w="373"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color w:val="auto"/>
                <w:kern w:val="0"/>
                <w:sz w:val="21"/>
                <w:szCs w:val="21"/>
              </w:rPr>
              <w:t>铜</w:t>
            </w:r>
          </w:p>
        </w:tc>
        <w:tc>
          <w:tcPr>
            <w:tcW w:w="373" w:type="pct"/>
            <w:tcBorders>
              <w:tl2br w:val="nil"/>
              <w:tr2bl w:val="nil"/>
            </w:tcBorders>
            <w:vAlign w:val="center"/>
          </w:tcPr>
          <w:p>
            <w:pPr>
              <w:adjustRightInd/>
              <w:snapToGrid/>
              <w:spacing w:line="240" w:lineRule="auto"/>
              <w:ind w:firstLine="0" w:firstLineChars="0"/>
              <w:jc w:val="center"/>
              <w:rPr>
                <w:color w:val="auto"/>
                <w:kern w:val="0"/>
                <w:sz w:val="21"/>
                <w:szCs w:val="21"/>
              </w:rPr>
            </w:pPr>
            <w:r>
              <w:rPr>
                <w:color w:val="auto"/>
                <w:sz w:val="21"/>
                <w:szCs w:val="21"/>
              </w:rPr>
              <w:t>砷</w:t>
            </w:r>
          </w:p>
        </w:tc>
        <w:tc>
          <w:tcPr>
            <w:tcW w:w="397" w:type="pct"/>
            <w:tcBorders>
              <w:tl2br w:val="nil"/>
              <w:tr2bl w:val="nil"/>
            </w:tcBorders>
            <w:vAlign w:val="center"/>
          </w:tcPr>
          <w:p>
            <w:pPr>
              <w:adjustRightInd/>
              <w:snapToGrid/>
              <w:spacing w:line="240" w:lineRule="auto"/>
              <w:ind w:firstLine="0" w:firstLineChars="0"/>
              <w:jc w:val="center"/>
              <w:rPr>
                <w:color w:val="auto"/>
                <w:kern w:val="0"/>
                <w:sz w:val="21"/>
                <w:szCs w:val="21"/>
              </w:rPr>
            </w:pPr>
            <w:r>
              <w:rPr>
                <w:color w:val="auto"/>
                <w:sz w:val="21"/>
                <w:szCs w:val="21"/>
              </w:rPr>
              <w:t>镉</w:t>
            </w:r>
          </w:p>
        </w:tc>
        <w:tc>
          <w:tcPr>
            <w:tcW w:w="420" w:type="pct"/>
            <w:tcBorders>
              <w:tl2br w:val="nil"/>
              <w:tr2bl w:val="nil"/>
            </w:tcBorders>
            <w:vAlign w:val="center"/>
          </w:tcPr>
          <w:p>
            <w:pPr>
              <w:adjustRightInd/>
              <w:snapToGrid/>
              <w:spacing w:line="240" w:lineRule="auto"/>
              <w:ind w:firstLine="0" w:firstLineChars="0"/>
              <w:jc w:val="center"/>
              <w:rPr>
                <w:color w:val="auto"/>
                <w:kern w:val="0"/>
                <w:sz w:val="21"/>
                <w:szCs w:val="21"/>
              </w:rPr>
            </w:pPr>
            <w:r>
              <w:rPr>
                <w:color w:val="auto"/>
                <w:sz w:val="21"/>
                <w:szCs w:val="21"/>
              </w:rPr>
              <w:t>锌</w:t>
            </w:r>
          </w:p>
        </w:tc>
        <w:tc>
          <w:tcPr>
            <w:tcW w:w="404" w:type="pct"/>
            <w:tcBorders>
              <w:tl2br w:val="nil"/>
              <w:tr2bl w:val="nil"/>
            </w:tcBorders>
            <w:vAlign w:val="center"/>
          </w:tcPr>
          <w:p>
            <w:pPr>
              <w:adjustRightInd/>
              <w:snapToGrid/>
              <w:spacing w:line="240" w:lineRule="auto"/>
              <w:ind w:firstLine="0" w:firstLineChars="0"/>
              <w:jc w:val="center"/>
              <w:rPr>
                <w:color w:val="auto"/>
                <w:kern w:val="0"/>
                <w:sz w:val="21"/>
                <w:szCs w:val="21"/>
              </w:rPr>
            </w:pPr>
            <w:r>
              <w:rPr>
                <w:color w:val="auto"/>
                <w:sz w:val="21"/>
                <w:szCs w:val="21"/>
              </w:rPr>
              <w:t>铅</w:t>
            </w:r>
          </w:p>
        </w:tc>
        <w:tc>
          <w:tcPr>
            <w:tcW w:w="397" w:type="pct"/>
            <w:tcBorders>
              <w:tl2br w:val="nil"/>
              <w:tr2bl w:val="nil"/>
            </w:tcBorders>
            <w:vAlign w:val="center"/>
          </w:tcPr>
          <w:p>
            <w:pPr>
              <w:adjustRightInd/>
              <w:snapToGrid/>
              <w:spacing w:line="240" w:lineRule="auto"/>
              <w:ind w:firstLine="0" w:firstLineChars="0"/>
              <w:jc w:val="center"/>
              <w:rPr>
                <w:color w:val="auto"/>
                <w:kern w:val="0"/>
                <w:sz w:val="21"/>
                <w:szCs w:val="21"/>
              </w:rPr>
            </w:pPr>
            <w:r>
              <w:rPr>
                <w:color w:val="auto"/>
                <w:sz w:val="21"/>
                <w:szCs w:val="21"/>
              </w:rPr>
              <w:t>汞</w:t>
            </w:r>
          </w:p>
        </w:tc>
        <w:tc>
          <w:tcPr>
            <w:tcW w:w="365" w:type="pct"/>
            <w:tcBorders>
              <w:tl2br w:val="nil"/>
              <w:tr2bl w:val="nil"/>
            </w:tcBorders>
            <w:vAlign w:val="center"/>
          </w:tcPr>
          <w:p>
            <w:pPr>
              <w:adjustRightInd/>
              <w:snapToGrid/>
              <w:spacing w:line="240" w:lineRule="auto"/>
              <w:ind w:firstLine="0" w:firstLineChars="0"/>
              <w:jc w:val="center"/>
              <w:rPr>
                <w:color w:val="auto"/>
                <w:kern w:val="0"/>
                <w:sz w:val="21"/>
                <w:szCs w:val="21"/>
              </w:rPr>
            </w:pPr>
            <w:r>
              <w:rPr>
                <w:color w:val="auto"/>
                <w:sz w:val="21"/>
                <w:szCs w:val="21"/>
              </w:rPr>
              <w:t>镍</w:t>
            </w:r>
          </w:p>
        </w:tc>
        <w:tc>
          <w:tcPr>
            <w:tcW w:w="365" w:type="pct"/>
            <w:tcBorders>
              <w:tl2br w:val="nil"/>
              <w:tr2bl w:val="nil"/>
            </w:tcBorders>
            <w:vAlign w:val="center"/>
          </w:tcPr>
          <w:p>
            <w:pPr>
              <w:adjustRightInd/>
              <w:snapToGrid/>
              <w:spacing w:line="240" w:lineRule="auto"/>
              <w:ind w:firstLine="0" w:firstLineChars="0"/>
              <w:jc w:val="center"/>
              <w:rPr>
                <w:color w:val="auto"/>
                <w:sz w:val="21"/>
                <w:szCs w:val="21"/>
              </w:rPr>
            </w:pPr>
            <w:r>
              <w:rPr>
                <w:rFonts w:hint="eastAsia"/>
                <w:color w:val="auto"/>
                <w:sz w:val="21"/>
                <w:szCs w:val="21"/>
              </w:rPr>
              <w:t>铬</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678" w:type="pct"/>
            <w:vMerge w:val="restar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厂区空地</w:t>
            </w:r>
          </w:p>
        </w:tc>
        <w:tc>
          <w:tcPr>
            <w:tcW w:w="826"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color w:val="auto"/>
                <w:kern w:val="0"/>
                <w:sz w:val="21"/>
                <w:szCs w:val="21"/>
              </w:rPr>
              <w:t>监测值</w:t>
            </w:r>
          </w:p>
        </w:tc>
        <w:tc>
          <w:tcPr>
            <w:tcW w:w="397"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8.4</w:t>
            </w:r>
          </w:p>
        </w:tc>
        <w:tc>
          <w:tcPr>
            <w:tcW w:w="373"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68.9</w:t>
            </w:r>
          </w:p>
        </w:tc>
        <w:tc>
          <w:tcPr>
            <w:tcW w:w="373"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8.29</w:t>
            </w:r>
          </w:p>
        </w:tc>
        <w:tc>
          <w:tcPr>
            <w:tcW w:w="397"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0.45</w:t>
            </w:r>
          </w:p>
        </w:tc>
        <w:tc>
          <w:tcPr>
            <w:tcW w:w="420"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89.9</w:t>
            </w:r>
          </w:p>
        </w:tc>
        <w:tc>
          <w:tcPr>
            <w:tcW w:w="404"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121</w:t>
            </w:r>
          </w:p>
        </w:tc>
        <w:tc>
          <w:tcPr>
            <w:tcW w:w="397"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0.0314</w:t>
            </w:r>
          </w:p>
        </w:tc>
        <w:tc>
          <w:tcPr>
            <w:tcW w:w="365"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113</w:t>
            </w:r>
          </w:p>
        </w:tc>
        <w:tc>
          <w:tcPr>
            <w:tcW w:w="365"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125</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678" w:type="pct"/>
            <w:vMerge w:val="continue"/>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color w:val="auto"/>
                <w:kern w:val="0"/>
                <w:sz w:val="21"/>
                <w:szCs w:val="21"/>
              </w:rPr>
              <w:t>1#</w:t>
            </w:r>
          </w:p>
        </w:tc>
        <w:tc>
          <w:tcPr>
            <w:tcW w:w="826"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color w:val="auto"/>
                <w:kern w:val="0"/>
                <w:sz w:val="21"/>
                <w:szCs w:val="21"/>
              </w:rPr>
              <w:t>最大标准</w:t>
            </w:r>
          </w:p>
          <w:p>
            <w:pPr>
              <w:autoSpaceDE w:val="0"/>
              <w:autoSpaceDN w:val="0"/>
              <w:adjustRightInd/>
              <w:snapToGrid/>
              <w:spacing w:line="240" w:lineRule="auto"/>
              <w:ind w:firstLine="0" w:firstLineChars="0"/>
              <w:jc w:val="center"/>
              <w:rPr>
                <w:color w:val="auto"/>
                <w:kern w:val="0"/>
                <w:sz w:val="21"/>
                <w:szCs w:val="21"/>
              </w:rPr>
            </w:pPr>
            <w:r>
              <w:rPr>
                <w:color w:val="auto"/>
                <w:kern w:val="0"/>
                <w:sz w:val="21"/>
                <w:szCs w:val="21"/>
              </w:rPr>
              <w:t>指数</w:t>
            </w:r>
          </w:p>
        </w:tc>
        <w:tc>
          <w:tcPr>
            <w:tcW w:w="397"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w:t>
            </w:r>
          </w:p>
        </w:tc>
        <w:tc>
          <w:tcPr>
            <w:tcW w:w="373"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0.689</w:t>
            </w:r>
          </w:p>
        </w:tc>
        <w:tc>
          <w:tcPr>
            <w:tcW w:w="373"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0.332</w:t>
            </w:r>
          </w:p>
        </w:tc>
        <w:tc>
          <w:tcPr>
            <w:tcW w:w="397"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0.75</w:t>
            </w:r>
          </w:p>
        </w:tc>
        <w:tc>
          <w:tcPr>
            <w:tcW w:w="420"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0.3</w:t>
            </w:r>
          </w:p>
        </w:tc>
        <w:tc>
          <w:tcPr>
            <w:tcW w:w="404"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0.71</w:t>
            </w:r>
          </w:p>
        </w:tc>
        <w:tc>
          <w:tcPr>
            <w:tcW w:w="397"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0.009</w:t>
            </w:r>
          </w:p>
        </w:tc>
        <w:tc>
          <w:tcPr>
            <w:tcW w:w="365"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0.59</w:t>
            </w:r>
          </w:p>
        </w:tc>
        <w:tc>
          <w:tcPr>
            <w:tcW w:w="365"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0.5</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678" w:type="pct"/>
            <w:vMerge w:val="continue"/>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color w:val="auto"/>
                <w:kern w:val="0"/>
                <w:sz w:val="21"/>
                <w:szCs w:val="21"/>
              </w:rPr>
              <w:t>1#</w:t>
            </w:r>
          </w:p>
        </w:tc>
        <w:tc>
          <w:tcPr>
            <w:tcW w:w="826"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color w:val="auto"/>
                <w:kern w:val="0"/>
                <w:sz w:val="21"/>
                <w:szCs w:val="21"/>
              </w:rPr>
              <w:t>超标倍数</w:t>
            </w:r>
          </w:p>
        </w:tc>
        <w:tc>
          <w:tcPr>
            <w:tcW w:w="397"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w:t>
            </w:r>
          </w:p>
        </w:tc>
        <w:tc>
          <w:tcPr>
            <w:tcW w:w="373"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0</w:t>
            </w:r>
          </w:p>
        </w:tc>
        <w:tc>
          <w:tcPr>
            <w:tcW w:w="373"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0</w:t>
            </w:r>
          </w:p>
        </w:tc>
        <w:tc>
          <w:tcPr>
            <w:tcW w:w="397"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0</w:t>
            </w:r>
          </w:p>
        </w:tc>
        <w:tc>
          <w:tcPr>
            <w:tcW w:w="420"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0</w:t>
            </w:r>
          </w:p>
        </w:tc>
        <w:tc>
          <w:tcPr>
            <w:tcW w:w="404"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0</w:t>
            </w:r>
          </w:p>
        </w:tc>
        <w:tc>
          <w:tcPr>
            <w:tcW w:w="397"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0</w:t>
            </w:r>
          </w:p>
        </w:tc>
        <w:tc>
          <w:tcPr>
            <w:tcW w:w="365"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0</w:t>
            </w:r>
          </w:p>
        </w:tc>
        <w:tc>
          <w:tcPr>
            <w:tcW w:w="365"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678" w:type="pct"/>
            <w:vMerge w:val="restar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粪污处理区</w:t>
            </w:r>
          </w:p>
        </w:tc>
        <w:tc>
          <w:tcPr>
            <w:tcW w:w="826"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color w:val="auto"/>
                <w:kern w:val="0"/>
                <w:sz w:val="21"/>
                <w:szCs w:val="21"/>
              </w:rPr>
              <w:t>监测值</w:t>
            </w:r>
          </w:p>
        </w:tc>
        <w:tc>
          <w:tcPr>
            <w:tcW w:w="397"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8.6</w:t>
            </w:r>
          </w:p>
        </w:tc>
        <w:tc>
          <w:tcPr>
            <w:tcW w:w="373"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75.4</w:t>
            </w:r>
          </w:p>
        </w:tc>
        <w:tc>
          <w:tcPr>
            <w:tcW w:w="373"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7.47</w:t>
            </w:r>
          </w:p>
        </w:tc>
        <w:tc>
          <w:tcPr>
            <w:tcW w:w="397"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0.51</w:t>
            </w:r>
          </w:p>
        </w:tc>
        <w:tc>
          <w:tcPr>
            <w:tcW w:w="420"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95.1</w:t>
            </w:r>
          </w:p>
        </w:tc>
        <w:tc>
          <w:tcPr>
            <w:tcW w:w="404"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113</w:t>
            </w:r>
          </w:p>
        </w:tc>
        <w:tc>
          <w:tcPr>
            <w:tcW w:w="397"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0.0228</w:t>
            </w:r>
          </w:p>
        </w:tc>
        <w:tc>
          <w:tcPr>
            <w:tcW w:w="365"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118</w:t>
            </w:r>
          </w:p>
        </w:tc>
        <w:tc>
          <w:tcPr>
            <w:tcW w:w="365"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133</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678" w:type="pct"/>
            <w:vMerge w:val="continue"/>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color w:val="auto"/>
                <w:kern w:val="0"/>
                <w:sz w:val="21"/>
                <w:szCs w:val="21"/>
              </w:rPr>
              <w:t>2#</w:t>
            </w:r>
          </w:p>
        </w:tc>
        <w:tc>
          <w:tcPr>
            <w:tcW w:w="826"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color w:val="auto"/>
                <w:kern w:val="0"/>
                <w:sz w:val="21"/>
                <w:szCs w:val="21"/>
              </w:rPr>
              <w:t>最大标准</w:t>
            </w:r>
          </w:p>
          <w:p>
            <w:pPr>
              <w:autoSpaceDE w:val="0"/>
              <w:autoSpaceDN w:val="0"/>
              <w:adjustRightInd/>
              <w:snapToGrid/>
              <w:spacing w:line="240" w:lineRule="auto"/>
              <w:ind w:firstLine="0" w:firstLineChars="0"/>
              <w:jc w:val="center"/>
              <w:rPr>
                <w:color w:val="auto"/>
                <w:kern w:val="0"/>
                <w:sz w:val="21"/>
                <w:szCs w:val="21"/>
              </w:rPr>
            </w:pPr>
            <w:r>
              <w:rPr>
                <w:color w:val="auto"/>
                <w:kern w:val="0"/>
                <w:sz w:val="21"/>
                <w:szCs w:val="21"/>
              </w:rPr>
              <w:t>指数</w:t>
            </w:r>
          </w:p>
        </w:tc>
        <w:tc>
          <w:tcPr>
            <w:tcW w:w="397"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w:t>
            </w:r>
          </w:p>
        </w:tc>
        <w:tc>
          <w:tcPr>
            <w:tcW w:w="373"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0.754</w:t>
            </w:r>
          </w:p>
        </w:tc>
        <w:tc>
          <w:tcPr>
            <w:tcW w:w="373"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0.30</w:t>
            </w:r>
          </w:p>
        </w:tc>
        <w:tc>
          <w:tcPr>
            <w:tcW w:w="397"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0.85</w:t>
            </w:r>
          </w:p>
        </w:tc>
        <w:tc>
          <w:tcPr>
            <w:tcW w:w="420"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0.32</w:t>
            </w:r>
          </w:p>
        </w:tc>
        <w:tc>
          <w:tcPr>
            <w:tcW w:w="404"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0.66</w:t>
            </w:r>
          </w:p>
        </w:tc>
        <w:tc>
          <w:tcPr>
            <w:tcW w:w="397"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0.0067</w:t>
            </w:r>
          </w:p>
        </w:tc>
        <w:tc>
          <w:tcPr>
            <w:tcW w:w="365"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0.62</w:t>
            </w:r>
          </w:p>
        </w:tc>
        <w:tc>
          <w:tcPr>
            <w:tcW w:w="365"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0.532</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678" w:type="pct"/>
            <w:vMerge w:val="continue"/>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color w:val="auto"/>
                <w:kern w:val="0"/>
                <w:sz w:val="21"/>
                <w:szCs w:val="21"/>
              </w:rPr>
              <w:t>2#</w:t>
            </w:r>
          </w:p>
        </w:tc>
        <w:tc>
          <w:tcPr>
            <w:tcW w:w="826"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color w:val="auto"/>
                <w:kern w:val="0"/>
                <w:sz w:val="21"/>
                <w:szCs w:val="21"/>
              </w:rPr>
              <w:t>超标倍数</w:t>
            </w:r>
          </w:p>
        </w:tc>
        <w:tc>
          <w:tcPr>
            <w:tcW w:w="397"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w:t>
            </w:r>
          </w:p>
        </w:tc>
        <w:tc>
          <w:tcPr>
            <w:tcW w:w="373"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0</w:t>
            </w:r>
          </w:p>
        </w:tc>
        <w:tc>
          <w:tcPr>
            <w:tcW w:w="373"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0</w:t>
            </w:r>
          </w:p>
        </w:tc>
        <w:tc>
          <w:tcPr>
            <w:tcW w:w="397"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0</w:t>
            </w:r>
          </w:p>
        </w:tc>
        <w:tc>
          <w:tcPr>
            <w:tcW w:w="420"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0</w:t>
            </w:r>
          </w:p>
        </w:tc>
        <w:tc>
          <w:tcPr>
            <w:tcW w:w="404"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0</w:t>
            </w:r>
          </w:p>
        </w:tc>
        <w:tc>
          <w:tcPr>
            <w:tcW w:w="397"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0</w:t>
            </w:r>
          </w:p>
        </w:tc>
        <w:tc>
          <w:tcPr>
            <w:tcW w:w="365"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0</w:t>
            </w:r>
          </w:p>
        </w:tc>
        <w:tc>
          <w:tcPr>
            <w:tcW w:w="365"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678" w:type="pct"/>
            <w:vMerge w:val="restar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养殖区</w:t>
            </w:r>
          </w:p>
        </w:tc>
        <w:tc>
          <w:tcPr>
            <w:tcW w:w="826"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color w:val="auto"/>
                <w:kern w:val="0"/>
                <w:sz w:val="21"/>
                <w:szCs w:val="21"/>
              </w:rPr>
              <w:t>监测值</w:t>
            </w:r>
          </w:p>
        </w:tc>
        <w:tc>
          <w:tcPr>
            <w:tcW w:w="397"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8.5</w:t>
            </w:r>
          </w:p>
        </w:tc>
        <w:tc>
          <w:tcPr>
            <w:tcW w:w="373"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70.8</w:t>
            </w:r>
          </w:p>
        </w:tc>
        <w:tc>
          <w:tcPr>
            <w:tcW w:w="373"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7.60</w:t>
            </w:r>
          </w:p>
        </w:tc>
        <w:tc>
          <w:tcPr>
            <w:tcW w:w="397"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0.48</w:t>
            </w:r>
          </w:p>
        </w:tc>
        <w:tc>
          <w:tcPr>
            <w:tcW w:w="420"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85.9</w:t>
            </w:r>
          </w:p>
        </w:tc>
        <w:tc>
          <w:tcPr>
            <w:tcW w:w="404"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125</w:t>
            </w:r>
          </w:p>
        </w:tc>
        <w:tc>
          <w:tcPr>
            <w:tcW w:w="397"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0.0236</w:t>
            </w:r>
          </w:p>
        </w:tc>
        <w:tc>
          <w:tcPr>
            <w:tcW w:w="365"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128</w:t>
            </w:r>
          </w:p>
        </w:tc>
        <w:tc>
          <w:tcPr>
            <w:tcW w:w="365"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129</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678" w:type="pct"/>
            <w:vMerge w:val="continue"/>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color w:val="auto"/>
                <w:kern w:val="0"/>
                <w:sz w:val="21"/>
                <w:szCs w:val="21"/>
              </w:rPr>
              <w:t>3#</w:t>
            </w:r>
          </w:p>
        </w:tc>
        <w:tc>
          <w:tcPr>
            <w:tcW w:w="826"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color w:val="auto"/>
                <w:kern w:val="0"/>
                <w:sz w:val="21"/>
                <w:szCs w:val="21"/>
              </w:rPr>
              <w:t>最大标准</w:t>
            </w:r>
          </w:p>
          <w:p>
            <w:pPr>
              <w:autoSpaceDE w:val="0"/>
              <w:autoSpaceDN w:val="0"/>
              <w:adjustRightInd/>
              <w:snapToGrid/>
              <w:spacing w:line="240" w:lineRule="auto"/>
              <w:ind w:firstLine="0" w:firstLineChars="0"/>
              <w:jc w:val="center"/>
              <w:rPr>
                <w:color w:val="auto"/>
                <w:kern w:val="0"/>
                <w:sz w:val="21"/>
                <w:szCs w:val="21"/>
              </w:rPr>
            </w:pPr>
            <w:r>
              <w:rPr>
                <w:color w:val="auto"/>
                <w:kern w:val="0"/>
                <w:sz w:val="21"/>
                <w:szCs w:val="21"/>
              </w:rPr>
              <w:t>指数</w:t>
            </w:r>
          </w:p>
        </w:tc>
        <w:tc>
          <w:tcPr>
            <w:tcW w:w="397"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w:t>
            </w:r>
          </w:p>
        </w:tc>
        <w:tc>
          <w:tcPr>
            <w:tcW w:w="373"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0.708</w:t>
            </w:r>
          </w:p>
        </w:tc>
        <w:tc>
          <w:tcPr>
            <w:tcW w:w="373"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0.304</w:t>
            </w:r>
          </w:p>
        </w:tc>
        <w:tc>
          <w:tcPr>
            <w:tcW w:w="397"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0.8</w:t>
            </w:r>
          </w:p>
        </w:tc>
        <w:tc>
          <w:tcPr>
            <w:tcW w:w="420"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0.29</w:t>
            </w:r>
          </w:p>
        </w:tc>
        <w:tc>
          <w:tcPr>
            <w:tcW w:w="404"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0.74</w:t>
            </w:r>
          </w:p>
        </w:tc>
        <w:tc>
          <w:tcPr>
            <w:tcW w:w="397"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0.0069</w:t>
            </w:r>
          </w:p>
        </w:tc>
        <w:tc>
          <w:tcPr>
            <w:tcW w:w="365"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0.67</w:t>
            </w:r>
          </w:p>
        </w:tc>
        <w:tc>
          <w:tcPr>
            <w:tcW w:w="365"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0.516</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678" w:type="pct"/>
            <w:vMerge w:val="continue"/>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color w:val="auto"/>
                <w:kern w:val="0"/>
                <w:sz w:val="21"/>
                <w:szCs w:val="21"/>
              </w:rPr>
              <w:t>3#</w:t>
            </w:r>
          </w:p>
        </w:tc>
        <w:tc>
          <w:tcPr>
            <w:tcW w:w="826"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color w:val="auto"/>
                <w:kern w:val="0"/>
                <w:sz w:val="21"/>
                <w:szCs w:val="21"/>
              </w:rPr>
              <w:t>超标倍数</w:t>
            </w:r>
          </w:p>
        </w:tc>
        <w:tc>
          <w:tcPr>
            <w:tcW w:w="397"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w:t>
            </w:r>
          </w:p>
        </w:tc>
        <w:tc>
          <w:tcPr>
            <w:tcW w:w="373"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0</w:t>
            </w:r>
          </w:p>
        </w:tc>
        <w:tc>
          <w:tcPr>
            <w:tcW w:w="373"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0</w:t>
            </w:r>
          </w:p>
        </w:tc>
        <w:tc>
          <w:tcPr>
            <w:tcW w:w="397"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0</w:t>
            </w:r>
          </w:p>
        </w:tc>
        <w:tc>
          <w:tcPr>
            <w:tcW w:w="420"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0</w:t>
            </w:r>
          </w:p>
        </w:tc>
        <w:tc>
          <w:tcPr>
            <w:tcW w:w="404"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0</w:t>
            </w:r>
          </w:p>
        </w:tc>
        <w:tc>
          <w:tcPr>
            <w:tcW w:w="397"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0</w:t>
            </w:r>
          </w:p>
        </w:tc>
        <w:tc>
          <w:tcPr>
            <w:tcW w:w="365"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0</w:t>
            </w:r>
          </w:p>
        </w:tc>
        <w:tc>
          <w:tcPr>
            <w:tcW w:w="365" w:type="pct"/>
            <w:tcBorders>
              <w:tl2br w:val="nil"/>
              <w:tr2bl w:val="nil"/>
            </w:tcBorders>
            <w:vAlign w:val="center"/>
          </w:tcPr>
          <w:p>
            <w:pPr>
              <w:autoSpaceDE w:val="0"/>
              <w:autoSpaceDN w:val="0"/>
              <w:adjustRightInd/>
              <w:snapToGrid/>
              <w:spacing w:line="240" w:lineRule="auto"/>
              <w:ind w:firstLine="0" w:firstLineChars="0"/>
              <w:jc w:val="center"/>
              <w:rPr>
                <w:color w:val="auto"/>
                <w:kern w:val="0"/>
                <w:sz w:val="21"/>
                <w:szCs w:val="21"/>
              </w:rPr>
            </w:pPr>
            <w:r>
              <w:rPr>
                <w:rFonts w:hint="eastAsia"/>
                <w:color w:val="auto"/>
                <w:kern w:val="0"/>
                <w:sz w:val="21"/>
                <w:szCs w:val="21"/>
              </w:rPr>
              <w:t>0</w:t>
            </w:r>
          </w:p>
        </w:tc>
      </w:tr>
    </w:tbl>
    <w:p>
      <w:pPr>
        <w:ind w:firstLine="480"/>
        <w:rPr>
          <w:color w:val="auto"/>
        </w:rPr>
        <w:sectPr>
          <w:headerReference r:id="rId16" w:type="default"/>
          <w:footerReference r:id="rId17" w:type="default"/>
          <w:footerReference r:id="rId18" w:type="even"/>
          <w:pgSz w:w="11906" w:h="16838"/>
          <w:pgMar w:top="1701" w:right="1588" w:bottom="1985" w:left="1588" w:header="1134" w:footer="992" w:gutter="0"/>
          <w:cols w:space="720" w:num="1"/>
          <w:docGrid w:type="lines" w:linePitch="312" w:charSpace="0"/>
        </w:sectPr>
      </w:pPr>
      <w:r>
        <w:rPr>
          <w:color w:val="auto"/>
        </w:rPr>
        <w:t>由上表可知，各监测点位各项因子均能满足《土壤环境质量--农用地土壤污染风险管控标准（试行）》（GB15618-2018）中标准要求</w:t>
      </w:r>
      <w:r>
        <w:rPr>
          <w:rFonts w:hint="eastAsia"/>
          <w:color w:val="auto"/>
        </w:rPr>
        <w:t>。</w:t>
      </w:r>
    </w:p>
    <w:p>
      <w:pPr>
        <w:ind w:firstLine="480"/>
        <w:rPr>
          <w:color w:val="auto"/>
        </w:rPr>
      </w:pPr>
      <w:bookmarkStart w:id="478" w:name="_Toc327476607"/>
      <w:bookmarkStart w:id="479" w:name="_Toc476923284"/>
      <w:bookmarkStart w:id="480" w:name="_Toc488933416"/>
      <w:bookmarkStart w:id="481" w:name="_Toc327741256"/>
      <w:bookmarkStart w:id="482" w:name="_Toc485580296"/>
      <w:bookmarkStart w:id="483" w:name="_Toc354421683"/>
      <w:bookmarkStart w:id="484" w:name="_Toc477357247"/>
      <w:bookmarkStart w:id="485" w:name="_Toc476921966"/>
      <w:bookmarkStart w:id="486" w:name="_Toc366760260"/>
      <w:bookmarkStart w:id="487" w:name="_Toc477187432"/>
      <w:bookmarkStart w:id="488" w:name="_Toc193113471"/>
    </w:p>
    <w:p>
      <w:pPr>
        <w:pStyle w:val="4"/>
        <w:keepNext w:val="0"/>
        <w:keepLines w:val="0"/>
        <w:widowControl/>
        <w:spacing w:before="240" w:after="156" w:afterLines="50" w:line="240" w:lineRule="auto"/>
        <w:ind w:firstLine="840"/>
        <w:rPr>
          <w:color w:val="auto"/>
        </w:rPr>
      </w:pPr>
      <w:bookmarkStart w:id="489" w:name="_Toc19793"/>
      <w:bookmarkStart w:id="490" w:name="_Toc31576"/>
      <w:r>
        <w:rPr>
          <w:color w:val="auto"/>
        </w:rPr>
        <w:t>第五章  环境质量影响预测与评价</w:t>
      </w:r>
      <w:bookmarkEnd w:id="478"/>
      <w:bookmarkEnd w:id="479"/>
      <w:bookmarkEnd w:id="480"/>
      <w:bookmarkEnd w:id="481"/>
      <w:bookmarkEnd w:id="482"/>
      <w:bookmarkEnd w:id="483"/>
      <w:bookmarkEnd w:id="484"/>
      <w:bookmarkEnd w:id="485"/>
      <w:bookmarkEnd w:id="486"/>
      <w:bookmarkEnd w:id="487"/>
      <w:bookmarkEnd w:id="489"/>
      <w:bookmarkEnd w:id="490"/>
    </w:p>
    <w:p>
      <w:pPr>
        <w:ind w:firstLine="480"/>
        <w:rPr>
          <w:color w:val="auto"/>
        </w:rPr>
      </w:pPr>
      <w:bookmarkStart w:id="491" w:name="_Toc441567764"/>
      <w:bookmarkStart w:id="492" w:name="_Toc413770907"/>
      <w:bookmarkStart w:id="493" w:name="_Toc405562803"/>
      <w:bookmarkStart w:id="494" w:name="_Toc485580297"/>
      <w:bookmarkStart w:id="495" w:name="_Toc488933417"/>
      <w:bookmarkStart w:id="496" w:name="_Toc327476608"/>
      <w:bookmarkStart w:id="497" w:name="_Toc477187433"/>
      <w:bookmarkStart w:id="498" w:name="_Toc476923285"/>
      <w:bookmarkStart w:id="499" w:name="_Toc476921967"/>
      <w:bookmarkStart w:id="500" w:name="_Toc366760261"/>
      <w:bookmarkStart w:id="501" w:name="_Toc354421684"/>
      <w:bookmarkStart w:id="502" w:name="_Toc477357248"/>
      <w:bookmarkStart w:id="503" w:name="_Toc327741257"/>
    </w:p>
    <w:p>
      <w:pPr>
        <w:pStyle w:val="33"/>
        <w:spacing w:line="360" w:lineRule="auto"/>
        <w:jc w:val="both"/>
        <w:rPr>
          <w:rFonts w:eastAsia="黑体"/>
          <w:color w:val="auto"/>
        </w:rPr>
      </w:pPr>
      <w:bookmarkStart w:id="504" w:name="_Toc32528"/>
      <w:bookmarkStart w:id="505" w:name="_Toc26315"/>
      <w:r>
        <w:rPr>
          <w:rFonts w:eastAsia="黑体"/>
          <w:color w:val="auto"/>
        </w:rPr>
        <w:t xml:space="preserve">5.1 </w:t>
      </w:r>
      <w:r>
        <w:rPr>
          <w:rFonts w:hAnsi="黑体" w:eastAsia="黑体"/>
          <w:color w:val="auto"/>
        </w:rPr>
        <w:t>施工期环境影响分析</w:t>
      </w:r>
      <w:bookmarkEnd w:id="491"/>
      <w:bookmarkEnd w:id="492"/>
      <w:bookmarkEnd w:id="493"/>
      <w:bookmarkEnd w:id="494"/>
      <w:bookmarkEnd w:id="495"/>
      <w:bookmarkEnd w:id="504"/>
      <w:bookmarkEnd w:id="505"/>
    </w:p>
    <w:p>
      <w:pPr>
        <w:ind w:firstLine="480"/>
        <w:rPr>
          <w:color w:val="auto"/>
        </w:rPr>
      </w:pPr>
      <w:r>
        <w:rPr>
          <w:color w:val="auto"/>
        </w:rPr>
        <w:t>本项目</w:t>
      </w:r>
      <w:r>
        <w:rPr>
          <w:rFonts w:hint="eastAsia"/>
          <w:color w:val="auto"/>
        </w:rPr>
        <w:t>施工期间对周围环境的影响主要表现在</w:t>
      </w:r>
      <w:r>
        <w:rPr>
          <w:color w:val="auto"/>
        </w:rPr>
        <w:t>扬尘、废水、施工噪声、建筑垃圾及生态影响等。</w:t>
      </w:r>
    </w:p>
    <w:p>
      <w:pPr>
        <w:pStyle w:val="6"/>
        <w:rPr>
          <w:color w:val="auto"/>
        </w:rPr>
      </w:pPr>
      <w:bookmarkStart w:id="506" w:name="_Toc319910885"/>
      <w:bookmarkStart w:id="507" w:name="_Toc311380300"/>
      <w:bookmarkStart w:id="508" w:name="_Toc148502648"/>
      <w:bookmarkStart w:id="509" w:name="_Toc148515624"/>
      <w:bookmarkStart w:id="510" w:name="_Toc148502308"/>
      <w:bookmarkStart w:id="511" w:name="_Toc522113039"/>
      <w:bookmarkStart w:id="512" w:name="_Toc148502223"/>
      <w:bookmarkStart w:id="513" w:name="_Toc95280008"/>
      <w:bookmarkStart w:id="514" w:name="_Toc311379467"/>
      <w:bookmarkStart w:id="515" w:name="_Toc153134044"/>
      <w:r>
        <w:rPr>
          <w:color w:val="auto"/>
        </w:rPr>
        <w:t>5.1.1</w:t>
      </w:r>
      <w:r>
        <w:rPr>
          <w:rFonts w:hAnsi="黑体"/>
          <w:color w:val="auto"/>
        </w:rPr>
        <w:t>施工期大气环境影响分析</w:t>
      </w:r>
      <w:bookmarkEnd w:id="506"/>
      <w:bookmarkEnd w:id="507"/>
      <w:bookmarkEnd w:id="508"/>
      <w:bookmarkEnd w:id="509"/>
      <w:bookmarkEnd w:id="510"/>
      <w:bookmarkEnd w:id="511"/>
      <w:bookmarkEnd w:id="512"/>
      <w:bookmarkEnd w:id="513"/>
      <w:bookmarkEnd w:id="514"/>
      <w:bookmarkEnd w:id="515"/>
    </w:p>
    <w:p>
      <w:pPr>
        <w:ind w:firstLine="480"/>
        <w:outlineLvl w:val="3"/>
        <w:rPr>
          <w:color w:val="auto"/>
        </w:rPr>
      </w:pPr>
      <w:bookmarkStart w:id="516" w:name="_Toc311380302"/>
      <w:bookmarkStart w:id="517" w:name="_Toc311379469"/>
      <w:bookmarkStart w:id="518" w:name="_Toc319910887"/>
      <w:r>
        <w:rPr>
          <w:color w:val="auto"/>
        </w:rPr>
        <w:t>5.1.1.</w:t>
      </w:r>
      <w:bookmarkEnd w:id="516"/>
      <w:bookmarkEnd w:id="517"/>
      <w:bookmarkEnd w:id="518"/>
      <w:r>
        <w:rPr>
          <w:rFonts w:hint="eastAsia"/>
          <w:color w:val="auto"/>
        </w:rPr>
        <w:t>1</w:t>
      </w:r>
      <w:r>
        <w:rPr>
          <w:color w:val="auto"/>
        </w:rPr>
        <w:t>扬尘</w:t>
      </w:r>
    </w:p>
    <w:p>
      <w:pPr>
        <w:ind w:firstLine="480"/>
        <w:rPr>
          <w:color w:val="auto"/>
        </w:rPr>
      </w:pPr>
      <w:r>
        <w:rPr>
          <w:rFonts w:hint="eastAsia"/>
          <w:color w:val="auto"/>
        </w:rPr>
        <w:t>本项目建设施工过程中的大气污染主要来自于施工场地的扬尘，在整个施工期，产生扬尘的作业有土地平整、开挖、回填、道路浇筑、建材运输、露天堆放、装卸和搅拌等过程，如遇干旱无雨季节，加上大风，施工扬尘将更严重。施工扬尘</w:t>
      </w:r>
      <w:r>
        <w:rPr>
          <w:color w:val="auto"/>
        </w:rPr>
        <w:t>按起尘的原因可分为动力起尘</w:t>
      </w:r>
      <w:r>
        <w:rPr>
          <w:rFonts w:hint="eastAsia"/>
          <w:color w:val="auto"/>
        </w:rPr>
        <w:t>和风力起尘。</w:t>
      </w:r>
    </w:p>
    <w:p>
      <w:pPr>
        <w:ind w:firstLine="480"/>
        <w:rPr>
          <w:color w:val="auto"/>
        </w:rPr>
      </w:pPr>
      <w:r>
        <w:rPr>
          <w:color w:val="auto"/>
        </w:rPr>
        <w:t>①动力起尘：由于外力而产生的尘粒悬浮而造成，其中施工装卸车辆造成的扬尘最为严重。据有关文献资料介绍，</w:t>
      </w:r>
      <w:r>
        <w:rPr>
          <w:rFonts w:hint="eastAsia"/>
          <w:color w:val="auto"/>
        </w:rPr>
        <w:t>施工期间的扬尘主要是由运输</w:t>
      </w:r>
      <w:r>
        <w:rPr>
          <w:color w:val="auto"/>
        </w:rPr>
        <w:t>车辆行驶产生</w:t>
      </w:r>
      <w:r>
        <w:rPr>
          <w:rFonts w:hint="eastAsia"/>
          <w:color w:val="auto"/>
        </w:rPr>
        <w:t>，约</w:t>
      </w:r>
      <w:r>
        <w:rPr>
          <w:color w:val="auto"/>
        </w:rPr>
        <w:t>占总扬尘</w:t>
      </w:r>
      <w:r>
        <w:rPr>
          <w:rFonts w:hint="eastAsia"/>
          <w:color w:val="auto"/>
        </w:rPr>
        <w:t>量</w:t>
      </w:r>
      <w:r>
        <w:rPr>
          <w:color w:val="auto"/>
        </w:rPr>
        <w:t>的60%。车辆行驶产生的扬尘，在完全干燥情况下，可按下列经验公式计算：</w:t>
      </w:r>
    </w:p>
    <w:p>
      <w:pPr>
        <w:ind w:firstLine="2280" w:firstLineChars="950"/>
        <w:rPr>
          <w:color w:val="auto"/>
        </w:rPr>
      </w:pPr>
      <w:r>
        <w:rPr>
          <w:color w:val="auto"/>
          <w:position w:val="-10"/>
        </w:rPr>
        <w:object>
          <v:shape id="_x0000_i1025" o:spt="75" type="#_x0000_t75" style="height:17.7pt;width:173.9pt;" o:ole="t" filled="f" o:preferrelative="t" stroked="f" coordsize="21600,21600">
            <v:path/>
            <v:fill on="f" focussize="0,0"/>
            <v:stroke on="f" joinstyle="miter"/>
            <v:imagedata r:id="rId44" o:title=""/>
            <o:lock v:ext="edit" aspectratio="t"/>
            <w10:wrap type="none"/>
            <w10:anchorlock/>
          </v:shape>
          <o:OLEObject Type="Embed" ProgID="Equation.3" ShapeID="_x0000_i1025" DrawAspect="Content" ObjectID="_1468075725" r:id="rId43">
            <o:LockedField>false</o:LockedField>
          </o:OLEObject>
        </w:object>
      </w:r>
    </w:p>
    <w:p>
      <w:pPr>
        <w:ind w:firstLine="1560" w:firstLineChars="650"/>
        <w:rPr>
          <w:color w:val="auto"/>
        </w:rPr>
      </w:pPr>
      <w:r>
        <w:rPr>
          <w:color w:val="auto"/>
        </w:rPr>
        <w:t>式中：Q——汽车行驶的扬尘，</w:t>
      </w:r>
      <w:r>
        <w:rPr>
          <w:rFonts w:hint="eastAsia"/>
          <w:color w:val="auto"/>
        </w:rPr>
        <w:t>k</w:t>
      </w:r>
      <w:r>
        <w:rPr>
          <w:color w:val="auto"/>
        </w:rPr>
        <w:t>g/km·辆；</w:t>
      </w:r>
    </w:p>
    <w:p>
      <w:pPr>
        <w:ind w:firstLine="2280" w:firstLineChars="950"/>
        <w:rPr>
          <w:color w:val="auto"/>
        </w:rPr>
      </w:pPr>
      <w:r>
        <w:rPr>
          <w:color w:val="auto"/>
        </w:rPr>
        <w:t>V——汽车速度，</w:t>
      </w:r>
      <w:r>
        <w:rPr>
          <w:rFonts w:hint="eastAsia"/>
          <w:color w:val="auto"/>
        </w:rPr>
        <w:t>k</w:t>
      </w:r>
      <w:r>
        <w:rPr>
          <w:color w:val="auto"/>
        </w:rPr>
        <w:t>m/hr；</w:t>
      </w:r>
    </w:p>
    <w:p>
      <w:pPr>
        <w:ind w:firstLine="2280" w:firstLineChars="950"/>
        <w:rPr>
          <w:color w:val="auto"/>
        </w:rPr>
      </w:pPr>
      <w:r>
        <w:rPr>
          <w:color w:val="auto"/>
        </w:rPr>
        <w:t>W——汽车载重量，吨；</w:t>
      </w:r>
    </w:p>
    <w:p>
      <w:pPr>
        <w:ind w:firstLine="2280" w:firstLineChars="950"/>
        <w:rPr>
          <w:color w:val="auto"/>
        </w:rPr>
      </w:pPr>
      <w:r>
        <w:rPr>
          <w:color w:val="auto"/>
        </w:rPr>
        <w:t>P——道路表面粉尘量，kg/m</w:t>
      </w:r>
      <w:r>
        <w:rPr>
          <w:color w:val="auto"/>
          <w:vertAlign w:val="superscript"/>
        </w:rPr>
        <w:t>2</w:t>
      </w:r>
      <w:r>
        <w:rPr>
          <w:color w:val="auto"/>
        </w:rPr>
        <w:t>。</w:t>
      </w:r>
    </w:p>
    <w:p>
      <w:pPr>
        <w:spacing w:after="93" w:afterLines="30"/>
        <w:ind w:left="851" w:firstLine="482"/>
        <w:jc w:val="left"/>
        <w:rPr>
          <w:b/>
          <w:color w:val="auto"/>
          <w:szCs w:val="21"/>
        </w:rPr>
      </w:pPr>
      <w:r>
        <w:rPr>
          <w:rFonts w:hint="eastAsia"/>
          <w:b/>
          <w:color w:val="auto"/>
          <w:szCs w:val="21"/>
        </w:rPr>
        <w:t xml:space="preserve">表5.1-1        </w:t>
      </w:r>
      <w:r>
        <w:rPr>
          <w:b/>
          <w:color w:val="auto"/>
          <w:szCs w:val="21"/>
        </w:rPr>
        <w:t xml:space="preserve">在不同车速和地面清洁程度的汽车扬尘  </w:t>
      </w:r>
      <w:r>
        <w:rPr>
          <w:rFonts w:hint="eastAsia"/>
          <w:b/>
          <w:color w:val="auto"/>
          <w:szCs w:val="21"/>
        </w:rPr>
        <w:t>（</w:t>
      </w:r>
      <w:r>
        <w:rPr>
          <w:b/>
          <w:color w:val="auto"/>
          <w:szCs w:val="21"/>
        </w:rPr>
        <w:t>kg/辆·km</w:t>
      </w:r>
      <w:r>
        <w:rPr>
          <w:rFonts w:hint="eastAsia"/>
          <w:b/>
          <w:color w:val="auto"/>
          <w:szCs w:val="21"/>
        </w:rPr>
        <w:t>）</w:t>
      </w:r>
    </w:p>
    <w:tbl>
      <w:tblPr>
        <w:tblStyle w:val="27"/>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254"/>
        <w:gridCol w:w="1228"/>
        <w:gridCol w:w="1380"/>
        <w:gridCol w:w="1380"/>
        <w:gridCol w:w="1380"/>
        <w:gridCol w:w="1290"/>
        <w:gridCol w:w="126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54" w:type="dxa"/>
            <w:tcBorders>
              <w:top w:val="single" w:color="auto" w:sz="4" w:space="0"/>
              <w:left w:val="nil"/>
              <w:bottom w:val="single" w:color="auto" w:sz="4" w:space="0"/>
              <w:right w:val="single" w:color="auto" w:sz="4" w:space="0"/>
              <w:tl2br w:val="single" w:color="auto" w:sz="6" w:space="0"/>
            </w:tcBorders>
            <w:vAlign w:val="center"/>
          </w:tcPr>
          <w:p>
            <w:pPr>
              <w:spacing w:line="240" w:lineRule="auto"/>
              <w:ind w:firstLine="0" w:firstLineChars="0"/>
              <w:jc w:val="center"/>
              <w:rPr>
                <w:color w:val="auto"/>
                <w:sz w:val="21"/>
                <w:szCs w:val="21"/>
              </w:rPr>
            </w:pPr>
            <w:r>
              <w:rPr>
                <w:rFonts w:hint="eastAsia"/>
                <w:color w:val="auto"/>
                <w:sz w:val="21"/>
                <w:szCs w:val="21"/>
              </w:rPr>
              <w:t xml:space="preserve">   粉尘量</w:t>
            </w:r>
          </w:p>
          <w:p>
            <w:pPr>
              <w:spacing w:line="240" w:lineRule="auto"/>
              <w:ind w:firstLine="0" w:firstLineChars="0"/>
              <w:jc w:val="center"/>
              <w:rPr>
                <w:color w:val="auto"/>
                <w:sz w:val="21"/>
                <w:szCs w:val="21"/>
              </w:rPr>
            </w:pPr>
            <w:r>
              <w:rPr>
                <w:rFonts w:hint="eastAsia"/>
                <w:color w:val="auto"/>
                <w:sz w:val="21"/>
                <w:szCs w:val="21"/>
              </w:rPr>
              <w:t>车速</w:t>
            </w:r>
          </w:p>
        </w:tc>
        <w:tc>
          <w:tcPr>
            <w:tcW w:w="1228"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0.1kg/m</w:t>
            </w:r>
            <w:r>
              <w:rPr>
                <w:rFonts w:hint="eastAsia"/>
                <w:color w:val="auto"/>
                <w:sz w:val="21"/>
                <w:szCs w:val="21"/>
                <w:vertAlign w:val="superscript"/>
              </w:rPr>
              <w:t>2</w:t>
            </w:r>
          </w:p>
        </w:tc>
        <w:tc>
          <w:tcPr>
            <w:tcW w:w="1380"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0.2kg/m</w:t>
            </w:r>
            <w:r>
              <w:rPr>
                <w:rFonts w:hint="eastAsia"/>
                <w:color w:val="auto"/>
                <w:sz w:val="21"/>
                <w:szCs w:val="21"/>
                <w:vertAlign w:val="superscript"/>
              </w:rPr>
              <w:t>2</w:t>
            </w:r>
          </w:p>
        </w:tc>
        <w:tc>
          <w:tcPr>
            <w:tcW w:w="1380"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0.3kg/m</w:t>
            </w:r>
            <w:r>
              <w:rPr>
                <w:rFonts w:hint="eastAsia"/>
                <w:color w:val="auto"/>
                <w:sz w:val="21"/>
                <w:szCs w:val="21"/>
                <w:vertAlign w:val="superscript"/>
              </w:rPr>
              <w:t>2</w:t>
            </w:r>
          </w:p>
        </w:tc>
        <w:tc>
          <w:tcPr>
            <w:tcW w:w="1380"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0.4kg/m</w:t>
            </w:r>
            <w:r>
              <w:rPr>
                <w:rFonts w:hint="eastAsia"/>
                <w:color w:val="auto"/>
                <w:sz w:val="21"/>
                <w:szCs w:val="21"/>
                <w:vertAlign w:val="superscript"/>
              </w:rPr>
              <w:t>2</w:t>
            </w:r>
          </w:p>
        </w:tc>
        <w:tc>
          <w:tcPr>
            <w:tcW w:w="1290"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0.5kg/m</w:t>
            </w:r>
            <w:r>
              <w:rPr>
                <w:rFonts w:hint="eastAsia"/>
                <w:color w:val="auto"/>
                <w:sz w:val="21"/>
                <w:szCs w:val="21"/>
                <w:vertAlign w:val="superscript"/>
              </w:rPr>
              <w:t>2</w:t>
            </w:r>
          </w:p>
        </w:tc>
        <w:tc>
          <w:tcPr>
            <w:tcW w:w="1263" w:type="dxa"/>
            <w:tcBorders>
              <w:top w:val="single" w:color="auto" w:sz="4" w:space="0"/>
              <w:left w:val="single" w:color="auto" w:sz="4" w:space="0"/>
              <w:bottom w:val="single" w:color="auto" w:sz="4" w:space="0"/>
              <w:right w:val="nil"/>
            </w:tcBorders>
            <w:vAlign w:val="center"/>
          </w:tcPr>
          <w:p>
            <w:pPr>
              <w:spacing w:line="240" w:lineRule="auto"/>
              <w:ind w:firstLine="0" w:firstLineChars="0"/>
              <w:jc w:val="center"/>
              <w:rPr>
                <w:color w:val="auto"/>
                <w:sz w:val="21"/>
                <w:szCs w:val="21"/>
              </w:rPr>
            </w:pPr>
            <w:r>
              <w:rPr>
                <w:rFonts w:hint="eastAsia"/>
                <w:color w:val="auto"/>
                <w:sz w:val="21"/>
                <w:szCs w:val="21"/>
              </w:rPr>
              <w:t>1kg/m</w:t>
            </w:r>
            <w:r>
              <w:rPr>
                <w:rFonts w:hint="eastAsia"/>
                <w:color w:val="auto"/>
                <w:sz w:val="21"/>
                <w:szCs w:val="21"/>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54" w:type="dxa"/>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5(km/hr)</w:t>
            </w:r>
          </w:p>
        </w:tc>
        <w:tc>
          <w:tcPr>
            <w:tcW w:w="1228"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0.051056</w:t>
            </w:r>
          </w:p>
        </w:tc>
        <w:tc>
          <w:tcPr>
            <w:tcW w:w="1380"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0.085865</w:t>
            </w:r>
          </w:p>
        </w:tc>
        <w:tc>
          <w:tcPr>
            <w:tcW w:w="1380"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0.116382</w:t>
            </w:r>
          </w:p>
        </w:tc>
        <w:tc>
          <w:tcPr>
            <w:tcW w:w="1380"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0.144408</w:t>
            </w:r>
          </w:p>
        </w:tc>
        <w:tc>
          <w:tcPr>
            <w:tcW w:w="1290"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0.170715</w:t>
            </w:r>
          </w:p>
        </w:tc>
        <w:tc>
          <w:tcPr>
            <w:tcW w:w="1263" w:type="dxa"/>
            <w:tcBorders>
              <w:top w:val="single" w:color="auto" w:sz="4" w:space="0"/>
              <w:left w:val="single" w:color="auto" w:sz="4" w:space="0"/>
              <w:bottom w:val="single" w:color="auto" w:sz="4" w:space="0"/>
              <w:right w:val="nil"/>
            </w:tcBorders>
            <w:vAlign w:val="center"/>
          </w:tcPr>
          <w:p>
            <w:pPr>
              <w:spacing w:line="240" w:lineRule="auto"/>
              <w:ind w:firstLine="0" w:firstLineChars="0"/>
              <w:jc w:val="center"/>
              <w:rPr>
                <w:color w:val="auto"/>
                <w:sz w:val="21"/>
                <w:szCs w:val="21"/>
              </w:rPr>
            </w:pPr>
            <w:r>
              <w:rPr>
                <w:rFonts w:hint="eastAsia"/>
                <w:color w:val="auto"/>
                <w:sz w:val="21"/>
                <w:szCs w:val="21"/>
              </w:rPr>
              <w:t>0.287108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54" w:type="dxa"/>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10(km/hr)</w:t>
            </w:r>
          </w:p>
        </w:tc>
        <w:tc>
          <w:tcPr>
            <w:tcW w:w="1228"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0.102112</w:t>
            </w:r>
          </w:p>
        </w:tc>
        <w:tc>
          <w:tcPr>
            <w:tcW w:w="1380"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0.171731</w:t>
            </w:r>
          </w:p>
        </w:tc>
        <w:tc>
          <w:tcPr>
            <w:tcW w:w="1380"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0.232764</w:t>
            </w:r>
          </w:p>
        </w:tc>
        <w:tc>
          <w:tcPr>
            <w:tcW w:w="1380"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0.288815</w:t>
            </w:r>
          </w:p>
        </w:tc>
        <w:tc>
          <w:tcPr>
            <w:tcW w:w="1290"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0.341431</w:t>
            </w:r>
          </w:p>
        </w:tc>
        <w:tc>
          <w:tcPr>
            <w:tcW w:w="1263" w:type="dxa"/>
            <w:tcBorders>
              <w:top w:val="single" w:color="auto" w:sz="4" w:space="0"/>
              <w:left w:val="single" w:color="auto" w:sz="4" w:space="0"/>
              <w:bottom w:val="single" w:color="auto" w:sz="4" w:space="0"/>
              <w:right w:val="nil"/>
            </w:tcBorders>
            <w:vAlign w:val="center"/>
          </w:tcPr>
          <w:p>
            <w:pPr>
              <w:spacing w:line="240" w:lineRule="auto"/>
              <w:ind w:firstLine="0" w:firstLineChars="0"/>
              <w:jc w:val="center"/>
              <w:rPr>
                <w:color w:val="auto"/>
                <w:sz w:val="21"/>
                <w:szCs w:val="21"/>
              </w:rPr>
            </w:pPr>
            <w:r>
              <w:rPr>
                <w:rFonts w:hint="eastAsia"/>
                <w:color w:val="auto"/>
                <w:sz w:val="21"/>
                <w:szCs w:val="21"/>
              </w:rPr>
              <w:t>0.574216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54" w:type="dxa"/>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15(km/hr)</w:t>
            </w:r>
          </w:p>
        </w:tc>
        <w:tc>
          <w:tcPr>
            <w:tcW w:w="1228"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0.153167</w:t>
            </w:r>
          </w:p>
        </w:tc>
        <w:tc>
          <w:tcPr>
            <w:tcW w:w="1380"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0.257596</w:t>
            </w:r>
          </w:p>
        </w:tc>
        <w:tc>
          <w:tcPr>
            <w:tcW w:w="1380"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0.349146</w:t>
            </w:r>
          </w:p>
        </w:tc>
        <w:tc>
          <w:tcPr>
            <w:tcW w:w="1380"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0.433223</w:t>
            </w:r>
          </w:p>
        </w:tc>
        <w:tc>
          <w:tcPr>
            <w:tcW w:w="1290"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0.512146</w:t>
            </w:r>
          </w:p>
        </w:tc>
        <w:tc>
          <w:tcPr>
            <w:tcW w:w="1263" w:type="dxa"/>
            <w:tcBorders>
              <w:top w:val="single" w:color="auto" w:sz="4" w:space="0"/>
              <w:left w:val="single" w:color="auto" w:sz="4" w:space="0"/>
              <w:bottom w:val="single" w:color="auto" w:sz="4" w:space="0"/>
              <w:right w:val="nil"/>
            </w:tcBorders>
            <w:vAlign w:val="center"/>
          </w:tcPr>
          <w:p>
            <w:pPr>
              <w:spacing w:line="240" w:lineRule="auto"/>
              <w:ind w:firstLine="0" w:firstLineChars="0"/>
              <w:jc w:val="center"/>
              <w:rPr>
                <w:color w:val="auto"/>
                <w:sz w:val="21"/>
                <w:szCs w:val="21"/>
              </w:rPr>
            </w:pPr>
            <w:r>
              <w:rPr>
                <w:rFonts w:hint="eastAsia"/>
                <w:color w:val="auto"/>
                <w:sz w:val="21"/>
                <w:szCs w:val="21"/>
              </w:rPr>
              <w:t>0.861323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54" w:type="dxa"/>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25(km/hr)</w:t>
            </w:r>
          </w:p>
        </w:tc>
        <w:tc>
          <w:tcPr>
            <w:tcW w:w="1228"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0.255279</w:t>
            </w:r>
          </w:p>
        </w:tc>
        <w:tc>
          <w:tcPr>
            <w:tcW w:w="1380"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0.429326</w:t>
            </w:r>
          </w:p>
        </w:tc>
        <w:tc>
          <w:tcPr>
            <w:tcW w:w="1380"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0.58191</w:t>
            </w:r>
          </w:p>
        </w:tc>
        <w:tc>
          <w:tcPr>
            <w:tcW w:w="1380"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0.722038</w:t>
            </w:r>
          </w:p>
        </w:tc>
        <w:tc>
          <w:tcPr>
            <w:tcW w:w="1290"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0.853575</w:t>
            </w:r>
          </w:p>
        </w:tc>
        <w:tc>
          <w:tcPr>
            <w:tcW w:w="1263" w:type="dxa"/>
            <w:tcBorders>
              <w:top w:val="single" w:color="auto" w:sz="4" w:space="0"/>
              <w:left w:val="single" w:color="auto" w:sz="4" w:space="0"/>
              <w:bottom w:val="single" w:color="auto" w:sz="4" w:space="0"/>
              <w:right w:val="nil"/>
            </w:tcBorders>
            <w:vAlign w:val="center"/>
          </w:tcPr>
          <w:p>
            <w:pPr>
              <w:spacing w:line="240" w:lineRule="auto"/>
              <w:ind w:firstLine="0" w:firstLineChars="0"/>
              <w:jc w:val="center"/>
              <w:rPr>
                <w:color w:val="auto"/>
                <w:sz w:val="21"/>
                <w:szCs w:val="21"/>
              </w:rPr>
            </w:pPr>
            <w:r>
              <w:rPr>
                <w:rFonts w:hint="eastAsia"/>
                <w:color w:val="auto"/>
                <w:sz w:val="21"/>
                <w:szCs w:val="21"/>
              </w:rPr>
              <w:t>1.435539</w:t>
            </w:r>
          </w:p>
        </w:tc>
      </w:tr>
    </w:tbl>
    <w:p>
      <w:pPr>
        <w:ind w:firstLine="480"/>
        <w:rPr>
          <w:color w:val="auto"/>
        </w:rPr>
      </w:pPr>
      <w:r>
        <w:rPr>
          <w:color w:val="auto"/>
        </w:rPr>
        <w:t>表</w:t>
      </w:r>
      <w:r>
        <w:rPr>
          <w:rFonts w:hint="eastAsia"/>
          <w:color w:val="auto"/>
        </w:rPr>
        <w:t>5.1-1</w:t>
      </w:r>
      <w:r>
        <w:rPr>
          <w:color w:val="auto"/>
        </w:rPr>
        <w:t>为一辆10吨卡车，通过一段长度为1km的路面时，不同路面清洁程度，不同行驶速度情况下的扬尘量。由此可</w:t>
      </w:r>
      <w:r>
        <w:rPr>
          <w:rFonts w:hint="eastAsia"/>
          <w:color w:val="auto"/>
        </w:rPr>
        <w:t>知</w:t>
      </w:r>
      <w:r>
        <w:rPr>
          <w:color w:val="auto"/>
        </w:rPr>
        <w:t>在同样</w:t>
      </w:r>
      <w:r>
        <w:rPr>
          <w:rFonts w:hint="eastAsia"/>
          <w:color w:val="auto"/>
        </w:rPr>
        <w:t>的</w:t>
      </w:r>
      <w:r>
        <w:rPr>
          <w:color w:val="auto"/>
        </w:rPr>
        <w:t>路面清洁程度条件下，车速越快，扬尘量越大；而在同样车速情况下，路面越脏，则扬尘量越大。</w:t>
      </w:r>
    </w:p>
    <w:p>
      <w:pPr>
        <w:ind w:firstLine="480"/>
        <w:rPr>
          <w:color w:val="auto"/>
        </w:rPr>
      </w:pPr>
      <w:r>
        <w:rPr>
          <w:rFonts w:hint="eastAsia"/>
          <w:color w:val="auto"/>
        </w:rPr>
        <w:t>如果在施工期间对车辆行驶的路面施行洒水抑尘，每天洒水4~5次，可使扬尘减少70%左右，表5.1-2为施工场地洒水抑尘的试验结果，结果表明实施每天洒水4~5次进行抑尘，可有效地控制施工扬尘将其污染距离缩小到20~50m范围内。</w:t>
      </w:r>
    </w:p>
    <w:p>
      <w:pPr>
        <w:spacing w:after="93" w:afterLines="30"/>
        <w:ind w:left="851" w:firstLine="482"/>
        <w:jc w:val="left"/>
        <w:rPr>
          <w:b/>
          <w:color w:val="auto"/>
          <w:szCs w:val="21"/>
        </w:rPr>
      </w:pPr>
      <w:r>
        <w:rPr>
          <w:rFonts w:hint="eastAsia"/>
          <w:b/>
          <w:color w:val="auto"/>
          <w:szCs w:val="21"/>
        </w:rPr>
        <w:t>表5.1-2                   施工场地洒水抑尘试验结果</w:t>
      </w:r>
    </w:p>
    <w:tbl>
      <w:tblPr>
        <w:tblStyle w:val="27"/>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28"/>
        <w:gridCol w:w="1529"/>
        <w:gridCol w:w="1530"/>
        <w:gridCol w:w="1529"/>
        <w:gridCol w:w="1529"/>
        <w:gridCol w:w="153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28" w:type="dxa"/>
            <w:vAlign w:val="center"/>
          </w:tcPr>
          <w:p>
            <w:pPr>
              <w:spacing w:line="240" w:lineRule="auto"/>
              <w:ind w:firstLine="0" w:firstLineChars="0"/>
              <w:jc w:val="center"/>
              <w:rPr>
                <w:color w:val="auto"/>
                <w:sz w:val="21"/>
                <w:szCs w:val="21"/>
              </w:rPr>
            </w:pPr>
            <w:r>
              <w:rPr>
                <w:rFonts w:hint="eastAsia"/>
                <w:color w:val="auto"/>
                <w:sz w:val="21"/>
                <w:szCs w:val="21"/>
              </w:rPr>
              <w:t>距离（m）</w:t>
            </w:r>
          </w:p>
        </w:tc>
        <w:tc>
          <w:tcPr>
            <w:tcW w:w="1529" w:type="dxa"/>
            <w:vAlign w:val="center"/>
          </w:tcPr>
          <w:p>
            <w:pPr>
              <w:spacing w:line="240" w:lineRule="auto"/>
              <w:ind w:firstLine="0" w:firstLineChars="0"/>
              <w:jc w:val="center"/>
              <w:rPr>
                <w:color w:val="auto"/>
                <w:sz w:val="21"/>
                <w:szCs w:val="21"/>
              </w:rPr>
            </w:pPr>
            <w:r>
              <w:rPr>
                <w:rFonts w:hint="eastAsia"/>
                <w:color w:val="auto"/>
                <w:sz w:val="21"/>
                <w:szCs w:val="21"/>
              </w:rPr>
              <w:t>5</w:t>
            </w:r>
          </w:p>
        </w:tc>
        <w:tc>
          <w:tcPr>
            <w:tcW w:w="1530" w:type="dxa"/>
            <w:vAlign w:val="center"/>
          </w:tcPr>
          <w:p>
            <w:pPr>
              <w:spacing w:line="240" w:lineRule="auto"/>
              <w:ind w:firstLine="0" w:firstLineChars="0"/>
              <w:jc w:val="center"/>
              <w:rPr>
                <w:color w:val="auto"/>
                <w:sz w:val="21"/>
                <w:szCs w:val="21"/>
              </w:rPr>
            </w:pPr>
            <w:r>
              <w:rPr>
                <w:rFonts w:hint="eastAsia"/>
                <w:color w:val="auto"/>
                <w:sz w:val="21"/>
                <w:szCs w:val="21"/>
              </w:rPr>
              <w:t>10</w:t>
            </w:r>
          </w:p>
        </w:tc>
        <w:tc>
          <w:tcPr>
            <w:tcW w:w="1529" w:type="dxa"/>
            <w:vAlign w:val="center"/>
          </w:tcPr>
          <w:p>
            <w:pPr>
              <w:spacing w:line="240" w:lineRule="auto"/>
              <w:ind w:firstLine="0" w:firstLineChars="0"/>
              <w:jc w:val="center"/>
              <w:rPr>
                <w:color w:val="auto"/>
                <w:sz w:val="21"/>
                <w:szCs w:val="21"/>
              </w:rPr>
            </w:pPr>
            <w:r>
              <w:rPr>
                <w:rFonts w:hint="eastAsia"/>
                <w:color w:val="auto"/>
                <w:sz w:val="21"/>
                <w:szCs w:val="21"/>
              </w:rPr>
              <w:t>20</w:t>
            </w:r>
          </w:p>
        </w:tc>
        <w:tc>
          <w:tcPr>
            <w:tcW w:w="1529" w:type="dxa"/>
            <w:vAlign w:val="center"/>
          </w:tcPr>
          <w:p>
            <w:pPr>
              <w:spacing w:line="240" w:lineRule="auto"/>
              <w:ind w:firstLine="0" w:firstLineChars="0"/>
              <w:jc w:val="center"/>
              <w:rPr>
                <w:color w:val="auto"/>
                <w:sz w:val="21"/>
                <w:szCs w:val="21"/>
              </w:rPr>
            </w:pPr>
            <w:r>
              <w:rPr>
                <w:rFonts w:hint="eastAsia"/>
                <w:color w:val="auto"/>
                <w:sz w:val="21"/>
                <w:szCs w:val="21"/>
              </w:rPr>
              <w:t>50</w:t>
            </w:r>
          </w:p>
        </w:tc>
        <w:tc>
          <w:tcPr>
            <w:tcW w:w="1530" w:type="dxa"/>
            <w:vAlign w:val="center"/>
          </w:tcPr>
          <w:p>
            <w:pPr>
              <w:spacing w:line="240" w:lineRule="auto"/>
              <w:ind w:firstLine="0" w:firstLineChars="0"/>
              <w:jc w:val="center"/>
              <w:rPr>
                <w:color w:val="auto"/>
                <w:sz w:val="21"/>
                <w:szCs w:val="21"/>
              </w:rPr>
            </w:pPr>
            <w:r>
              <w:rPr>
                <w:rFonts w:hint="eastAsia"/>
                <w:color w:val="auto"/>
                <w:sz w:val="21"/>
                <w:szCs w:val="21"/>
              </w:rPr>
              <w:t>100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28" w:type="dxa"/>
            <w:vMerge w:val="restart"/>
            <w:vAlign w:val="center"/>
          </w:tcPr>
          <w:p>
            <w:pPr>
              <w:spacing w:line="240" w:lineRule="auto"/>
              <w:ind w:firstLine="0" w:firstLineChars="0"/>
              <w:jc w:val="center"/>
              <w:rPr>
                <w:color w:val="auto"/>
                <w:sz w:val="21"/>
                <w:szCs w:val="21"/>
              </w:rPr>
            </w:pPr>
            <w:r>
              <w:rPr>
                <w:rFonts w:hint="eastAsia"/>
                <w:color w:val="auto"/>
                <w:sz w:val="21"/>
                <w:szCs w:val="21"/>
              </w:rPr>
              <w:t>TSP平均浓度（mg/m</w:t>
            </w:r>
            <w:r>
              <w:rPr>
                <w:rFonts w:hint="eastAsia"/>
                <w:color w:val="auto"/>
                <w:sz w:val="21"/>
                <w:szCs w:val="21"/>
                <w:vertAlign w:val="superscript"/>
              </w:rPr>
              <w:t>3</w:t>
            </w:r>
            <w:r>
              <w:rPr>
                <w:rFonts w:hint="eastAsia"/>
                <w:color w:val="auto"/>
                <w:sz w:val="21"/>
                <w:szCs w:val="21"/>
              </w:rPr>
              <w:t>）</w:t>
            </w:r>
          </w:p>
        </w:tc>
        <w:tc>
          <w:tcPr>
            <w:tcW w:w="1529" w:type="dxa"/>
            <w:vAlign w:val="center"/>
          </w:tcPr>
          <w:p>
            <w:pPr>
              <w:spacing w:line="240" w:lineRule="auto"/>
              <w:ind w:firstLine="0" w:firstLineChars="0"/>
              <w:jc w:val="center"/>
              <w:rPr>
                <w:color w:val="auto"/>
                <w:sz w:val="21"/>
                <w:szCs w:val="21"/>
              </w:rPr>
            </w:pPr>
            <w:r>
              <w:rPr>
                <w:rFonts w:hint="eastAsia"/>
                <w:color w:val="auto"/>
                <w:sz w:val="21"/>
                <w:szCs w:val="21"/>
              </w:rPr>
              <w:t>不洒水</w:t>
            </w:r>
          </w:p>
        </w:tc>
        <w:tc>
          <w:tcPr>
            <w:tcW w:w="1530" w:type="dxa"/>
            <w:vAlign w:val="center"/>
          </w:tcPr>
          <w:p>
            <w:pPr>
              <w:spacing w:line="240" w:lineRule="auto"/>
              <w:ind w:firstLine="0" w:firstLineChars="0"/>
              <w:jc w:val="center"/>
              <w:rPr>
                <w:color w:val="auto"/>
                <w:sz w:val="21"/>
                <w:szCs w:val="21"/>
              </w:rPr>
            </w:pPr>
            <w:r>
              <w:rPr>
                <w:rFonts w:hint="eastAsia"/>
                <w:color w:val="auto"/>
                <w:sz w:val="21"/>
                <w:szCs w:val="21"/>
              </w:rPr>
              <w:t>10.14</w:t>
            </w:r>
          </w:p>
        </w:tc>
        <w:tc>
          <w:tcPr>
            <w:tcW w:w="1529" w:type="dxa"/>
            <w:vAlign w:val="center"/>
          </w:tcPr>
          <w:p>
            <w:pPr>
              <w:spacing w:line="240" w:lineRule="auto"/>
              <w:ind w:firstLine="0" w:firstLineChars="0"/>
              <w:jc w:val="center"/>
              <w:rPr>
                <w:color w:val="auto"/>
                <w:sz w:val="21"/>
                <w:szCs w:val="21"/>
              </w:rPr>
            </w:pPr>
            <w:r>
              <w:rPr>
                <w:rFonts w:hint="eastAsia"/>
                <w:color w:val="auto"/>
                <w:sz w:val="21"/>
                <w:szCs w:val="21"/>
              </w:rPr>
              <w:t>2.89</w:t>
            </w:r>
          </w:p>
        </w:tc>
        <w:tc>
          <w:tcPr>
            <w:tcW w:w="1529" w:type="dxa"/>
            <w:vAlign w:val="center"/>
          </w:tcPr>
          <w:p>
            <w:pPr>
              <w:spacing w:line="240" w:lineRule="auto"/>
              <w:ind w:firstLine="0" w:firstLineChars="0"/>
              <w:jc w:val="center"/>
              <w:rPr>
                <w:color w:val="auto"/>
                <w:sz w:val="21"/>
                <w:szCs w:val="21"/>
              </w:rPr>
            </w:pPr>
            <w:r>
              <w:rPr>
                <w:rFonts w:hint="eastAsia"/>
                <w:color w:val="auto"/>
                <w:sz w:val="21"/>
                <w:szCs w:val="21"/>
              </w:rPr>
              <w:t>1.15</w:t>
            </w:r>
          </w:p>
        </w:tc>
        <w:tc>
          <w:tcPr>
            <w:tcW w:w="1530" w:type="dxa"/>
            <w:vAlign w:val="center"/>
          </w:tcPr>
          <w:p>
            <w:pPr>
              <w:spacing w:line="240" w:lineRule="auto"/>
              <w:ind w:firstLine="0" w:firstLineChars="0"/>
              <w:jc w:val="center"/>
              <w:rPr>
                <w:color w:val="auto"/>
                <w:sz w:val="21"/>
                <w:szCs w:val="21"/>
              </w:rPr>
            </w:pPr>
            <w:r>
              <w:rPr>
                <w:rFonts w:hint="eastAsia"/>
                <w:color w:val="auto"/>
                <w:sz w:val="21"/>
                <w:szCs w:val="21"/>
              </w:rPr>
              <w:t>0.86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28" w:type="dxa"/>
            <w:vMerge w:val="continue"/>
            <w:vAlign w:val="center"/>
          </w:tcPr>
          <w:p>
            <w:pPr>
              <w:spacing w:line="240" w:lineRule="auto"/>
              <w:ind w:firstLine="0" w:firstLineChars="0"/>
              <w:jc w:val="center"/>
              <w:rPr>
                <w:color w:val="auto"/>
                <w:sz w:val="21"/>
                <w:szCs w:val="21"/>
              </w:rPr>
            </w:pPr>
          </w:p>
        </w:tc>
        <w:tc>
          <w:tcPr>
            <w:tcW w:w="1529" w:type="dxa"/>
            <w:vAlign w:val="center"/>
          </w:tcPr>
          <w:p>
            <w:pPr>
              <w:spacing w:line="240" w:lineRule="auto"/>
              <w:ind w:firstLine="0" w:firstLineChars="0"/>
              <w:jc w:val="center"/>
              <w:rPr>
                <w:color w:val="auto"/>
                <w:sz w:val="21"/>
                <w:szCs w:val="21"/>
              </w:rPr>
            </w:pPr>
            <w:r>
              <w:rPr>
                <w:rFonts w:hint="eastAsia"/>
                <w:color w:val="auto"/>
                <w:sz w:val="21"/>
                <w:szCs w:val="21"/>
              </w:rPr>
              <w:t>洒水</w:t>
            </w:r>
          </w:p>
        </w:tc>
        <w:tc>
          <w:tcPr>
            <w:tcW w:w="1530" w:type="dxa"/>
            <w:vAlign w:val="center"/>
          </w:tcPr>
          <w:p>
            <w:pPr>
              <w:spacing w:line="240" w:lineRule="auto"/>
              <w:ind w:firstLine="0" w:firstLineChars="0"/>
              <w:jc w:val="center"/>
              <w:rPr>
                <w:color w:val="auto"/>
                <w:sz w:val="21"/>
                <w:szCs w:val="21"/>
              </w:rPr>
            </w:pPr>
            <w:r>
              <w:rPr>
                <w:rFonts w:hint="eastAsia"/>
                <w:color w:val="auto"/>
                <w:sz w:val="21"/>
                <w:szCs w:val="21"/>
              </w:rPr>
              <w:t>2.01</w:t>
            </w:r>
          </w:p>
        </w:tc>
        <w:tc>
          <w:tcPr>
            <w:tcW w:w="1529" w:type="dxa"/>
            <w:vAlign w:val="center"/>
          </w:tcPr>
          <w:p>
            <w:pPr>
              <w:spacing w:line="240" w:lineRule="auto"/>
              <w:ind w:firstLine="0" w:firstLineChars="0"/>
              <w:jc w:val="center"/>
              <w:rPr>
                <w:color w:val="auto"/>
                <w:sz w:val="21"/>
                <w:szCs w:val="21"/>
              </w:rPr>
            </w:pPr>
            <w:r>
              <w:rPr>
                <w:rFonts w:hint="eastAsia"/>
                <w:color w:val="auto"/>
                <w:sz w:val="21"/>
                <w:szCs w:val="21"/>
              </w:rPr>
              <w:t>1.40</w:t>
            </w:r>
          </w:p>
        </w:tc>
        <w:tc>
          <w:tcPr>
            <w:tcW w:w="1529" w:type="dxa"/>
            <w:vAlign w:val="center"/>
          </w:tcPr>
          <w:p>
            <w:pPr>
              <w:spacing w:line="240" w:lineRule="auto"/>
              <w:ind w:firstLine="0" w:firstLineChars="0"/>
              <w:jc w:val="center"/>
              <w:rPr>
                <w:color w:val="auto"/>
                <w:sz w:val="21"/>
                <w:szCs w:val="21"/>
              </w:rPr>
            </w:pPr>
            <w:r>
              <w:rPr>
                <w:rFonts w:hint="eastAsia"/>
                <w:color w:val="auto"/>
                <w:sz w:val="21"/>
                <w:szCs w:val="21"/>
              </w:rPr>
              <w:t>0.67</w:t>
            </w:r>
          </w:p>
        </w:tc>
        <w:tc>
          <w:tcPr>
            <w:tcW w:w="1530" w:type="dxa"/>
            <w:vAlign w:val="center"/>
          </w:tcPr>
          <w:p>
            <w:pPr>
              <w:spacing w:line="240" w:lineRule="auto"/>
              <w:ind w:firstLine="0" w:firstLineChars="0"/>
              <w:jc w:val="center"/>
              <w:rPr>
                <w:color w:val="auto"/>
                <w:sz w:val="21"/>
                <w:szCs w:val="21"/>
              </w:rPr>
            </w:pPr>
            <w:r>
              <w:rPr>
                <w:rFonts w:hint="eastAsia"/>
                <w:color w:val="auto"/>
                <w:sz w:val="21"/>
                <w:szCs w:val="21"/>
              </w:rPr>
              <w:t>0.60</w:t>
            </w:r>
          </w:p>
        </w:tc>
      </w:tr>
    </w:tbl>
    <w:p>
      <w:pPr>
        <w:ind w:firstLine="480"/>
        <w:rPr>
          <w:color w:val="auto"/>
        </w:rPr>
      </w:pPr>
      <w:r>
        <w:rPr>
          <w:rFonts w:hint="eastAsia"/>
          <w:color w:val="auto"/>
        </w:rPr>
        <w:t>因此，</w:t>
      </w:r>
      <w:r>
        <w:rPr>
          <w:color w:val="auto"/>
        </w:rPr>
        <w:t>限速行驶及保持路面的清洁</w:t>
      </w:r>
      <w:r>
        <w:rPr>
          <w:rFonts w:hint="eastAsia"/>
          <w:color w:val="auto"/>
        </w:rPr>
        <w:t>，同时适当洒水</w:t>
      </w:r>
      <w:r>
        <w:rPr>
          <w:color w:val="auto"/>
        </w:rPr>
        <w:t>是减少汽车扬尘的有效</w:t>
      </w:r>
      <w:r>
        <w:rPr>
          <w:rFonts w:hint="eastAsia"/>
          <w:color w:val="auto"/>
        </w:rPr>
        <w:t>措施</w:t>
      </w:r>
      <w:r>
        <w:rPr>
          <w:color w:val="auto"/>
        </w:rPr>
        <w:t>。</w:t>
      </w:r>
      <w:r>
        <w:rPr>
          <w:rFonts w:hint="eastAsia"/>
          <w:color w:val="auto"/>
        </w:rPr>
        <w:t xml:space="preserve"> </w:t>
      </w:r>
    </w:p>
    <w:p>
      <w:pPr>
        <w:ind w:firstLine="360" w:firstLineChars="150"/>
        <w:rPr>
          <w:color w:val="auto"/>
        </w:rPr>
      </w:pPr>
      <w:r>
        <w:rPr>
          <w:color w:val="auto"/>
        </w:rPr>
        <w:t>②风力扬尘：</w:t>
      </w:r>
      <w:r>
        <w:rPr>
          <w:rFonts w:hint="eastAsia"/>
          <w:color w:val="auto"/>
        </w:rPr>
        <w:t>施工扬尘的另一种情况是露天堆场和裸露场地的风力扬尘，其扬尘量可参考秦皇岛码头采用的煤堆场起尘的经验公式计算：</w:t>
      </w:r>
    </w:p>
    <w:p>
      <w:pPr>
        <w:ind w:firstLine="2040" w:firstLineChars="850"/>
        <w:rPr>
          <w:color w:val="auto"/>
        </w:rPr>
      </w:pPr>
      <w:r>
        <w:rPr>
          <w:color w:val="auto"/>
        </w:rPr>
        <w:t>Q=2.1</w:t>
      </w:r>
      <w:r>
        <w:rPr>
          <w:rFonts w:hint="eastAsia"/>
          <w:color w:val="auto"/>
        </w:rPr>
        <w:t xml:space="preserve"> k</w:t>
      </w:r>
      <w:r>
        <w:rPr>
          <w:color w:val="auto"/>
        </w:rPr>
        <w:t>（V – V</w:t>
      </w:r>
      <w:r>
        <w:rPr>
          <w:color w:val="auto"/>
          <w:vertAlign w:val="subscript"/>
        </w:rPr>
        <w:t>0</w:t>
      </w:r>
      <w:r>
        <w:rPr>
          <w:color w:val="auto"/>
        </w:rPr>
        <w:t>）</w:t>
      </w:r>
      <w:r>
        <w:rPr>
          <w:color w:val="auto"/>
          <w:vertAlign w:val="superscript"/>
        </w:rPr>
        <w:t>3</w:t>
      </w:r>
      <w:r>
        <w:rPr>
          <w:color w:val="auto"/>
        </w:rPr>
        <w:t>e</w:t>
      </w:r>
      <w:r>
        <w:rPr>
          <w:color w:val="auto"/>
          <w:vertAlign w:val="superscript"/>
        </w:rPr>
        <w:t>-1.023W</w:t>
      </w:r>
      <w:r>
        <w:rPr>
          <w:color w:val="auto"/>
        </w:rPr>
        <w:t xml:space="preserve">                         </w:t>
      </w:r>
    </w:p>
    <w:p>
      <w:pPr>
        <w:ind w:firstLine="720" w:firstLineChars="300"/>
        <w:rPr>
          <w:color w:val="auto"/>
        </w:rPr>
      </w:pPr>
      <w:r>
        <w:rPr>
          <w:color w:val="auto"/>
        </w:rPr>
        <w:t>式中：Q ——起尘量，kg/吨·年；</w:t>
      </w:r>
    </w:p>
    <w:p>
      <w:pPr>
        <w:ind w:firstLine="1200" w:firstLineChars="500"/>
        <w:rPr>
          <w:color w:val="auto"/>
        </w:rPr>
      </w:pPr>
      <w:r>
        <w:rPr>
          <w:rFonts w:hint="eastAsia"/>
          <w:color w:val="auto"/>
        </w:rPr>
        <w:t xml:space="preserve">  k</w:t>
      </w:r>
      <w:r>
        <w:rPr>
          <w:color w:val="auto"/>
        </w:rPr>
        <w:t xml:space="preserve"> ——</w:t>
      </w:r>
      <w:r>
        <w:rPr>
          <w:rFonts w:hint="eastAsia"/>
          <w:color w:val="auto"/>
        </w:rPr>
        <w:t>经验系数，是煤含水量的函数；</w:t>
      </w:r>
    </w:p>
    <w:p>
      <w:pPr>
        <w:ind w:firstLine="360" w:firstLineChars="150"/>
        <w:rPr>
          <w:color w:val="auto"/>
        </w:rPr>
      </w:pPr>
      <w:r>
        <w:rPr>
          <w:color w:val="auto"/>
        </w:rPr>
        <w:t xml:space="preserve">     </w:t>
      </w:r>
      <w:r>
        <w:rPr>
          <w:rFonts w:hint="eastAsia"/>
          <w:color w:val="auto"/>
        </w:rPr>
        <w:t xml:space="preserve">   </w:t>
      </w:r>
      <w:r>
        <w:rPr>
          <w:color w:val="auto"/>
        </w:rPr>
        <w:t xml:space="preserve"> V——</w:t>
      </w:r>
      <w:r>
        <w:rPr>
          <w:rFonts w:hint="eastAsia"/>
          <w:color w:val="auto"/>
        </w:rPr>
        <w:t>煤场平均风速</w:t>
      </w:r>
      <w:r>
        <w:rPr>
          <w:color w:val="auto"/>
        </w:rPr>
        <w:t>，m/s；</w:t>
      </w:r>
    </w:p>
    <w:p>
      <w:pPr>
        <w:ind w:firstLine="360" w:firstLineChars="150"/>
        <w:rPr>
          <w:color w:val="auto"/>
        </w:rPr>
      </w:pPr>
      <w:r>
        <w:rPr>
          <w:color w:val="auto"/>
        </w:rPr>
        <w:t xml:space="preserve">      </w:t>
      </w:r>
      <w:r>
        <w:rPr>
          <w:rFonts w:hint="eastAsia"/>
          <w:color w:val="auto"/>
        </w:rPr>
        <w:t xml:space="preserve">   </w:t>
      </w:r>
      <w:r>
        <w:rPr>
          <w:color w:val="auto"/>
        </w:rPr>
        <w:t>V</w:t>
      </w:r>
      <w:r>
        <w:rPr>
          <w:color w:val="auto"/>
          <w:vertAlign w:val="subscript"/>
        </w:rPr>
        <w:t>0</w:t>
      </w:r>
      <w:r>
        <w:rPr>
          <w:color w:val="auto"/>
        </w:rPr>
        <w:t xml:space="preserve"> ——起尘风速，m/s；</w:t>
      </w:r>
    </w:p>
    <w:p>
      <w:pPr>
        <w:ind w:firstLine="360" w:firstLineChars="150"/>
        <w:rPr>
          <w:color w:val="auto"/>
        </w:rPr>
      </w:pPr>
      <w:r>
        <w:rPr>
          <w:color w:val="auto"/>
        </w:rPr>
        <w:t xml:space="preserve">      </w:t>
      </w:r>
      <w:r>
        <w:rPr>
          <w:rFonts w:hint="eastAsia"/>
          <w:color w:val="auto"/>
        </w:rPr>
        <w:t xml:space="preserve">   </w:t>
      </w:r>
      <w:r>
        <w:rPr>
          <w:color w:val="auto"/>
        </w:rPr>
        <w:t>W ——尘粒含水率，%。</w:t>
      </w:r>
    </w:p>
    <w:p>
      <w:pPr>
        <w:ind w:firstLine="480"/>
        <w:rPr>
          <w:color w:val="auto"/>
        </w:rPr>
      </w:pPr>
      <w:r>
        <w:rPr>
          <w:rFonts w:hint="eastAsia"/>
          <w:color w:val="auto"/>
        </w:rPr>
        <w:t>由此可见，风力</w:t>
      </w:r>
      <w:r>
        <w:rPr>
          <w:color w:val="auto"/>
        </w:rPr>
        <w:t>扬尘产生</w:t>
      </w:r>
      <w:r>
        <w:rPr>
          <w:rFonts w:hint="eastAsia"/>
          <w:color w:val="auto"/>
        </w:rPr>
        <w:t>量与风速和尘粒含水率有关。因此，减少建材的露天堆放和保证一定的含水率等措施是抑制这类扬尘的有效手段。此外，尘粒在空气中的传播扩散情况与风速等气象条件有关外，也与尘粒本身的沉降速度有关。以沙尘土为例，其沉降速度随粒径的增大而迅速增大。当粒径为250</w:t>
      </w:r>
      <w:r>
        <w:rPr>
          <w:color w:val="auto"/>
        </w:rPr>
        <w:t>μm</w:t>
      </w:r>
      <w:r>
        <w:rPr>
          <w:rFonts w:hint="eastAsia"/>
          <w:color w:val="auto"/>
        </w:rPr>
        <w:t>时，沉降速度为1.005m/s，因此当尘粒大于250</w:t>
      </w:r>
      <w:r>
        <w:rPr>
          <w:color w:val="auto"/>
        </w:rPr>
        <w:t>μm</w:t>
      </w:r>
      <w:r>
        <w:rPr>
          <w:rFonts w:hint="eastAsia"/>
          <w:color w:val="auto"/>
        </w:rPr>
        <w:t>时，主要影响范围在扬尘点下风向近距离范围内。因此施工期间应特别注意施工扬尘的防治问题，须制定必要的防治措施，以减少施工扬尘对周围环境的影响。</w:t>
      </w:r>
    </w:p>
    <w:p>
      <w:pPr>
        <w:ind w:firstLine="480"/>
        <w:rPr>
          <w:color w:val="auto"/>
        </w:rPr>
      </w:pPr>
      <w:r>
        <w:rPr>
          <w:rFonts w:hint="eastAsia"/>
          <w:color w:val="auto"/>
        </w:rPr>
        <w:t>本项目位于农村地区，养殖区周围500m范围内无居民区、商业区等环境敏感点，因此项目在施工期间注意保持厂区道路路面清洁、进出厂区车辆控制车速、施工现场定时洒水、不在大风天气开挖、回填以及易产生粉尘的建筑材料尽量不漏天堆放等措施后，施工扬尘对周围环境影响不大。</w:t>
      </w:r>
    </w:p>
    <w:p>
      <w:pPr>
        <w:ind w:firstLine="480"/>
        <w:outlineLvl w:val="3"/>
        <w:rPr>
          <w:color w:val="auto"/>
        </w:rPr>
      </w:pPr>
      <w:r>
        <w:rPr>
          <w:color w:val="auto"/>
        </w:rPr>
        <w:t>5.1.1.</w:t>
      </w:r>
      <w:r>
        <w:rPr>
          <w:rFonts w:hint="eastAsia"/>
          <w:color w:val="auto"/>
        </w:rPr>
        <w:t>2</w:t>
      </w:r>
      <w:r>
        <w:rPr>
          <w:color w:val="auto"/>
        </w:rPr>
        <w:t>汽车尾气</w:t>
      </w:r>
    </w:p>
    <w:p>
      <w:pPr>
        <w:ind w:firstLine="480"/>
        <w:rPr>
          <w:color w:val="auto"/>
        </w:rPr>
      </w:pPr>
      <w:bookmarkStart w:id="519" w:name="_Toc311980416"/>
      <w:r>
        <w:rPr>
          <w:color w:val="auto"/>
        </w:rPr>
        <w:t>施工运输车辆一般是大型柴油车</w:t>
      </w:r>
      <w:r>
        <w:rPr>
          <w:rFonts w:hint="eastAsia"/>
          <w:color w:val="auto"/>
        </w:rPr>
        <w:t>会</w:t>
      </w:r>
      <w:r>
        <w:rPr>
          <w:color w:val="auto"/>
        </w:rPr>
        <w:t>产生</w:t>
      </w:r>
      <w:r>
        <w:rPr>
          <w:rFonts w:hint="eastAsia"/>
          <w:color w:val="auto"/>
        </w:rPr>
        <w:t>的</w:t>
      </w:r>
      <w:r>
        <w:rPr>
          <w:color w:val="auto"/>
        </w:rPr>
        <w:t>汽车尾气</w:t>
      </w:r>
      <w:r>
        <w:rPr>
          <w:rFonts w:hint="eastAsia"/>
          <w:color w:val="auto"/>
        </w:rPr>
        <w:t>。</w:t>
      </w:r>
      <w:r>
        <w:rPr>
          <w:color w:val="auto"/>
        </w:rPr>
        <w:t>废气污染物包括CO、NO</w:t>
      </w:r>
      <w:r>
        <w:rPr>
          <w:color w:val="auto"/>
          <w:vertAlign w:val="subscript"/>
        </w:rPr>
        <w:t>X</w:t>
      </w:r>
      <w:r>
        <w:rPr>
          <w:color w:val="auto"/>
        </w:rPr>
        <w:t>、PM</w:t>
      </w:r>
      <w:r>
        <w:rPr>
          <w:color w:val="auto"/>
          <w:vertAlign w:val="subscript"/>
        </w:rPr>
        <w:t>10</w:t>
      </w:r>
      <w:r>
        <w:rPr>
          <w:rFonts w:hint="eastAsia"/>
          <w:color w:val="auto"/>
        </w:rPr>
        <w:t>、THC。由于汽车运输属于间歇式操作，加上周围环境比较空旷，运输车辆尾气对周围环境影响不大。施工期间拟采取以下措施减少对</w:t>
      </w:r>
      <w:r>
        <w:rPr>
          <w:color w:val="auto"/>
        </w:rPr>
        <w:t>汽车尾气对</w:t>
      </w:r>
      <w:r>
        <w:rPr>
          <w:rFonts w:hint="eastAsia"/>
          <w:color w:val="auto"/>
        </w:rPr>
        <w:t>周围环境影响</w:t>
      </w:r>
      <w:r>
        <w:rPr>
          <w:color w:val="auto"/>
        </w:rPr>
        <w:t>如下：</w:t>
      </w:r>
    </w:p>
    <w:p>
      <w:pPr>
        <w:ind w:firstLine="480"/>
        <w:rPr>
          <w:color w:val="auto"/>
        </w:rPr>
      </w:pPr>
      <w:r>
        <w:rPr>
          <w:rFonts w:hint="eastAsia"/>
          <w:color w:val="auto"/>
        </w:rPr>
        <w:t>施工时合理优化汽车运输路线，以减少</w:t>
      </w:r>
      <w:r>
        <w:rPr>
          <w:color w:val="auto"/>
        </w:rPr>
        <w:t>车辆尾气对</w:t>
      </w:r>
      <w:r>
        <w:rPr>
          <w:rFonts w:hint="eastAsia"/>
          <w:color w:val="auto"/>
        </w:rPr>
        <w:t>运输沿线环境敏感点的</w:t>
      </w:r>
      <w:r>
        <w:rPr>
          <w:color w:val="auto"/>
        </w:rPr>
        <w:t>影响。</w:t>
      </w:r>
    </w:p>
    <w:p>
      <w:pPr>
        <w:ind w:firstLine="480"/>
        <w:rPr>
          <w:color w:val="auto"/>
        </w:rPr>
      </w:pPr>
      <w:r>
        <w:rPr>
          <w:rFonts w:hint="eastAsia"/>
          <w:color w:val="auto"/>
        </w:rPr>
        <w:t>施工场地内</w:t>
      </w:r>
      <w:r>
        <w:rPr>
          <w:color w:val="auto"/>
        </w:rPr>
        <w:t>车辆为非连续行驶状态，</w:t>
      </w:r>
      <w:r>
        <w:rPr>
          <w:rFonts w:hint="eastAsia"/>
          <w:color w:val="auto"/>
        </w:rPr>
        <w:t>定期对车辆进行维护，避免非正常工况下污染物突然排放，降低局部环境空气污染的可能性。</w:t>
      </w:r>
    </w:p>
    <w:p>
      <w:pPr>
        <w:ind w:firstLine="480"/>
        <w:rPr>
          <w:color w:val="auto"/>
        </w:rPr>
      </w:pPr>
      <w:r>
        <w:rPr>
          <w:rFonts w:hint="eastAsia"/>
          <w:color w:val="auto"/>
        </w:rPr>
        <w:t>因此，经优化运输路线后，可减轻</w:t>
      </w:r>
      <w:r>
        <w:rPr>
          <w:color w:val="auto"/>
        </w:rPr>
        <w:t>汽车尾气对周边环境及</w:t>
      </w:r>
      <w:r>
        <w:rPr>
          <w:rFonts w:hint="eastAsia"/>
          <w:color w:val="auto"/>
        </w:rPr>
        <w:t>沿途</w:t>
      </w:r>
      <w:r>
        <w:rPr>
          <w:color w:val="auto"/>
        </w:rPr>
        <w:t>居民</w:t>
      </w:r>
      <w:r>
        <w:rPr>
          <w:rFonts w:hint="eastAsia"/>
          <w:color w:val="auto"/>
        </w:rPr>
        <w:t>的</w:t>
      </w:r>
      <w:r>
        <w:rPr>
          <w:color w:val="auto"/>
        </w:rPr>
        <w:t>影响。</w:t>
      </w:r>
    </w:p>
    <w:p>
      <w:pPr>
        <w:pStyle w:val="6"/>
        <w:rPr>
          <w:color w:val="auto"/>
        </w:rPr>
      </w:pPr>
      <w:r>
        <w:rPr>
          <w:color w:val="auto"/>
        </w:rPr>
        <w:t>5.1.2</w:t>
      </w:r>
      <w:r>
        <w:rPr>
          <w:rFonts w:hint="eastAsia"/>
          <w:color w:val="auto"/>
        </w:rPr>
        <w:t xml:space="preserve"> </w:t>
      </w:r>
      <w:r>
        <w:rPr>
          <w:color w:val="auto"/>
        </w:rPr>
        <w:t>施工期噪声环境影响分析</w:t>
      </w:r>
      <w:bookmarkEnd w:id="519"/>
    </w:p>
    <w:p>
      <w:pPr>
        <w:ind w:firstLine="480"/>
        <w:outlineLvl w:val="3"/>
        <w:rPr>
          <w:color w:val="auto"/>
        </w:rPr>
      </w:pPr>
      <w:r>
        <w:rPr>
          <w:color w:val="auto"/>
        </w:rPr>
        <w:t>5.1.2.1</w:t>
      </w:r>
      <w:r>
        <w:rPr>
          <w:rFonts w:hint="eastAsia"/>
          <w:color w:val="auto"/>
        </w:rPr>
        <w:t xml:space="preserve"> </w:t>
      </w:r>
      <w:r>
        <w:rPr>
          <w:color w:val="auto"/>
        </w:rPr>
        <w:t>施工期噪声种类及源强</w:t>
      </w:r>
    </w:p>
    <w:p>
      <w:pPr>
        <w:ind w:firstLine="600" w:firstLineChars="250"/>
        <w:rPr>
          <w:color w:val="auto"/>
        </w:rPr>
      </w:pPr>
      <w:r>
        <w:rPr>
          <w:color w:val="auto"/>
        </w:rPr>
        <w:t>施工期的噪声主要可分为机械噪声、施工作业噪声和施工车辆噪声。机械噪声主要由施工机械所造成，如挖土机、推土机、振捣棒等，多为点声源；施工作业噪声主要指一些零星的敲打声、装卸车辆的撞击声、吆喝声、拆装模板的撞击声等，多为瞬间噪声；施工车辆的噪声属于交通噪声。在这些施工噪声中对周围声环境影响最大的是机械噪声。主要施工机械的噪声源强见表5</w:t>
      </w:r>
      <w:r>
        <w:rPr>
          <w:rFonts w:hint="eastAsia"/>
          <w:color w:val="auto"/>
        </w:rPr>
        <w:t>.1</w:t>
      </w:r>
      <w:r>
        <w:rPr>
          <w:color w:val="auto"/>
        </w:rPr>
        <w:t>-</w:t>
      </w:r>
      <w:r>
        <w:rPr>
          <w:rFonts w:hint="eastAsia"/>
          <w:color w:val="auto"/>
        </w:rPr>
        <w:t>3</w:t>
      </w:r>
      <w:r>
        <w:rPr>
          <w:color w:val="auto"/>
        </w:rPr>
        <w:t>。</w:t>
      </w:r>
    </w:p>
    <w:p>
      <w:pPr>
        <w:spacing w:after="93" w:afterLines="30"/>
        <w:ind w:left="851" w:firstLine="482"/>
        <w:jc w:val="left"/>
        <w:rPr>
          <w:b/>
          <w:color w:val="auto"/>
          <w:szCs w:val="21"/>
        </w:rPr>
      </w:pPr>
      <w:r>
        <w:rPr>
          <w:rFonts w:hint="eastAsia"/>
          <w:b/>
          <w:color w:val="auto"/>
          <w:szCs w:val="21"/>
        </w:rPr>
        <w:t xml:space="preserve">表5.1-3                      </w:t>
      </w:r>
      <w:r>
        <w:rPr>
          <w:b/>
          <w:color w:val="auto"/>
          <w:szCs w:val="21"/>
        </w:rPr>
        <w:t xml:space="preserve">主要施工机械设备的噪声声级  </w:t>
      </w:r>
    </w:p>
    <w:tbl>
      <w:tblPr>
        <w:tblStyle w:val="27"/>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26"/>
        <w:gridCol w:w="2125"/>
        <w:gridCol w:w="2387"/>
        <w:gridCol w:w="242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26" w:type="dxa"/>
            <w:vAlign w:val="center"/>
          </w:tcPr>
          <w:p>
            <w:pPr>
              <w:spacing w:line="240" w:lineRule="auto"/>
              <w:ind w:firstLine="0" w:firstLineChars="0"/>
              <w:jc w:val="center"/>
              <w:rPr>
                <w:color w:val="auto"/>
                <w:sz w:val="21"/>
                <w:szCs w:val="21"/>
              </w:rPr>
            </w:pPr>
            <w:r>
              <w:rPr>
                <w:rFonts w:hint="eastAsia"/>
                <w:color w:val="auto"/>
                <w:sz w:val="21"/>
                <w:szCs w:val="21"/>
              </w:rPr>
              <w:t>序号</w:t>
            </w:r>
          </w:p>
        </w:tc>
        <w:tc>
          <w:tcPr>
            <w:tcW w:w="2125" w:type="dxa"/>
            <w:vAlign w:val="center"/>
          </w:tcPr>
          <w:p>
            <w:pPr>
              <w:spacing w:line="240" w:lineRule="auto"/>
              <w:ind w:firstLine="0" w:firstLineChars="0"/>
              <w:jc w:val="center"/>
              <w:rPr>
                <w:color w:val="auto"/>
                <w:sz w:val="21"/>
                <w:szCs w:val="21"/>
              </w:rPr>
            </w:pPr>
            <w:r>
              <w:rPr>
                <w:rFonts w:hint="eastAsia"/>
                <w:color w:val="auto"/>
                <w:sz w:val="21"/>
                <w:szCs w:val="21"/>
              </w:rPr>
              <w:t>施工机械</w:t>
            </w:r>
          </w:p>
        </w:tc>
        <w:tc>
          <w:tcPr>
            <w:tcW w:w="2387" w:type="dxa"/>
            <w:vAlign w:val="center"/>
          </w:tcPr>
          <w:p>
            <w:pPr>
              <w:spacing w:line="240" w:lineRule="auto"/>
              <w:ind w:firstLine="0" w:firstLineChars="0"/>
              <w:jc w:val="center"/>
              <w:rPr>
                <w:color w:val="auto"/>
                <w:sz w:val="21"/>
                <w:szCs w:val="21"/>
              </w:rPr>
            </w:pPr>
            <w:r>
              <w:rPr>
                <w:rFonts w:hint="eastAsia"/>
                <w:color w:val="auto"/>
                <w:sz w:val="21"/>
                <w:szCs w:val="21"/>
              </w:rPr>
              <w:t>测量声级dB(A)</w:t>
            </w:r>
          </w:p>
        </w:tc>
        <w:tc>
          <w:tcPr>
            <w:tcW w:w="2422" w:type="dxa"/>
            <w:vAlign w:val="center"/>
          </w:tcPr>
          <w:p>
            <w:pPr>
              <w:spacing w:line="240" w:lineRule="auto"/>
              <w:ind w:firstLine="0" w:firstLineChars="0"/>
              <w:jc w:val="center"/>
              <w:rPr>
                <w:color w:val="auto"/>
                <w:sz w:val="21"/>
                <w:szCs w:val="21"/>
              </w:rPr>
            </w:pPr>
            <w:r>
              <w:rPr>
                <w:rFonts w:hint="eastAsia"/>
                <w:color w:val="auto"/>
                <w:sz w:val="21"/>
                <w:szCs w:val="21"/>
              </w:rPr>
              <w:t>测量距离（m）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26" w:type="dxa"/>
            <w:vAlign w:val="center"/>
          </w:tcPr>
          <w:p>
            <w:pPr>
              <w:spacing w:line="240" w:lineRule="auto"/>
              <w:ind w:firstLine="0" w:firstLineChars="0"/>
              <w:jc w:val="center"/>
              <w:rPr>
                <w:color w:val="auto"/>
                <w:sz w:val="21"/>
                <w:szCs w:val="21"/>
              </w:rPr>
            </w:pPr>
            <w:r>
              <w:rPr>
                <w:rFonts w:hint="eastAsia"/>
                <w:color w:val="auto"/>
                <w:sz w:val="21"/>
                <w:szCs w:val="21"/>
              </w:rPr>
              <w:t>1</w:t>
            </w:r>
          </w:p>
        </w:tc>
        <w:tc>
          <w:tcPr>
            <w:tcW w:w="2125" w:type="dxa"/>
            <w:vAlign w:val="center"/>
          </w:tcPr>
          <w:p>
            <w:pPr>
              <w:spacing w:line="240" w:lineRule="auto"/>
              <w:ind w:firstLine="0" w:firstLineChars="0"/>
              <w:jc w:val="center"/>
              <w:rPr>
                <w:color w:val="auto"/>
                <w:sz w:val="21"/>
                <w:szCs w:val="21"/>
              </w:rPr>
            </w:pPr>
            <w:r>
              <w:rPr>
                <w:rFonts w:hint="eastAsia"/>
                <w:color w:val="auto"/>
                <w:sz w:val="21"/>
                <w:szCs w:val="21"/>
              </w:rPr>
              <w:t>挖土机</w:t>
            </w:r>
          </w:p>
        </w:tc>
        <w:tc>
          <w:tcPr>
            <w:tcW w:w="2387" w:type="dxa"/>
            <w:vAlign w:val="center"/>
          </w:tcPr>
          <w:p>
            <w:pPr>
              <w:spacing w:line="240" w:lineRule="auto"/>
              <w:ind w:firstLine="0" w:firstLineChars="0"/>
              <w:jc w:val="center"/>
              <w:rPr>
                <w:color w:val="auto"/>
                <w:sz w:val="21"/>
                <w:szCs w:val="21"/>
              </w:rPr>
            </w:pPr>
            <w:r>
              <w:rPr>
                <w:rFonts w:hint="eastAsia"/>
                <w:color w:val="auto"/>
                <w:sz w:val="21"/>
                <w:szCs w:val="21"/>
              </w:rPr>
              <w:t>76</w:t>
            </w:r>
          </w:p>
        </w:tc>
        <w:tc>
          <w:tcPr>
            <w:tcW w:w="2422" w:type="dxa"/>
            <w:vAlign w:val="center"/>
          </w:tcPr>
          <w:p>
            <w:pPr>
              <w:spacing w:line="240" w:lineRule="auto"/>
              <w:ind w:firstLine="0" w:firstLineChars="0"/>
              <w:jc w:val="center"/>
              <w:rPr>
                <w:color w:val="auto"/>
                <w:sz w:val="21"/>
                <w:szCs w:val="21"/>
              </w:rPr>
            </w:pPr>
            <w:r>
              <w:rPr>
                <w:rFonts w:hint="eastAsia"/>
                <w:color w:val="auto"/>
                <w:sz w:val="21"/>
                <w:szCs w:val="21"/>
              </w:rPr>
              <w:t>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26" w:type="dxa"/>
            <w:vAlign w:val="center"/>
          </w:tcPr>
          <w:p>
            <w:pPr>
              <w:spacing w:line="240" w:lineRule="auto"/>
              <w:ind w:firstLine="0" w:firstLineChars="0"/>
              <w:jc w:val="center"/>
              <w:rPr>
                <w:color w:val="auto"/>
                <w:sz w:val="21"/>
                <w:szCs w:val="21"/>
              </w:rPr>
            </w:pPr>
            <w:r>
              <w:rPr>
                <w:rFonts w:hint="eastAsia"/>
                <w:color w:val="auto"/>
                <w:sz w:val="21"/>
                <w:szCs w:val="21"/>
              </w:rPr>
              <w:t>2</w:t>
            </w:r>
          </w:p>
        </w:tc>
        <w:tc>
          <w:tcPr>
            <w:tcW w:w="2125" w:type="dxa"/>
            <w:vAlign w:val="center"/>
          </w:tcPr>
          <w:p>
            <w:pPr>
              <w:spacing w:line="240" w:lineRule="auto"/>
              <w:ind w:firstLine="0" w:firstLineChars="0"/>
              <w:jc w:val="center"/>
              <w:rPr>
                <w:color w:val="auto"/>
                <w:sz w:val="21"/>
                <w:szCs w:val="21"/>
              </w:rPr>
            </w:pPr>
            <w:r>
              <w:rPr>
                <w:rFonts w:hint="eastAsia"/>
                <w:color w:val="auto"/>
                <w:sz w:val="21"/>
                <w:szCs w:val="21"/>
              </w:rPr>
              <w:t>推土机</w:t>
            </w:r>
          </w:p>
        </w:tc>
        <w:tc>
          <w:tcPr>
            <w:tcW w:w="2387" w:type="dxa"/>
            <w:vAlign w:val="center"/>
          </w:tcPr>
          <w:p>
            <w:pPr>
              <w:spacing w:line="240" w:lineRule="auto"/>
              <w:ind w:firstLine="0" w:firstLineChars="0"/>
              <w:jc w:val="center"/>
              <w:rPr>
                <w:color w:val="auto"/>
                <w:sz w:val="21"/>
                <w:szCs w:val="21"/>
              </w:rPr>
            </w:pPr>
            <w:r>
              <w:rPr>
                <w:rFonts w:hint="eastAsia"/>
                <w:color w:val="auto"/>
                <w:sz w:val="21"/>
                <w:szCs w:val="21"/>
              </w:rPr>
              <w:t>78</w:t>
            </w:r>
          </w:p>
        </w:tc>
        <w:tc>
          <w:tcPr>
            <w:tcW w:w="2422" w:type="dxa"/>
            <w:vAlign w:val="center"/>
          </w:tcPr>
          <w:p>
            <w:pPr>
              <w:spacing w:line="240" w:lineRule="auto"/>
              <w:ind w:firstLine="0" w:firstLineChars="0"/>
              <w:jc w:val="center"/>
              <w:rPr>
                <w:color w:val="auto"/>
                <w:sz w:val="21"/>
                <w:szCs w:val="21"/>
              </w:rPr>
            </w:pPr>
            <w:r>
              <w:rPr>
                <w:rFonts w:hint="eastAsia"/>
                <w:color w:val="auto"/>
                <w:sz w:val="21"/>
                <w:szCs w:val="21"/>
              </w:rPr>
              <w:t>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26" w:type="dxa"/>
            <w:vAlign w:val="center"/>
          </w:tcPr>
          <w:p>
            <w:pPr>
              <w:spacing w:line="240" w:lineRule="auto"/>
              <w:ind w:firstLine="0" w:firstLineChars="0"/>
              <w:jc w:val="center"/>
              <w:rPr>
                <w:color w:val="auto"/>
                <w:sz w:val="21"/>
                <w:szCs w:val="21"/>
              </w:rPr>
            </w:pPr>
            <w:r>
              <w:rPr>
                <w:rFonts w:hint="eastAsia"/>
                <w:color w:val="auto"/>
                <w:sz w:val="21"/>
                <w:szCs w:val="21"/>
              </w:rPr>
              <w:t>3</w:t>
            </w:r>
          </w:p>
        </w:tc>
        <w:tc>
          <w:tcPr>
            <w:tcW w:w="2125" w:type="dxa"/>
            <w:vAlign w:val="center"/>
          </w:tcPr>
          <w:p>
            <w:pPr>
              <w:spacing w:line="240" w:lineRule="auto"/>
              <w:ind w:firstLine="0" w:firstLineChars="0"/>
              <w:jc w:val="center"/>
              <w:rPr>
                <w:color w:val="auto"/>
                <w:sz w:val="21"/>
                <w:szCs w:val="21"/>
              </w:rPr>
            </w:pPr>
            <w:r>
              <w:rPr>
                <w:rFonts w:hint="eastAsia"/>
                <w:color w:val="auto"/>
                <w:sz w:val="21"/>
                <w:szCs w:val="21"/>
              </w:rPr>
              <w:t>装卸机</w:t>
            </w:r>
          </w:p>
        </w:tc>
        <w:tc>
          <w:tcPr>
            <w:tcW w:w="2387" w:type="dxa"/>
            <w:vAlign w:val="center"/>
          </w:tcPr>
          <w:p>
            <w:pPr>
              <w:spacing w:line="240" w:lineRule="auto"/>
              <w:ind w:firstLine="0" w:firstLineChars="0"/>
              <w:jc w:val="center"/>
              <w:rPr>
                <w:color w:val="auto"/>
                <w:sz w:val="21"/>
                <w:szCs w:val="21"/>
              </w:rPr>
            </w:pPr>
            <w:r>
              <w:rPr>
                <w:rFonts w:hint="eastAsia"/>
                <w:color w:val="auto"/>
                <w:sz w:val="21"/>
                <w:szCs w:val="21"/>
              </w:rPr>
              <w:t>82</w:t>
            </w:r>
          </w:p>
        </w:tc>
        <w:tc>
          <w:tcPr>
            <w:tcW w:w="2422" w:type="dxa"/>
            <w:vAlign w:val="center"/>
          </w:tcPr>
          <w:p>
            <w:pPr>
              <w:spacing w:line="240" w:lineRule="auto"/>
              <w:ind w:firstLine="0" w:firstLineChars="0"/>
              <w:jc w:val="center"/>
              <w:rPr>
                <w:color w:val="auto"/>
                <w:sz w:val="21"/>
                <w:szCs w:val="21"/>
              </w:rPr>
            </w:pPr>
            <w:r>
              <w:rPr>
                <w:rFonts w:hint="eastAsia"/>
                <w:color w:val="auto"/>
                <w:sz w:val="21"/>
                <w:szCs w:val="21"/>
              </w:rPr>
              <w:t>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26" w:type="dxa"/>
            <w:vAlign w:val="center"/>
          </w:tcPr>
          <w:p>
            <w:pPr>
              <w:spacing w:line="240" w:lineRule="auto"/>
              <w:ind w:firstLine="0" w:firstLineChars="0"/>
              <w:jc w:val="center"/>
              <w:rPr>
                <w:color w:val="auto"/>
                <w:sz w:val="21"/>
                <w:szCs w:val="21"/>
              </w:rPr>
            </w:pPr>
            <w:r>
              <w:rPr>
                <w:rFonts w:hint="eastAsia"/>
                <w:color w:val="auto"/>
                <w:sz w:val="21"/>
                <w:szCs w:val="21"/>
              </w:rPr>
              <w:t>4</w:t>
            </w:r>
          </w:p>
        </w:tc>
        <w:tc>
          <w:tcPr>
            <w:tcW w:w="2125" w:type="dxa"/>
            <w:vAlign w:val="center"/>
          </w:tcPr>
          <w:p>
            <w:pPr>
              <w:spacing w:line="240" w:lineRule="auto"/>
              <w:ind w:firstLine="0" w:firstLineChars="0"/>
              <w:jc w:val="center"/>
              <w:rPr>
                <w:color w:val="auto"/>
                <w:sz w:val="21"/>
                <w:szCs w:val="21"/>
              </w:rPr>
            </w:pPr>
            <w:r>
              <w:rPr>
                <w:rFonts w:hint="eastAsia"/>
                <w:color w:val="auto"/>
                <w:sz w:val="21"/>
                <w:szCs w:val="21"/>
              </w:rPr>
              <w:t>混凝土振捣棒</w:t>
            </w:r>
          </w:p>
        </w:tc>
        <w:tc>
          <w:tcPr>
            <w:tcW w:w="2387" w:type="dxa"/>
            <w:vAlign w:val="center"/>
          </w:tcPr>
          <w:p>
            <w:pPr>
              <w:spacing w:line="240" w:lineRule="auto"/>
              <w:ind w:firstLine="0" w:firstLineChars="0"/>
              <w:jc w:val="center"/>
              <w:rPr>
                <w:color w:val="auto"/>
                <w:sz w:val="21"/>
                <w:szCs w:val="21"/>
              </w:rPr>
            </w:pPr>
            <w:r>
              <w:rPr>
                <w:rFonts w:hint="eastAsia"/>
                <w:color w:val="auto"/>
                <w:sz w:val="21"/>
                <w:szCs w:val="21"/>
              </w:rPr>
              <w:t>72</w:t>
            </w:r>
          </w:p>
        </w:tc>
        <w:tc>
          <w:tcPr>
            <w:tcW w:w="2422" w:type="dxa"/>
            <w:vAlign w:val="center"/>
          </w:tcPr>
          <w:p>
            <w:pPr>
              <w:spacing w:line="240" w:lineRule="auto"/>
              <w:ind w:firstLine="0" w:firstLineChars="0"/>
              <w:jc w:val="center"/>
              <w:rPr>
                <w:color w:val="auto"/>
                <w:sz w:val="21"/>
                <w:szCs w:val="21"/>
              </w:rPr>
            </w:pPr>
            <w:r>
              <w:rPr>
                <w:rFonts w:hint="eastAsia"/>
                <w:color w:val="auto"/>
                <w:sz w:val="21"/>
                <w:szCs w:val="21"/>
              </w:rPr>
              <w:t>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26" w:type="dxa"/>
            <w:vAlign w:val="center"/>
          </w:tcPr>
          <w:p>
            <w:pPr>
              <w:spacing w:line="240" w:lineRule="auto"/>
              <w:ind w:firstLine="0" w:firstLineChars="0"/>
              <w:jc w:val="center"/>
              <w:rPr>
                <w:color w:val="auto"/>
                <w:sz w:val="21"/>
                <w:szCs w:val="21"/>
              </w:rPr>
            </w:pPr>
            <w:r>
              <w:rPr>
                <w:rFonts w:hint="eastAsia"/>
                <w:color w:val="auto"/>
                <w:sz w:val="21"/>
                <w:szCs w:val="21"/>
              </w:rPr>
              <w:t>5</w:t>
            </w:r>
          </w:p>
        </w:tc>
        <w:tc>
          <w:tcPr>
            <w:tcW w:w="2125" w:type="dxa"/>
            <w:vAlign w:val="center"/>
          </w:tcPr>
          <w:p>
            <w:pPr>
              <w:spacing w:line="240" w:lineRule="auto"/>
              <w:ind w:firstLine="0" w:firstLineChars="0"/>
              <w:jc w:val="center"/>
              <w:rPr>
                <w:color w:val="auto"/>
                <w:sz w:val="21"/>
                <w:szCs w:val="21"/>
              </w:rPr>
            </w:pPr>
            <w:r>
              <w:rPr>
                <w:rFonts w:hint="eastAsia"/>
                <w:color w:val="auto"/>
                <w:sz w:val="21"/>
                <w:szCs w:val="21"/>
              </w:rPr>
              <w:t>切割机</w:t>
            </w:r>
          </w:p>
        </w:tc>
        <w:tc>
          <w:tcPr>
            <w:tcW w:w="2387" w:type="dxa"/>
            <w:vAlign w:val="center"/>
          </w:tcPr>
          <w:p>
            <w:pPr>
              <w:spacing w:line="240" w:lineRule="auto"/>
              <w:ind w:firstLine="0" w:firstLineChars="0"/>
              <w:jc w:val="center"/>
              <w:rPr>
                <w:color w:val="auto"/>
                <w:sz w:val="21"/>
                <w:szCs w:val="21"/>
              </w:rPr>
            </w:pPr>
            <w:r>
              <w:rPr>
                <w:rFonts w:hint="eastAsia"/>
                <w:color w:val="auto"/>
                <w:sz w:val="21"/>
                <w:szCs w:val="21"/>
              </w:rPr>
              <w:t>90</w:t>
            </w:r>
          </w:p>
        </w:tc>
        <w:tc>
          <w:tcPr>
            <w:tcW w:w="2422" w:type="dxa"/>
            <w:vAlign w:val="center"/>
          </w:tcPr>
          <w:p>
            <w:pPr>
              <w:spacing w:line="240" w:lineRule="auto"/>
              <w:ind w:firstLine="0" w:firstLineChars="0"/>
              <w:jc w:val="center"/>
              <w:rPr>
                <w:color w:val="auto"/>
                <w:sz w:val="21"/>
                <w:szCs w:val="21"/>
              </w:rPr>
            </w:pPr>
            <w:r>
              <w:rPr>
                <w:rFonts w:hint="eastAsia"/>
                <w:color w:val="auto"/>
                <w:sz w:val="21"/>
                <w:szCs w:val="21"/>
              </w:rPr>
              <w:t>5</w:t>
            </w:r>
          </w:p>
        </w:tc>
      </w:tr>
    </w:tbl>
    <w:p>
      <w:pPr>
        <w:spacing w:line="520" w:lineRule="exact"/>
        <w:ind w:firstLine="480"/>
        <w:rPr>
          <w:color w:val="auto"/>
        </w:rPr>
      </w:pPr>
      <w:r>
        <w:rPr>
          <w:color w:val="auto"/>
        </w:rPr>
        <w:t>根据类比监测资料，距主要施工机械不同距离的噪声值见表5</w:t>
      </w:r>
      <w:r>
        <w:rPr>
          <w:rFonts w:hint="eastAsia"/>
          <w:color w:val="auto"/>
        </w:rPr>
        <w:t>.1</w:t>
      </w:r>
      <w:r>
        <w:rPr>
          <w:color w:val="auto"/>
        </w:rPr>
        <w:t>-</w:t>
      </w:r>
      <w:r>
        <w:rPr>
          <w:rFonts w:hint="eastAsia"/>
          <w:color w:val="auto"/>
        </w:rPr>
        <w:t>4</w:t>
      </w:r>
      <w:r>
        <w:rPr>
          <w:color w:val="auto"/>
        </w:rPr>
        <w:t>。</w:t>
      </w:r>
    </w:p>
    <w:p>
      <w:pPr>
        <w:spacing w:after="93" w:afterLines="30" w:line="500" w:lineRule="exact"/>
        <w:ind w:left="851" w:firstLine="482"/>
        <w:jc w:val="left"/>
        <w:rPr>
          <w:b/>
          <w:color w:val="auto"/>
          <w:szCs w:val="21"/>
        </w:rPr>
      </w:pPr>
      <w:r>
        <w:rPr>
          <w:rFonts w:hint="eastAsia"/>
          <w:b/>
          <w:color w:val="auto"/>
          <w:szCs w:val="21"/>
        </w:rPr>
        <w:t xml:space="preserve">表5.1-4                  </w:t>
      </w:r>
      <w:r>
        <w:rPr>
          <w:b/>
          <w:color w:val="auto"/>
          <w:szCs w:val="21"/>
        </w:rPr>
        <w:t>距声源不同距离处的噪声值</w:t>
      </w:r>
      <w:r>
        <w:rPr>
          <w:rFonts w:hint="eastAsia"/>
          <w:b/>
          <w:color w:val="auto"/>
          <w:szCs w:val="21"/>
        </w:rPr>
        <w:t xml:space="preserve">    （</w:t>
      </w:r>
      <w:r>
        <w:rPr>
          <w:b/>
          <w:color w:val="auto"/>
          <w:szCs w:val="21"/>
        </w:rPr>
        <w:t>dB(A)</w:t>
      </w:r>
      <w:r>
        <w:rPr>
          <w:rFonts w:hint="eastAsia"/>
          <w:b/>
          <w:color w:val="auto"/>
          <w:szCs w:val="21"/>
        </w:rPr>
        <w:t>）</w:t>
      </w:r>
    </w:p>
    <w:tbl>
      <w:tblPr>
        <w:tblStyle w:val="27"/>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62"/>
        <w:gridCol w:w="868"/>
        <w:gridCol w:w="868"/>
        <w:gridCol w:w="866"/>
        <w:gridCol w:w="866"/>
        <w:gridCol w:w="866"/>
        <w:gridCol w:w="866"/>
        <w:gridCol w:w="866"/>
        <w:gridCol w:w="866"/>
        <w:gridCol w:w="86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blHeader/>
          <w:jc w:val="center"/>
        </w:trPr>
        <w:tc>
          <w:tcPr>
            <w:tcW w:w="1262" w:type="dxa"/>
            <w:vAlign w:val="center"/>
          </w:tcPr>
          <w:p>
            <w:pPr>
              <w:spacing w:line="240" w:lineRule="auto"/>
              <w:ind w:firstLine="0" w:firstLineChars="0"/>
              <w:jc w:val="center"/>
              <w:rPr>
                <w:color w:val="auto"/>
                <w:sz w:val="21"/>
                <w:szCs w:val="21"/>
              </w:rPr>
            </w:pPr>
            <w:r>
              <w:rPr>
                <w:rFonts w:hint="eastAsia"/>
                <w:color w:val="auto"/>
                <w:sz w:val="21"/>
                <w:szCs w:val="21"/>
              </w:rPr>
              <w:t>设备名称</w:t>
            </w:r>
          </w:p>
        </w:tc>
        <w:tc>
          <w:tcPr>
            <w:tcW w:w="868" w:type="dxa"/>
            <w:vAlign w:val="center"/>
          </w:tcPr>
          <w:p>
            <w:pPr>
              <w:spacing w:line="240" w:lineRule="auto"/>
              <w:ind w:firstLine="0" w:firstLineChars="0"/>
              <w:jc w:val="center"/>
              <w:rPr>
                <w:color w:val="auto"/>
                <w:sz w:val="21"/>
                <w:szCs w:val="21"/>
              </w:rPr>
            </w:pPr>
            <w:r>
              <w:rPr>
                <w:rFonts w:hint="eastAsia"/>
                <w:color w:val="auto"/>
                <w:sz w:val="21"/>
                <w:szCs w:val="21"/>
              </w:rPr>
              <w:t>5m</w:t>
            </w:r>
          </w:p>
        </w:tc>
        <w:tc>
          <w:tcPr>
            <w:tcW w:w="868" w:type="dxa"/>
            <w:vAlign w:val="center"/>
          </w:tcPr>
          <w:p>
            <w:pPr>
              <w:spacing w:line="240" w:lineRule="auto"/>
              <w:ind w:firstLine="0" w:firstLineChars="0"/>
              <w:jc w:val="center"/>
              <w:rPr>
                <w:color w:val="auto"/>
                <w:sz w:val="21"/>
                <w:szCs w:val="21"/>
              </w:rPr>
            </w:pPr>
            <w:r>
              <w:rPr>
                <w:rFonts w:hint="eastAsia"/>
                <w:color w:val="auto"/>
                <w:sz w:val="21"/>
                <w:szCs w:val="21"/>
              </w:rPr>
              <w:t>10m</w:t>
            </w:r>
          </w:p>
        </w:tc>
        <w:tc>
          <w:tcPr>
            <w:tcW w:w="866" w:type="dxa"/>
            <w:vAlign w:val="center"/>
          </w:tcPr>
          <w:p>
            <w:pPr>
              <w:spacing w:line="240" w:lineRule="auto"/>
              <w:ind w:firstLine="0" w:firstLineChars="0"/>
              <w:jc w:val="center"/>
              <w:rPr>
                <w:color w:val="auto"/>
                <w:sz w:val="21"/>
                <w:szCs w:val="21"/>
              </w:rPr>
            </w:pPr>
            <w:r>
              <w:rPr>
                <w:rFonts w:hint="eastAsia"/>
                <w:color w:val="auto"/>
                <w:sz w:val="21"/>
                <w:szCs w:val="21"/>
              </w:rPr>
              <w:t>20m</w:t>
            </w:r>
          </w:p>
        </w:tc>
        <w:tc>
          <w:tcPr>
            <w:tcW w:w="866" w:type="dxa"/>
            <w:vAlign w:val="center"/>
          </w:tcPr>
          <w:p>
            <w:pPr>
              <w:spacing w:line="240" w:lineRule="auto"/>
              <w:ind w:firstLine="0" w:firstLineChars="0"/>
              <w:jc w:val="center"/>
              <w:rPr>
                <w:color w:val="auto"/>
                <w:sz w:val="21"/>
                <w:szCs w:val="21"/>
              </w:rPr>
            </w:pPr>
            <w:r>
              <w:rPr>
                <w:rFonts w:hint="eastAsia"/>
                <w:color w:val="auto"/>
                <w:sz w:val="21"/>
                <w:szCs w:val="21"/>
              </w:rPr>
              <w:t>40m</w:t>
            </w:r>
          </w:p>
        </w:tc>
        <w:tc>
          <w:tcPr>
            <w:tcW w:w="866" w:type="dxa"/>
            <w:vAlign w:val="center"/>
          </w:tcPr>
          <w:p>
            <w:pPr>
              <w:spacing w:line="240" w:lineRule="auto"/>
              <w:ind w:firstLine="0" w:firstLineChars="0"/>
              <w:jc w:val="center"/>
              <w:rPr>
                <w:color w:val="auto"/>
                <w:sz w:val="21"/>
                <w:szCs w:val="21"/>
              </w:rPr>
            </w:pPr>
            <w:r>
              <w:rPr>
                <w:rFonts w:hint="eastAsia"/>
                <w:color w:val="auto"/>
                <w:sz w:val="21"/>
                <w:szCs w:val="21"/>
              </w:rPr>
              <w:t>50m</w:t>
            </w:r>
          </w:p>
        </w:tc>
        <w:tc>
          <w:tcPr>
            <w:tcW w:w="866" w:type="dxa"/>
            <w:vAlign w:val="center"/>
          </w:tcPr>
          <w:p>
            <w:pPr>
              <w:spacing w:line="240" w:lineRule="auto"/>
              <w:ind w:firstLine="0" w:firstLineChars="0"/>
              <w:jc w:val="center"/>
              <w:rPr>
                <w:color w:val="auto"/>
                <w:sz w:val="21"/>
                <w:szCs w:val="21"/>
              </w:rPr>
            </w:pPr>
            <w:r>
              <w:rPr>
                <w:rFonts w:hint="eastAsia"/>
                <w:color w:val="auto"/>
                <w:sz w:val="21"/>
                <w:szCs w:val="21"/>
              </w:rPr>
              <w:t>100m</w:t>
            </w:r>
          </w:p>
        </w:tc>
        <w:tc>
          <w:tcPr>
            <w:tcW w:w="866" w:type="dxa"/>
            <w:vAlign w:val="center"/>
          </w:tcPr>
          <w:p>
            <w:pPr>
              <w:spacing w:line="240" w:lineRule="auto"/>
              <w:ind w:firstLine="0" w:firstLineChars="0"/>
              <w:jc w:val="center"/>
              <w:rPr>
                <w:color w:val="auto"/>
                <w:sz w:val="21"/>
                <w:szCs w:val="21"/>
              </w:rPr>
            </w:pPr>
            <w:r>
              <w:rPr>
                <w:rFonts w:hint="eastAsia"/>
                <w:color w:val="auto"/>
                <w:sz w:val="21"/>
                <w:szCs w:val="21"/>
              </w:rPr>
              <w:t>150m</w:t>
            </w:r>
          </w:p>
        </w:tc>
        <w:tc>
          <w:tcPr>
            <w:tcW w:w="866" w:type="dxa"/>
            <w:vAlign w:val="center"/>
          </w:tcPr>
          <w:p>
            <w:pPr>
              <w:spacing w:line="240" w:lineRule="auto"/>
              <w:ind w:firstLine="0" w:firstLineChars="0"/>
              <w:jc w:val="center"/>
              <w:rPr>
                <w:color w:val="auto"/>
                <w:sz w:val="21"/>
                <w:szCs w:val="21"/>
              </w:rPr>
            </w:pPr>
            <w:r>
              <w:rPr>
                <w:rFonts w:hint="eastAsia"/>
                <w:color w:val="auto"/>
                <w:sz w:val="21"/>
                <w:szCs w:val="21"/>
              </w:rPr>
              <w:t>200m</w:t>
            </w:r>
          </w:p>
        </w:tc>
        <w:tc>
          <w:tcPr>
            <w:tcW w:w="866" w:type="dxa"/>
            <w:vAlign w:val="center"/>
          </w:tcPr>
          <w:p>
            <w:pPr>
              <w:spacing w:line="240" w:lineRule="auto"/>
              <w:ind w:firstLine="0" w:firstLineChars="0"/>
              <w:jc w:val="center"/>
              <w:rPr>
                <w:color w:val="auto"/>
                <w:sz w:val="21"/>
                <w:szCs w:val="21"/>
              </w:rPr>
            </w:pPr>
            <w:r>
              <w:rPr>
                <w:rFonts w:hint="eastAsia"/>
                <w:color w:val="auto"/>
                <w:sz w:val="21"/>
                <w:szCs w:val="21"/>
              </w:rPr>
              <w:t>300m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262" w:type="dxa"/>
            <w:vAlign w:val="center"/>
          </w:tcPr>
          <w:p>
            <w:pPr>
              <w:spacing w:line="240" w:lineRule="auto"/>
              <w:ind w:firstLine="0" w:firstLineChars="0"/>
              <w:jc w:val="center"/>
              <w:rPr>
                <w:color w:val="auto"/>
                <w:sz w:val="21"/>
                <w:szCs w:val="21"/>
              </w:rPr>
            </w:pPr>
            <w:r>
              <w:rPr>
                <w:rFonts w:hint="eastAsia"/>
                <w:color w:val="auto"/>
                <w:sz w:val="21"/>
                <w:szCs w:val="21"/>
              </w:rPr>
              <w:t>推土机</w:t>
            </w:r>
          </w:p>
        </w:tc>
        <w:tc>
          <w:tcPr>
            <w:tcW w:w="868" w:type="dxa"/>
            <w:vAlign w:val="center"/>
          </w:tcPr>
          <w:p>
            <w:pPr>
              <w:spacing w:line="240" w:lineRule="auto"/>
              <w:ind w:firstLine="0" w:firstLineChars="0"/>
              <w:jc w:val="center"/>
              <w:rPr>
                <w:color w:val="auto"/>
                <w:sz w:val="21"/>
                <w:szCs w:val="21"/>
              </w:rPr>
            </w:pPr>
            <w:r>
              <w:rPr>
                <w:rFonts w:hint="eastAsia"/>
                <w:color w:val="auto"/>
                <w:sz w:val="21"/>
                <w:szCs w:val="21"/>
              </w:rPr>
              <w:t>86</w:t>
            </w:r>
          </w:p>
        </w:tc>
        <w:tc>
          <w:tcPr>
            <w:tcW w:w="868" w:type="dxa"/>
            <w:vAlign w:val="center"/>
          </w:tcPr>
          <w:p>
            <w:pPr>
              <w:spacing w:line="240" w:lineRule="auto"/>
              <w:ind w:firstLine="0" w:firstLineChars="0"/>
              <w:jc w:val="center"/>
              <w:rPr>
                <w:color w:val="auto"/>
                <w:sz w:val="21"/>
                <w:szCs w:val="21"/>
              </w:rPr>
            </w:pPr>
            <w:r>
              <w:rPr>
                <w:rFonts w:hint="eastAsia"/>
                <w:color w:val="auto"/>
                <w:sz w:val="21"/>
                <w:szCs w:val="21"/>
              </w:rPr>
              <w:t>78</w:t>
            </w:r>
          </w:p>
        </w:tc>
        <w:tc>
          <w:tcPr>
            <w:tcW w:w="866" w:type="dxa"/>
            <w:vAlign w:val="center"/>
          </w:tcPr>
          <w:p>
            <w:pPr>
              <w:spacing w:line="240" w:lineRule="auto"/>
              <w:ind w:firstLine="0" w:firstLineChars="0"/>
              <w:jc w:val="center"/>
              <w:rPr>
                <w:color w:val="auto"/>
                <w:sz w:val="21"/>
                <w:szCs w:val="21"/>
              </w:rPr>
            </w:pPr>
            <w:r>
              <w:rPr>
                <w:rFonts w:hint="eastAsia"/>
                <w:color w:val="auto"/>
                <w:sz w:val="21"/>
                <w:szCs w:val="21"/>
              </w:rPr>
              <w:t>71</w:t>
            </w:r>
          </w:p>
        </w:tc>
        <w:tc>
          <w:tcPr>
            <w:tcW w:w="866" w:type="dxa"/>
            <w:vAlign w:val="center"/>
          </w:tcPr>
          <w:p>
            <w:pPr>
              <w:spacing w:line="240" w:lineRule="auto"/>
              <w:ind w:firstLine="0" w:firstLineChars="0"/>
              <w:jc w:val="center"/>
              <w:rPr>
                <w:color w:val="auto"/>
                <w:sz w:val="21"/>
                <w:szCs w:val="21"/>
              </w:rPr>
            </w:pPr>
            <w:r>
              <w:rPr>
                <w:rFonts w:hint="eastAsia"/>
                <w:color w:val="auto"/>
                <w:sz w:val="21"/>
                <w:szCs w:val="21"/>
              </w:rPr>
              <w:t>63</w:t>
            </w:r>
          </w:p>
        </w:tc>
        <w:tc>
          <w:tcPr>
            <w:tcW w:w="866" w:type="dxa"/>
            <w:vAlign w:val="center"/>
          </w:tcPr>
          <w:p>
            <w:pPr>
              <w:spacing w:line="240" w:lineRule="auto"/>
              <w:ind w:firstLine="0" w:firstLineChars="0"/>
              <w:jc w:val="center"/>
              <w:rPr>
                <w:color w:val="auto"/>
                <w:sz w:val="21"/>
                <w:szCs w:val="21"/>
              </w:rPr>
            </w:pPr>
            <w:r>
              <w:rPr>
                <w:rFonts w:hint="eastAsia"/>
                <w:color w:val="auto"/>
                <w:sz w:val="21"/>
                <w:szCs w:val="21"/>
              </w:rPr>
              <w:t>61</w:t>
            </w:r>
          </w:p>
        </w:tc>
        <w:tc>
          <w:tcPr>
            <w:tcW w:w="866" w:type="dxa"/>
            <w:vAlign w:val="center"/>
          </w:tcPr>
          <w:p>
            <w:pPr>
              <w:spacing w:line="240" w:lineRule="auto"/>
              <w:ind w:firstLine="0" w:firstLineChars="0"/>
              <w:jc w:val="center"/>
              <w:rPr>
                <w:color w:val="auto"/>
                <w:sz w:val="21"/>
                <w:szCs w:val="21"/>
              </w:rPr>
            </w:pPr>
            <w:r>
              <w:rPr>
                <w:rFonts w:hint="eastAsia"/>
                <w:color w:val="auto"/>
                <w:sz w:val="21"/>
                <w:szCs w:val="21"/>
              </w:rPr>
              <w:t>53</w:t>
            </w:r>
          </w:p>
        </w:tc>
        <w:tc>
          <w:tcPr>
            <w:tcW w:w="866" w:type="dxa"/>
            <w:vAlign w:val="center"/>
          </w:tcPr>
          <w:p>
            <w:pPr>
              <w:spacing w:line="240" w:lineRule="auto"/>
              <w:ind w:firstLine="0" w:firstLineChars="0"/>
              <w:jc w:val="center"/>
              <w:rPr>
                <w:color w:val="auto"/>
                <w:sz w:val="21"/>
                <w:szCs w:val="21"/>
              </w:rPr>
            </w:pPr>
            <w:r>
              <w:rPr>
                <w:rFonts w:hint="eastAsia"/>
                <w:color w:val="auto"/>
                <w:sz w:val="21"/>
                <w:szCs w:val="21"/>
              </w:rPr>
              <w:t>49</w:t>
            </w:r>
          </w:p>
        </w:tc>
        <w:tc>
          <w:tcPr>
            <w:tcW w:w="866" w:type="dxa"/>
            <w:vAlign w:val="center"/>
          </w:tcPr>
          <w:p>
            <w:pPr>
              <w:spacing w:line="240" w:lineRule="auto"/>
              <w:ind w:firstLine="0" w:firstLineChars="0"/>
              <w:jc w:val="center"/>
              <w:rPr>
                <w:color w:val="auto"/>
                <w:sz w:val="21"/>
                <w:szCs w:val="21"/>
              </w:rPr>
            </w:pPr>
            <w:r>
              <w:rPr>
                <w:rFonts w:hint="eastAsia"/>
                <w:color w:val="auto"/>
                <w:sz w:val="21"/>
                <w:szCs w:val="21"/>
              </w:rPr>
              <w:t>45</w:t>
            </w:r>
          </w:p>
        </w:tc>
        <w:tc>
          <w:tcPr>
            <w:tcW w:w="866" w:type="dxa"/>
            <w:vAlign w:val="center"/>
          </w:tcPr>
          <w:p>
            <w:pPr>
              <w:spacing w:line="240" w:lineRule="auto"/>
              <w:ind w:firstLine="0" w:firstLineChars="0"/>
              <w:jc w:val="center"/>
              <w:rPr>
                <w:color w:val="auto"/>
                <w:sz w:val="21"/>
                <w:szCs w:val="21"/>
              </w:rPr>
            </w:pPr>
            <w:r>
              <w:rPr>
                <w:rFonts w:hint="eastAsia"/>
                <w:color w:val="auto"/>
                <w:sz w:val="21"/>
                <w:szCs w:val="21"/>
              </w:rPr>
              <w:t>41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262" w:type="dxa"/>
            <w:vAlign w:val="center"/>
          </w:tcPr>
          <w:p>
            <w:pPr>
              <w:spacing w:line="240" w:lineRule="auto"/>
              <w:ind w:firstLine="0" w:firstLineChars="0"/>
              <w:jc w:val="center"/>
              <w:rPr>
                <w:color w:val="auto"/>
                <w:sz w:val="21"/>
                <w:szCs w:val="21"/>
              </w:rPr>
            </w:pPr>
            <w:r>
              <w:rPr>
                <w:rFonts w:hint="eastAsia"/>
                <w:color w:val="auto"/>
                <w:sz w:val="21"/>
                <w:szCs w:val="21"/>
              </w:rPr>
              <w:t>装载机</w:t>
            </w:r>
          </w:p>
        </w:tc>
        <w:tc>
          <w:tcPr>
            <w:tcW w:w="868" w:type="dxa"/>
            <w:vAlign w:val="center"/>
          </w:tcPr>
          <w:p>
            <w:pPr>
              <w:spacing w:line="240" w:lineRule="auto"/>
              <w:ind w:firstLine="0" w:firstLineChars="0"/>
              <w:jc w:val="center"/>
              <w:rPr>
                <w:color w:val="auto"/>
                <w:sz w:val="21"/>
                <w:szCs w:val="21"/>
              </w:rPr>
            </w:pPr>
            <w:r>
              <w:rPr>
                <w:rFonts w:hint="eastAsia"/>
                <w:color w:val="auto"/>
                <w:sz w:val="21"/>
                <w:szCs w:val="21"/>
              </w:rPr>
              <w:t>90</w:t>
            </w:r>
          </w:p>
        </w:tc>
        <w:tc>
          <w:tcPr>
            <w:tcW w:w="868" w:type="dxa"/>
            <w:vAlign w:val="center"/>
          </w:tcPr>
          <w:p>
            <w:pPr>
              <w:spacing w:line="240" w:lineRule="auto"/>
              <w:ind w:firstLine="0" w:firstLineChars="0"/>
              <w:jc w:val="center"/>
              <w:rPr>
                <w:color w:val="auto"/>
                <w:sz w:val="21"/>
                <w:szCs w:val="21"/>
              </w:rPr>
            </w:pPr>
            <w:r>
              <w:rPr>
                <w:rFonts w:hint="eastAsia"/>
                <w:color w:val="auto"/>
                <w:sz w:val="21"/>
                <w:szCs w:val="21"/>
              </w:rPr>
              <w:t>82</w:t>
            </w:r>
          </w:p>
        </w:tc>
        <w:tc>
          <w:tcPr>
            <w:tcW w:w="866" w:type="dxa"/>
            <w:vAlign w:val="center"/>
          </w:tcPr>
          <w:p>
            <w:pPr>
              <w:spacing w:line="240" w:lineRule="auto"/>
              <w:ind w:firstLine="0" w:firstLineChars="0"/>
              <w:jc w:val="center"/>
              <w:rPr>
                <w:color w:val="auto"/>
                <w:sz w:val="21"/>
                <w:szCs w:val="21"/>
              </w:rPr>
            </w:pPr>
            <w:r>
              <w:rPr>
                <w:rFonts w:hint="eastAsia"/>
                <w:color w:val="auto"/>
                <w:sz w:val="21"/>
                <w:szCs w:val="21"/>
              </w:rPr>
              <w:t>75</w:t>
            </w:r>
          </w:p>
        </w:tc>
        <w:tc>
          <w:tcPr>
            <w:tcW w:w="866" w:type="dxa"/>
            <w:vAlign w:val="center"/>
          </w:tcPr>
          <w:p>
            <w:pPr>
              <w:spacing w:line="240" w:lineRule="auto"/>
              <w:ind w:firstLine="0" w:firstLineChars="0"/>
              <w:jc w:val="center"/>
              <w:rPr>
                <w:color w:val="auto"/>
                <w:sz w:val="21"/>
                <w:szCs w:val="21"/>
              </w:rPr>
            </w:pPr>
            <w:r>
              <w:rPr>
                <w:rFonts w:hint="eastAsia"/>
                <w:color w:val="auto"/>
                <w:sz w:val="21"/>
                <w:szCs w:val="21"/>
              </w:rPr>
              <w:t>67</w:t>
            </w:r>
          </w:p>
        </w:tc>
        <w:tc>
          <w:tcPr>
            <w:tcW w:w="866" w:type="dxa"/>
            <w:vAlign w:val="center"/>
          </w:tcPr>
          <w:p>
            <w:pPr>
              <w:spacing w:line="240" w:lineRule="auto"/>
              <w:ind w:firstLine="0" w:firstLineChars="0"/>
              <w:jc w:val="center"/>
              <w:rPr>
                <w:color w:val="auto"/>
                <w:sz w:val="21"/>
                <w:szCs w:val="21"/>
              </w:rPr>
            </w:pPr>
            <w:r>
              <w:rPr>
                <w:rFonts w:hint="eastAsia"/>
                <w:color w:val="auto"/>
                <w:sz w:val="21"/>
                <w:szCs w:val="21"/>
              </w:rPr>
              <w:t>65</w:t>
            </w:r>
          </w:p>
        </w:tc>
        <w:tc>
          <w:tcPr>
            <w:tcW w:w="866" w:type="dxa"/>
            <w:vAlign w:val="center"/>
          </w:tcPr>
          <w:p>
            <w:pPr>
              <w:spacing w:line="240" w:lineRule="auto"/>
              <w:ind w:firstLine="0" w:firstLineChars="0"/>
              <w:jc w:val="center"/>
              <w:rPr>
                <w:color w:val="auto"/>
                <w:sz w:val="21"/>
                <w:szCs w:val="21"/>
              </w:rPr>
            </w:pPr>
            <w:r>
              <w:rPr>
                <w:rFonts w:hint="eastAsia"/>
                <w:color w:val="auto"/>
                <w:sz w:val="21"/>
                <w:szCs w:val="21"/>
              </w:rPr>
              <w:t>55</w:t>
            </w:r>
          </w:p>
        </w:tc>
        <w:tc>
          <w:tcPr>
            <w:tcW w:w="866" w:type="dxa"/>
            <w:vAlign w:val="center"/>
          </w:tcPr>
          <w:p>
            <w:pPr>
              <w:spacing w:line="240" w:lineRule="auto"/>
              <w:ind w:firstLine="0" w:firstLineChars="0"/>
              <w:jc w:val="center"/>
              <w:rPr>
                <w:color w:val="auto"/>
                <w:sz w:val="21"/>
                <w:szCs w:val="21"/>
              </w:rPr>
            </w:pPr>
            <w:r>
              <w:rPr>
                <w:rFonts w:hint="eastAsia"/>
                <w:color w:val="auto"/>
                <w:sz w:val="21"/>
                <w:szCs w:val="21"/>
              </w:rPr>
              <w:t>53</w:t>
            </w:r>
          </w:p>
        </w:tc>
        <w:tc>
          <w:tcPr>
            <w:tcW w:w="866" w:type="dxa"/>
            <w:vAlign w:val="center"/>
          </w:tcPr>
          <w:p>
            <w:pPr>
              <w:spacing w:line="240" w:lineRule="auto"/>
              <w:ind w:firstLine="0" w:firstLineChars="0"/>
              <w:jc w:val="center"/>
              <w:rPr>
                <w:color w:val="auto"/>
                <w:sz w:val="21"/>
                <w:szCs w:val="21"/>
              </w:rPr>
            </w:pPr>
            <w:r>
              <w:rPr>
                <w:rFonts w:hint="eastAsia"/>
                <w:color w:val="auto"/>
                <w:sz w:val="21"/>
                <w:szCs w:val="21"/>
              </w:rPr>
              <w:t>49</w:t>
            </w:r>
          </w:p>
        </w:tc>
        <w:tc>
          <w:tcPr>
            <w:tcW w:w="866" w:type="dxa"/>
            <w:vAlign w:val="center"/>
          </w:tcPr>
          <w:p>
            <w:pPr>
              <w:spacing w:line="240" w:lineRule="auto"/>
              <w:ind w:firstLine="0" w:firstLineChars="0"/>
              <w:jc w:val="center"/>
              <w:rPr>
                <w:color w:val="auto"/>
                <w:sz w:val="21"/>
                <w:szCs w:val="21"/>
              </w:rPr>
            </w:pPr>
            <w:r>
              <w:rPr>
                <w:rFonts w:hint="eastAsia"/>
                <w:color w:val="auto"/>
                <w:sz w:val="21"/>
                <w:szCs w:val="21"/>
              </w:rPr>
              <w:t>45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262" w:type="dxa"/>
            <w:vAlign w:val="center"/>
          </w:tcPr>
          <w:p>
            <w:pPr>
              <w:spacing w:line="240" w:lineRule="auto"/>
              <w:ind w:firstLine="0" w:firstLineChars="0"/>
              <w:jc w:val="center"/>
              <w:rPr>
                <w:color w:val="auto"/>
                <w:sz w:val="21"/>
                <w:szCs w:val="21"/>
              </w:rPr>
            </w:pPr>
            <w:r>
              <w:rPr>
                <w:rFonts w:hint="eastAsia"/>
                <w:color w:val="auto"/>
                <w:sz w:val="21"/>
                <w:szCs w:val="21"/>
              </w:rPr>
              <w:t>挖掘机</w:t>
            </w:r>
          </w:p>
        </w:tc>
        <w:tc>
          <w:tcPr>
            <w:tcW w:w="868" w:type="dxa"/>
            <w:vAlign w:val="center"/>
          </w:tcPr>
          <w:p>
            <w:pPr>
              <w:spacing w:line="240" w:lineRule="auto"/>
              <w:ind w:firstLine="0" w:firstLineChars="0"/>
              <w:jc w:val="center"/>
              <w:rPr>
                <w:color w:val="auto"/>
                <w:sz w:val="21"/>
                <w:szCs w:val="21"/>
              </w:rPr>
            </w:pPr>
            <w:r>
              <w:rPr>
                <w:rFonts w:hint="eastAsia"/>
                <w:color w:val="auto"/>
                <w:sz w:val="21"/>
                <w:szCs w:val="21"/>
              </w:rPr>
              <w:t>84</w:t>
            </w:r>
          </w:p>
        </w:tc>
        <w:tc>
          <w:tcPr>
            <w:tcW w:w="868" w:type="dxa"/>
            <w:vAlign w:val="center"/>
          </w:tcPr>
          <w:p>
            <w:pPr>
              <w:spacing w:line="240" w:lineRule="auto"/>
              <w:ind w:firstLine="0" w:firstLineChars="0"/>
              <w:jc w:val="center"/>
              <w:rPr>
                <w:color w:val="auto"/>
                <w:sz w:val="21"/>
                <w:szCs w:val="21"/>
              </w:rPr>
            </w:pPr>
            <w:r>
              <w:rPr>
                <w:rFonts w:hint="eastAsia"/>
                <w:color w:val="auto"/>
                <w:sz w:val="21"/>
                <w:szCs w:val="21"/>
              </w:rPr>
              <w:t>76</w:t>
            </w:r>
          </w:p>
        </w:tc>
        <w:tc>
          <w:tcPr>
            <w:tcW w:w="866" w:type="dxa"/>
            <w:vAlign w:val="center"/>
          </w:tcPr>
          <w:p>
            <w:pPr>
              <w:spacing w:line="240" w:lineRule="auto"/>
              <w:ind w:firstLine="0" w:firstLineChars="0"/>
              <w:jc w:val="center"/>
              <w:rPr>
                <w:color w:val="auto"/>
                <w:sz w:val="21"/>
                <w:szCs w:val="21"/>
              </w:rPr>
            </w:pPr>
            <w:r>
              <w:rPr>
                <w:rFonts w:hint="eastAsia"/>
                <w:color w:val="auto"/>
                <w:sz w:val="21"/>
                <w:szCs w:val="21"/>
              </w:rPr>
              <w:t>69</w:t>
            </w:r>
          </w:p>
        </w:tc>
        <w:tc>
          <w:tcPr>
            <w:tcW w:w="866" w:type="dxa"/>
            <w:vAlign w:val="center"/>
          </w:tcPr>
          <w:p>
            <w:pPr>
              <w:spacing w:line="240" w:lineRule="auto"/>
              <w:ind w:firstLine="0" w:firstLineChars="0"/>
              <w:jc w:val="center"/>
              <w:rPr>
                <w:color w:val="auto"/>
                <w:sz w:val="21"/>
                <w:szCs w:val="21"/>
              </w:rPr>
            </w:pPr>
            <w:r>
              <w:rPr>
                <w:rFonts w:hint="eastAsia"/>
                <w:color w:val="auto"/>
                <w:sz w:val="21"/>
                <w:szCs w:val="21"/>
              </w:rPr>
              <w:t>61</w:t>
            </w:r>
          </w:p>
        </w:tc>
        <w:tc>
          <w:tcPr>
            <w:tcW w:w="866" w:type="dxa"/>
            <w:vAlign w:val="center"/>
          </w:tcPr>
          <w:p>
            <w:pPr>
              <w:spacing w:line="240" w:lineRule="auto"/>
              <w:ind w:firstLine="0" w:firstLineChars="0"/>
              <w:jc w:val="center"/>
              <w:rPr>
                <w:color w:val="auto"/>
                <w:sz w:val="21"/>
                <w:szCs w:val="21"/>
              </w:rPr>
            </w:pPr>
            <w:r>
              <w:rPr>
                <w:rFonts w:hint="eastAsia"/>
                <w:color w:val="auto"/>
                <w:sz w:val="21"/>
                <w:szCs w:val="21"/>
              </w:rPr>
              <w:t>59</w:t>
            </w:r>
          </w:p>
        </w:tc>
        <w:tc>
          <w:tcPr>
            <w:tcW w:w="866" w:type="dxa"/>
            <w:vAlign w:val="center"/>
          </w:tcPr>
          <w:p>
            <w:pPr>
              <w:spacing w:line="240" w:lineRule="auto"/>
              <w:ind w:firstLine="0" w:firstLineChars="0"/>
              <w:jc w:val="center"/>
              <w:rPr>
                <w:color w:val="auto"/>
                <w:sz w:val="21"/>
                <w:szCs w:val="21"/>
              </w:rPr>
            </w:pPr>
            <w:r>
              <w:rPr>
                <w:rFonts w:hint="eastAsia"/>
                <w:color w:val="auto"/>
                <w:sz w:val="21"/>
                <w:szCs w:val="21"/>
              </w:rPr>
              <w:t>51</w:t>
            </w:r>
          </w:p>
        </w:tc>
        <w:tc>
          <w:tcPr>
            <w:tcW w:w="866" w:type="dxa"/>
            <w:vAlign w:val="center"/>
          </w:tcPr>
          <w:p>
            <w:pPr>
              <w:spacing w:line="240" w:lineRule="auto"/>
              <w:ind w:firstLine="0" w:firstLineChars="0"/>
              <w:jc w:val="center"/>
              <w:rPr>
                <w:color w:val="auto"/>
                <w:sz w:val="21"/>
                <w:szCs w:val="21"/>
              </w:rPr>
            </w:pPr>
            <w:r>
              <w:rPr>
                <w:rFonts w:hint="eastAsia"/>
                <w:color w:val="auto"/>
                <w:sz w:val="21"/>
                <w:szCs w:val="21"/>
              </w:rPr>
              <w:t>47</w:t>
            </w:r>
          </w:p>
        </w:tc>
        <w:tc>
          <w:tcPr>
            <w:tcW w:w="866" w:type="dxa"/>
            <w:vAlign w:val="center"/>
          </w:tcPr>
          <w:p>
            <w:pPr>
              <w:spacing w:line="240" w:lineRule="auto"/>
              <w:ind w:firstLine="0" w:firstLineChars="0"/>
              <w:jc w:val="center"/>
              <w:rPr>
                <w:color w:val="auto"/>
                <w:sz w:val="21"/>
                <w:szCs w:val="21"/>
              </w:rPr>
            </w:pPr>
            <w:r>
              <w:rPr>
                <w:rFonts w:hint="eastAsia"/>
                <w:color w:val="auto"/>
                <w:sz w:val="21"/>
                <w:szCs w:val="21"/>
              </w:rPr>
              <w:t>43</w:t>
            </w:r>
          </w:p>
        </w:tc>
        <w:tc>
          <w:tcPr>
            <w:tcW w:w="866" w:type="dxa"/>
            <w:vAlign w:val="center"/>
          </w:tcPr>
          <w:p>
            <w:pPr>
              <w:spacing w:line="240" w:lineRule="auto"/>
              <w:ind w:firstLine="0" w:firstLineChars="0"/>
              <w:jc w:val="center"/>
              <w:rPr>
                <w:color w:val="auto"/>
                <w:sz w:val="21"/>
                <w:szCs w:val="21"/>
              </w:rPr>
            </w:pPr>
            <w:r>
              <w:rPr>
                <w:rFonts w:hint="eastAsia"/>
                <w:color w:val="auto"/>
                <w:sz w:val="21"/>
                <w:szCs w:val="21"/>
              </w:rPr>
              <w:t>39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262" w:type="dxa"/>
            <w:vAlign w:val="center"/>
          </w:tcPr>
          <w:p>
            <w:pPr>
              <w:spacing w:line="240" w:lineRule="auto"/>
              <w:ind w:firstLine="0" w:firstLineChars="0"/>
              <w:jc w:val="center"/>
              <w:rPr>
                <w:color w:val="auto"/>
                <w:sz w:val="21"/>
                <w:szCs w:val="21"/>
              </w:rPr>
            </w:pPr>
            <w:r>
              <w:rPr>
                <w:rFonts w:hint="eastAsia"/>
                <w:color w:val="auto"/>
                <w:sz w:val="21"/>
                <w:szCs w:val="21"/>
              </w:rPr>
              <w:t>振捣棒</w:t>
            </w:r>
          </w:p>
        </w:tc>
        <w:tc>
          <w:tcPr>
            <w:tcW w:w="868" w:type="dxa"/>
            <w:vAlign w:val="center"/>
          </w:tcPr>
          <w:p>
            <w:pPr>
              <w:spacing w:line="240" w:lineRule="auto"/>
              <w:ind w:firstLine="0" w:firstLineChars="0"/>
              <w:jc w:val="center"/>
              <w:rPr>
                <w:color w:val="auto"/>
                <w:sz w:val="21"/>
                <w:szCs w:val="21"/>
              </w:rPr>
            </w:pPr>
            <w:r>
              <w:rPr>
                <w:rFonts w:hint="eastAsia"/>
                <w:color w:val="auto"/>
                <w:sz w:val="21"/>
                <w:szCs w:val="21"/>
              </w:rPr>
              <w:t>80</w:t>
            </w:r>
          </w:p>
        </w:tc>
        <w:tc>
          <w:tcPr>
            <w:tcW w:w="868" w:type="dxa"/>
            <w:vAlign w:val="center"/>
          </w:tcPr>
          <w:p>
            <w:pPr>
              <w:spacing w:line="240" w:lineRule="auto"/>
              <w:ind w:firstLine="0" w:firstLineChars="0"/>
              <w:jc w:val="center"/>
              <w:rPr>
                <w:color w:val="auto"/>
                <w:sz w:val="21"/>
                <w:szCs w:val="21"/>
              </w:rPr>
            </w:pPr>
            <w:r>
              <w:rPr>
                <w:rFonts w:hint="eastAsia"/>
                <w:color w:val="auto"/>
                <w:sz w:val="21"/>
                <w:szCs w:val="21"/>
              </w:rPr>
              <w:t>72</w:t>
            </w:r>
          </w:p>
        </w:tc>
        <w:tc>
          <w:tcPr>
            <w:tcW w:w="866" w:type="dxa"/>
            <w:vAlign w:val="center"/>
          </w:tcPr>
          <w:p>
            <w:pPr>
              <w:spacing w:line="240" w:lineRule="auto"/>
              <w:ind w:firstLine="0" w:firstLineChars="0"/>
              <w:jc w:val="center"/>
              <w:rPr>
                <w:color w:val="auto"/>
                <w:sz w:val="21"/>
                <w:szCs w:val="21"/>
              </w:rPr>
            </w:pPr>
            <w:r>
              <w:rPr>
                <w:rFonts w:hint="eastAsia"/>
                <w:color w:val="auto"/>
                <w:sz w:val="21"/>
                <w:szCs w:val="21"/>
              </w:rPr>
              <w:t>65</w:t>
            </w:r>
          </w:p>
        </w:tc>
        <w:tc>
          <w:tcPr>
            <w:tcW w:w="866" w:type="dxa"/>
            <w:vAlign w:val="center"/>
          </w:tcPr>
          <w:p>
            <w:pPr>
              <w:spacing w:line="240" w:lineRule="auto"/>
              <w:ind w:firstLine="0" w:firstLineChars="0"/>
              <w:jc w:val="center"/>
              <w:rPr>
                <w:color w:val="auto"/>
                <w:sz w:val="21"/>
                <w:szCs w:val="21"/>
              </w:rPr>
            </w:pPr>
            <w:r>
              <w:rPr>
                <w:rFonts w:hint="eastAsia"/>
                <w:color w:val="auto"/>
                <w:sz w:val="21"/>
                <w:szCs w:val="21"/>
              </w:rPr>
              <w:t>57</w:t>
            </w:r>
          </w:p>
        </w:tc>
        <w:tc>
          <w:tcPr>
            <w:tcW w:w="866" w:type="dxa"/>
            <w:vAlign w:val="center"/>
          </w:tcPr>
          <w:p>
            <w:pPr>
              <w:spacing w:line="240" w:lineRule="auto"/>
              <w:ind w:firstLine="0" w:firstLineChars="0"/>
              <w:jc w:val="center"/>
              <w:rPr>
                <w:color w:val="auto"/>
                <w:sz w:val="21"/>
                <w:szCs w:val="21"/>
              </w:rPr>
            </w:pPr>
            <w:r>
              <w:rPr>
                <w:rFonts w:hint="eastAsia"/>
                <w:color w:val="auto"/>
                <w:sz w:val="21"/>
                <w:szCs w:val="21"/>
              </w:rPr>
              <w:t>55</w:t>
            </w:r>
          </w:p>
        </w:tc>
        <w:tc>
          <w:tcPr>
            <w:tcW w:w="866" w:type="dxa"/>
            <w:vAlign w:val="center"/>
          </w:tcPr>
          <w:p>
            <w:pPr>
              <w:spacing w:line="240" w:lineRule="auto"/>
              <w:ind w:firstLine="0" w:firstLineChars="0"/>
              <w:jc w:val="center"/>
              <w:rPr>
                <w:color w:val="auto"/>
                <w:sz w:val="21"/>
                <w:szCs w:val="21"/>
              </w:rPr>
            </w:pPr>
            <w:r>
              <w:rPr>
                <w:rFonts w:hint="eastAsia"/>
                <w:color w:val="auto"/>
                <w:sz w:val="21"/>
                <w:szCs w:val="21"/>
              </w:rPr>
              <w:t>47</w:t>
            </w:r>
          </w:p>
        </w:tc>
        <w:tc>
          <w:tcPr>
            <w:tcW w:w="866" w:type="dxa"/>
            <w:vAlign w:val="center"/>
          </w:tcPr>
          <w:p>
            <w:pPr>
              <w:spacing w:line="240" w:lineRule="auto"/>
              <w:ind w:firstLine="0" w:firstLineChars="0"/>
              <w:jc w:val="center"/>
              <w:rPr>
                <w:color w:val="auto"/>
                <w:sz w:val="21"/>
                <w:szCs w:val="21"/>
              </w:rPr>
            </w:pPr>
            <w:r>
              <w:rPr>
                <w:rFonts w:hint="eastAsia"/>
                <w:color w:val="auto"/>
                <w:sz w:val="21"/>
                <w:szCs w:val="21"/>
              </w:rPr>
              <w:t>43</w:t>
            </w:r>
          </w:p>
        </w:tc>
        <w:tc>
          <w:tcPr>
            <w:tcW w:w="866" w:type="dxa"/>
            <w:vAlign w:val="center"/>
          </w:tcPr>
          <w:p>
            <w:pPr>
              <w:spacing w:line="240" w:lineRule="auto"/>
              <w:ind w:firstLine="0" w:firstLineChars="0"/>
              <w:jc w:val="center"/>
              <w:rPr>
                <w:color w:val="auto"/>
                <w:sz w:val="21"/>
                <w:szCs w:val="21"/>
              </w:rPr>
            </w:pPr>
            <w:r>
              <w:rPr>
                <w:rFonts w:hint="eastAsia"/>
                <w:color w:val="auto"/>
                <w:sz w:val="21"/>
                <w:szCs w:val="21"/>
              </w:rPr>
              <w:t>39</w:t>
            </w:r>
          </w:p>
        </w:tc>
        <w:tc>
          <w:tcPr>
            <w:tcW w:w="866" w:type="dxa"/>
            <w:vAlign w:val="center"/>
          </w:tcPr>
          <w:p>
            <w:pPr>
              <w:spacing w:line="240" w:lineRule="auto"/>
              <w:ind w:firstLine="0" w:firstLineChars="0"/>
              <w:jc w:val="center"/>
              <w:rPr>
                <w:color w:val="auto"/>
                <w:sz w:val="21"/>
                <w:szCs w:val="21"/>
              </w:rPr>
            </w:pPr>
            <w:r>
              <w:rPr>
                <w:rFonts w:hint="eastAsia"/>
                <w:color w:val="auto"/>
                <w:sz w:val="21"/>
                <w:szCs w:val="21"/>
              </w:rPr>
              <w:t>35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262" w:type="dxa"/>
            <w:vAlign w:val="center"/>
          </w:tcPr>
          <w:p>
            <w:pPr>
              <w:spacing w:line="240" w:lineRule="auto"/>
              <w:ind w:firstLine="0" w:firstLineChars="0"/>
              <w:jc w:val="center"/>
              <w:rPr>
                <w:color w:val="auto"/>
                <w:sz w:val="21"/>
                <w:szCs w:val="21"/>
              </w:rPr>
            </w:pPr>
            <w:r>
              <w:rPr>
                <w:rFonts w:hint="eastAsia"/>
                <w:color w:val="auto"/>
                <w:sz w:val="21"/>
                <w:szCs w:val="21"/>
              </w:rPr>
              <w:t>切割机</w:t>
            </w:r>
          </w:p>
        </w:tc>
        <w:tc>
          <w:tcPr>
            <w:tcW w:w="868" w:type="dxa"/>
            <w:vAlign w:val="center"/>
          </w:tcPr>
          <w:p>
            <w:pPr>
              <w:spacing w:line="240" w:lineRule="auto"/>
              <w:ind w:firstLine="0" w:firstLineChars="0"/>
              <w:jc w:val="center"/>
              <w:rPr>
                <w:color w:val="auto"/>
                <w:sz w:val="21"/>
                <w:szCs w:val="21"/>
              </w:rPr>
            </w:pPr>
            <w:r>
              <w:rPr>
                <w:rFonts w:hint="eastAsia"/>
                <w:color w:val="auto"/>
                <w:sz w:val="21"/>
                <w:szCs w:val="21"/>
              </w:rPr>
              <w:t>90</w:t>
            </w:r>
          </w:p>
        </w:tc>
        <w:tc>
          <w:tcPr>
            <w:tcW w:w="868" w:type="dxa"/>
            <w:vAlign w:val="center"/>
          </w:tcPr>
          <w:p>
            <w:pPr>
              <w:spacing w:line="240" w:lineRule="auto"/>
              <w:ind w:firstLine="0" w:firstLineChars="0"/>
              <w:jc w:val="center"/>
              <w:rPr>
                <w:color w:val="auto"/>
                <w:sz w:val="21"/>
                <w:szCs w:val="21"/>
              </w:rPr>
            </w:pPr>
            <w:r>
              <w:rPr>
                <w:rFonts w:hint="eastAsia"/>
                <w:color w:val="auto"/>
                <w:sz w:val="21"/>
                <w:szCs w:val="21"/>
              </w:rPr>
              <w:t>82</w:t>
            </w:r>
          </w:p>
        </w:tc>
        <w:tc>
          <w:tcPr>
            <w:tcW w:w="866" w:type="dxa"/>
            <w:vAlign w:val="center"/>
          </w:tcPr>
          <w:p>
            <w:pPr>
              <w:spacing w:line="240" w:lineRule="auto"/>
              <w:ind w:firstLine="0" w:firstLineChars="0"/>
              <w:jc w:val="center"/>
              <w:rPr>
                <w:color w:val="auto"/>
                <w:sz w:val="21"/>
                <w:szCs w:val="21"/>
              </w:rPr>
            </w:pPr>
            <w:r>
              <w:rPr>
                <w:rFonts w:hint="eastAsia"/>
                <w:color w:val="auto"/>
                <w:sz w:val="21"/>
                <w:szCs w:val="21"/>
              </w:rPr>
              <w:t>75</w:t>
            </w:r>
          </w:p>
        </w:tc>
        <w:tc>
          <w:tcPr>
            <w:tcW w:w="866" w:type="dxa"/>
            <w:vAlign w:val="center"/>
          </w:tcPr>
          <w:p>
            <w:pPr>
              <w:spacing w:line="240" w:lineRule="auto"/>
              <w:ind w:firstLine="0" w:firstLineChars="0"/>
              <w:jc w:val="center"/>
              <w:rPr>
                <w:color w:val="auto"/>
                <w:sz w:val="21"/>
                <w:szCs w:val="21"/>
              </w:rPr>
            </w:pPr>
            <w:r>
              <w:rPr>
                <w:rFonts w:hint="eastAsia"/>
                <w:color w:val="auto"/>
                <w:sz w:val="21"/>
                <w:szCs w:val="21"/>
              </w:rPr>
              <w:t>67</w:t>
            </w:r>
          </w:p>
        </w:tc>
        <w:tc>
          <w:tcPr>
            <w:tcW w:w="866" w:type="dxa"/>
            <w:vAlign w:val="center"/>
          </w:tcPr>
          <w:p>
            <w:pPr>
              <w:spacing w:line="240" w:lineRule="auto"/>
              <w:ind w:firstLine="0" w:firstLineChars="0"/>
              <w:jc w:val="center"/>
              <w:rPr>
                <w:color w:val="auto"/>
                <w:sz w:val="21"/>
                <w:szCs w:val="21"/>
              </w:rPr>
            </w:pPr>
            <w:r>
              <w:rPr>
                <w:rFonts w:hint="eastAsia"/>
                <w:color w:val="auto"/>
                <w:sz w:val="21"/>
                <w:szCs w:val="21"/>
              </w:rPr>
              <w:t>65</w:t>
            </w:r>
          </w:p>
        </w:tc>
        <w:tc>
          <w:tcPr>
            <w:tcW w:w="866" w:type="dxa"/>
            <w:vAlign w:val="center"/>
          </w:tcPr>
          <w:p>
            <w:pPr>
              <w:spacing w:line="240" w:lineRule="auto"/>
              <w:ind w:firstLine="0" w:firstLineChars="0"/>
              <w:jc w:val="center"/>
              <w:rPr>
                <w:color w:val="auto"/>
                <w:sz w:val="21"/>
                <w:szCs w:val="21"/>
              </w:rPr>
            </w:pPr>
            <w:r>
              <w:rPr>
                <w:rFonts w:hint="eastAsia"/>
                <w:color w:val="auto"/>
                <w:sz w:val="21"/>
                <w:szCs w:val="21"/>
              </w:rPr>
              <w:t>55</w:t>
            </w:r>
          </w:p>
        </w:tc>
        <w:tc>
          <w:tcPr>
            <w:tcW w:w="866" w:type="dxa"/>
            <w:vAlign w:val="center"/>
          </w:tcPr>
          <w:p>
            <w:pPr>
              <w:spacing w:line="240" w:lineRule="auto"/>
              <w:ind w:firstLine="0" w:firstLineChars="0"/>
              <w:jc w:val="center"/>
              <w:rPr>
                <w:color w:val="auto"/>
                <w:sz w:val="21"/>
                <w:szCs w:val="21"/>
              </w:rPr>
            </w:pPr>
            <w:r>
              <w:rPr>
                <w:rFonts w:hint="eastAsia"/>
                <w:color w:val="auto"/>
                <w:sz w:val="21"/>
                <w:szCs w:val="21"/>
              </w:rPr>
              <w:t>53</w:t>
            </w:r>
          </w:p>
        </w:tc>
        <w:tc>
          <w:tcPr>
            <w:tcW w:w="866" w:type="dxa"/>
            <w:vAlign w:val="center"/>
          </w:tcPr>
          <w:p>
            <w:pPr>
              <w:spacing w:line="240" w:lineRule="auto"/>
              <w:ind w:firstLine="0" w:firstLineChars="0"/>
              <w:jc w:val="center"/>
              <w:rPr>
                <w:color w:val="auto"/>
                <w:sz w:val="21"/>
                <w:szCs w:val="21"/>
              </w:rPr>
            </w:pPr>
            <w:r>
              <w:rPr>
                <w:rFonts w:hint="eastAsia"/>
                <w:color w:val="auto"/>
                <w:sz w:val="21"/>
                <w:szCs w:val="21"/>
              </w:rPr>
              <w:t>49</w:t>
            </w:r>
          </w:p>
        </w:tc>
        <w:tc>
          <w:tcPr>
            <w:tcW w:w="866" w:type="dxa"/>
            <w:vAlign w:val="center"/>
          </w:tcPr>
          <w:p>
            <w:pPr>
              <w:spacing w:line="240" w:lineRule="auto"/>
              <w:ind w:firstLine="0" w:firstLineChars="0"/>
              <w:jc w:val="center"/>
              <w:rPr>
                <w:color w:val="auto"/>
                <w:sz w:val="21"/>
                <w:szCs w:val="21"/>
              </w:rPr>
            </w:pPr>
            <w:r>
              <w:rPr>
                <w:rFonts w:hint="eastAsia"/>
                <w:color w:val="auto"/>
                <w:sz w:val="21"/>
                <w:szCs w:val="21"/>
              </w:rPr>
              <w:t>45</w:t>
            </w:r>
          </w:p>
        </w:tc>
      </w:tr>
    </w:tbl>
    <w:p>
      <w:pPr>
        <w:ind w:firstLine="480"/>
        <w:outlineLvl w:val="3"/>
        <w:rPr>
          <w:color w:val="auto"/>
        </w:rPr>
      </w:pPr>
      <w:r>
        <w:rPr>
          <w:color w:val="auto"/>
        </w:rPr>
        <w:t>5.1.2.2施工期声环境影响分析</w:t>
      </w:r>
    </w:p>
    <w:p>
      <w:pPr>
        <w:ind w:firstLine="480"/>
        <w:rPr>
          <w:color w:val="auto"/>
        </w:rPr>
      </w:pPr>
      <w:r>
        <w:rPr>
          <w:color w:val="auto"/>
        </w:rPr>
        <w:t>项目施工期噪声执行《建筑施工</w:t>
      </w:r>
      <w:r>
        <w:rPr>
          <w:rFonts w:hint="eastAsia"/>
          <w:color w:val="auto"/>
        </w:rPr>
        <w:t>厂界</w:t>
      </w:r>
      <w:r>
        <w:rPr>
          <w:color w:val="auto"/>
        </w:rPr>
        <w:t>环境噪声排放标准》（GB12523-2011），见表5</w:t>
      </w:r>
      <w:r>
        <w:rPr>
          <w:rFonts w:hint="eastAsia"/>
          <w:color w:val="auto"/>
        </w:rPr>
        <w:t>.1</w:t>
      </w:r>
      <w:r>
        <w:rPr>
          <w:color w:val="auto"/>
        </w:rPr>
        <w:t>-</w:t>
      </w:r>
      <w:r>
        <w:rPr>
          <w:rFonts w:hint="eastAsia"/>
          <w:color w:val="auto"/>
        </w:rPr>
        <w:t>5</w:t>
      </w:r>
      <w:r>
        <w:rPr>
          <w:color w:val="auto"/>
        </w:rPr>
        <w:t>。从表5</w:t>
      </w:r>
      <w:r>
        <w:rPr>
          <w:rFonts w:hint="eastAsia"/>
          <w:color w:val="auto"/>
        </w:rPr>
        <w:t>.1</w:t>
      </w:r>
      <w:r>
        <w:rPr>
          <w:color w:val="auto"/>
        </w:rPr>
        <w:t>-</w:t>
      </w:r>
      <w:r>
        <w:rPr>
          <w:rFonts w:hint="eastAsia"/>
          <w:color w:val="auto"/>
        </w:rPr>
        <w:t>4</w:t>
      </w:r>
      <w:r>
        <w:rPr>
          <w:color w:val="auto"/>
        </w:rPr>
        <w:t>中可看出，土石方施工阶段推土机、装载机、挖掘机</w:t>
      </w:r>
      <w:r>
        <w:rPr>
          <w:rFonts w:hint="eastAsia"/>
          <w:color w:val="auto"/>
        </w:rPr>
        <w:t>、</w:t>
      </w:r>
      <w:r>
        <w:rPr>
          <w:color w:val="auto"/>
        </w:rPr>
        <w:t>混凝土振捣棒、切割机昼间噪声超标的情况出现在距声源</w:t>
      </w:r>
      <w:r>
        <w:rPr>
          <w:rFonts w:hint="eastAsia"/>
          <w:color w:val="auto"/>
        </w:rPr>
        <w:t>5</w:t>
      </w:r>
      <w:r>
        <w:rPr>
          <w:color w:val="auto"/>
        </w:rPr>
        <w:t>m</w:t>
      </w:r>
      <w:r>
        <w:rPr>
          <w:rFonts w:hint="eastAsia"/>
          <w:color w:val="auto"/>
        </w:rPr>
        <w:t>~20m</w:t>
      </w:r>
      <w:r>
        <w:rPr>
          <w:color w:val="auto"/>
        </w:rPr>
        <w:t>范围内，夜间施工噪声超标情况出现在</w:t>
      </w:r>
      <w:r>
        <w:rPr>
          <w:rFonts w:hint="eastAsia"/>
          <w:color w:val="auto"/>
        </w:rPr>
        <w:t>100</w:t>
      </w:r>
      <w:r>
        <w:rPr>
          <w:color w:val="auto"/>
        </w:rPr>
        <w:t>m范围内。</w:t>
      </w:r>
    </w:p>
    <w:p>
      <w:pPr>
        <w:spacing w:after="93" w:afterLines="30"/>
        <w:ind w:left="851" w:firstLine="482"/>
        <w:jc w:val="left"/>
        <w:rPr>
          <w:b/>
          <w:color w:val="auto"/>
          <w:szCs w:val="21"/>
        </w:rPr>
      </w:pPr>
      <w:r>
        <w:rPr>
          <w:rFonts w:hint="eastAsia"/>
          <w:b/>
          <w:color w:val="auto"/>
          <w:szCs w:val="21"/>
        </w:rPr>
        <w:t xml:space="preserve">表5.1-5              </w:t>
      </w:r>
      <w:r>
        <w:rPr>
          <w:b/>
          <w:color w:val="auto"/>
          <w:szCs w:val="21"/>
        </w:rPr>
        <w:t>建筑施工</w:t>
      </w:r>
      <w:r>
        <w:rPr>
          <w:rFonts w:hint="eastAsia"/>
          <w:b/>
          <w:color w:val="auto"/>
          <w:szCs w:val="21"/>
        </w:rPr>
        <w:t>厂界</w:t>
      </w:r>
      <w:r>
        <w:rPr>
          <w:b/>
          <w:color w:val="auto"/>
          <w:szCs w:val="21"/>
        </w:rPr>
        <w:t xml:space="preserve">环境噪声排放限值    </w:t>
      </w:r>
      <w:r>
        <w:rPr>
          <w:rFonts w:hint="eastAsia"/>
          <w:b/>
          <w:color w:val="auto"/>
          <w:szCs w:val="21"/>
        </w:rPr>
        <w:t>（</w:t>
      </w:r>
      <w:r>
        <w:rPr>
          <w:b/>
          <w:color w:val="auto"/>
          <w:szCs w:val="21"/>
        </w:rPr>
        <w:t>dB(A)</w:t>
      </w:r>
      <w:r>
        <w:rPr>
          <w:rFonts w:hint="eastAsia"/>
          <w:b/>
          <w:color w:val="auto"/>
          <w:szCs w:val="21"/>
        </w:rPr>
        <w:t>）</w:t>
      </w:r>
    </w:p>
    <w:tbl>
      <w:tblPr>
        <w:tblStyle w:val="27"/>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542"/>
        <w:gridCol w:w="463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2" w:type="dxa"/>
            <w:vAlign w:val="center"/>
          </w:tcPr>
          <w:p>
            <w:pPr>
              <w:spacing w:line="240" w:lineRule="auto"/>
              <w:ind w:firstLine="0" w:firstLineChars="0"/>
              <w:jc w:val="center"/>
              <w:rPr>
                <w:color w:val="auto"/>
                <w:sz w:val="21"/>
                <w:szCs w:val="21"/>
              </w:rPr>
            </w:pPr>
            <w:r>
              <w:rPr>
                <w:rFonts w:hint="eastAsia"/>
                <w:color w:val="auto"/>
                <w:sz w:val="21"/>
                <w:szCs w:val="21"/>
              </w:rPr>
              <w:t>昼间</w:t>
            </w:r>
          </w:p>
        </w:tc>
        <w:tc>
          <w:tcPr>
            <w:tcW w:w="4633" w:type="dxa"/>
            <w:vAlign w:val="center"/>
          </w:tcPr>
          <w:p>
            <w:pPr>
              <w:spacing w:line="240" w:lineRule="auto"/>
              <w:ind w:firstLine="0" w:firstLineChars="0"/>
              <w:jc w:val="center"/>
              <w:rPr>
                <w:color w:val="auto"/>
                <w:sz w:val="21"/>
                <w:szCs w:val="21"/>
              </w:rPr>
            </w:pPr>
            <w:r>
              <w:rPr>
                <w:rFonts w:hint="eastAsia"/>
                <w:color w:val="auto"/>
                <w:sz w:val="21"/>
                <w:szCs w:val="21"/>
              </w:rPr>
              <w:t>夜间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2" w:type="dxa"/>
            <w:vAlign w:val="center"/>
          </w:tcPr>
          <w:p>
            <w:pPr>
              <w:spacing w:line="240" w:lineRule="auto"/>
              <w:ind w:firstLine="0" w:firstLineChars="0"/>
              <w:jc w:val="center"/>
              <w:rPr>
                <w:color w:val="auto"/>
                <w:sz w:val="21"/>
                <w:szCs w:val="21"/>
              </w:rPr>
            </w:pPr>
            <w:r>
              <w:rPr>
                <w:rFonts w:hint="eastAsia"/>
                <w:color w:val="auto"/>
                <w:sz w:val="21"/>
                <w:szCs w:val="21"/>
              </w:rPr>
              <w:t>70</w:t>
            </w:r>
          </w:p>
        </w:tc>
        <w:tc>
          <w:tcPr>
            <w:tcW w:w="4633" w:type="dxa"/>
            <w:vAlign w:val="center"/>
          </w:tcPr>
          <w:p>
            <w:pPr>
              <w:spacing w:line="240" w:lineRule="auto"/>
              <w:ind w:firstLine="0" w:firstLineChars="0"/>
              <w:jc w:val="center"/>
              <w:rPr>
                <w:color w:val="auto"/>
                <w:sz w:val="21"/>
                <w:szCs w:val="21"/>
              </w:rPr>
            </w:pPr>
            <w:r>
              <w:rPr>
                <w:rFonts w:hint="eastAsia"/>
                <w:color w:val="auto"/>
                <w:sz w:val="21"/>
                <w:szCs w:val="21"/>
              </w:rPr>
              <w:t>55</w:t>
            </w:r>
          </w:p>
        </w:tc>
      </w:tr>
    </w:tbl>
    <w:p>
      <w:pPr>
        <w:ind w:firstLine="480"/>
        <w:rPr>
          <w:color w:val="auto"/>
        </w:rPr>
      </w:pPr>
      <w:r>
        <w:rPr>
          <w:rFonts w:hint="eastAsia"/>
          <w:color w:val="auto"/>
        </w:rPr>
        <w:t>由表</w:t>
      </w:r>
      <w:r>
        <w:rPr>
          <w:color w:val="auto"/>
        </w:rPr>
        <w:t>5</w:t>
      </w:r>
      <w:r>
        <w:rPr>
          <w:rFonts w:hint="eastAsia"/>
          <w:color w:val="auto"/>
        </w:rPr>
        <w:t>.1</w:t>
      </w:r>
      <w:r>
        <w:rPr>
          <w:color w:val="auto"/>
        </w:rPr>
        <w:t>-</w:t>
      </w:r>
      <w:r>
        <w:rPr>
          <w:rFonts w:hint="eastAsia"/>
          <w:color w:val="auto"/>
        </w:rPr>
        <w:t>5可知，各施工机械</w:t>
      </w:r>
      <w:r>
        <w:rPr>
          <w:color w:val="auto"/>
        </w:rPr>
        <w:t>噪声在经过距离衰减后</w:t>
      </w:r>
      <w:r>
        <w:rPr>
          <w:rFonts w:hint="eastAsia"/>
          <w:color w:val="auto"/>
        </w:rPr>
        <w:t>150m外的噪声值均能</w:t>
      </w:r>
      <w:r>
        <w:rPr>
          <w:color w:val="auto"/>
        </w:rPr>
        <w:t>达到《建筑施工</w:t>
      </w:r>
      <w:r>
        <w:rPr>
          <w:rFonts w:hint="eastAsia"/>
          <w:color w:val="auto"/>
        </w:rPr>
        <w:t>厂界</w:t>
      </w:r>
      <w:r>
        <w:rPr>
          <w:color w:val="auto"/>
        </w:rPr>
        <w:t>环境噪声排放标准》（GB12523-2011）</w:t>
      </w:r>
      <w:r>
        <w:rPr>
          <w:rFonts w:hint="eastAsia"/>
          <w:color w:val="auto"/>
        </w:rPr>
        <w:t>：</w:t>
      </w:r>
      <w:r>
        <w:rPr>
          <w:color w:val="auto"/>
        </w:rPr>
        <w:t>昼间</w:t>
      </w:r>
      <w:r>
        <w:rPr>
          <w:rFonts w:hint="eastAsia"/>
          <w:color w:val="auto"/>
        </w:rPr>
        <w:t>和夜间标准限值。</w:t>
      </w:r>
      <w:r>
        <w:rPr>
          <w:color w:val="auto"/>
        </w:rPr>
        <w:t>因此项目施工期噪声对周围敏感点影响较小。</w:t>
      </w:r>
      <w:r>
        <w:rPr>
          <w:rFonts w:hint="eastAsia"/>
          <w:color w:val="auto"/>
        </w:rPr>
        <w:t>距离本项目最近的环境敏感点为</w:t>
      </w:r>
      <w:r>
        <w:rPr>
          <w:rFonts w:hint="eastAsia" w:hAnsi="宋体"/>
          <w:color w:val="auto"/>
        </w:rPr>
        <w:t>七王庙村（NW，705m）</w:t>
      </w:r>
      <w:r>
        <w:rPr>
          <w:rFonts w:hint="eastAsia"/>
          <w:color w:val="auto"/>
        </w:rPr>
        <w:t>，因此施工机械产生的噪声对本项目影响不大。</w:t>
      </w:r>
    </w:p>
    <w:p>
      <w:pPr>
        <w:ind w:firstLine="480"/>
        <w:rPr>
          <w:color w:val="auto"/>
        </w:rPr>
      </w:pPr>
      <w:r>
        <w:rPr>
          <w:color w:val="auto"/>
        </w:rPr>
        <w:t>评价建议施工单位</w:t>
      </w:r>
      <w:r>
        <w:rPr>
          <w:rFonts w:hint="eastAsia"/>
          <w:color w:val="auto"/>
        </w:rPr>
        <w:t>在施工作业期间内</w:t>
      </w:r>
      <w:r>
        <w:rPr>
          <w:color w:val="auto"/>
        </w:rPr>
        <w:t>采取合理的施工方式，优先选用低噪声的施工设备，</w:t>
      </w:r>
      <w:r>
        <w:rPr>
          <w:rFonts w:hint="eastAsia"/>
          <w:color w:val="auto"/>
        </w:rPr>
        <w:t>合理安排施工设备的位置</w:t>
      </w:r>
      <w:r>
        <w:rPr>
          <w:color w:val="auto"/>
        </w:rPr>
        <w:t>。</w:t>
      </w:r>
    </w:p>
    <w:p>
      <w:pPr>
        <w:ind w:firstLine="480"/>
        <w:rPr>
          <w:color w:val="auto"/>
        </w:rPr>
      </w:pPr>
      <w:r>
        <w:rPr>
          <w:rFonts w:hint="eastAsia"/>
          <w:color w:val="auto"/>
        </w:rPr>
        <w:t>随着施工期的结束，项目施工过程中产生的机械噪声随之结束，因此</w:t>
      </w:r>
      <w:r>
        <w:rPr>
          <w:color w:val="auto"/>
        </w:rPr>
        <w:t>施工过程中对区域声环境的影响是暂时的，</w:t>
      </w:r>
      <w:r>
        <w:rPr>
          <w:rFonts w:hint="eastAsia"/>
          <w:color w:val="auto"/>
        </w:rPr>
        <w:t>对周围环境敏感点的影响很小。</w:t>
      </w:r>
      <w:r>
        <w:rPr>
          <w:color w:val="auto"/>
        </w:rPr>
        <w:t xml:space="preserve"> </w:t>
      </w:r>
    </w:p>
    <w:p>
      <w:pPr>
        <w:pStyle w:val="6"/>
        <w:rPr>
          <w:color w:val="auto"/>
        </w:rPr>
      </w:pPr>
      <w:bookmarkStart w:id="520" w:name="_Toc311980418"/>
      <w:r>
        <w:rPr>
          <w:color w:val="auto"/>
        </w:rPr>
        <w:t>5.1.3 施工期废水环境影响分析</w:t>
      </w:r>
      <w:bookmarkEnd w:id="520"/>
    </w:p>
    <w:p>
      <w:pPr>
        <w:ind w:firstLine="480"/>
        <w:rPr>
          <w:color w:val="auto"/>
        </w:rPr>
      </w:pPr>
      <w:r>
        <w:rPr>
          <w:color w:val="auto"/>
        </w:rPr>
        <w:t>施工期废水主要为施工人员生活污水和少量建筑废水。生活污水主要包括粪便污水及洗漱污水等</w:t>
      </w:r>
      <w:r>
        <w:rPr>
          <w:rFonts w:hint="eastAsia"/>
          <w:color w:val="auto"/>
        </w:rPr>
        <w:t>。</w:t>
      </w:r>
      <w:r>
        <w:rPr>
          <w:color w:val="auto"/>
        </w:rPr>
        <w:t>建筑废水和洗漱污水等产生量小，用于地面洒水除尘，粪便污水用于周围农田</w:t>
      </w:r>
      <w:r>
        <w:rPr>
          <w:rFonts w:hint="eastAsia"/>
          <w:color w:val="auto"/>
        </w:rPr>
        <w:t>施肥</w:t>
      </w:r>
      <w:r>
        <w:rPr>
          <w:color w:val="auto"/>
        </w:rPr>
        <w:t>，不外排，对环境影响不大。</w:t>
      </w:r>
    </w:p>
    <w:p>
      <w:pPr>
        <w:pStyle w:val="6"/>
        <w:rPr>
          <w:color w:val="auto"/>
        </w:rPr>
      </w:pPr>
      <w:bookmarkStart w:id="521" w:name="_Toc311980419"/>
      <w:r>
        <w:rPr>
          <w:color w:val="auto"/>
        </w:rPr>
        <w:t>5.1.4 施工期固体废物环境影响分析</w:t>
      </w:r>
      <w:bookmarkEnd w:id="521"/>
    </w:p>
    <w:p>
      <w:pPr>
        <w:ind w:firstLine="480"/>
        <w:rPr>
          <w:color w:val="auto"/>
        </w:rPr>
      </w:pPr>
      <w:r>
        <w:rPr>
          <w:color w:val="auto"/>
        </w:rPr>
        <w:t>施工期固体废物主要是施工期间的建筑垃圾及施工人员产生的生活垃圾。</w:t>
      </w:r>
    </w:p>
    <w:p>
      <w:pPr>
        <w:ind w:firstLine="480"/>
        <w:rPr>
          <w:color w:val="auto"/>
        </w:rPr>
      </w:pPr>
      <w:r>
        <w:rPr>
          <w:bCs/>
          <w:color w:val="auto"/>
        </w:rPr>
        <w:t>施工期建筑垃圾用于</w:t>
      </w:r>
      <w:r>
        <w:rPr>
          <w:rFonts w:hint="eastAsia"/>
          <w:bCs/>
          <w:color w:val="auto"/>
        </w:rPr>
        <w:t>厂区</w:t>
      </w:r>
      <w:r>
        <w:rPr>
          <w:bCs/>
          <w:color w:val="auto"/>
        </w:rPr>
        <w:t>回填，多余部分与</w:t>
      </w:r>
      <w:r>
        <w:rPr>
          <w:color w:val="auto"/>
        </w:rPr>
        <w:t>生活垃圾一起交由当地环保部门定时统一清运处理，以减少对区域生态环境及景观的影响。</w:t>
      </w:r>
    </w:p>
    <w:p>
      <w:pPr>
        <w:pStyle w:val="6"/>
        <w:rPr>
          <w:color w:val="auto"/>
        </w:rPr>
      </w:pPr>
      <w:bookmarkStart w:id="522" w:name="_Toc311980420"/>
      <w:r>
        <w:rPr>
          <w:color w:val="auto"/>
        </w:rPr>
        <w:t>5.1.5 施工期生态环境影响分析</w:t>
      </w:r>
      <w:bookmarkEnd w:id="522"/>
    </w:p>
    <w:p>
      <w:pPr>
        <w:ind w:firstLine="480"/>
        <w:rPr>
          <w:color w:val="auto"/>
        </w:rPr>
      </w:pPr>
      <w:r>
        <w:rPr>
          <w:color w:val="auto"/>
        </w:rPr>
        <w:t>该项目</w:t>
      </w:r>
      <w:r>
        <w:rPr>
          <w:rFonts w:hint="eastAsia"/>
          <w:bCs/>
          <w:color w:val="auto"/>
        </w:rPr>
        <w:t>场</w:t>
      </w:r>
      <w:r>
        <w:rPr>
          <w:color w:val="auto"/>
        </w:rPr>
        <w:t>址周围大部分是农田，地形平坦，植被以农作物为主，植被较单一，地面有裸露。</w:t>
      </w:r>
      <w:r>
        <w:rPr>
          <w:rFonts w:hint="eastAsia"/>
          <w:color w:val="auto"/>
        </w:rPr>
        <w:t>项目建设</w:t>
      </w:r>
      <w:r>
        <w:rPr>
          <w:color w:val="auto"/>
        </w:rPr>
        <w:t>对生态环境的影响主要表现</w:t>
      </w:r>
      <w:r>
        <w:rPr>
          <w:rFonts w:hint="eastAsia"/>
          <w:color w:val="auto"/>
        </w:rPr>
        <w:t>为</w:t>
      </w:r>
      <w:r>
        <w:rPr>
          <w:color w:val="auto"/>
        </w:rPr>
        <w:t>水土流失：</w:t>
      </w:r>
    </w:p>
    <w:p>
      <w:pPr>
        <w:ind w:firstLine="480"/>
        <w:rPr>
          <w:color w:val="auto"/>
        </w:rPr>
      </w:pPr>
      <w:r>
        <w:rPr>
          <w:rFonts w:hint="eastAsia" w:hAnsi="宋体"/>
          <w:color w:val="auto"/>
          <w:szCs w:val="21"/>
        </w:rPr>
        <w:t>①</w:t>
      </w:r>
      <w:r>
        <w:rPr>
          <w:color w:val="auto"/>
        </w:rPr>
        <w:t>开挖地表，使原</w:t>
      </w:r>
      <w:r>
        <w:rPr>
          <w:rFonts w:hint="eastAsia"/>
          <w:color w:val="auto"/>
        </w:rPr>
        <w:t>有</w:t>
      </w:r>
      <w:r>
        <w:rPr>
          <w:color w:val="auto"/>
        </w:rPr>
        <w:t>地表植被、土壤结构</w:t>
      </w:r>
      <w:r>
        <w:rPr>
          <w:rFonts w:hint="eastAsia"/>
          <w:color w:val="auto"/>
        </w:rPr>
        <w:t>遭</w:t>
      </w:r>
      <w:r>
        <w:rPr>
          <w:color w:val="auto"/>
        </w:rPr>
        <w:t>到破坏，造成地表裸露，表层土抗蚀能力减弱，加剧水土流失；</w:t>
      </w:r>
    </w:p>
    <w:p>
      <w:pPr>
        <w:ind w:firstLine="480"/>
        <w:rPr>
          <w:color w:val="auto"/>
        </w:rPr>
      </w:pPr>
      <w:r>
        <w:rPr>
          <w:rFonts w:hint="eastAsia" w:hAnsi="宋体"/>
          <w:color w:val="auto"/>
        </w:rPr>
        <w:t>②</w:t>
      </w:r>
      <w:r>
        <w:rPr>
          <w:color w:val="auto"/>
        </w:rPr>
        <w:t>土石方因受地形和运输条件限制，</w:t>
      </w:r>
      <w:r>
        <w:rPr>
          <w:rFonts w:hint="eastAsia"/>
          <w:color w:val="auto"/>
        </w:rPr>
        <w:t>不能及时运走时在场地内堆放</w:t>
      </w:r>
      <w:r>
        <w:rPr>
          <w:color w:val="auto"/>
        </w:rPr>
        <w:t>，由于结构疏松，空隙度增大，易产生水土流失；</w:t>
      </w:r>
    </w:p>
    <w:p>
      <w:pPr>
        <w:ind w:firstLine="480"/>
        <w:rPr>
          <w:color w:val="auto"/>
        </w:rPr>
      </w:pPr>
      <w:r>
        <w:rPr>
          <w:color w:val="auto"/>
        </w:rPr>
        <w:t>为有效防止水土流失，</w:t>
      </w:r>
      <w:r>
        <w:rPr>
          <w:rFonts w:hint="eastAsia"/>
          <w:color w:val="auto"/>
        </w:rPr>
        <w:t>环评</w:t>
      </w:r>
      <w:r>
        <w:rPr>
          <w:color w:val="auto"/>
        </w:rPr>
        <w:t>建议采取以下防治措施：</w:t>
      </w:r>
    </w:p>
    <w:p>
      <w:pPr>
        <w:ind w:firstLine="480"/>
        <w:rPr>
          <w:color w:val="auto"/>
        </w:rPr>
      </w:pPr>
      <w:r>
        <w:rPr>
          <w:rFonts w:hint="eastAsia" w:hAnsi="宋体"/>
          <w:color w:val="auto"/>
        </w:rPr>
        <w:t>①</w:t>
      </w:r>
      <w:r>
        <w:rPr>
          <w:color w:val="auto"/>
        </w:rPr>
        <w:t>根据需要增设必要的临时雨水排水沟道，夯实裸露地面，尽量减缓雨水对泥土的冲刷。</w:t>
      </w:r>
    </w:p>
    <w:p>
      <w:pPr>
        <w:ind w:firstLine="480"/>
        <w:rPr>
          <w:color w:val="auto"/>
        </w:rPr>
      </w:pPr>
      <w:r>
        <w:rPr>
          <w:rFonts w:hint="eastAsia" w:hAnsi="宋体"/>
          <w:color w:val="auto"/>
        </w:rPr>
        <w:t>②</w:t>
      </w:r>
      <w:r>
        <w:rPr>
          <w:color w:val="auto"/>
        </w:rPr>
        <w:t>弃土和施工废料及时清运。</w:t>
      </w:r>
    </w:p>
    <w:p>
      <w:pPr>
        <w:ind w:firstLine="480"/>
        <w:rPr>
          <w:color w:val="auto"/>
        </w:rPr>
      </w:pPr>
      <w:r>
        <w:rPr>
          <w:rFonts w:hint="eastAsia" w:hAnsi="宋体"/>
          <w:color w:val="auto"/>
        </w:rPr>
        <w:t>③</w:t>
      </w:r>
      <w:r>
        <w:rPr>
          <w:color w:val="auto"/>
        </w:rPr>
        <w:t>施工完成后及时进行路面硬化和绿化，搞好植被的恢复、再造，做到边坡稳定，岩石、表土不裸露。</w:t>
      </w:r>
    </w:p>
    <w:p>
      <w:pPr>
        <w:ind w:firstLine="480"/>
        <w:rPr>
          <w:color w:val="auto"/>
        </w:rPr>
      </w:pPr>
      <w:r>
        <w:rPr>
          <w:rFonts w:hint="eastAsia" w:hAnsi="宋体"/>
          <w:color w:val="auto"/>
        </w:rPr>
        <w:t>④</w:t>
      </w:r>
      <w:r>
        <w:rPr>
          <w:color w:val="auto"/>
        </w:rPr>
        <w:t xml:space="preserve">控制施工作业时间，尽量避免在暴雨季节进行大规模的土石方开挖工作。 </w:t>
      </w:r>
    </w:p>
    <w:p>
      <w:pPr>
        <w:ind w:firstLine="480"/>
        <w:rPr>
          <w:color w:val="auto"/>
        </w:rPr>
      </w:pPr>
      <w:r>
        <w:rPr>
          <w:color w:val="auto"/>
        </w:rPr>
        <w:t>一般来说，施工期间对环境的影响是暂时的，加强施工管理，采取环评提出的措施后，施工结束后受影响的环境要素大多可得到恢复。</w:t>
      </w:r>
    </w:p>
    <w:p>
      <w:pPr>
        <w:pStyle w:val="33"/>
        <w:spacing w:line="360" w:lineRule="auto"/>
        <w:jc w:val="both"/>
        <w:rPr>
          <w:rFonts w:eastAsia="黑体"/>
          <w:color w:val="auto"/>
        </w:rPr>
      </w:pPr>
      <w:bookmarkStart w:id="523" w:name="_Toc485580298"/>
      <w:bookmarkStart w:id="524" w:name="_Toc8828"/>
      <w:bookmarkStart w:id="525" w:name="_Toc31203"/>
      <w:bookmarkStart w:id="526" w:name="_Toc488933418"/>
      <w:r>
        <w:rPr>
          <w:rFonts w:eastAsia="黑体"/>
          <w:color w:val="auto"/>
        </w:rPr>
        <w:t>5.</w:t>
      </w:r>
      <w:r>
        <w:rPr>
          <w:rFonts w:hint="eastAsia" w:eastAsia="黑体"/>
          <w:color w:val="auto"/>
        </w:rPr>
        <w:t>2</w:t>
      </w:r>
      <w:bookmarkEnd w:id="488"/>
      <w:bookmarkEnd w:id="496"/>
      <w:bookmarkEnd w:id="497"/>
      <w:bookmarkEnd w:id="498"/>
      <w:bookmarkEnd w:id="499"/>
      <w:bookmarkEnd w:id="500"/>
      <w:bookmarkEnd w:id="501"/>
      <w:bookmarkEnd w:id="502"/>
      <w:bookmarkEnd w:id="503"/>
      <w:r>
        <w:rPr>
          <w:rFonts w:hint="eastAsia" w:eastAsia="黑体"/>
          <w:color w:val="auto"/>
        </w:rPr>
        <w:t>营运期环境影响分析</w:t>
      </w:r>
      <w:bookmarkEnd w:id="523"/>
      <w:bookmarkEnd w:id="524"/>
      <w:bookmarkEnd w:id="525"/>
      <w:bookmarkEnd w:id="526"/>
    </w:p>
    <w:p>
      <w:pPr>
        <w:pStyle w:val="6"/>
        <w:rPr>
          <w:color w:val="auto"/>
          <w:kern w:val="44"/>
        </w:rPr>
      </w:pPr>
      <w:r>
        <w:rPr>
          <w:color w:val="auto"/>
          <w:kern w:val="44"/>
        </w:rPr>
        <w:t>5.</w:t>
      </w:r>
      <w:r>
        <w:rPr>
          <w:rFonts w:hint="eastAsia"/>
          <w:color w:val="auto"/>
          <w:kern w:val="44"/>
        </w:rPr>
        <w:t>2</w:t>
      </w:r>
      <w:r>
        <w:rPr>
          <w:color w:val="auto"/>
          <w:kern w:val="44"/>
        </w:rPr>
        <w:t>.1</w:t>
      </w:r>
      <w:r>
        <w:rPr>
          <w:rFonts w:hint="eastAsia"/>
          <w:color w:val="auto"/>
          <w:kern w:val="44"/>
        </w:rPr>
        <w:t>环境空气质量影响预测与评价</w:t>
      </w:r>
    </w:p>
    <w:p>
      <w:pPr>
        <w:ind w:firstLine="480"/>
        <w:rPr>
          <w:color w:val="auto"/>
        </w:rPr>
      </w:pPr>
      <w:bookmarkStart w:id="527" w:name="_Toc251232268"/>
      <w:bookmarkStart w:id="528" w:name="_Toc256177401"/>
      <w:r>
        <w:rPr>
          <w:color w:val="auto"/>
        </w:rPr>
        <w:t>项目厂址位于</w:t>
      </w:r>
      <w:r>
        <w:rPr>
          <w:rFonts w:hint="eastAsia"/>
          <w:color w:val="auto"/>
        </w:rPr>
        <w:t>濮阳市濮阳县五星乡于屯村东</w:t>
      </w:r>
      <w:r>
        <w:rPr>
          <w:color w:val="auto"/>
        </w:rPr>
        <w:t>，本次评价利用濮阳市气象局地面气象观测站多年（1971～2000年）的观测资料。</w:t>
      </w:r>
    </w:p>
    <w:p>
      <w:pPr>
        <w:ind w:firstLine="480"/>
        <w:rPr>
          <w:color w:val="auto"/>
        </w:rPr>
      </w:pPr>
      <w:r>
        <w:rPr>
          <w:color w:val="auto"/>
        </w:rPr>
        <w:t>多年气象资料统计分析</w:t>
      </w:r>
    </w:p>
    <w:p>
      <w:pPr>
        <w:ind w:firstLine="480"/>
        <w:rPr>
          <w:color w:val="auto"/>
          <w:spacing w:val="-7"/>
        </w:rPr>
      </w:pPr>
      <w:r>
        <w:rPr>
          <w:color w:val="auto"/>
        </w:rPr>
        <w:t>根据濮阳市近30年历史气象资料统计结果表明，该地年平均气温13.5℃。1月份气温最低，平均值为-1.6℃；7月份平均气温最高，为26.8℃。2～6月份气温回升较快，月递增5.0℃以上。极端最高气温42.2℃，极端最低气温-20.7℃。年平均气压1010.8hPa，冬季是一年中气压最高的时期，平均值为1020.9hPa；夏季是最低的时期，平均值为999.1hPa。年平均相对湿度为71%，在全年中，7～8月份的湿度最大，月平均值均≥80%；2～4月份空气较为干燥，月平均值均≤65%，最小相对湿度曾出现0%的记录。濮阳市平均年降水量571.8mm，属全省降水量偏少的地区之一。较少的降水量在全年内分布还很不均匀，主要集中在6～9月，该时期的降水量占全年降水量的69.3%，其中7～8月的降水量为274.6mm，占全年降水量的48.0%，表明降水量最为集中的时期在7～8月份。12月份至翌年2月（冬季）雨雪稀少，降水仅占全年降水量的3.7%。年蒸发量1530.2mm，为</w:t>
      </w:r>
      <w:r>
        <w:rPr>
          <w:color w:val="auto"/>
          <w:spacing w:val="-7"/>
        </w:rPr>
        <w:t>年降水量的</w:t>
      </w:r>
      <w:r>
        <w:rPr>
          <w:rFonts w:eastAsia="Times New Roman"/>
          <w:color w:val="auto"/>
        </w:rPr>
        <w:t>2.7</w:t>
      </w:r>
      <w:r>
        <w:rPr>
          <w:color w:val="auto"/>
          <w:spacing w:val="-10"/>
        </w:rPr>
        <w:t>倍。降水量少、蒸发量大容易引起干旱，是该地常常发生干</w:t>
      </w:r>
      <w:r>
        <w:rPr>
          <w:color w:val="auto"/>
          <w:spacing w:val="-9"/>
        </w:rPr>
        <w:t>旱的主要原因。而且该地空气干燥，降水量少，不利于空气污染物的吸附和清洗。尤其重</w:t>
      </w:r>
      <w:r>
        <w:rPr>
          <w:color w:val="auto"/>
          <w:spacing w:val="-7"/>
        </w:rPr>
        <w:t>污染季节冬季由于降水少，空气的净化能力差，容易加重空气的污染程度。</w:t>
      </w:r>
    </w:p>
    <w:p>
      <w:pPr>
        <w:pStyle w:val="11"/>
        <w:tabs>
          <w:tab w:val="left" w:pos="4233"/>
        </w:tabs>
        <w:kinsoku w:val="0"/>
        <w:overflowPunct w:val="0"/>
        <w:spacing w:before="53" w:line="240" w:lineRule="auto"/>
        <w:ind w:firstLine="0" w:firstLineChars="0"/>
        <w:jc w:val="center"/>
        <w:rPr>
          <w:b/>
          <w:color w:val="auto"/>
          <w:szCs w:val="21"/>
        </w:rPr>
      </w:pPr>
      <w:r>
        <w:rPr>
          <w:b/>
          <w:color w:val="auto"/>
          <w:szCs w:val="21"/>
        </w:rPr>
        <w:t>表5.2-1</w:t>
      </w:r>
      <w:r>
        <w:rPr>
          <w:rFonts w:hint="eastAsia"/>
          <w:b/>
          <w:color w:val="auto"/>
          <w:szCs w:val="21"/>
        </w:rPr>
        <w:t xml:space="preserve">   </w:t>
      </w:r>
      <w:r>
        <w:rPr>
          <w:b/>
          <w:color w:val="auto"/>
          <w:szCs w:val="21"/>
        </w:rPr>
        <w:t>近30年气象要素统计表</w:t>
      </w:r>
    </w:p>
    <w:tbl>
      <w:tblPr>
        <w:tblStyle w:val="27"/>
        <w:tblW w:w="0" w:type="auto"/>
        <w:tblInd w:w="0" w:type="dxa"/>
        <w:tblBorders>
          <w:top w:val="single" w:color="auto" w:sz="2" w:space="0"/>
          <w:left w:val="none" w:color="auto" w:sz="0" w:space="0"/>
          <w:bottom w:val="single" w:color="auto" w:sz="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758"/>
        <w:gridCol w:w="555"/>
        <w:gridCol w:w="604"/>
        <w:gridCol w:w="604"/>
        <w:gridCol w:w="602"/>
        <w:gridCol w:w="603"/>
        <w:gridCol w:w="603"/>
        <w:gridCol w:w="505"/>
        <w:gridCol w:w="504"/>
        <w:gridCol w:w="603"/>
        <w:gridCol w:w="603"/>
        <w:gridCol w:w="603"/>
        <w:gridCol w:w="602"/>
        <w:gridCol w:w="603"/>
        <w:gridCol w:w="594"/>
      </w:tblGrid>
      <w:tr>
        <w:tblPrEx>
          <w:tblBorders>
            <w:top w:val="single" w:color="auto" w:sz="2" w:space="0"/>
            <w:left w:val="none" w:color="auto" w:sz="0" w:space="0"/>
            <w:bottom w:val="sing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1313" w:type="dxa"/>
            <w:gridSpan w:val="2"/>
            <w:tcBorders>
              <w:tl2br w:val="nil"/>
              <w:tr2bl w:val="nil"/>
            </w:tcBorders>
            <w:vAlign w:val="center"/>
          </w:tcPr>
          <w:p>
            <w:pPr>
              <w:pStyle w:val="11"/>
              <w:kinsoku w:val="0"/>
              <w:overflowPunct w:val="0"/>
              <w:snapToGrid/>
              <w:spacing w:after="0" w:line="240" w:lineRule="auto"/>
              <w:ind w:firstLine="0" w:firstLineChars="0"/>
              <w:jc w:val="center"/>
              <w:rPr>
                <w:color w:val="auto"/>
                <w:sz w:val="21"/>
                <w:szCs w:val="21"/>
              </w:rPr>
            </w:pPr>
            <w:r>
              <w:rPr>
                <w:color w:val="auto"/>
                <w:sz w:val="21"/>
                <w:szCs w:val="21"/>
              </w:rPr>
              <w:t>月份项目</w:t>
            </w:r>
          </w:p>
        </w:tc>
        <w:tc>
          <w:tcPr>
            <w:tcW w:w="604"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1</w:t>
            </w:r>
          </w:p>
        </w:tc>
        <w:tc>
          <w:tcPr>
            <w:tcW w:w="604"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2</w:t>
            </w:r>
          </w:p>
        </w:tc>
        <w:tc>
          <w:tcPr>
            <w:tcW w:w="602"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3</w:t>
            </w:r>
          </w:p>
        </w:tc>
        <w:tc>
          <w:tcPr>
            <w:tcW w:w="603"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4</w:t>
            </w:r>
          </w:p>
        </w:tc>
        <w:tc>
          <w:tcPr>
            <w:tcW w:w="603"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5</w:t>
            </w:r>
          </w:p>
        </w:tc>
        <w:tc>
          <w:tcPr>
            <w:tcW w:w="505"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6</w:t>
            </w:r>
          </w:p>
        </w:tc>
        <w:tc>
          <w:tcPr>
            <w:tcW w:w="504"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7</w:t>
            </w:r>
          </w:p>
        </w:tc>
        <w:tc>
          <w:tcPr>
            <w:tcW w:w="603"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8</w:t>
            </w:r>
          </w:p>
        </w:tc>
        <w:tc>
          <w:tcPr>
            <w:tcW w:w="603"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9</w:t>
            </w:r>
          </w:p>
        </w:tc>
        <w:tc>
          <w:tcPr>
            <w:tcW w:w="603"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10</w:t>
            </w:r>
          </w:p>
        </w:tc>
        <w:tc>
          <w:tcPr>
            <w:tcW w:w="602"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pacing w:val="-3"/>
                <w:sz w:val="21"/>
                <w:szCs w:val="21"/>
              </w:rPr>
              <w:t>11</w:t>
            </w:r>
          </w:p>
        </w:tc>
        <w:tc>
          <w:tcPr>
            <w:tcW w:w="603"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12</w:t>
            </w:r>
          </w:p>
        </w:tc>
        <w:tc>
          <w:tcPr>
            <w:tcW w:w="594"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color w:val="auto"/>
                <w:sz w:val="21"/>
                <w:szCs w:val="21"/>
              </w:rPr>
              <w:t>全年</w:t>
            </w:r>
          </w:p>
        </w:tc>
      </w:tr>
      <w:tr>
        <w:tblPrEx>
          <w:tblBorders>
            <w:top w:val="single" w:color="auto" w:sz="2" w:space="0"/>
            <w:left w:val="none" w:color="auto" w:sz="0" w:space="0"/>
            <w:bottom w:val="sing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758" w:type="dxa"/>
            <w:vMerge w:val="restar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color w:val="auto"/>
                <w:sz w:val="21"/>
                <w:szCs w:val="21"/>
              </w:rPr>
              <w:t>气温</w:t>
            </w:r>
          </w:p>
          <w:p>
            <w:pPr>
              <w:pStyle w:val="42"/>
              <w:kinsoku w:val="0"/>
              <w:overflowPunct w:val="0"/>
              <w:autoSpaceDE w:val="0"/>
              <w:autoSpaceDN w:val="0"/>
              <w:snapToGrid/>
              <w:spacing w:line="240" w:lineRule="auto"/>
              <w:ind w:firstLine="0" w:firstLineChars="0"/>
              <w:jc w:val="center"/>
              <w:rPr>
                <w:color w:val="auto"/>
                <w:sz w:val="21"/>
                <w:szCs w:val="21"/>
              </w:rPr>
            </w:pPr>
            <w:r>
              <w:rPr>
                <w:color w:val="auto"/>
                <w:sz w:val="21"/>
                <w:szCs w:val="21"/>
              </w:rPr>
              <w:t>（℃）</w:t>
            </w:r>
          </w:p>
        </w:tc>
        <w:tc>
          <w:tcPr>
            <w:tcW w:w="555"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color w:val="auto"/>
                <w:sz w:val="21"/>
                <w:szCs w:val="21"/>
              </w:rPr>
              <w:t>平均</w:t>
            </w:r>
          </w:p>
        </w:tc>
        <w:tc>
          <w:tcPr>
            <w:tcW w:w="604"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-1.6</w:t>
            </w:r>
          </w:p>
        </w:tc>
        <w:tc>
          <w:tcPr>
            <w:tcW w:w="604"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1.5</w:t>
            </w:r>
          </w:p>
        </w:tc>
        <w:tc>
          <w:tcPr>
            <w:tcW w:w="602"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7.3</w:t>
            </w:r>
          </w:p>
        </w:tc>
        <w:tc>
          <w:tcPr>
            <w:tcW w:w="603"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14.8</w:t>
            </w:r>
          </w:p>
        </w:tc>
        <w:tc>
          <w:tcPr>
            <w:tcW w:w="603"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20.2</w:t>
            </w:r>
          </w:p>
        </w:tc>
        <w:tc>
          <w:tcPr>
            <w:tcW w:w="505"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25.3</w:t>
            </w:r>
          </w:p>
        </w:tc>
        <w:tc>
          <w:tcPr>
            <w:tcW w:w="504"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26.8</w:t>
            </w:r>
          </w:p>
        </w:tc>
        <w:tc>
          <w:tcPr>
            <w:tcW w:w="603"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25.5</w:t>
            </w:r>
          </w:p>
        </w:tc>
        <w:tc>
          <w:tcPr>
            <w:tcW w:w="603"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20.7</w:t>
            </w:r>
          </w:p>
        </w:tc>
        <w:tc>
          <w:tcPr>
            <w:tcW w:w="603"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14.5</w:t>
            </w:r>
          </w:p>
        </w:tc>
        <w:tc>
          <w:tcPr>
            <w:tcW w:w="602"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6.7</w:t>
            </w:r>
          </w:p>
        </w:tc>
        <w:tc>
          <w:tcPr>
            <w:tcW w:w="603"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0.6</w:t>
            </w:r>
          </w:p>
        </w:tc>
        <w:tc>
          <w:tcPr>
            <w:tcW w:w="594"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13.5</w:t>
            </w:r>
          </w:p>
        </w:tc>
      </w:tr>
      <w:tr>
        <w:tblPrEx>
          <w:tblBorders>
            <w:top w:val="single" w:color="auto" w:sz="2" w:space="0"/>
            <w:left w:val="none" w:color="auto" w:sz="0" w:space="0"/>
            <w:bottom w:val="sing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758" w:type="dxa"/>
            <w:vMerge w:val="continue"/>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p>
        </w:tc>
        <w:tc>
          <w:tcPr>
            <w:tcW w:w="555"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color w:val="auto"/>
                <w:sz w:val="21"/>
                <w:szCs w:val="21"/>
              </w:rPr>
              <w:t>最高</w:t>
            </w:r>
          </w:p>
        </w:tc>
        <w:tc>
          <w:tcPr>
            <w:tcW w:w="604"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17.7</w:t>
            </w:r>
          </w:p>
        </w:tc>
        <w:tc>
          <w:tcPr>
            <w:tcW w:w="604"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24.6</w:t>
            </w:r>
          </w:p>
        </w:tc>
        <w:tc>
          <w:tcPr>
            <w:tcW w:w="602"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27.6</w:t>
            </w:r>
          </w:p>
        </w:tc>
        <w:tc>
          <w:tcPr>
            <w:tcW w:w="603"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33.2</w:t>
            </w:r>
          </w:p>
        </w:tc>
        <w:tc>
          <w:tcPr>
            <w:tcW w:w="603"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38.4</w:t>
            </w:r>
          </w:p>
        </w:tc>
        <w:tc>
          <w:tcPr>
            <w:tcW w:w="505"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42.2</w:t>
            </w:r>
          </w:p>
        </w:tc>
        <w:tc>
          <w:tcPr>
            <w:tcW w:w="504"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42.2</w:t>
            </w:r>
          </w:p>
        </w:tc>
        <w:tc>
          <w:tcPr>
            <w:tcW w:w="603"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37.3</w:t>
            </w:r>
          </w:p>
        </w:tc>
        <w:tc>
          <w:tcPr>
            <w:tcW w:w="603"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36.4</w:t>
            </w:r>
          </w:p>
        </w:tc>
        <w:tc>
          <w:tcPr>
            <w:tcW w:w="603"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34.7</w:t>
            </w:r>
          </w:p>
        </w:tc>
        <w:tc>
          <w:tcPr>
            <w:tcW w:w="602"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26.8</w:t>
            </w:r>
          </w:p>
        </w:tc>
        <w:tc>
          <w:tcPr>
            <w:tcW w:w="603"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22.9</w:t>
            </w:r>
          </w:p>
        </w:tc>
        <w:tc>
          <w:tcPr>
            <w:tcW w:w="594"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42.2</w:t>
            </w:r>
          </w:p>
        </w:tc>
      </w:tr>
      <w:tr>
        <w:tblPrEx>
          <w:tblBorders>
            <w:top w:val="single" w:color="auto" w:sz="2" w:space="0"/>
            <w:left w:val="none" w:color="auto" w:sz="0" w:space="0"/>
            <w:bottom w:val="sing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758" w:type="dxa"/>
            <w:vMerge w:val="continue"/>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p>
        </w:tc>
        <w:tc>
          <w:tcPr>
            <w:tcW w:w="555"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color w:val="auto"/>
                <w:sz w:val="21"/>
                <w:szCs w:val="21"/>
              </w:rPr>
              <w:t>最低</w:t>
            </w:r>
          </w:p>
        </w:tc>
        <w:tc>
          <w:tcPr>
            <w:tcW w:w="604"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-20.0</w:t>
            </w:r>
          </w:p>
        </w:tc>
        <w:tc>
          <w:tcPr>
            <w:tcW w:w="604"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-16.7</w:t>
            </w:r>
          </w:p>
        </w:tc>
        <w:tc>
          <w:tcPr>
            <w:tcW w:w="602"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-8.5</w:t>
            </w:r>
          </w:p>
        </w:tc>
        <w:tc>
          <w:tcPr>
            <w:tcW w:w="603"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-2.9</w:t>
            </w:r>
          </w:p>
        </w:tc>
        <w:tc>
          <w:tcPr>
            <w:tcW w:w="603"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3.8</w:t>
            </w:r>
          </w:p>
        </w:tc>
        <w:tc>
          <w:tcPr>
            <w:tcW w:w="505"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10.4</w:t>
            </w:r>
          </w:p>
        </w:tc>
        <w:tc>
          <w:tcPr>
            <w:tcW w:w="504"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15.8</w:t>
            </w:r>
          </w:p>
        </w:tc>
        <w:tc>
          <w:tcPr>
            <w:tcW w:w="603"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13.7</w:t>
            </w:r>
          </w:p>
        </w:tc>
        <w:tc>
          <w:tcPr>
            <w:tcW w:w="603"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4.1</w:t>
            </w:r>
          </w:p>
        </w:tc>
        <w:tc>
          <w:tcPr>
            <w:tcW w:w="603"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-1.9</w:t>
            </w:r>
          </w:p>
        </w:tc>
        <w:tc>
          <w:tcPr>
            <w:tcW w:w="602"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-18.4</w:t>
            </w:r>
          </w:p>
        </w:tc>
        <w:tc>
          <w:tcPr>
            <w:tcW w:w="603"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-20.7</w:t>
            </w:r>
          </w:p>
        </w:tc>
        <w:tc>
          <w:tcPr>
            <w:tcW w:w="594"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-20.7</w:t>
            </w:r>
          </w:p>
        </w:tc>
      </w:tr>
      <w:tr>
        <w:tblPrEx>
          <w:tblBorders>
            <w:top w:val="single" w:color="auto" w:sz="2" w:space="0"/>
            <w:left w:val="none" w:color="auto" w:sz="0" w:space="0"/>
            <w:bottom w:val="sing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758"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color w:val="auto"/>
                <w:sz w:val="21"/>
                <w:szCs w:val="21"/>
              </w:rPr>
              <w:t>气压</w:t>
            </w:r>
          </w:p>
          <w:p>
            <w:pPr>
              <w:pStyle w:val="42"/>
              <w:kinsoku w:val="0"/>
              <w:overflowPunct w:val="0"/>
              <w:autoSpaceDE w:val="0"/>
              <w:autoSpaceDN w:val="0"/>
              <w:snapToGrid/>
              <w:spacing w:line="240" w:lineRule="auto"/>
              <w:ind w:firstLine="0" w:firstLineChars="0"/>
              <w:jc w:val="center"/>
              <w:rPr>
                <w:color w:val="auto"/>
                <w:sz w:val="21"/>
                <w:szCs w:val="21"/>
              </w:rPr>
            </w:pPr>
            <w:r>
              <w:rPr>
                <w:color w:val="auto"/>
                <w:sz w:val="21"/>
                <w:szCs w:val="21"/>
              </w:rPr>
              <w:t>（</w:t>
            </w:r>
            <w:r>
              <w:rPr>
                <w:rFonts w:eastAsia="Times New Roman"/>
                <w:color w:val="auto"/>
                <w:sz w:val="21"/>
                <w:szCs w:val="21"/>
              </w:rPr>
              <w:t>hpa</w:t>
            </w:r>
            <w:r>
              <w:rPr>
                <w:color w:val="auto"/>
                <w:sz w:val="21"/>
                <w:szCs w:val="21"/>
              </w:rPr>
              <w:t>）</w:t>
            </w:r>
          </w:p>
        </w:tc>
        <w:tc>
          <w:tcPr>
            <w:tcW w:w="555"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color w:val="auto"/>
                <w:sz w:val="21"/>
                <w:szCs w:val="21"/>
              </w:rPr>
              <w:t>平均</w:t>
            </w:r>
          </w:p>
        </w:tc>
        <w:tc>
          <w:tcPr>
            <w:tcW w:w="604"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1021.7</w:t>
            </w:r>
          </w:p>
        </w:tc>
        <w:tc>
          <w:tcPr>
            <w:tcW w:w="604"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1019.4</w:t>
            </w:r>
          </w:p>
        </w:tc>
        <w:tc>
          <w:tcPr>
            <w:tcW w:w="602"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1015.1</w:t>
            </w:r>
          </w:p>
        </w:tc>
        <w:tc>
          <w:tcPr>
            <w:tcW w:w="603"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1008.4</w:t>
            </w:r>
          </w:p>
        </w:tc>
        <w:tc>
          <w:tcPr>
            <w:tcW w:w="603"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1004.2</w:t>
            </w:r>
          </w:p>
        </w:tc>
        <w:tc>
          <w:tcPr>
            <w:tcW w:w="505"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999.1</w:t>
            </w:r>
          </w:p>
        </w:tc>
        <w:tc>
          <w:tcPr>
            <w:tcW w:w="504"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997.3</w:t>
            </w:r>
          </w:p>
        </w:tc>
        <w:tc>
          <w:tcPr>
            <w:tcW w:w="603"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1001.0</w:t>
            </w:r>
          </w:p>
        </w:tc>
        <w:tc>
          <w:tcPr>
            <w:tcW w:w="603"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1008.4</w:t>
            </w:r>
          </w:p>
        </w:tc>
        <w:tc>
          <w:tcPr>
            <w:tcW w:w="603"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1014.7</w:t>
            </w:r>
          </w:p>
        </w:tc>
        <w:tc>
          <w:tcPr>
            <w:tcW w:w="602"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1019.1</w:t>
            </w:r>
          </w:p>
        </w:tc>
        <w:tc>
          <w:tcPr>
            <w:tcW w:w="603"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1021.6</w:t>
            </w:r>
          </w:p>
        </w:tc>
        <w:tc>
          <w:tcPr>
            <w:tcW w:w="594"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1010.8</w:t>
            </w:r>
          </w:p>
        </w:tc>
      </w:tr>
      <w:tr>
        <w:tblPrEx>
          <w:tblBorders>
            <w:top w:val="single" w:color="auto" w:sz="2" w:space="0"/>
            <w:left w:val="none" w:color="auto" w:sz="0" w:space="0"/>
            <w:bottom w:val="sing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758"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color w:val="auto"/>
                <w:sz w:val="21"/>
                <w:szCs w:val="21"/>
              </w:rPr>
              <w:t>相对湿度</w:t>
            </w:r>
            <w:r>
              <w:rPr>
                <w:rFonts w:eastAsia="Times New Roman"/>
                <w:color w:val="auto"/>
                <w:sz w:val="21"/>
                <w:szCs w:val="21"/>
              </w:rPr>
              <w:t>(%)</w:t>
            </w:r>
          </w:p>
        </w:tc>
        <w:tc>
          <w:tcPr>
            <w:tcW w:w="555"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color w:val="auto"/>
                <w:sz w:val="21"/>
                <w:szCs w:val="21"/>
              </w:rPr>
              <w:t>平均</w:t>
            </w:r>
          </w:p>
        </w:tc>
        <w:tc>
          <w:tcPr>
            <w:tcW w:w="604"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66</w:t>
            </w:r>
          </w:p>
        </w:tc>
        <w:tc>
          <w:tcPr>
            <w:tcW w:w="604"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63</w:t>
            </w:r>
          </w:p>
        </w:tc>
        <w:tc>
          <w:tcPr>
            <w:tcW w:w="602"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64</w:t>
            </w:r>
          </w:p>
        </w:tc>
        <w:tc>
          <w:tcPr>
            <w:tcW w:w="603"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64</w:t>
            </w:r>
          </w:p>
        </w:tc>
        <w:tc>
          <w:tcPr>
            <w:tcW w:w="603"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67</w:t>
            </w:r>
          </w:p>
        </w:tc>
        <w:tc>
          <w:tcPr>
            <w:tcW w:w="505"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65</w:t>
            </w:r>
          </w:p>
        </w:tc>
        <w:tc>
          <w:tcPr>
            <w:tcW w:w="504"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81</w:t>
            </w:r>
          </w:p>
        </w:tc>
        <w:tc>
          <w:tcPr>
            <w:tcW w:w="603"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83</w:t>
            </w:r>
          </w:p>
        </w:tc>
        <w:tc>
          <w:tcPr>
            <w:tcW w:w="603"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78</w:t>
            </w:r>
          </w:p>
        </w:tc>
        <w:tc>
          <w:tcPr>
            <w:tcW w:w="603"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74</w:t>
            </w:r>
          </w:p>
        </w:tc>
        <w:tc>
          <w:tcPr>
            <w:tcW w:w="602"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73</w:t>
            </w:r>
          </w:p>
        </w:tc>
        <w:tc>
          <w:tcPr>
            <w:tcW w:w="603"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69</w:t>
            </w:r>
          </w:p>
        </w:tc>
        <w:tc>
          <w:tcPr>
            <w:tcW w:w="594"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71</w:t>
            </w:r>
          </w:p>
        </w:tc>
      </w:tr>
      <w:tr>
        <w:tblPrEx>
          <w:tblBorders>
            <w:top w:val="single" w:color="auto" w:sz="2" w:space="0"/>
            <w:left w:val="none" w:color="auto" w:sz="0" w:space="0"/>
            <w:bottom w:val="sing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758"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color w:val="auto"/>
                <w:sz w:val="21"/>
                <w:szCs w:val="21"/>
              </w:rPr>
              <w:t>降水量（</w:t>
            </w:r>
            <w:r>
              <w:rPr>
                <w:rFonts w:eastAsia="Times New Roman"/>
                <w:color w:val="auto"/>
                <w:sz w:val="21"/>
                <w:szCs w:val="21"/>
              </w:rPr>
              <w:t>mm</w:t>
            </w:r>
            <w:r>
              <w:rPr>
                <w:color w:val="auto"/>
                <w:sz w:val="21"/>
                <w:szCs w:val="21"/>
              </w:rPr>
              <w:t>）</w:t>
            </w:r>
          </w:p>
        </w:tc>
        <w:tc>
          <w:tcPr>
            <w:tcW w:w="555"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color w:val="auto"/>
                <w:sz w:val="21"/>
                <w:szCs w:val="21"/>
              </w:rPr>
              <w:t>平均</w:t>
            </w:r>
          </w:p>
        </w:tc>
        <w:tc>
          <w:tcPr>
            <w:tcW w:w="604"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5.8</w:t>
            </w:r>
          </w:p>
        </w:tc>
        <w:tc>
          <w:tcPr>
            <w:tcW w:w="604"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8.6</w:t>
            </w:r>
          </w:p>
        </w:tc>
        <w:tc>
          <w:tcPr>
            <w:tcW w:w="602"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23.3</w:t>
            </w:r>
          </w:p>
        </w:tc>
        <w:tc>
          <w:tcPr>
            <w:tcW w:w="603"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27.0</w:t>
            </w:r>
          </w:p>
        </w:tc>
        <w:tc>
          <w:tcPr>
            <w:tcW w:w="603"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50.0</w:t>
            </w:r>
          </w:p>
        </w:tc>
        <w:tc>
          <w:tcPr>
            <w:tcW w:w="505"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70.1</w:t>
            </w:r>
          </w:p>
        </w:tc>
        <w:tc>
          <w:tcPr>
            <w:tcW w:w="504"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161.6</w:t>
            </w:r>
          </w:p>
        </w:tc>
        <w:tc>
          <w:tcPr>
            <w:tcW w:w="603"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113.0</w:t>
            </w:r>
          </w:p>
        </w:tc>
        <w:tc>
          <w:tcPr>
            <w:tcW w:w="603"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51.7</w:t>
            </w:r>
          </w:p>
        </w:tc>
        <w:tc>
          <w:tcPr>
            <w:tcW w:w="603"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37.6</w:t>
            </w:r>
          </w:p>
        </w:tc>
        <w:tc>
          <w:tcPr>
            <w:tcW w:w="602"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16.3</w:t>
            </w:r>
          </w:p>
        </w:tc>
        <w:tc>
          <w:tcPr>
            <w:tcW w:w="603"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6.9</w:t>
            </w:r>
          </w:p>
        </w:tc>
        <w:tc>
          <w:tcPr>
            <w:tcW w:w="594"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571.8</w:t>
            </w:r>
          </w:p>
        </w:tc>
      </w:tr>
      <w:tr>
        <w:tblPrEx>
          <w:tblBorders>
            <w:top w:val="single" w:color="auto" w:sz="2" w:space="0"/>
            <w:left w:val="none" w:color="auto" w:sz="0" w:space="0"/>
            <w:bottom w:val="sing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758"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color w:val="auto"/>
                <w:sz w:val="21"/>
                <w:szCs w:val="21"/>
              </w:rPr>
              <w:t>蒸发量（</w:t>
            </w:r>
            <w:r>
              <w:rPr>
                <w:rFonts w:eastAsia="Times New Roman"/>
                <w:color w:val="auto"/>
                <w:sz w:val="21"/>
                <w:szCs w:val="21"/>
              </w:rPr>
              <w:t>mm</w:t>
            </w:r>
            <w:r>
              <w:rPr>
                <w:color w:val="auto"/>
                <w:sz w:val="21"/>
                <w:szCs w:val="21"/>
              </w:rPr>
              <w:t>）</w:t>
            </w:r>
          </w:p>
        </w:tc>
        <w:tc>
          <w:tcPr>
            <w:tcW w:w="555"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color w:val="auto"/>
                <w:sz w:val="21"/>
                <w:szCs w:val="21"/>
              </w:rPr>
              <w:t>平均</w:t>
            </w:r>
          </w:p>
        </w:tc>
        <w:tc>
          <w:tcPr>
            <w:tcW w:w="604"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38.1</w:t>
            </w:r>
          </w:p>
        </w:tc>
        <w:tc>
          <w:tcPr>
            <w:tcW w:w="604"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60.1</w:t>
            </w:r>
          </w:p>
        </w:tc>
        <w:tc>
          <w:tcPr>
            <w:tcW w:w="602"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115.0</w:t>
            </w:r>
          </w:p>
        </w:tc>
        <w:tc>
          <w:tcPr>
            <w:tcW w:w="603"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175.1</w:t>
            </w:r>
          </w:p>
        </w:tc>
        <w:tc>
          <w:tcPr>
            <w:tcW w:w="603"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214.0</w:t>
            </w:r>
          </w:p>
        </w:tc>
        <w:tc>
          <w:tcPr>
            <w:tcW w:w="505"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244.1</w:t>
            </w:r>
          </w:p>
        </w:tc>
        <w:tc>
          <w:tcPr>
            <w:tcW w:w="504"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187.4</w:t>
            </w:r>
          </w:p>
        </w:tc>
        <w:tc>
          <w:tcPr>
            <w:tcW w:w="603"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162.5</w:t>
            </w:r>
          </w:p>
        </w:tc>
        <w:tc>
          <w:tcPr>
            <w:tcW w:w="603"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134.6</w:t>
            </w:r>
          </w:p>
        </w:tc>
        <w:tc>
          <w:tcPr>
            <w:tcW w:w="603"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103.0</w:t>
            </w:r>
          </w:p>
        </w:tc>
        <w:tc>
          <w:tcPr>
            <w:tcW w:w="602"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58.0</w:t>
            </w:r>
          </w:p>
        </w:tc>
        <w:tc>
          <w:tcPr>
            <w:tcW w:w="603"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38.3</w:t>
            </w:r>
          </w:p>
        </w:tc>
        <w:tc>
          <w:tcPr>
            <w:tcW w:w="594"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sz w:val="21"/>
                <w:szCs w:val="21"/>
              </w:rPr>
            </w:pPr>
            <w:r>
              <w:rPr>
                <w:rFonts w:eastAsia="Times New Roman"/>
                <w:color w:val="auto"/>
                <w:sz w:val="21"/>
                <w:szCs w:val="21"/>
              </w:rPr>
              <w:t>1530.2</w:t>
            </w:r>
          </w:p>
        </w:tc>
      </w:tr>
    </w:tbl>
    <w:p>
      <w:pPr>
        <w:pStyle w:val="11"/>
        <w:kinsoku w:val="0"/>
        <w:overflowPunct w:val="0"/>
        <w:spacing w:line="4032" w:lineRule="exact"/>
        <w:ind w:firstLine="0" w:firstLineChars="0"/>
        <w:rPr>
          <w:rFonts w:eastAsia="黑体"/>
          <w:color w:val="auto"/>
          <w:position w:val="-81"/>
          <w:sz w:val="20"/>
        </w:rPr>
      </w:pPr>
    </w:p>
    <w:p>
      <w:pPr>
        <w:pStyle w:val="11"/>
        <w:kinsoku w:val="0"/>
        <w:overflowPunct w:val="0"/>
        <w:spacing w:line="240" w:lineRule="auto"/>
        <w:ind w:firstLine="0" w:firstLineChars="0"/>
        <w:jc w:val="center"/>
        <w:rPr>
          <w:color w:val="auto"/>
        </w:rPr>
      </w:pPr>
      <w:r>
        <w:rPr>
          <w:color w:val="auto"/>
        </w:rPr>
        <w:drawing>
          <wp:inline distT="0" distB="0" distL="114300" distR="114300">
            <wp:extent cx="5378450" cy="1950085"/>
            <wp:effectExtent l="0" t="0" r="12700" b="12065"/>
            <wp:docPr id="2054" name="Chart 1"/>
            <wp:cNvGraphicFramePr/>
            <a:graphic xmlns:a="http://schemas.openxmlformats.org/drawingml/2006/main">
              <a:graphicData uri="http://schemas.openxmlformats.org/drawingml/2006/picture">
                <pic:pic xmlns:pic="http://schemas.openxmlformats.org/drawingml/2006/picture">
                  <pic:nvPicPr>
                    <pic:cNvPr id="2054" name="Chart 1"/>
                    <pic:cNvPicPr/>
                  </pic:nvPicPr>
                  <pic:blipFill>
                    <a:blip r:embed="rId45" r:link="rId46"/>
                    <a:stretch>
                      <a:fillRect/>
                    </a:stretch>
                  </pic:blipFill>
                  <pic:spPr>
                    <a:xfrm>
                      <a:off x="0" y="0"/>
                      <a:ext cx="5378450" cy="1950085"/>
                    </a:xfrm>
                    <a:prstGeom prst="rect">
                      <a:avLst/>
                    </a:prstGeom>
                    <a:noFill/>
                    <a:ln w="9525">
                      <a:noFill/>
                    </a:ln>
                  </pic:spPr>
                </pic:pic>
              </a:graphicData>
            </a:graphic>
          </wp:inline>
        </w:drawing>
      </w:r>
    </w:p>
    <w:p>
      <w:pPr>
        <w:ind w:firstLine="482"/>
        <w:jc w:val="center"/>
        <w:rPr>
          <w:b/>
          <w:bCs/>
          <w:color w:val="auto"/>
        </w:rPr>
      </w:pPr>
      <w:r>
        <w:rPr>
          <w:b/>
          <w:bCs/>
          <w:color w:val="auto"/>
        </w:rPr>
        <w:t>图5.2-1  区域平均温度的月变化曲线图</w:t>
      </w:r>
    </w:p>
    <w:p>
      <w:pPr>
        <w:pStyle w:val="11"/>
        <w:tabs>
          <w:tab w:val="left" w:pos="4233"/>
        </w:tabs>
        <w:kinsoku w:val="0"/>
        <w:overflowPunct w:val="0"/>
        <w:spacing w:before="53"/>
        <w:ind w:firstLine="0" w:firstLineChars="0"/>
        <w:jc w:val="center"/>
        <w:rPr>
          <w:b/>
          <w:color w:val="auto"/>
          <w:szCs w:val="21"/>
        </w:rPr>
      </w:pPr>
      <w:r>
        <w:rPr>
          <w:b/>
          <w:color w:val="auto"/>
          <w:szCs w:val="21"/>
        </w:rPr>
        <w:t>表5.2-2  濮阳气象站各气象参数统计表</w:t>
      </w:r>
    </w:p>
    <w:tbl>
      <w:tblPr>
        <w:tblStyle w:val="27"/>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000000" w:sz="4" w:space="0"/>
        </w:tblBorders>
        <w:tblLayout w:type="fixed"/>
        <w:tblCellMar>
          <w:top w:w="0" w:type="dxa"/>
          <w:left w:w="108" w:type="dxa"/>
          <w:bottom w:w="0" w:type="dxa"/>
          <w:right w:w="108" w:type="dxa"/>
        </w:tblCellMar>
      </w:tblPr>
      <w:tblGrid>
        <w:gridCol w:w="880"/>
        <w:gridCol w:w="2437"/>
        <w:gridCol w:w="1780"/>
        <w:gridCol w:w="1780"/>
        <w:gridCol w:w="2297"/>
      </w:tblGrid>
      <w:tr>
        <w:tblPrEx>
          <w:tblBorders>
            <w:top w:val="single" w:color="auto" w:sz="4" w:space="0"/>
            <w:left w:val="none" w:color="auto" w:sz="0" w:space="0"/>
            <w:bottom w:val="single" w:color="auto" w:sz="4" w:space="0"/>
            <w:right w:val="none" w:color="auto" w:sz="0" w:space="0"/>
            <w:insideH w:val="single" w:color="auto" w:sz="4" w:space="0"/>
            <w:insideV w:val="single" w:color="000000" w:sz="4" w:space="0"/>
          </w:tblBorders>
          <w:tblCellMar>
            <w:top w:w="0" w:type="dxa"/>
            <w:left w:w="108" w:type="dxa"/>
            <w:bottom w:w="0" w:type="dxa"/>
            <w:right w:w="108" w:type="dxa"/>
          </w:tblCellMar>
        </w:tblPrEx>
        <w:trPr>
          <w:trHeight w:val="404" w:hRule="exact"/>
          <w:jc w:val="center"/>
        </w:trPr>
        <w:tc>
          <w:tcPr>
            <w:tcW w:w="880"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color w:val="auto"/>
                <w:sz w:val="21"/>
              </w:rPr>
              <w:t>序号</w:t>
            </w:r>
          </w:p>
        </w:tc>
        <w:tc>
          <w:tcPr>
            <w:tcW w:w="2437" w:type="dxa"/>
            <w:tcBorders>
              <w:tl2br w:val="nil"/>
              <w:tr2bl w:val="nil"/>
            </w:tcBorders>
            <w:vAlign w:val="center"/>
          </w:tcPr>
          <w:p>
            <w:pPr>
              <w:pStyle w:val="42"/>
              <w:tabs>
                <w:tab w:val="left" w:pos="1579"/>
              </w:tabs>
              <w:kinsoku w:val="0"/>
              <w:overflowPunct w:val="0"/>
              <w:adjustRightInd/>
              <w:snapToGrid/>
              <w:spacing w:line="240" w:lineRule="auto"/>
              <w:ind w:firstLine="0" w:firstLineChars="0"/>
              <w:jc w:val="center"/>
              <w:rPr>
                <w:color w:val="auto"/>
              </w:rPr>
            </w:pPr>
            <w:r>
              <w:rPr>
                <w:color w:val="auto"/>
                <w:sz w:val="21"/>
              </w:rPr>
              <w:t>项  目</w:t>
            </w:r>
          </w:p>
        </w:tc>
        <w:tc>
          <w:tcPr>
            <w:tcW w:w="1780"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color w:val="auto"/>
                <w:sz w:val="21"/>
              </w:rPr>
              <w:t>单位</w:t>
            </w:r>
          </w:p>
        </w:tc>
        <w:tc>
          <w:tcPr>
            <w:tcW w:w="1780" w:type="dxa"/>
            <w:tcBorders>
              <w:tl2br w:val="nil"/>
              <w:tr2bl w:val="nil"/>
            </w:tcBorders>
            <w:vAlign w:val="center"/>
          </w:tcPr>
          <w:p>
            <w:pPr>
              <w:pStyle w:val="42"/>
              <w:tabs>
                <w:tab w:val="left" w:pos="991"/>
              </w:tabs>
              <w:kinsoku w:val="0"/>
              <w:overflowPunct w:val="0"/>
              <w:adjustRightInd/>
              <w:snapToGrid/>
              <w:spacing w:line="240" w:lineRule="auto"/>
              <w:ind w:firstLine="0" w:firstLineChars="0"/>
              <w:jc w:val="center"/>
              <w:rPr>
                <w:color w:val="auto"/>
              </w:rPr>
            </w:pPr>
            <w:r>
              <w:rPr>
                <w:color w:val="auto"/>
                <w:sz w:val="21"/>
              </w:rPr>
              <w:t>数  值</w:t>
            </w:r>
          </w:p>
        </w:tc>
        <w:tc>
          <w:tcPr>
            <w:tcW w:w="2297"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color w:val="auto"/>
                <w:sz w:val="21"/>
              </w:rPr>
              <w:t>出现时间</w:t>
            </w:r>
          </w:p>
        </w:tc>
      </w:tr>
      <w:tr>
        <w:tblPrEx>
          <w:tblBorders>
            <w:top w:val="single" w:color="auto" w:sz="4" w:space="0"/>
            <w:left w:val="none" w:color="auto" w:sz="0" w:space="0"/>
            <w:bottom w:val="single" w:color="auto" w:sz="4" w:space="0"/>
            <w:right w:val="none" w:color="auto" w:sz="0" w:space="0"/>
            <w:insideH w:val="single" w:color="auto" w:sz="4" w:space="0"/>
            <w:insideV w:val="single" w:color="000000" w:sz="4" w:space="0"/>
          </w:tblBorders>
          <w:tblCellMar>
            <w:top w:w="0" w:type="dxa"/>
            <w:left w:w="108" w:type="dxa"/>
            <w:bottom w:w="0" w:type="dxa"/>
            <w:right w:w="108" w:type="dxa"/>
          </w:tblCellMar>
        </w:tblPrEx>
        <w:trPr>
          <w:trHeight w:val="394" w:hRule="exact"/>
          <w:jc w:val="center"/>
        </w:trPr>
        <w:tc>
          <w:tcPr>
            <w:tcW w:w="880"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rFonts w:eastAsia="Times New Roman"/>
                <w:color w:val="auto"/>
                <w:sz w:val="21"/>
              </w:rPr>
              <w:t>1</w:t>
            </w:r>
          </w:p>
        </w:tc>
        <w:tc>
          <w:tcPr>
            <w:tcW w:w="2437"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color w:val="auto"/>
                <w:sz w:val="21"/>
              </w:rPr>
              <w:t>多年平均气温</w:t>
            </w:r>
          </w:p>
        </w:tc>
        <w:tc>
          <w:tcPr>
            <w:tcW w:w="1780"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color w:val="auto"/>
                <w:sz w:val="21"/>
              </w:rPr>
              <w:t>℃</w:t>
            </w:r>
          </w:p>
        </w:tc>
        <w:tc>
          <w:tcPr>
            <w:tcW w:w="1780"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rFonts w:eastAsia="Times New Roman"/>
                <w:color w:val="auto"/>
                <w:sz w:val="21"/>
              </w:rPr>
              <w:t>13.5</w:t>
            </w:r>
          </w:p>
        </w:tc>
        <w:tc>
          <w:tcPr>
            <w:tcW w:w="2297"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rFonts w:eastAsia="Times New Roman"/>
                <w:color w:val="auto"/>
                <w:sz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000000" w:sz="4" w:space="0"/>
          </w:tblBorders>
          <w:tblCellMar>
            <w:top w:w="0" w:type="dxa"/>
            <w:left w:w="108" w:type="dxa"/>
            <w:bottom w:w="0" w:type="dxa"/>
            <w:right w:w="108" w:type="dxa"/>
          </w:tblCellMar>
        </w:tblPrEx>
        <w:trPr>
          <w:trHeight w:val="394" w:hRule="exact"/>
          <w:jc w:val="center"/>
        </w:trPr>
        <w:tc>
          <w:tcPr>
            <w:tcW w:w="880"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rFonts w:eastAsia="Times New Roman"/>
                <w:color w:val="auto"/>
                <w:sz w:val="21"/>
              </w:rPr>
              <w:t>2</w:t>
            </w:r>
          </w:p>
        </w:tc>
        <w:tc>
          <w:tcPr>
            <w:tcW w:w="2437"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color w:val="auto"/>
                <w:sz w:val="21"/>
              </w:rPr>
              <w:t>多年平均气压</w:t>
            </w:r>
          </w:p>
        </w:tc>
        <w:tc>
          <w:tcPr>
            <w:tcW w:w="1780"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rFonts w:eastAsia="Times New Roman"/>
                <w:color w:val="auto"/>
                <w:sz w:val="21"/>
              </w:rPr>
              <w:t>hPa</w:t>
            </w:r>
          </w:p>
        </w:tc>
        <w:tc>
          <w:tcPr>
            <w:tcW w:w="1780"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rFonts w:eastAsia="Times New Roman"/>
                <w:color w:val="auto"/>
                <w:sz w:val="21"/>
              </w:rPr>
              <w:t>1010.8</w:t>
            </w:r>
          </w:p>
        </w:tc>
        <w:tc>
          <w:tcPr>
            <w:tcW w:w="2297"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rFonts w:eastAsia="Times New Roman"/>
                <w:color w:val="auto"/>
                <w:sz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000000" w:sz="4" w:space="0"/>
          </w:tblBorders>
          <w:tblCellMar>
            <w:top w:w="0" w:type="dxa"/>
            <w:left w:w="108" w:type="dxa"/>
            <w:bottom w:w="0" w:type="dxa"/>
            <w:right w:w="108" w:type="dxa"/>
          </w:tblCellMar>
        </w:tblPrEx>
        <w:trPr>
          <w:trHeight w:val="394" w:hRule="exact"/>
          <w:jc w:val="center"/>
        </w:trPr>
        <w:tc>
          <w:tcPr>
            <w:tcW w:w="880"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rFonts w:eastAsia="Times New Roman"/>
                <w:color w:val="auto"/>
                <w:sz w:val="21"/>
              </w:rPr>
              <w:t>3</w:t>
            </w:r>
          </w:p>
        </w:tc>
        <w:tc>
          <w:tcPr>
            <w:tcW w:w="2437"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color w:val="auto"/>
                <w:sz w:val="21"/>
              </w:rPr>
              <w:t>多年平均风速</w:t>
            </w:r>
          </w:p>
        </w:tc>
        <w:tc>
          <w:tcPr>
            <w:tcW w:w="1780"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rFonts w:eastAsia="Times New Roman"/>
                <w:color w:val="auto"/>
                <w:sz w:val="21"/>
              </w:rPr>
              <w:t>m/s</w:t>
            </w:r>
          </w:p>
        </w:tc>
        <w:tc>
          <w:tcPr>
            <w:tcW w:w="1780"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rFonts w:eastAsia="Times New Roman"/>
                <w:color w:val="auto"/>
                <w:sz w:val="21"/>
              </w:rPr>
              <w:t>2.1</w:t>
            </w:r>
          </w:p>
        </w:tc>
        <w:tc>
          <w:tcPr>
            <w:tcW w:w="2297"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rFonts w:eastAsia="Times New Roman"/>
                <w:color w:val="auto"/>
                <w:sz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000000" w:sz="4" w:space="0"/>
          </w:tblBorders>
          <w:tblCellMar>
            <w:top w:w="0" w:type="dxa"/>
            <w:left w:w="108" w:type="dxa"/>
            <w:bottom w:w="0" w:type="dxa"/>
            <w:right w:w="108" w:type="dxa"/>
          </w:tblCellMar>
        </w:tblPrEx>
        <w:trPr>
          <w:trHeight w:val="394" w:hRule="exact"/>
          <w:jc w:val="center"/>
        </w:trPr>
        <w:tc>
          <w:tcPr>
            <w:tcW w:w="880"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rFonts w:eastAsia="Times New Roman"/>
                <w:color w:val="auto"/>
                <w:sz w:val="21"/>
              </w:rPr>
              <w:t>4</w:t>
            </w:r>
          </w:p>
        </w:tc>
        <w:tc>
          <w:tcPr>
            <w:tcW w:w="2437"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color w:val="auto"/>
                <w:sz w:val="21"/>
              </w:rPr>
              <w:t>多年平均降水量</w:t>
            </w:r>
          </w:p>
        </w:tc>
        <w:tc>
          <w:tcPr>
            <w:tcW w:w="1780"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rFonts w:eastAsia="Times New Roman"/>
                <w:color w:val="auto"/>
                <w:spacing w:val="-3"/>
                <w:sz w:val="21"/>
              </w:rPr>
              <w:t>mm</w:t>
            </w:r>
          </w:p>
        </w:tc>
        <w:tc>
          <w:tcPr>
            <w:tcW w:w="1780"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rFonts w:eastAsia="Times New Roman"/>
                <w:color w:val="auto"/>
                <w:sz w:val="21"/>
              </w:rPr>
              <w:t>571.8</w:t>
            </w:r>
          </w:p>
        </w:tc>
        <w:tc>
          <w:tcPr>
            <w:tcW w:w="2297"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rFonts w:eastAsia="Times New Roman"/>
                <w:color w:val="auto"/>
                <w:sz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000000" w:sz="4" w:space="0"/>
          </w:tblBorders>
          <w:tblCellMar>
            <w:top w:w="0" w:type="dxa"/>
            <w:left w:w="108" w:type="dxa"/>
            <w:bottom w:w="0" w:type="dxa"/>
            <w:right w:w="108" w:type="dxa"/>
          </w:tblCellMar>
        </w:tblPrEx>
        <w:trPr>
          <w:trHeight w:val="399" w:hRule="exact"/>
          <w:jc w:val="center"/>
        </w:trPr>
        <w:tc>
          <w:tcPr>
            <w:tcW w:w="880"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rFonts w:eastAsia="Times New Roman"/>
                <w:color w:val="auto"/>
                <w:sz w:val="21"/>
              </w:rPr>
              <w:t>5</w:t>
            </w:r>
          </w:p>
        </w:tc>
        <w:tc>
          <w:tcPr>
            <w:tcW w:w="2437"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color w:val="auto"/>
                <w:sz w:val="21"/>
              </w:rPr>
              <w:t>多年平均相对湿度</w:t>
            </w:r>
          </w:p>
        </w:tc>
        <w:tc>
          <w:tcPr>
            <w:tcW w:w="1780"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rFonts w:eastAsia="Times New Roman"/>
                <w:color w:val="auto"/>
                <w:sz w:val="21"/>
              </w:rPr>
              <w:t>%</w:t>
            </w:r>
          </w:p>
        </w:tc>
        <w:tc>
          <w:tcPr>
            <w:tcW w:w="1780"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rFonts w:eastAsia="Times New Roman"/>
                <w:color w:val="auto"/>
                <w:sz w:val="21"/>
              </w:rPr>
              <w:t>71</w:t>
            </w:r>
          </w:p>
        </w:tc>
        <w:tc>
          <w:tcPr>
            <w:tcW w:w="2297"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rFonts w:eastAsia="Times New Roman"/>
                <w:color w:val="auto"/>
                <w:sz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000000" w:sz="4" w:space="0"/>
          </w:tblBorders>
          <w:tblCellMar>
            <w:top w:w="0" w:type="dxa"/>
            <w:left w:w="108" w:type="dxa"/>
            <w:bottom w:w="0" w:type="dxa"/>
            <w:right w:w="108" w:type="dxa"/>
          </w:tblCellMar>
        </w:tblPrEx>
        <w:trPr>
          <w:trHeight w:val="404" w:hRule="exact"/>
          <w:jc w:val="center"/>
        </w:trPr>
        <w:tc>
          <w:tcPr>
            <w:tcW w:w="880"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rFonts w:eastAsia="Times New Roman"/>
                <w:color w:val="auto"/>
                <w:sz w:val="21"/>
              </w:rPr>
              <w:t>6</w:t>
            </w:r>
          </w:p>
        </w:tc>
        <w:tc>
          <w:tcPr>
            <w:tcW w:w="2437"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color w:val="auto"/>
                <w:sz w:val="21"/>
              </w:rPr>
              <w:t>历年极端最高气温</w:t>
            </w:r>
          </w:p>
        </w:tc>
        <w:tc>
          <w:tcPr>
            <w:tcW w:w="1780"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color w:val="auto"/>
                <w:sz w:val="21"/>
              </w:rPr>
              <w:t>℃</w:t>
            </w:r>
          </w:p>
        </w:tc>
        <w:tc>
          <w:tcPr>
            <w:tcW w:w="1780"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rFonts w:eastAsia="Times New Roman"/>
                <w:color w:val="auto"/>
                <w:sz w:val="21"/>
              </w:rPr>
              <w:t>42.2</w:t>
            </w:r>
          </w:p>
        </w:tc>
        <w:tc>
          <w:tcPr>
            <w:tcW w:w="2297"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rFonts w:eastAsia="Times New Roman"/>
                <w:color w:val="auto"/>
                <w:sz w:val="21"/>
              </w:rPr>
              <w:t>1966.07.19</w:t>
            </w:r>
          </w:p>
        </w:tc>
      </w:tr>
      <w:tr>
        <w:tblPrEx>
          <w:tblBorders>
            <w:top w:val="single" w:color="auto" w:sz="4" w:space="0"/>
            <w:left w:val="none" w:color="auto" w:sz="0" w:space="0"/>
            <w:bottom w:val="single" w:color="auto" w:sz="4" w:space="0"/>
            <w:right w:val="none" w:color="auto" w:sz="0" w:space="0"/>
            <w:insideH w:val="single" w:color="auto" w:sz="4" w:space="0"/>
            <w:insideV w:val="single" w:color="000000" w:sz="4" w:space="0"/>
          </w:tblBorders>
          <w:tblCellMar>
            <w:top w:w="0" w:type="dxa"/>
            <w:left w:w="108" w:type="dxa"/>
            <w:bottom w:w="0" w:type="dxa"/>
            <w:right w:w="108" w:type="dxa"/>
          </w:tblCellMar>
        </w:tblPrEx>
        <w:trPr>
          <w:trHeight w:val="394" w:hRule="exact"/>
          <w:jc w:val="center"/>
        </w:trPr>
        <w:tc>
          <w:tcPr>
            <w:tcW w:w="880"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rFonts w:eastAsia="Times New Roman"/>
                <w:color w:val="auto"/>
                <w:sz w:val="21"/>
              </w:rPr>
              <w:t>7</w:t>
            </w:r>
          </w:p>
        </w:tc>
        <w:tc>
          <w:tcPr>
            <w:tcW w:w="2437"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color w:val="auto"/>
                <w:sz w:val="21"/>
              </w:rPr>
              <w:t>历年极端最低气温</w:t>
            </w:r>
          </w:p>
        </w:tc>
        <w:tc>
          <w:tcPr>
            <w:tcW w:w="1780"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color w:val="auto"/>
                <w:sz w:val="21"/>
              </w:rPr>
              <w:t>℃</w:t>
            </w:r>
          </w:p>
        </w:tc>
        <w:tc>
          <w:tcPr>
            <w:tcW w:w="1780"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rFonts w:eastAsia="Times New Roman"/>
                <w:color w:val="auto"/>
                <w:sz w:val="21"/>
              </w:rPr>
              <w:t>-20.7</w:t>
            </w:r>
          </w:p>
        </w:tc>
        <w:tc>
          <w:tcPr>
            <w:tcW w:w="2297"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rFonts w:eastAsia="Times New Roman"/>
                <w:color w:val="auto"/>
                <w:sz w:val="21"/>
              </w:rPr>
              <w:t>1971.12.28</w:t>
            </w:r>
          </w:p>
        </w:tc>
      </w:tr>
      <w:tr>
        <w:tblPrEx>
          <w:tblBorders>
            <w:top w:val="single" w:color="auto" w:sz="4" w:space="0"/>
            <w:left w:val="none" w:color="auto" w:sz="0" w:space="0"/>
            <w:bottom w:val="single" w:color="auto" w:sz="4" w:space="0"/>
            <w:right w:val="none" w:color="auto" w:sz="0" w:space="0"/>
            <w:insideH w:val="single" w:color="auto" w:sz="4" w:space="0"/>
            <w:insideV w:val="single" w:color="000000" w:sz="4" w:space="0"/>
          </w:tblBorders>
          <w:tblCellMar>
            <w:top w:w="0" w:type="dxa"/>
            <w:left w:w="108" w:type="dxa"/>
            <w:bottom w:w="0" w:type="dxa"/>
            <w:right w:w="108" w:type="dxa"/>
          </w:tblCellMar>
        </w:tblPrEx>
        <w:trPr>
          <w:trHeight w:val="394" w:hRule="exact"/>
          <w:jc w:val="center"/>
        </w:trPr>
        <w:tc>
          <w:tcPr>
            <w:tcW w:w="880"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rFonts w:eastAsia="Times New Roman"/>
                <w:color w:val="auto"/>
                <w:sz w:val="21"/>
              </w:rPr>
              <w:t>8</w:t>
            </w:r>
          </w:p>
        </w:tc>
        <w:tc>
          <w:tcPr>
            <w:tcW w:w="2437"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color w:val="auto"/>
                <w:sz w:val="21"/>
              </w:rPr>
              <w:t>历年定时最大风速</w:t>
            </w:r>
          </w:p>
        </w:tc>
        <w:tc>
          <w:tcPr>
            <w:tcW w:w="1780"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rFonts w:eastAsia="Times New Roman"/>
                <w:color w:val="auto"/>
                <w:sz w:val="21"/>
              </w:rPr>
              <w:t>m/s</w:t>
            </w:r>
          </w:p>
        </w:tc>
        <w:tc>
          <w:tcPr>
            <w:tcW w:w="1780"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rFonts w:eastAsia="Times New Roman"/>
                <w:color w:val="auto"/>
                <w:sz w:val="21"/>
              </w:rPr>
              <w:t>24.0</w:t>
            </w:r>
          </w:p>
        </w:tc>
        <w:tc>
          <w:tcPr>
            <w:tcW w:w="2297"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rFonts w:eastAsia="Times New Roman"/>
                <w:color w:val="auto"/>
                <w:sz w:val="21"/>
              </w:rPr>
              <w:t>1963.04.05</w:t>
            </w:r>
          </w:p>
        </w:tc>
      </w:tr>
      <w:tr>
        <w:tblPrEx>
          <w:tblBorders>
            <w:top w:val="single" w:color="auto" w:sz="4" w:space="0"/>
            <w:left w:val="none" w:color="auto" w:sz="0" w:space="0"/>
            <w:bottom w:val="single" w:color="auto" w:sz="4" w:space="0"/>
            <w:right w:val="none" w:color="auto" w:sz="0" w:space="0"/>
            <w:insideH w:val="single" w:color="auto" w:sz="4" w:space="0"/>
            <w:insideV w:val="single" w:color="000000" w:sz="4" w:space="0"/>
          </w:tblBorders>
          <w:tblCellMar>
            <w:top w:w="0" w:type="dxa"/>
            <w:left w:w="108" w:type="dxa"/>
            <w:bottom w:w="0" w:type="dxa"/>
            <w:right w:w="108" w:type="dxa"/>
          </w:tblCellMar>
        </w:tblPrEx>
        <w:trPr>
          <w:trHeight w:val="394" w:hRule="exact"/>
          <w:jc w:val="center"/>
        </w:trPr>
        <w:tc>
          <w:tcPr>
            <w:tcW w:w="880"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rFonts w:eastAsia="Times New Roman"/>
                <w:color w:val="auto"/>
                <w:sz w:val="21"/>
              </w:rPr>
              <w:t>9</w:t>
            </w:r>
          </w:p>
        </w:tc>
        <w:tc>
          <w:tcPr>
            <w:tcW w:w="2437"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color w:val="auto"/>
                <w:sz w:val="21"/>
              </w:rPr>
              <w:t>最大一日降水量</w:t>
            </w:r>
          </w:p>
        </w:tc>
        <w:tc>
          <w:tcPr>
            <w:tcW w:w="1780"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rFonts w:eastAsia="Times New Roman"/>
                <w:color w:val="auto"/>
                <w:spacing w:val="-3"/>
                <w:sz w:val="21"/>
              </w:rPr>
              <w:t>mm</w:t>
            </w:r>
          </w:p>
        </w:tc>
        <w:tc>
          <w:tcPr>
            <w:tcW w:w="1780"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rFonts w:eastAsia="Times New Roman"/>
                <w:color w:val="auto"/>
                <w:sz w:val="21"/>
              </w:rPr>
              <w:t>276.9</w:t>
            </w:r>
          </w:p>
        </w:tc>
        <w:tc>
          <w:tcPr>
            <w:tcW w:w="2297"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rFonts w:eastAsia="Times New Roman"/>
                <w:color w:val="auto"/>
                <w:sz w:val="21"/>
              </w:rPr>
              <w:t>1960.07.28</w:t>
            </w:r>
          </w:p>
        </w:tc>
      </w:tr>
      <w:tr>
        <w:tblPrEx>
          <w:tblBorders>
            <w:top w:val="single" w:color="auto" w:sz="4" w:space="0"/>
            <w:left w:val="none" w:color="auto" w:sz="0" w:space="0"/>
            <w:bottom w:val="single" w:color="auto" w:sz="4" w:space="0"/>
            <w:right w:val="none" w:color="auto" w:sz="0" w:space="0"/>
            <w:insideH w:val="single" w:color="auto" w:sz="4" w:space="0"/>
            <w:insideV w:val="single" w:color="000000" w:sz="4" w:space="0"/>
          </w:tblBorders>
          <w:tblCellMar>
            <w:top w:w="0" w:type="dxa"/>
            <w:left w:w="108" w:type="dxa"/>
            <w:bottom w:w="0" w:type="dxa"/>
            <w:right w:w="108" w:type="dxa"/>
          </w:tblCellMar>
        </w:tblPrEx>
        <w:trPr>
          <w:trHeight w:val="394" w:hRule="exact"/>
          <w:jc w:val="center"/>
        </w:trPr>
        <w:tc>
          <w:tcPr>
            <w:tcW w:w="880"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rFonts w:eastAsia="Times New Roman"/>
                <w:color w:val="auto"/>
                <w:sz w:val="21"/>
              </w:rPr>
              <w:t>10</w:t>
            </w:r>
          </w:p>
        </w:tc>
        <w:tc>
          <w:tcPr>
            <w:tcW w:w="2437"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color w:val="auto"/>
                <w:sz w:val="21"/>
              </w:rPr>
              <w:t>历年最大积雪深度</w:t>
            </w:r>
          </w:p>
        </w:tc>
        <w:tc>
          <w:tcPr>
            <w:tcW w:w="1780"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rFonts w:eastAsia="Times New Roman"/>
                <w:color w:val="auto"/>
                <w:sz w:val="21"/>
              </w:rPr>
              <w:t>cm</w:t>
            </w:r>
          </w:p>
        </w:tc>
        <w:tc>
          <w:tcPr>
            <w:tcW w:w="1780"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rFonts w:eastAsia="Times New Roman"/>
                <w:color w:val="auto"/>
                <w:sz w:val="21"/>
              </w:rPr>
              <w:t>22.0</w:t>
            </w:r>
          </w:p>
        </w:tc>
        <w:tc>
          <w:tcPr>
            <w:tcW w:w="2297"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rFonts w:eastAsia="Times New Roman"/>
                <w:color w:val="auto"/>
                <w:sz w:val="21"/>
              </w:rPr>
              <w:t>1975.01.01</w:t>
            </w:r>
          </w:p>
        </w:tc>
      </w:tr>
      <w:tr>
        <w:tblPrEx>
          <w:tblBorders>
            <w:top w:val="single" w:color="auto" w:sz="4" w:space="0"/>
            <w:left w:val="none" w:color="auto" w:sz="0" w:space="0"/>
            <w:bottom w:val="single" w:color="auto" w:sz="4" w:space="0"/>
            <w:right w:val="none" w:color="auto" w:sz="0" w:space="0"/>
            <w:insideH w:val="single" w:color="auto" w:sz="4" w:space="0"/>
            <w:insideV w:val="single" w:color="000000" w:sz="4" w:space="0"/>
          </w:tblBorders>
          <w:tblCellMar>
            <w:top w:w="0" w:type="dxa"/>
            <w:left w:w="108" w:type="dxa"/>
            <w:bottom w:w="0" w:type="dxa"/>
            <w:right w:w="108" w:type="dxa"/>
          </w:tblCellMar>
        </w:tblPrEx>
        <w:trPr>
          <w:trHeight w:val="404" w:hRule="exact"/>
          <w:jc w:val="center"/>
        </w:trPr>
        <w:tc>
          <w:tcPr>
            <w:tcW w:w="880"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rFonts w:eastAsia="Times New Roman"/>
                <w:color w:val="auto"/>
                <w:spacing w:val="-3"/>
                <w:sz w:val="21"/>
              </w:rPr>
              <w:t>11</w:t>
            </w:r>
          </w:p>
        </w:tc>
        <w:tc>
          <w:tcPr>
            <w:tcW w:w="2437"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color w:val="auto"/>
                <w:sz w:val="21"/>
              </w:rPr>
              <w:t>历年最大冻土深度</w:t>
            </w:r>
          </w:p>
        </w:tc>
        <w:tc>
          <w:tcPr>
            <w:tcW w:w="1780"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rFonts w:eastAsia="Times New Roman"/>
                <w:color w:val="auto"/>
                <w:sz w:val="21"/>
              </w:rPr>
              <w:t>cm</w:t>
            </w:r>
          </w:p>
        </w:tc>
        <w:tc>
          <w:tcPr>
            <w:tcW w:w="1780"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rFonts w:eastAsia="Times New Roman"/>
                <w:color w:val="auto"/>
                <w:sz w:val="21"/>
              </w:rPr>
              <w:t>41.0</w:t>
            </w:r>
          </w:p>
        </w:tc>
        <w:tc>
          <w:tcPr>
            <w:tcW w:w="2297" w:type="dxa"/>
            <w:tcBorders>
              <w:tl2br w:val="nil"/>
              <w:tr2bl w:val="nil"/>
            </w:tcBorders>
            <w:vAlign w:val="center"/>
          </w:tcPr>
          <w:p>
            <w:pPr>
              <w:pStyle w:val="42"/>
              <w:kinsoku w:val="0"/>
              <w:overflowPunct w:val="0"/>
              <w:adjustRightInd/>
              <w:snapToGrid/>
              <w:spacing w:line="240" w:lineRule="auto"/>
              <w:ind w:firstLine="0" w:firstLineChars="0"/>
              <w:jc w:val="center"/>
              <w:rPr>
                <w:color w:val="auto"/>
              </w:rPr>
            </w:pPr>
            <w:r>
              <w:rPr>
                <w:rFonts w:eastAsia="Times New Roman"/>
                <w:color w:val="auto"/>
                <w:sz w:val="21"/>
              </w:rPr>
              <w:t>1967.01.06</w:t>
            </w:r>
          </w:p>
        </w:tc>
      </w:tr>
    </w:tbl>
    <w:p>
      <w:pPr>
        <w:pStyle w:val="11"/>
        <w:kinsoku w:val="0"/>
        <w:overflowPunct w:val="0"/>
        <w:spacing w:after="0"/>
        <w:ind w:firstLine="480"/>
        <w:rPr>
          <w:color w:val="auto"/>
        </w:rPr>
      </w:pPr>
      <w:r>
        <w:rPr>
          <w:color w:val="auto"/>
        </w:rPr>
        <w:t>（</w:t>
      </w:r>
      <w:r>
        <w:rPr>
          <w:rFonts w:eastAsia="Times New Roman"/>
          <w:color w:val="auto"/>
        </w:rPr>
        <w:t>2</w:t>
      </w:r>
      <w:r>
        <w:rPr>
          <w:color w:val="auto"/>
        </w:rPr>
        <w:t>）地面风场特征</w:t>
      </w:r>
    </w:p>
    <w:p>
      <w:pPr>
        <w:pStyle w:val="11"/>
        <w:kinsoku w:val="0"/>
        <w:overflowPunct w:val="0"/>
        <w:autoSpaceDE w:val="0"/>
        <w:autoSpaceDN w:val="0"/>
        <w:snapToGrid/>
        <w:spacing w:after="0"/>
        <w:ind w:firstLine="488"/>
        <w:rPr>
          <w:color w:val="auto"/>
          <w:spacing w:val="2"/>
          <w:szCs w:val="22"/>
        </w:rPr>
      </w:pPr>
      <w:r>
        <w:rPr>
          <w:color w:val="auto"/>
          <w:spacing w:val="2"/>
          <w:szCs w:val="22"/>
        </w:rPr>
        <w:t>根据气象观测站近30年地面风向的观测资料统计，当地全年及各季节风向频率见表5.2-3，全年及各季节风向频率玫瑰图见图5.2-2。</w:t>
      </w:r>
    </w:p>
    <w:p>
      <w:pPr>
        <w:pStyle w:val="11"/>
        <w:tabs>
          <w:tab w:val="left" w:pos="4233"/>
        </w:tabs>
        <w:kinsoku w:val="0"/>
        <w:overflowPunct w:val="0"/>
        <w:spacing w:before="53"/>
        <w:ind w:firstLine="0" w:firstLineChars="0"/>
        <w:jc w:val="center"/>
        <w:rPr>
          <w:b/>
          <w:color w:val="auto"/>
          <w:szCs w:val="21"/>
        </w:rPr>
      </w:pPr>
      <w:r>
        <w:rPr>
          <w:b/>
          <w:color w:val="auto"/>
          <w:szCs w:val="21"/>
        </w:rPr>
        <w:t>表5.2-3  年、季各风向频率</w:t>
      </w:r>
    </w:p>
    <w:tbl>
      <w:tblPr>
        <w:tblStyle w:val="27"/>
        <w:tblW w:w="4994" w:type="pct"/>
        <w:tblInd w:w="0" w:type="dxa"/>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376"/>
        <w:gridCol w:w="497"/>
        <w:gridCol w:w="546"/>
        <w:gridCol w:w="430"/>
        <w:gridCol w:w="528"/>
        <w:gridCol w:w="417"/>
        <w:gridCol w:w="502"/>
        <w:gridCol w:w="417"/>
        <w:gridCol w:w="493"/>
        <w:gridCol w:w="497"/>
        <w:gridCol w:w="546"/>
        <w:gridCol w:w="457"/>
        <w:gridCol w:w="609"/>
        <w:gridCol w:w="417"/>
        <w:gridCol w:w="635"/>
        <w:gridCol w:w="483"/>
        <w:gridCol w:w="599"/>
        <w:gridCol w:w="497"/>
      </w:tblGrid>
      <w:tr>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22" w:hRule="exact"/>
        </w:trPr>
        <w:tc>
          <w:tcPr>
            <w:tcW w:w="202" w:type="pct"/>
            <w:tcBorders>
              <w:tl2br w:val="nil"/>
              <w:tr2bl w:val="nil"/>
            </w:tcBorders>
          </w:tcPr>
          <w:p>
            <w:pPr>
              <w:pStyle w:val="42"/>
              <w:kinsoku w:val="0"/>
              <w:overflowPunct w:val="0"/>
              <w:adjustRightInd/>
              <w:snapToGrid/>
              <w:spacing w:line="240" w:lineRule="auto"/>
              <w:ind w:firstLine="0" w:firstLineChars="0"/>
              <w:rPr>
                <w:color w:val="auto"/>
              </w:rPr>
            </w:pPr>
            <w:r>
              <w:rPr>
                <w:color w:val="auto"/>
                <w:sz w:val="21"/>
              </w:rPr>
              <w:t>风向</w:t>
            </w:r>
          </w:p>
        </w:tc>
        <w:tc>
          <w:tcPr>
            <w:tcW w:w="278" w:type="pct"/>
            <w:tcBorders>
              <w:tl2br w:val="nil"/>
              <w:tr2bl w:val="nil"/>
            </w:tcBorders>
          </w:tcPr>
          <w:p>
            <w:pPr>
              <w:pStyle w:val="42"/>
              <w:kinsoku w:val="0"/>
              <w:overflowPunct w:val="0"/>
              <w:adjustRightInd/>
              <w:snapToGrid/>
              <w:spacing w:line="240" w:lineRule="auto"/>
              <w:ind w:firstLine="0" w:firstLineChars="0"/>
              <w:jc w:val="center"/>
              <w:rPr>
                <w:color w:val="auto"/>
              </w:rPr>
            </w:pPr>
            <w:r>
              <w:rPr>
                <w:rFonts w:eastAsia="Times New Roman"/>
                <w:color w:val="auto"/>
                <w:sz w:val="21"/>
              </w:rPr>
              <w:t>N</w:t>
            </w:r>
          </w:p>
        </w:tc>
        <w:tc>
          <w:tcPr>
            <w:tcW w:w="308"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NNE</w:t>
            </w:r>
          </w:p>
        </w:tc>
        <w:tc>
          <w:tcPr>
            <w:tcW w:w="236"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NE</w:t>
            </w:r>
          </w:p>
        </w:tc>
        <w:tc>
          <w:tcPr>
            <w:tcW w:w="297"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ENE</w:t>
            </w:r>
          </w:p>
        </w:tc>
        <w:tc>
          <w:tcPr>
            <w:tcW w:w="227" w:type="pct"/>
            <w:tcBorders>
              <w:tl2br w:val="nil"/>
              <w:tr2bl w:val="nil"/>
            </w:tcBorders>
          </w:tcPr>
          <w:p>
            <w:pPr>
              <w:pStyle w:val="42"/>
              <w:kinsoku w:val="0"/>
              <w:overflowPunct w:val="0"/>
              <w:adjustRightInd/>
              <w:snapToGrid/>
              <w:spacing w:line="240" w:lineRule="auto"/>
              <w:ind w:firstLine="0" w:firstLineChars="0"/>
              <w:jc w:val="center"/>
              <w:rPr>
                <w:color w:val="auto"/>
              </w:rPr>
            </w:pPr>
            <w:r>
              <w:rPr>
                <w:rFonts w:eastAsia="Times New Roman"/>
                <w:color w:val="auto"/>
                <w:sz w:val="21"/>
              </w:rPr>
              <w:t>E</w:t>
            </w:r>
          </w:p>
        </w:tc>
        <w:tc>
          <w:tcPr>
            <w:tcW w:w="280"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ESE</w:t>
            </w:r>
          </w:p>
        </w:tc>
        <w:tc>
          <w:tcPr>
            <w:tcW w:w="227"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SE</w:t>
            </w:r>
          </w:p>
        </w:tc>
        <w:tc>
          <w:tcPr>
            <w:tcW w:w="274"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SSE</w:t>
            </w:r>
          </w:p>
        </w:tc>
        <w:tc>
          <w:tcPr>
            <w:tcW w:w="278" w:type="pct"/>
            <w:tcBorders>
              <w:tl2br w:val="nil"/>
              <w:tr2bl w:val="nil"/>
            </w:tcBorders>
          </w:tcPr>
          <w:p>
            <w:pPr>
              <w:pStyle w:val="42"/>
              <w:kinsoku w:val="0"/>
              <w:overflowPunct w:val="0"/>
              <w:adjustRightInd/>
              <w:snapToGrid/>
              <w:spacing w:line="240" w:lineRule="auto"/>
              <w:ind w:firstLine="0" w:firstLineChars="0"/>
              <w:jc w:val="center"/>
              <w:rPr>
                <w:color w:val="auto"/>
              </w:rPr>
            </w:pPr>
            <w:r>
              <w:rPr>
                <w:rFonts w:eastAsia="Times New Roman"/>
                <w:color w:val="auto"/>
                <w:sz w:val="21"/>
              </w:rPr>
              <w:t>S</w:t>
            </w:r>
          </w:p>
        </w:tc>
        <w:tc>
          <w:tcPr>
            <w:tcW w:w="308"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SSW</w:t>
            </w:r>
          </w:p>
        </w:tc>
        <w:tc>
          <w:tcPr>
            <w:tcW w:w="252"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SW</w:t>
            </w:r>
          </w:p>
        </w:tc>
        <w:tc>
          <w:tcPr>
            <w:tcW w:w="347"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WSW</w:t>
            </w:r>
          </w:p>
        </w:tc>
        <w:tc>
          <w:tcPr>
            <w:tcW w:w="227"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W</w:t>
            </w:r>
          </w:p>
        </w:tc>
        <w:tc>
          <w:tcPr>
            <w:tcW w:w="364"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WNW</w:t>
            </w:r>
          </w:p>
        </w:tc>
        <w:tc>
          <w:tcPr>
            <w:tcW w:w="269"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NW</w:t>
            </w:r>
          </w:p>
        </w:tc>
        <w:tc>
          <w:tcPr>
            <w:tcW w:w="341"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NNW</w:t>
            </w:r>
          </w:p>
        </w:tc>
        <w:tc>
          <w:tcPr>
            <w:tcW w:w="278" w:type="pct"/>
            <w:tcBorders>
              <w:tl2br w:val="nil"/>
              <w:tr2bl w:val="nil"/>
            </w:tcBorders>
          </w:tcPr>
          <w:p>
            <w:pPr>
              <w:pStyle w:val="42"/>
              <w:kinsoku w:val="0"/>
              <w:overflowPunct w:val="0"/>
              <w:adjustRightInd/>
              <w:snapToGrid/>
              <w:spacing w:line="240" w:lineRule="auto"/>
              <w:ind w:firstLine="0" w:firstLineChars="0"/>
              <w:jc w:val="center"/>
              <w:rPr>
                <w:color w:val="auto"/>
              </w:rPr>
            </w:pPr>
            <w:r>
              <w:rPr>
                <w:rFonts w:eastAsia="Times New Roman"/>
                <w:color w:val="auto"/>
                <w:sz w:val="21"/>
              </w:rPr>
              <w:t>C</w:t>
            </w:r>
          </w:p>
        </w:tc>
      </w:tr>
      <w:tr>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74" w:hRule="exact"/>
        </w:trPr>
        <w:tc>
          <w:tcPr>
            <w:tcW w:w="202" w:type="pct"/>
            <w:tcBorders>
              <w:tl2br w:val="nil"/>
              <w:tr2bl w:val="nil"/>
            </w:tcBorders>
          </w:tcPr>
          <w:p>
            <w:pPr>
              <w:pStyle w:val="42"/>
              <w:kinsoku w:val="0"/>
              <w:overflowPunct w:val="0"/>
              <w:adjustRightInd/>
              <w:snapToGrid/>
              <w:spacing w:line="240" w:lineRule="auto"/>
              <w:ind w:firstLine="0" w:firstLineChars="0"/>
              <w:rPr>
                <w:color w:val="auto"/>
              </w:rPr>
            </w:pPr>
            <w:r>
              <w:rPr>
                <w:color w:val="auto"/>
                <w:sz w:val="21"/>
              </w:rPr>
              <w:t>春季</w:t>
            </w:r>
          </w:p>
        </w:tc>
        <w:tc>
          <w:tcPr>
            <w:tcW w:w="278"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10.7</w:t>
            </w:r>
          </w:p>
        </w:tc>
        <w:tc>
          <w:tcPr>
            <w:tcW w:w="308"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6.9</w:t>
            </w:r>
          </w:p>
        </w:tc>
        <w:tc>
          <w:tcPr>
            <w:tcW w:w="236"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6.2</w:t>
            </w:r>
          </w:p>
        </w:tc>
        <w:tc>
          <w:tcPr>
            <w:tcW w:w="297"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2.6</w:t>
            </w:r>
          </w:p>
        </w:tc>
        <w:tc>
          <w:tcPr>
            <w:tcW w:w="227"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1.9</w:t>
            </w:r>
          </w:p>
        </w:tc>
        <w:tc>
          <w:tcPr>
            <w:tcW w:w="280"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1.9</w:t>
            </w:r>
          </w:p>
        </w:tc>
        <w:tc>
          <w:tcPr>
            <w:tcW w:w="227"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5.3</w:t>
            </w:r>
          </w:p>
        </w:tc>
        <w:tc>
          <w:tcPr>
            <w:tcW w:w="274"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8.4</w:t>
            </w:r>
          </w:p>
        </w:tc>
        <w:tc>
          <w:tcPr>
            <w:tcW w:w="278"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19.0</w:t>
            </w:r>
          </w:p>
        </w:tc>
        <w:tc>
          <w:tcPr>
            <w:tcW w:w="308"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10.3</w:t>
            </w:r>
          </w:p>
        </w:tc>
        <w:tc>
          <w:tcPr>
            <w:tcW w:w="252"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7.3</w:t>
            </w:r>
          </w:p>
        </w:tc>
        <w:tc>
          <w:tcPr>
            <w:tcW w:w="347"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3.2</w:t>
            </w:r>
          </w:p>
        </w:tc>
        <w:tc>
          <w:tcPr>
            <w:tcW w:w="227"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0.9</w:t>
            </w:r>
          </w:p>
        </w:tc>
        <w:tc>
          <w:tcPr>
            <w:tcW w:w="364"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0.8</w:t>
            </w:r>
          </w:p>
        </w:tc>
        <w:tc>
          <w:tcPr>
            <w:tcW w:w="269" w:type="pct"/>
            <w:tcBorders>
              <w:tl2br w:val="nil"/>
              <w:tr2bl w:val="nil"/>
            </w:tcBorders>
          </w:tcPr>
          <w:p>
            <w:pPr>
              <w:pStyle w:val="42"/>
              <w:kinsoku w:val="0"/>
              <w:overflowPunct w:val="0"/>
              <w:adjustRightInd/>
              <w:snapToGrid/>
              <w:spacing w:line="240" w:lineRule="auto"/>
              <w:ind w:firstLine="0" w:firstLineChars="0"/>
              <w:jc w:val="center"/>
              <w:rPr>
                <w:color w:val="auto"/>
              </w:rPr>
            </w:pPr>
            <w:r>
              <w:rPr>
                <w:rFonts w:eastAsia="Times New Roman"/>
                <w:color w:val="auto"/>
                <w:sz w:val="21"/>
              </w:rPr>
              <w:t>2</w:t>
            </w:r>
          </w:p>
        </w:tc>
        <w:tc>
          <w:tcPr>
            <w:tcW w:w="341"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2.7</w:t>
            </w:r>
          </w:p>
        </w:tc>
        <w:tc>
          <w:tcPr>
            <w:tcW w:w="278"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10.0</w:t>
            </w:r>
          </w:p>
        </w:tc>
      </w:tr>
      <w:tr>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06" w:hRule="exact"/>
        </w:trPr>
        <w:tc>
          <w:tcPr>
            <w:tcW w:w="202" w:type="pct"/>
            <w:tcBorders>
              <w:tl2br w:val="nil"/>
              <w:tr2bl w:val="nil"/>
            </w:tcBorders>
          </w:tcPr>
          <w:p>
            <w:pPr>
              <w:pStyle w:val="42"/>
              <w:kinsoku w:val="0"/>
              <w:overflowPunct w:val="0"/>
              <w:adjustRightInd/>
              <w:snapToGrid/>
              <w:spacing w:line="240" w:lineRule="auto"/>
              <w:ind w:firstLine="0" w:firstLineChars="0"/>
              <w:rPr>
                <w:color w:val="auto"/>
              </w:rPr>
            </w:pPr>
            <w:r>
              <w:rPr>
                <w:color w:val="auto"/>
                <w:sz w:val="21"/>
              </w:rPr>
              <w:t>夏季</w:t>
            </w:r>
          </w:p>
        </w:tc>
        <w:tc>
          <w:tcPr>
            <w:tcW w:w="278"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10.8</w:t>
            </w:r>
          </w:p>
        </w:tc>
        <w:tc>
          <w:tcPr>
            <w:tcW w:w="308"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7.3</w:t>
            </w:r>
          </w:p>
        </w:tc>
        <w:tc>
          <w:tcPr>
            <w:tcW w:w="236"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6.2</w:t>
            </w:r>
          </w:p>
        </w:tc>
        <w:tc>
          <w:tcPr>
            <w:tcW w:w="297"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2.4</w:t>
            </w:r>
          </w:p>
        </w:tc>
        <w:tc>
          <w:tcPr>
            <w:tcW w:w="227"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3.2</w:t>
            </w:r>
          </w:p>
        </w:tc>
        <w:tc>
          <w:tcPr>
            <w:tcW w:w="280"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2.4</w:t>
            </w:r>
          </w:p>
        </w:tc>
        <w:tc>
          <w:tcPr>
            <w:tcW w:w="227"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5.4</w:t>
            </w:r>
          </w:p>
        </w:tc>
        <w:tc>
          <w:tcPr>
            <w:tcW w:w="274"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7.4</w:t>
            </w:r>
          </w:p>
        </w:tc>
        <w:tc>
          <w:tcPr>
            <w:tcW w:w="278"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16.6</w:t>
            </w:r>
          </w:p>
        </w:tc>
        <w:tc>
          <w:tcPr>
            <w:tcW w:w="308"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7.1</w:t>
            </w:r>
          </w:p>
        </w:tc>
        <w:tc>
          <w:tcPr>
            <w:tcW w:w="252"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4.3</w:t>
            </w:r>
          </w:p>
        </w:tc>
        <w:tc>
          <w:tcPr>
            <w:tcW w:w="347"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1.3</w:t>
            </w:r>
          </w:p>
        </w:tc>
        <w:tc>
          <w:tcPr>
            <w:tcW w:w="227"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1.5</w:t>
            </w:r>
          </w:p>
        </w:tc>
        <w:tc>
          <w:tcPr>
            <w:tcW w:w="364"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0.5</w:t>
            </w:r>
          </w:p>
        </w:tc>
        <w:tc>
          <w:tcPr>
            <w:tcW w:w="269"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1.8</w:t>
            </w:r>
          </w:p>
        </w:tc>
        <w:tc>
          <w:tcPr>
            <w:tcW w:w="341"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3.0</w:t>
            </w:r>
          </w:p>
        </w:tc>
        <w:tc>
          <w:tcPr>
            <w:tcW w:w="278"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18.4</w:t>
            </w:r>
          </w:p>
        </w:tc>
      </w:tr>
      <w:tr>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88" w:hRule="exact"/>
        </w:trPr>
        <w:tc>
          <w:tcPr>
            <w:tcW w:w="202" w:type="pct"/>
            <w:tcBorders>
              <w:tl2br w:val="nil"/>
              <w:tr2bl w:val="nil"/>
            </w:tcBorders>
          </w:tcPr>
          <w:p>
            <w:pPr>
              <w:pStyle w:val="42"/>
              <w:kinsoku w:val="0"/>
              <w:overflowPunct w:val="0"/>
              <w:adjustRightInd/>
              <w:snapToGrid/>
              <w:spacing w:line="240" w:lineRule="auto"/>
              <w:ind w:firstLine="0" w:firstLineChars="0"/>
              <w:rPr>
                <w:color w:val="auto"/>
              </w:rPr>
            </w:pPr>
            <w:r>
              <w:rPr>
                <w:color w:val="auto"/>
                <w:sz w:val="21"/>
              </w:rPr>
              <w:t>秋季</w:t>
            </w:r>
          </w:p>
        </w:tc>
        <w:tc>
          <w:tcPr>
            <w:tcW w:w="278"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11.4</w:t>
            </w:r>
          </w:p>
        </w:tc>
        <w:tc>
          <w:tcPr>
            <w:tcW w:w="308"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7.5</w:t>
            </w:r>
          </w:p>
        </w:tc>
        <w:tc>
          <w:tcPr>
            <w:tcW w:w="236"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4.3</w:t>
            </w:r>
          </w:p>
        </w:tc>
        <w:tc>
          <w:tcPr>
            <w:tcW w:w="297"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1.3</w:t>
            </w:r>
          </w:p>
        </w:tc>
        <w:tc>
          <w:tcPr>
            <w:tcW w:w="227"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0.4</w:t>
            </w:r>
          </w:p>
        </w:tc>
        <w:tc>
          <w:tcPr>
            <w:tcW w:w="280"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1.7</w:t>
            </w:r>
          </w:p>
        </w:tc>
        <w:tc>
          <w:tcPr>
            <w:tcW w:w="227"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3.7</w:t>
            </w:r>
          </w:p>
        </w:tc>
        <w:tc>
          <w:tcPr>
            <w:tcW w:w="274"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8.2</w:t>
            </w:r>
          </w:p>
        </w:tc>
        <w:tc>
          <w:tcPr>
            <w:tcW w:w="278"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13.3</w:t>
            </w:r>
          </w:p>
        </w:tc>
        <w:tc>
          <w:tcPr>
            <w:tcW w:w="308"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5.2</w:t>
            </w:r>
          </w:p>
        </w:tc>
        <w:tc>
          <w:tcPr>
            <w:tcW w:w="252"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5.2</w:t>
            </w:r>
          </w:p>
        </w:tc>
        <w:tc>
          <w:tcPr>
            <w:tcW w:w="347"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2.3</w:t>
            </w:r>
          </w:p>
        </w:tc>
        <w:tc>
          <w:tcPr>
            <w:tcW w:w="227"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1.5</w:t>
            </w:r>
          </w:p>
        </w:tc>
        <w:tc>
          <w:tcPr>
            <w:tcW w:w="364"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1.2</w:t>
            </w:r>
          </w:p>
        </w:tc>
        <w:tc>
          <w:tcPr>
            <w:tcW w:w="269"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2.6</w:t>
            </w:r>
          </w:p>
        </w:tc>
        <w:tc>
          <w:tcPr>
            <w:tcW w:w="341"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4.1</w:t>
            </w:r>
          </w:p>
        </w:tc>
        <w:tc>
          <w:tcPr>
            <w:tcW w:w="278"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26.1</w:t>
            </w:r>
          </w:p>
        </w:tc>
      </w:tr>
      <w:tr>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88" w:hRule="exact"/>
        </w:trPr>
        <w:tc>
          <w:tcPr>
            <w:tcW w:w="202" w:type="pct"/>
            <w:tcBorders>
              <w:tl2br w:val="nil"/>
              <w:tr2bl w:val="nil"/>
            </w:tcBorders>
          </w:tcPr>
          <w:p>
            <w:pPr>
              <w:pStyle w:val="42"/>
              <w:kinsoku w:val="0"/>
              <w:overflowPunct w:val="0"/>
              <w:adjustRightInd/>
              <w:snapToGrid/>
              <w:spacing w:line="240" w:lineRule="auto"/>
              <w:ind w:firstLine="0" w:firstLineChars="0"/>
              <w:rPr>
                <w:color w:val="auto"/>
              </w:rPr>
            </w:pPr>
            <w:r>
              <w:rPr>
                <w:color w:val="auto"/>
                <w:sz w:val="21"/>
              </w:rPr>
              <w:t>冬季</w:t>
            </w:r>
          </w:p>
        </w:tc>
        <w:tc>
          <w:tcPr>
            <w:tcW w:w="278"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14.8</w:t>
            </w:r>
          </w:p>
        </w:tc>
        <w:tc>
          <w:tcPr>
            <w:tcW w:w="308"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11.0</w:t>
            </w:r>
          </w:p>
        </w:tc>
        <w:tc>
          <w:tcPr>
            <w:tcW w:w="236"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8.3</w:t>
            </w:r>
          </w:p>
        </w:tc>
        <w:tc>
          <w:tcPr>
            <w:tcW w:w="297"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2.8</w:t>
            </w:r>
          </w:p>
        </w:tc>
        <w:tc>
          <w:tcPr>
            <w:tcW w:w="227"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0.7</w:t>
            </w:r>
          </w:p>
        </w:tc>
        <w:tc>
          <w:tcPr>
            <w:tcW w:w="280"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2.2</w:t>
            </w:r>
          </w:p>
        </w:tc>
        <w:tc>
          <w:tcPr>
            <w:tcW w:w="227"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4.0</w:t>
            </w:r>
          </w:p>
        </w:tc>
        <w:tc>
          <w:tcPr>
            <w:tcW w:w="274"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7.7</w:t>
            </w:r>
          </w:p>
        </w:tc>
        <w:tc>
          <w:tcPr>
            <w:tcW w:w="278"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11.6</w:t>
            </w:r>
          </w:p>
        </w:tc>
        <w:tc>
          <w:tcPr>
            <w:tcW w:w="308"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6.0</w:t>
            </w:r>
          </w:p>
        </w:tc>
        <w:tc>
          <w:tcPr>
            <w:tcW w:w="252"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3.9</w:t>
            </w:r>
          </w:p>
        </w:tc>
        <w:tc>
          <w:tcPr>
            <w:tcW w:w="347"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1.8</w:t>
            </w:r>
          </w:p>
        </w:tc>
        <w:tc>
          <w:tcPr>
            <w:tcW w:w="227"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1.7</w:t>
            </w:r>
          </w:p>
        </w:tc>
        <w:tc>
          <w:tcPr>
            <w:tcW w:w="364"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0.6</w:t>
            </w:r>
          </w:p>
        </w:tc>
        <w:tc>
          <w:tcPr>
            <w:tcW w:w="269"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2.5</w:t>
            </w:r>
          </w:p>
        </w:tc>
        <w:tc>
          <w:tcPr>
            <w:tcW w:w="341"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4.2</w:t>
            </w:r>
          </w:p>
        </w:tc>
        <w:tc>
          <w:tcPr>
            <w:tcW w:w="278"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16.7</w:t>
            </w:r>
          </w:p>
        </w:tc>
      </w:tr>
      <w:tr>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43" w:hRule="exact"/>
        </w:trPr>
        <w:tc>
          <w:tcPr>
            <w:tcW w:w="202" w:type="pct"/>
            <w:tcBorders>
              <w:tl2br w:val="nil"/>
              <w:tr2bl w:val="nil"/>
            </w:tcBorders>
          </w:tcPr>
          <w:p>
            <w:pPr>
              <w:pStyle w:val="42"/>
              <w:kinsoku w:val="0"/>
              <w:overflowPunct w:val="0"/>
              <w:adjustRightInd/>
              <w:snapToGrid/>
              <w:spacing w:line="240" w:lineRule="auto"/>
              <w:ind w:firstLine="0" w:firstLineChars="0"/>
              <w:rPr>
                <w:color w:val="auto"/>
              </w:rPr>
            </w:pPr>
            <w:r>
              <w:rPr>
                <w:color w:val="auto"/>
                <w:sz w:val="21"/>
              </w:rPr>
              <w:t>全年</w:t>
            </w:r>
          </w:p>
        </w:tc>
        <w:tc>
          <w:tcPr>
            <w:tcW w:w="278"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11.9</w:t>
            </w:r>
          </w:p>
        </w:tc>
        <w:tc>
          <w:tcPr>
            <w:tcW w:w="308"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8.2</w:t>
            </w:r>
          </w:p>
        </w:tc>
        <w:tc>
          <w:tcPr>
            <w:tcW w:w="236"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6.3</w:t>
            </w:r>
          </w:p>
        </w:tc>
        <w:tc>
          <w:tcPr>
            <w:tcW w:w="297"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2.3</w:t>
            </w:r>
          </w:p>
        </w:tc>
        <w:tc>
          <w:tcPr>
            <w:tcW w:w="227"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1.6</w:t>
            </w:r>
          </w:p>
        </w:tc>
        <w:tc>
          <w:tcPr>
            <w:tcW w:w="280"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2.1</w:t>
            </w:r>
          </w:p>
        </w:tc>
        <w:tc>
          <w:tcPr>
            <w:tcW w:w="227"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4.6</w:t>
            </w:r>
          </w:p>
        </w:tc>
        <w:tc>
          <w:tcPr>
            <w:tcW w:w="274"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7.9</w:t>
            </w:r>
          </w:p>
        </w:tc>
        <w:tc>
          <w:tcPr>
            <w:tcW w:w="278"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15.1</w:t>
            </w:r>
          </w:p>
        </w:tc>
        <w:tc>
          <w:tcPr>
            <w:tcW w:w="308"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7.2</w:t>
            </w:r>
          </w:p>
        </w:tc>
        <w:tc>
          <w:tcPr>
            <w:tcW w:w="252"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5.2</w:t>
            </w:r>
          </w:p>
        </w:tc>
        <w:tc>
          <w:tcPr>
            <w:tcW w:w="347"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2.2</w:t>
            </w:r>
          </w:p>
        </w:tc>
        <w:tc>
          <w:tcPr>
            <w:tcW w:w="227"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1.4</w:t>
            </w:r>
          </w:p>
        </w:tc>
        <w:tc>
          <w:tcPr>
            <w:tcW w:w="364"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0.8</w:t>
            </w:r>
          </w:p>
        </w:tc>
        <w:tc>
          <w:tcPr>
            <w:tcW w:w="269"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2.2</w:t>
            </w:r>
          </w:p>
        </w:tc>
        <w:tc>
          <w:tcPr>
            <w:tcW w:w="341"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3.5</w:t>
            </w:r>
          </w:p>
        </w:tc>
        <w:tc>
          <w:tcPr>
            <w:tcW w:w="278" w:type="pct"/>
            <w:tcBorders>
              <w:tl2br w:val="nil"/>
              <w:tr2bl w:val="nil"/>
            </w:tcBorders>
          </w:tcPr>
          <w:p>
            <w:pPr>
              <w:pStyle w:val="42"/>
              <w:kinsoku w:val="0"/>
              <w:overflowPunct w:val="0"/>
              <w:adjustRightInd/>
              <w:snapToGrid/>
              <w:spacing w:line="240" w:lineRule="auto"/>
              <w:ind w:firstLine="0" w:firstLineChars="0"/>
              <w:rPr>
                <w:color w:val="auto"/>
              </w:rPr>
            </w:pPr>
            <w:r>
              <w:rPr>
                <w:rFonts w:eastAsia="Times New Roman"/>
                <w:color w:val="auto"/>
                <w:sz w:val="21"/>
              </w:rPr>
              <w:t>17.8</w:t>
            </w:r>
          </w:p>
        </w:tc>
      </w:tr>
    </w:tbl>
    <w:p>
      <w:pPr>
        <w:adjustRightInd/>
        <w:snapToGrid/>
        <w:spacing w:line="240" w:lineRule="auto"/>
        <w:ind w:firstLine="0" w:firstLineChars="0"/>
        <w:jc w:val="center"/>
        <w:rPr>
          <w:color w:val="auto"/>
        </w:rPr>
      </w:pPr>
      <w:r>
        <w:rPr>
          <w:color w:val="auto"/>
        </w:rPr>
        <w:drawing>
          <wp:inline distT="0" distB="0" distL="114300" distR="114300">
            <wp:extent cx="5076825" cy="6656705"/>
            <wp:effectExtent l="0" t="0" r="9525" b="10795"/>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
                    <pic:cNvPicPr>
                      <a:picLocks noChangeAspect="1"/>
                    </pic:cNvPicPr>
                  </pic:nvPicPr>
                  <pic:blipFill>
                    <a:blip r:embed="rId47"/>
                    <a:stretch>
                      <a:fillRect/>
                    </a:stretch>
                  </pic:blipFill>
                  <pic:spPr>
                    <a:xfrm>
                      <a:off x="0" y="0"/>
                      <a:ext cx="5076825" cy="6656705"/>
                    </a:xfrm>
                    <a:prstGeom prst="rect">
                      <a:avLst/>
                    </a:prstGeom>
                    <a:noFill/>
                    <a:ln w="9525">
                      <a:noFill/>
                    </a:ln>
                  </pic:spPr>
                </pic:pic>
              </a:graphicData>
            </a:graphic>
          </wp:inline>
        </w:drawing>
      </w:r>
      <w:r>
        <w:rPr>
          <w:color w:val="auto"/>
        </w:rPr>
        <w:t xml:space="preserve">    </w:t>
      </w:r>
    </w:p>
    <w:p>
      <w:pPr>
        <w:pStyle w:val="11"/>
        <w:tabs>
          <w:tab w:val="left" w:pos="861"/>
        </w:tabs>
        <w:kinsoku w:val="0"/>
        <w:overflowPunct w:val="0"/>
        <w:spacing w:before="26"/>
        <w:ind w:left="2" w:firstLine="480"/>
        <w:jc w:val="center"/>
        <w:rPr>
          <w:rFonts w:eastAsia="黑体"/>
          <w:color w:val="auto"/>
        </w:rPr>
      </w:pPr>
      <w:r>
        <w:rPr>
          <w:rFonts w:eastAsia="黑体"/>
          <w:color w:val="auto"/>
        </w:rPr>
        <w:t>图</w:t>
      </w:r>
      <w:r>
        <w:rPr>
          <w:rFonts w:eastAsia="Times New Roman"/>
          <w:color w:val="auto"/>
        </w:rPr>
        <w:t>5</w:t>
      </w:r>
      <w:r>
        <w:rPr>
          <w:color w:val="auto"/>
        </w:rPr>
        <w:t>.2</w:t>
      </w:r>
      <w:r>
        <w:rPr>
          <w:rFonts w:eastAsia="Times New Roman"/>
          <w:color w:val="auto"/>
        </w:rPr>
        <w:t>-2</w:t>
      </w:r>
      <w:r>
        <w:rPr>
          <w:color w:val="auto"/>
        </w:rPr>
        <w:t xml:space="preserve">  </w:t>
      </w:r>
      <w:r>
        <w:rPr>
          <w:rFonts w:eastAsia="黑体"/>
          <w:color w:val="auto"/>
        </w:rPr>
        <w:t>全年及各季风向频率玫瑰图</w:t>
      </w:r>
    </w:p>
    <w:p>
      <w:pPr>
        <w:pStyle w:val="11"/>
        <w:kinsoku w:val="0"/>
        <w:overflowPunct w:val="0"/>
        <w:autoSpaceDE w:val="0"/>
        <w:autoSpaceDN w:val="0"/>
        <w:snapToGrid/>
        <w:spacing w:after="0"/>
        <w:ind w:firstLine="480"/>
        <w:rPr>
          <w:color w:val="auto"/>
        </w:rPr>
      </w:pPr>
      <w:r>
        <w:rPr>
          <w:color w:val="auto"/>
        </w:rPr>
        <w:t>由表5.2-3表明，该区域S风频率15.1％，N风频率11.9％，全年静风频率17.8％，该地区主导风向不明显。</w:t>
      </w:r>
    </w:p>
    <w:p>
      <w:pPr>
        <w:pStyle w:val="11"/>
        <w:kinsoku w:val="0"/>
        <w:overflowPunct w:val="0"/>
        <w:autoSpaceDE w:val="0"/>
        <w:autoSpaceDN w:val="0"/>
        <w:snapToGrid/>
        <w:spacing w:after="0"/>
        <w:ind w:firstLine="480"/>
        <w:rPr>
          <w:color w:val="auto"/>
        </w:rPr>
      </w:pPr>
      <w:r>
        <w:rPr>
          <w:color w:val="auto"/>
        </w:rPr>
        <w:t>（3）地面风速</w:t>
      </w:r>
    </w:p>
    <w:p>
      <w:pPr>
        <w:pStyle w:val="11"/>
        <w:kinsoku w:val="0"/>
        <w:overflowPunct w:val="0"/>
        <w:autoSpaceDE w:val="0"/>
        <w:autoSpaceDN w:val="0"/>
        <w:snapToGrid/>
        <w:spacing w:after="0"/>
        <w:ind w:firstLine="480"/>
        <w:rPr>
          <w:color w:val="auto"/>
        </w:rPr>
      </w:pPr>
      <w:r>
        <w:rPr>
          <w:color w:val="auto"/>
        </w:rPr>
        <w:t>将全年及各月平均风速、各风向平均风速、不同季节平均风速、不同时次平均风速、全年及各季节风速级别频率分别进行统计。统计结果见表5.2-4至表5.2-8。</w:t>
      </w:r>
    </w:p>
    <w:p>
      <w:pPr>
        <w:pStyle w:val="11"/>
        <w:tabs>
          <w:tab w:val="left" w:pos="1039"/>
        </w:tabs>
        <w:kinsoku w:val="0"/>
        <w:overflowPunct w:val="0"/>
        <w:spacing w:after="0"/>
        <w:ind w:firstLine="480"/>
        <w:jc w:val="center"/>
        <w:rPr>
          <w:rFonts w:eastAsia="黑体"/>
          <w:color w:val="auto"/>
        </w:rPr>
      </w:pPr>
      <w:r>
        <w:rPr>
          <w:rFonts w:eastAsia="黑体"/>
          <w:color w:val="auto"/>
        </w:rPr>
        <w:t>表</w:t>
      </w:r>
      <w:r>
        <w:rPr>
          <w:rFonts w:eastAsia="Times New Roman"/>
          <w:color w:val="auto"/>
        </w:rPr>
        <w:t>5.2-4</w:t>
      </w:r>
      <w:r>
        <w:rPr>
          <w:color w:val="auto"/>
        </w:rPr>
        <w:t xml:space="preserve">  </w:t>
      </w:r>
      <w:r>
        <w:rPr>
          <w:rFonts w:eastAsia="黑体"/>
          <w:color w:val="auto"/>
        </w:rPr>
        <w:t>全年及各月平均风速（单位：</w:t>
      </w:r>
      <w:r>
        <w:rPr>
          <w:rFonts w:eastAsia="Times New Roman"/>
          <w:color w:val="auto"/>
        </w:rPr>
        <w:t>m/s</w:t>
      </w:r>
      <w:r>
        <w:rPr>
          <w:rFonts w:eastAsia="黑体"/>
          <w:color w:val="auto"/>
        </w:rPr>
        <w:t>）</w:t>
      </w:r>
    </w:p>
    <w:tbl>
      <w:tblPr>
        <w:tblStyle w:val="27"/>
        <w:tblW w:w="0" w:type="auto"/>
        <w:tblInd w:w="0" w:type="dxa"/>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663"/>
        <w:gridCol w:w="609"/>
        <w:gridCol w:w="609"/>
        <w:gridCol w:w="609"/>
        <w:gridCol w:w="609"/>
        <w:gridCol w:w="608"/>
        <w:gridCol w:w="607"/>
        <w:gridCol w:w="608"/>
        <w:gridCol w:w="608"/>
        <w:gridCol w:w="608"/>
        <w:gridCol w:w="717"/>
        <w:gridCol w:w="718"/>
        <w:gridCol w:w="717"/>
        <w:gridCol w:w="656"/>
      </w:tblGrid>
      <w:tr>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PrEx>
        <w:tc>
          <w:tcPr>
            <w:tcW w:w="663"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color w:val="auto"/>
                <w:sz w:val="21"/>
              </w:rPr>
              <w:t>月份</w:t>
            </w:r>
          </w:p>
        </w:tc>
        <w:tc>
          <w:tcPr>
            <w:tcW w:w="609"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rFonts w:eastAsia="Times New Roman"/>
                <w:color w:val="auto"/>
                <w:sz w:val="21"/>
              </w:rPr>
              <w:t>1</w:t>
            </w:r>
            <w:r>
              <w:rPr>
                <w:color w:val="auto"/>
                <w:sz w:val="21"/>
              </w:rPr>
              <w:t>月</w:t>
            </w:r>
          </w:p>
        </w:tc>
        <w:tc>
          <w:tcPr>
            <w:tcW w:w="609"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rFonts w:eastAsia="Times New Roman"/>
                <w:color w:val="auto"/>
                <w:sz w:val="21"/>
              </w:rPr>
              <w:t>2</w:t>
            </w:r>
            <w:r>
              <w:rPr>
                <w:color w:val="auto"/>
                <w:sz w:val="21"/>
              </w:rPr>
              <w:t>月</w:t>
            </w:r>
          </w:p>
        </w:tc>
        <w:tc>
          <w:tcPr>
            <w:tcW w:w="609"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rFonts w:eastAsia="Times New Roman"/>
                <w:color w:val="auto"/>
                <w:sz w:val="21"/>
              </w:rPr>
              <w:t>3</w:t>
            </w:r>
            <w:r>
              <w:rPr>
                <w:color w:val="auto"/>
                <w:sz w:val="21"/>
              </w:rPr>
              <w:t>月</w:t>
            </w:r>
          </w:p>
        </w:tc>
        <w:tc>
          <w:tcPr>
            <w:tcW w:w="609"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rFonts w:eastAsia="Times New Roman"/>
                <w:color w:val="auto"/>
                <w:sz w:val="21"/>
              </w:rPr>
              <w:t>4</w:t>
            </w:r>
            <w:r>
              <w:rPr>
                <w:color w:val="auto"/>
                <w:sz w:val="21"/>
              </w:rPr>
              <w:t>月</w:t>
            </w:r>
          </w:p>
        </w:tc>
        <w:tc>
          <w:tcPr>
            <w:tcW w:w="608"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rFonts w:eastAsia="Times New Roman"/>
                <w:color w:val="auto"/>
                <w:sz w:val="21"/>
              </w:rPr>
              <w:t>5</w:t>
            </w:r>
            <w:r>
              <w:rPr>
                <w:color w:val="auto"/>
                <w:sz w:val="21"/>
              </w:rPr>
              <w:t>月</w:t>
            </w:r>
          </w:p>
        </w:tc>
        <w:tc>
          <w:tcPr>
            <w:tcW w:w="607"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rFonts w:eastAsia="Times New Roman"/>
                <w:color w:val="auto"/>
                <w:sz w:val="21"/>
              </w:rPr>
              <w:t>6</w:t>
            </w:r>
            <w:r>
              <w:rPr>
                <w:color w:val="auto"/>
                <w:sz w:val="21"/>
              </w:rPr>
              <w:t>月</w:t>
            </w:r>
          </w:p>
        </w:tc>
        <w:tc>
          <w:tcPr>
            <w:tcW w:w="608"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rFonts w:eastAsia="Times New Roman"/>
                <w:color w:val="auto"/>
                <w:sz w:val="21"/>
              </w:rPr>
              <w:t>7</w:t>
            </w:r>
            <w:r>
              <w:rPr>
                <w:color w:val="auto"/>
                <w:sz w:val="21"/>
              </w:rPr>
              <w:t>月</w:t>
            </w:r>
          </w:p>
        </w:tc>
        <w:tc>
          <w:tcPr>
            <w:tcW w:w="608"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rFonts w:eastAsia="Times New Roman"/>
                <w:color w:val="auto"/>
                <w:sz w:val="21"/>
              </w:rPr>
              <w:t>8</w:t>
            </w:r>
            <w:r>
              <w:rPr>
                <w:color w:val="auto"/>
                <w:sz w:val="21"/>
              </w:rPr>
              <w:t>月</w:t>
            </w:r>
          </w:p>
        </w:tc>
        <w:tc>
          <w:tcPr>
            <w:tcW w:w="608"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rFonts w:eastAsia="Times New Roman"/>
                <w:color w:val="auto"/>
                <w:sz w:val="21"/>
              </w:rPr>
              <w:t>9</w:t>
            </w:r>
            <w:r>
              <w:rPr>
                <w:color w:val="auto"/>
                <w:sz w:val="21"/>
              </w:rPr>
              <w:t>月</w:t>
            </w:r>
          </w:p>
        </w:tc>
        <w:tc>
          <w:tcPr>
            <w:tcW w:w="717"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rFonts w:eastAsia="Times New Roman"/>
                <w:color w:val="auto"/>
                <w:sz w:val="21"/>
              </w:rPr>
              <w:t>10</w:t>
            </w:r>
            <w:r>
              <w:rPr>
                <w:color w:val="auto"/>
                <w:sz w:val="21"/>
              </w:rPr>
              <w:t>月</w:t>
            </w:r>
          </w:p>
        </w:tc>
        <w:tc>
          <w:tcPr>
            <w:tcW w:w="718"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rFonts w:eastAsia="Times New Roman"/>
                <w:color w:val="auto"/>
                <w:sz w:val="21"/>
              </w:rPr>
              <w:t>11</w:t>
            </w:r>
            <w:r>
              <w:rPr>
                <w:color w:val="auto"/>
                <w:sz w:val="21"/>
              </w:rPr>
              <w:t>月</w:t>
            </w:r>
          </w:p>
        </w:tc>
        <w:tc>
          <w:tcPr>
            <w:tcW w:w="717"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rFonts w:eastAsia="Times New Roman"/>
                <w:color w:val="auto"/>
                <w:sz w:val="21"/>
              </w:rPr>
              <w:t>12</w:t>
            </w:r>
            <w:r>
              <w:rPr>
                <w:color w:val="auto"/>
                <w:sz w:val="21"/>
              </w:rPr>
              <w:t>月</w:t>
            </w:r>
          </w:p>
        </w:tc>
        <w:tc>
          <w:tcPr>
            <w:tcW w:w="656"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color w:val="auto"/>
                <w:sz w:val="21"/>
              </w:rPr>
              <w:t>全年</w:t>
            </w:r>
          </w:p>
        </w:tc>
      </w:tr>
      <w:tr>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663"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color w:val="auto"/>
                <w:sz w:val="21"/>
              </w:rPr>
              <w:t>风速</w:t>
            </w:r>
          </w:p>
        </w:tc>
        <w:tc>
          <w:tcPr>
            <w:tcW w:w="609"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rFonts w:eastAsia="Times New Roman"/>
                <w:color w:val="auto"/>
                <w:sz w:val="21"/>
              </w:rPr>
              <w:t>1.9</w:t>
            </w:r>
          </w:p>
        </w:tc>
        <w:tc>
          <w:tcPr>
            <w:tcW w:w="609"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rFonts w:eastAsia="Times New Roman"/>
                <w:color w:val="auto"/>
                <w:sz w:val="21"/>
              </w:rPr>
              <w:t>2.4</w:t>
            </w:r>
          </w:p>
        </w:tc>
        <w:tc>
          <w:tcPr>
            <w:tcW w:w="609"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rFonts w:eastAsia="Times New Roman"/>
                <w:color w:val="auto"/>
                <w:sz w:val="21"/>
              </w:rPr>
              <w:t>2.8</w:t>
            </w:r>
          </w:p>
        </w:tc>
        <w:tc>
          <w:tcPr>
            <w:tcW w:w="609"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rFonts w:eastAsia="Times New Roman"/>
                <w:color w:val="auto"/>
                <w:sz w:val="21"/>
              </w:rPr>
              <w:t>2.9</w:t>
            </w:r>
          </w:p>
        </w:tc>
        <w:tc>
          <w:tcPr>
            <w:tcW w:w="608"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rFonts w:eastAsia="Times New Roman"/>
                <w:color w:val="auto"/>
                <w:sz w:val="21"/>
              </w:rPr>
              <w:t>2.3</w:t>
            </w:r>
          </w:p>
        </w:tc>
        <w:tc>
          <w:tcPr>
            <w:tcW w:w="607"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rFonts w:eastAsia="Times New Roman"/>
                <w:color w:val="auto"/>
                <w:sz w:val="21"/>
              </w:rPr>
              <w:t>2.1</w:t>
            </w:r>
          </w:p>
        </w:tc>
        <w:tc>
          <w:tcPr>
            <w:tcW w:w="608"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rFonts w:eastAsia="Times New Roman"/>
                <w:color w:val="auto"/>
                <w:sz w:val="21"/>
              </w:rPr>
              <w:t>1.8</w:t>
            </w:r>
          </w:p>
        </w:tc>
        <w:tc>
          <w:tcPr>
            <w:tcW w:w="608"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rFonts w:eastAsia="Times New Roman"/>
                <w:color w:val="auto"/>
                <w:sz w:val="21"/>
              </w:rPr>
              <w:t>1.8</w:t>
            </w:r>
          </w:p>
        </w:tc>
        <w:tc>
          <w:tcPr>
            <w:tcW w:w="608"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rFonts w:eastAsia="Times New Roman"/>
                <w:color w:val="auto"/>
                <w:sz w:val="21"/>
              </w:rPr>
              <w:t>1.6</w:t>
            </w:r>
          </w:p>
        </w:tc>
        <w:tc>
          <w:tcPr>
            <w:tcW w:w="717"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rFonts w:eastAsia="Times New Roman"/>
                <w:color w:val="auto"/>
                <w:sz w:val="21"/>
              </w:rPr>
              <w:t>1.5</w:t>
            </w:r>
          </w:p>
        </w:tc>
        <w:tc>
          <w:tcPr>
            <w:tcW w:w="718"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rFonts w:eastAsia="Times New Roman"/>
                <w:color w:val="auto"/>
                <w:sz w:val="21"/>
              </w:rPr>
              <w:t>1.8</w:t>
            </w:r>
          </w:p>
        </w:tc>
        <w:tc>
          <w:tcPr>
            <w:tcW w:w="717"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rFonts w:eastAsia="Times New Roman"/>
                <w:color w:val="auto"/>
                <w:sz w:val="21"/>
              </w:rPr>
              <w:t>1.9</w:t>
            </w:r>
          </w:p>
        </w:tc>
        <w:tc>
          <w:tcPr>
            <w:tcW w:w="656"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rFonts w:eastAsia="Times New Roman"/>
                <w:color w:val="auto"/>
                <w:sz w:val="21"/>
              </w:rPr>
              <w:t>2.1</w:t>
            </w:r>
          </w:p>
        </w:tc>
      </w:tr>
    </w:tbl>
    <w:p>
      <w:pPr>
        <w:pStyle w:val="11"/>
        <w:tabs>
          <w:tab w:val="left" w:pos="4017"/>
        </w:tabs>
        <w:kinsoku w:val="0"/>
        <w:overflowPunct w:val="0"/>
        <w:spacing w:after="0"/>
        <w:ind w:firstLine="480"/>
        <w:jc w:val="center"/>
        <w:rPr>
          <w:rFonts w:eastAsia="黑体"/>
          <w:color w:val="auto"/>
        </w:rPr>
      </w:pPr>
      <w:r>
        <w:rPr>
          <w:rFonts w:eastAsia="黑体"/>
          <w:color w:val="auto"/>
        </w:rPr>
        <w:t>表5.2-5  各季节平均风速（单位：m/s）</w:t>
      </w:r>
    </w:p>
    <w:tbl>
      <w:tblPr>
        <w:tblStyle w:val="27"/>
        <w:tblW w:w="0" w:type="auto"/>
        <w:tblInd w:w="0" w:type="dxa"/>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790"/>
        <w:gridCol w:w="1790"/>
        <w:gridCol w:w="1788"/>
        <w:gridCol w:w="1789"/>
        <w:gridCol w:w="1789"/>
      </w:tblGrid>
      <w:tr>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1790" w:type="dxa"/>
            <w:tcBorders>
              <w:tl2br w:val="nil"/>
              <w:tr2bl w:val="nil"/>
            </w:tcBorders>
          </w:tcPr>
          <w:p>
            <w:pPr>
              <w:pStyle w:val="42"/>
              <w:kinsoku w:val="0"/>
              <w:overflowPunct w:val="0"/>
              <w:autoSpaceDE w:val="0"/>
              <w:autoSpaceDN w:val="0"/>
              <w:snapToGrid/>
              <w:spacing w:line="360" w:lineRule="exact"/>
              <w:ind w:firstLine="0" w:firstLineChars="0"/>
              <w:jc w:val="center"/>
              <w:rPr>
                <w:color w:val="auto"/>
              </w:rPr>
            </w:pPr>
            <w:r>
              <w:rPr>
                <w:color w:val="auto"/>
                <w:sz w:val="21"/>
              </w:rPr>
              <w:t>季节</w:t>
            </w:r>
          </w:p>
        </w:tc>
        <w:tc>
          <w:tcPr>
            <w:tcW w:w="1790" w:type="dxa"/>
            <w:tcBorders>
              <w:tl2br w:val="nil"/>
              <w:tr2bl w:val="nil"/>
            </w:tcBorders>
          </w:tcPr>
          <w:p>
            <w:pPr>
              <w:pStyle w:val="42"/>
              <w:kinsoku w:val="0"/>
              <w:overflowPunct w:val="0"/>
              <w:autoSpaceDE w:val="0"/>
              <w:autoSpaceDN w:val="0"/>
              <w:snapToGrid/>
              <w:spacing w:line="360" w:lineRule="exact"/>
              <w:ind w:firstLine="0" w:firstLineChars="0"/>
              <w:jc w:val="center"/>
              <w:rPr>
                <w:color w:val="auto"/>
              </w:rPr>
            </w:pPr>
            <w:r>
              <w:rPr>
                <w:color w:val="auto"/>
                <w:sz w:val="21"/>
              </w:rPr>
              <w:t>春季</w:t>
            </w:r>
          </w:p>
        </w:tc>
        <w:tc>
          <w:tcPr>
            <w:tcW w:w="1788" w:type="dxa"/>
            <w:tcBorders>
              <w:tl2br w:val="nil"/>
              <w:tr2bl w:val="nil"/>
            </w:tcBorders>
          </w:tcPr>
          <w:p>
            <w:pPr>
              <w:pStyle w:val="42"/>
              <w:kinsoku w:val="0"/>
              <w:overflowPunct w:val="0"/>
              <w:autoSpaceDE w:val="0"/>
              <w:autoSpaceDN w:val="0"/>
              <w:snapToGrid/>
              <w:spacing w:line="360" w:lineRule="exact"/>
              <w:ind w:firstLine="0" w:firstLineChars="0"/>
              <w:jc w:val="center"/>
              <w:rPr>
                <w:color w:val="auto"/>
              </w:rPr>
            </w:pPr>
            <w:r>
              <w:rPr>
                <w:color w:val="auto"/>
                <w:sz w:val="21"/>
              </w:rPr>
              <w:t>夏季</w:t>
            </w:r>
          </w:p>
        </w:tc>
        <w:tc>
          <w:tcPr>
            <w:tcW w:w="1789" w:type="dxa"/>
            <w:tcBorders>
              <w:tl2br w:val="nil"/>
              <w:tr2bl w:val="nil"/>
            </w:tcBorders>
          </w:tcPr>
          <w:p>
            <w:pPr>
              <w:pStyle w:val="42"/>
              <w:kinsoku w:val="0"/>
              <w:overflowPunct w:val="0"/>
              <w:autoSpaceDE w:val="0"/>
              <w:autoSpaceDN w:val="0"/>
              <w:snapToGrid/>
              <w:spacing w:line="360" w:lineRule="exact"/>
              <w:ind w:firstLine="0" w:firstLineChars="0"/>
              <w:jc w:val="center"/>
              <w:rPr>
                <w:color w:val="auto"/>
              </w:rPr>
            </w:pPr>
            <w:r>
              <w:rPr>
                <w:color w:val="auto"/>
                <w:sz w:val="21"/>
              </w:rPr>
              <w:t>秋季</w:t>
            </w:r>
          </w:p>
        </w:tc>
        <w:tc>
          <w:tcPr>
            <w:tcW w:w="1789" w:type="dxa"/>
            <w:tcBorders>
              <w:tl2br w:val="nil"/>
              <w:tr2bl w:val="nil"/>
            </w:tcBorders>
          </w:tcPr>
          <w:p>
            <w:pPr>
              <w:pStyle w:val="42"/>
              <w:kinsoku w:val="0"/>
              <w:overflowPunct w:val="0"/>
              <w:autoSpaceDE w:val="0"/>
              <w:autoSpaceDN w:val="0"/>
              <w:snapToGrid/>
              <w:spacing w:line="360" w:lineRule="exact"/>
              <w:ind w:firstLine="0" w:firstLineChars="0"/>
              <w:jc w:val="center"/>
              <w:rPr>
                <w:color w:val="auto"/>
              </w:rPr>
            </w:pPr>
            <w:r>
              <w:rPr>
                <w:color w:val="auto"/>
                <w:sz w:val="21"/>
              </w:rPr>
              <w:t>冬季</w:t>
            </w:r>
          </w:p>
        </w:tc>
      </w:tr>
      <w:tr>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1790" w:type="dxa"/>
            <w:tcBorders>
              <w:tl2br w:val="nil"/>
              <w:tr2bl w:val="nil"/>
            </w:tcBorders>
          </w:tcPr>
          <w:p>
            <w:pPr>
              <w:pStyle w:val="42"/>
              <w:kinsoku w:val="0"/>
              <w:overflowPunct w:val="0"/>
              <w:autoSpaceDE w:val="0"/>
              <w:autoSpaceDN w:val="0"/>
              <w:snapToGrid/>
              <w:spacing w:line="360" w:lineRule="exact"/>
              <w:ind w:firstLine="0" w:firstLineChars="0"/>
              <w:jc w:val="center"/>
              <w:rPr>
                <w:color w:val="auto"/>
              </w:rPr>
            </w:pPr>
            <w:r>
              <w:rPr>
                <w:color w:val="auto"/>
                <w:sz w:val="21"/>
              </w:rPr>
              <w:t>风速</w:t>
            </w:r>
          </w:p>
        </w:tc>
        <w:tc>
          <w:tcPr>
            <w:tcW w:w="1790" w:type="dxa"/>
            <w:tcBorders>
              <w:tl2br w:val="nil"/>
              <w:tr2bl w:val="nil"/>
            </w:tcBorders>
          </w:tcPr>
          <w:p>
            <w:pPr>
              <w:pStyle w:val="42"/>
              <w:kinsoku w:val="0"/>
              <w:overflowPunct w:val="0"/>
              <w:autoSpaceDE w:val="0"/>
              <w:autoSpaceDN w:val="0"/>
              <w:snapToGrid/>
              <w:spacing w:line="360" w:lineRule="exact"/>
              <w:ind w:firstLine="0" w:firstLineChars="0"/>
              <w:jc w:val="center"/>
              <w:rPr>
                <w:color w:val="auto"/>
              </w:rPr>
            </w:pPr>
            <w:r>
              <w:rPr>
                <w:rFonts w:eastAsia="Times New Roman"/>
                <w:color w:val="auto"/>
                <w:sz w:val="21"/>
              </w:rPr>
              <w:t>2.7</w:t>
            </w:r>
          </w:p>
        </w:tc>
        <w:tc>
          <w:tcPr>
            <w:tcW w:w="1788" w:type="dxa"/>
            <w:tcBorders>
              <w:tl2br w:val="nil"/>
              <w:tr2bl w:val="nil"/>
            </w:tcBorders>
          </w:tcPr>
          <w:p>
            <w:pPr>
              <w:pStyle w:val="42"/>
              <w:kinsoku w:val="0"/>
              <w:overflowPunct w:val="0"/>
              <w:autoSpaceDE w:val="0"/>
              <w:autoSpaceDN w:val="0"/>
              <w:snapToGrid/>
              <w:spacing w:line="360" w:lineRule="exact"/>
              <w:ind w:firstLine="0" w:firstLineChars="0"/>
              <w:jc w:val="center"/>
              <w:rPr>
                <w:color w:val="auto"/>
              </w:rPr>
            </w:pPr>
            <w:r>
              <w:rPr>
                <w:rFonts w:eastAsia="Times New Roman"/>
                <w:color w:val="auto"/>
                <w:sz w:val="21"/>
              </w:rPr>
              <w:t>1.9</w:t>
            </w:r>
          </w:p>
        </w:tc>
        <w:tc>
          <w:tcPr>
            <w:tcW w:w="1789" w:type="dxa"/>
            <w:tcBorders>
              <w:tl2br w:val="nil"/>
              <w:tr2bl w:val="nil"/>
            </w:tcBorders>
          </w:tcPr>
          <w:p>
            <w:pPr>
              <w:pStyle w:val="42"/>
              <w:kinsoku w:val="0"/>
              <w:overflowPunct w:val="0"/>
              <w:autoSpaceDE w:val="0"/>
              <w:autoSpaceDN w:val="0"/>
              <w:snapToGrid/>
              <w:spacing w:line="360" w:lineRule="exact"/>
              <w:ind w:firstLine="0" w:firstLineChars="0"/>
              <w:jc w:val="center"/>
              <w:rPr>
                <w:color w:val="auto"/>
              </w:rPr>
            </w:pPr>
            <w:r>
              <w:rPr>
                <w:rFonts w:eastAsia="Times New Roman"/>
                <w:color w:val="auto"/>
                <w:sz w:val="21"/>
              </w:rPr>
              <w:t>1.6</w:t>
            </w:r>
          </w:p>
        </w:tc>
        <w:tc>
          <w:tcPr>
            <w:tcW w:w="1789" w:type="dxa"/>
            <w:tcBorders>
              <w:tl2br w:val="nil"/>
              <w:tr2bl w:val="nil"/>
            </w:tcBorders>
          </w:tcPr>
          <w:p>
            <w:pPr>
              <w:pStyle w:val="42"/>
              <w:kinsoku w:val="0"/>
              <w:overflowPunct w:val="0"/>
              <w:autoSpaceDE w:val="0"/>
              <w:autoSpaceDN w:val="0"/>
              <w:snapToGrid/>
              <w:spacing w:line="360" w:lineRule="exact"/>
              <w:ind w:firstLine="0" w:firstLineChars="0"/>
              <w:jc w:val="center"/>
              <w:rPr>
                <w:color w:val="auto"/>
              </w:rPr>
            </w:pPr>
            <w:r>
              <w:rPr>
                <w:rFonts w:eastAsia="Times New Roman"/>
                <w:color w:val="auto"/>
                <w:sz w:val="21"/>
              </w:rPr>
              <w:t>2.1</w:t>
            </w:r>
          </w:p>
        </w:tc>
      </w:tr>
    </w:tbl>
    <w:p>
      <w:pPr>
        <w:pStyle w:val="11"/>
        <w:tabs>
          <w:tab w:val="left" w:pos="4017"/>
        </w:tabs>
        <w:kinsoku w:val="0"/>
        <w:overflowPunct w:val="0"/>
        <w:spacing w:after="0"/>
        <w:ind w:firstLine="480"/>
        <w:jc w:val="center"/>
        <w:rPr>
          <w:rFonts w:eastAsia="黑体"/>
          <w:color w:val="auto"/>
        </w:rPr>
      </w:pPr>
      <w:r>
        <w:rPr>
          <w:rFonts w:eastAsia="黑体"/>
          <w:color w:val="auto"/>
        </w:rPr>
        <w:t>表</w:t>
      </w:r>
      <w:r>
        <w:rPr>
          <w:rFonts w:eastAsia="Times New Roman"/>
          <w:color w:val="auto"/>
        </w:rPr>
        <w:t>5.2-6</w:t>
      </w:r>
      <w:r>
        <w:rPr>
          <w:color w:val="auto"/>
        </w:rPr>
        <w:t xml:space="preserve">  </w:t>
      </w:r>
      <w:r>
        <w:rPr>
          <w:rFonts w:eastAsia="黑体"/>
          <w:color w:val="auto"/>
        </w:rPr>
        <w:t>各风向平均风速（</w:t>
      </w:r>
      <w:r>
        <w:rPr>
          <w:rFonts w:eastAsia="Times New Roman"/>
          <w:color w:val="auto"/>
        </w:rPr>
        <w:t>m/s</w:t>
      </w:r>
      <w:r>
        <w:rPr>
          <w:rFonts w:eastAsia="黑体"/>
          <w:color w:val="auto"/>
        </w:rPr>
        <w:t>）</w:t>
      </w:r>
    </w:p>
    <w:tbl>
      <w:tblPr>
        <w:tblStyle w:val="27"/>
        <w:tblW w:w="0" w:type="auto"/>
        <w:tblInd w:w="0" w:type="dxa"/>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399"/>
        <w:gridCol w:w="445"/>
        <w:gridCol w:w="593"/>
        <w:gridCol w:w="460"/>
        <w:gridCol w:w="573"/>
        <w:gridCol w:w="445"/>
        <w:gridCol w:w="542"/>
        <w:gridCol w:w="445"/>
        <w:gridCol w:w="532"/>
        <w:gridCol w:w="445"/>
        <w:gridCol w:w="593"/>
        <w:gridCol w:w="491"/>
        <w:gridCol w:w="665"/>
        <w:gridCol w:w="445"/>
        <w:gridCol w:w="696"/>
        <w:gridCol w:w="522"/>
        <w:gridCol w:w="655"/>
      </w:tblGrid>
      <w:tr>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17" w:hRule="exact"/>
        </w:trPr>
        <w:tc>
          <w:tcPr>
            <w:tcW w:w="399"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color w:val="auto"/>
                <w:sz w:val="21"/>
              </w:rPr>
              <w:t>风向</w:t>
            </w:r>
          </w:p>
        </w:tc>
        <w:tc>
          <w:tcPr>
            <w:tcW w:w="445"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N</w:t>
            </w:r>
          </w:p>
        </w:tc>
        <w:tc>
          <w:tcPr>
            <w:tcW w:w="593"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NNE</w:t>
            </w:r>
          </w:p>
        </w:tc>
        <w:tc>
          <w:tcPr>
            <w:tcW w:w="460"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NE</w:t>
            </w:r>
          </w:p>
        </w:tc>
        <w:tc>
          <w:tcPr>
            <w:tcW w:w="573"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ENE</w:t>
            </w:r>
          </w:p>
        </w:tc>
        <w:tc>
          <w:tcPr>
            <w:tcW w:w="445"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E</w:t>
            </w:r>
          </w:p>
        </w:tc>
        <w:tc>
          <w:tcPr>
            <w:tcW w:w="542"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ESE</w:t>
            </w:r>
          </w:p>
        </w:tc>
        <w:tc>
          <w:tcPr>
            <w:tcW w:w="445"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SE</w:t>
            </w:r>
          </w:p>
        </w:tc>
        <w:tc>
          <w:tcPr>
            <w:tcW w:w="532"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SSE</w:t>
            </w:r>
          </w:p>
        </w:tc>
        <w:tc>
          <w:tcPr>
            <w:tcW w:w="445"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S</w:t>
            </w:r>
          </w:p>
        </w:tc>
        <w:tc>
          <w:tcPr>
            <w:tcW w:w="593"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SSW</w:t>
            </w:r>
          </w:p>
        </w:tc>
        <w:tc>
          <w:tcPr>
            <w:tcW w:w="491"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SW</w:t>
            </w:r>
          </w:p>
        </w:tc>
        <w:tc>
          <w:tcPr>
            <w:tcW w:w="665"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WSW</w:t>
            </w:r>
          </w:p>
        </w:tc>
        <w:tc>
          <w:tcPr>
            <w:tcW w:w="445"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W</w:t>
            </w:r>
          </w:p>
        </w:tc>
        <w:tc>
          <w:tcPr>
            <w:tcW w:w="696"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WNW</w:t>
            </w:r>
          </w:p>
        </w:tc>
        <w:tc>
          <w:tcPr>
            <w:tcW w:w="522"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NW</w:t>
            </w:r>
          </w:p>
        </w:tc>
        <w:tc>
          <w:tcPr>
            <w:tcW w:w="655"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NNW</w:t>
            </w:r>
          </w:p>
        </w:tc>
      </w:tr>
      <w:tr>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46" w:hRule="exact"/>
        </w:trPr>
        <w:tc>
          <w:tcPr>
            <w:tcW w:w="399"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color w:val="auto"/>
                <w:sz w:val="21"/>
              </w:rPr>
              <w:t>风速</w:t>
            </w:r>
          </w:p>
        </w:tc>
        <w:tc>
          <w:tcPr>
            <w:tcW w:w="445"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3.0</w:t>
            </w:r>
          </w:p>
        </w:tc>
        <w:tc>
          <w:tcPr>
            <w:tcW w:w="593"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2.9</w:t>
            </w:r>
          </w:p>
        </w:tc>
        <w:tc>
          <w:tcPr>
            <w:tcW w:w="460"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2.4</w:t>
            </w:r>
          </w:p>
        </w:tc>
        <w:tc>
          <w:tcPr>
            <w:tcW w:w="573"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1.9</w:t>
            </w:r>
          </w:p>
        </w:tc>
        <w:tc>
          <w:tcPr>
            <w:tcW w:w="445"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1.5</w:t>
            </w:r>
          </w:p>
        </w:tc>
        <w:tc>
          <w:tcPr>
            <w:tcW w:w="542"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1.7</w:t>
            </w:r>
          </w:p>
        </w:tc>
        <w:tc>
          <w:tcPr>
            <w:tcW w:w="445"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1.8</w:t>
            </w:r>
          </w:p>
        </w:tc>
        <w:tc>
          <w:tcPr>
            <w:tcW w:w="532"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2.1</w:t>
            </w:r>
          </w:p>
        </w:tc>
        <w:tc>
          <w:tcPr>
            <w:tcW w:w="445"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2.7</w:t>
            </w:r>
          </w:p>
        </w:tc>
        <w:tc>
          <w:tcPr>
            <w:tcW w:w="593"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3.0</w:t>
            </w:r>
          </w:p>
        </w:tc>
        <w:tc>
          <w:tcPr>
            <w:tcW w:w="491"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2.7</w:t>
            </w:r>
          </w:p>
        </w:tc>
        <w:tc>
          <w:tcPr>
            <w:tcW w:w="665"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2.0</w:t>
            </w:r>
          </w:p>
        </w:tc>
        <w:tc>
          <w:tcPr>
            <w:tcW w:w="445"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1.6</w:t>
            </w:r>
          </w:p>
        </w:tc>
        <w:tc>
          <w:tcPr>
            <w:tcW w:w="696"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1.7</w:t>
            </w:r>
          </w:p>
        </w:tc>
        <w:tc>
          <w:tcPr>
            <w:tcW w:w="522"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2.0</w:t>
            </w:r>
          </w:p>
        </w:tc>
        <w:tc>
          <w:tcPr>
            <w:tcW w:w="655" w:type="dxa"/>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2.4</w:t>
            </w:r>
          </w:p>
        </w:tc>
      </w:tr>
    </w:tbl>
    <w:p>
      <w:pPr>
        <w:pStyle w:val="11"/>
        <w:tabs>
          <w:tab w:val="left" w:pos="4017"/>
        </w:tabs>
        <w:kinsoku w:val="0"/>
        <w:overflowPunct w:val="0"/>
        <w:spacing w:after="0"/>
        <w:ind w:firstLine="480"/>
        <w:jc w:val="center"/>
        <w:rPr>
          <w:rFonts w:eastAsia="黑体"/>
          <w:color w:val="auto"/>
        </w:rPr>
      </w:pPr>
      <w:r>
        <w:rPr>
          <w:rFonts w:eastAsia="黑体"/>
          <w:color w:val="auto"/>
        </w:rPr>
        <w:t>表5.2-7  不同时次平均风速（单位：m/s）</w:t>
      </w:r>
    </w:p>
    <w:tbl>
      <w:tblPr>
        <w:tblStyle w:val="27"/>
        <w:tblW w:w="0" w:type="auto"/>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88"/>
        <w:gridCol w:w="1790"/>
        <w:gridCol w:w="1789"/>
        <w:gridCol w:w="1790"/>
        <w:gridCol w:w="178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9" w:hRule="exact"/>
        </w:trPr>
        <w:tc>
          <w:tcPr>
            <w:tcW w:w="1788" w:type="dxa"/>
            <w:tcBorders>
              <w:tl2br w:val="nil"/>
              <w:tr2bl w:val="nil"/>
            </w:tcBorders>
            <w:vAlign w:val="center"/>
          </w:tcPr>
          <w:p>
            <w:pPr>
              <w:pStyle w:val="42"/>
              <w:kinsoku w:val="0"/>
              <w:overflowPunct w:val="0"/>
              <w:adjustRightInd/>
              <w:snapToGrid/>
              <w:spacing w:line="360" w:lineRule="exact"/>
              <w:ind w:firstLine="0" w:firstLineChars="0"/>
              <w:jc w:val="right"/>
              <w:rPr>
                <w:color w:val="auto"/>
                <w:sz w:val="21"/>
              </w:rPr>
            </w:pPr>
            <w:r>
              <w:rPr>
                <w:rFonts w:eastAsia="黑体"/>
                <w:color w:val="auto"/>
                <w:sz w:val="8"/>
              </w:rPr>
              <w:pict>
                <v:shape id="任意多边形 234" o:spid="_x0000_s1030" style="position:absolute;left:0pt;margin-left:1.3pt;margin-top:1pt;height:33.05pt;width:91pt;mso-position-horizontal-relative:page;z-index:-251655168;mso-width-relative:page;mso-height-relative:page;" filled="f" coordsize="1821,662" o:gfxdata="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OhBTP/VAAAA&#10;BgEAAA8AAAAAAAAAAQAgAAAAIgAAAGRycy9kb3ducmV2LnhtbFBLAQIUABQAAAAIAIdO4kDR7a5I&#10;IAIAAEcEAAAOAAAAAAAAAAEAIAAAACQBAABkcnMvZTJvRG9jLnhtbFBLBQYAAAAABgAGAFkBAAC2&#10;BQAAAAA=&#10;" path="m0,0l1821,662e">
                  <v:fill on="f" focussize="0,0"/>
                  <v:stroke weight="0.5pt"/>
                  <v:imagedata o:title=""/>
                  <o:lock v:ext="edit"/>
                </v:shape>
              </w:pict>
            </w:r>
            <w:r>
              <w:rPr>
                <w:color w:val="auto"/>
                <w:sz w:val="21"/>
              </w:rPr>
              <w:t>时次</w:t>
            </w:r>
          </w:p>
          <w:p>
            <w:pPr>
              <w:pStyle w:val="42"/>
              <w:kinsoku w:val="0"/>
              <w:overflowPunct w:val="0"/>
              <w:adjustRightInd/>
              <w:snapToGrid/>
              <w:spacing w:line="360" w:lineRule="exact"/>
              <w:ind w:firstLine="0" w:firstLineChars="0"/>
              <w:jc w:val="left"/>
              <w:rPr>
                <w:color w:val="auto"/>
              </w:rPr>
            </w:pPr>
            <w:r>
              <w:rPr>
                <w:color w:val="auto"/>
                <w:sz w:val="21"/>
              </w:rPr>
              <w:t>季节</w:t>
            </w:r>
          </w:p>
        </w:tc>
        <w:tc>
          <w:tcPr>
            <w:tcW w:w="1790" w:type="dxa"/>
            <w:tcBorders>
              <w:tl2br w:val="nil"/>
              <w:tr2bl w:val="nil"/>
            </w:tcBorders>
            <w:vAlign w:val="center"/>
          </w:tcPr>
          <w:p>
            <w:pPr>
              <w:pStyle w:val="42"/>
              <w:kinsoku w:val="0"/>
              <w:overflowPunct w:val="0"/>
              <w:adjustRightInd/>
              <w:snapToGrid/>
              <w:spacing w:line="360" w:lineRule="exact"/>
              <w:ind w:firstLine="0" w:firstLineChars="0"/>
              <w:jc w:val="center"/>
              <w:rPr>
                <w:color w:val="auto"/>
              </w:rPr>
            </w:pPr>
            <w:r>
              <w:rPr>
                <w:rFonts w:eastAsia="Times New Roman"/>
                <w:color w:val="auto"/>
                <w:sz w:val="21"/>
              </w:rPr>
              <w:t>02</w:t>
            </w:r>
          </w:p>
        </w:tc>
        <w:tc>
          <w:tcPr>
            <w:tcW w:w="1789" w:type="dxa"/>
            <w:tcBorders>
              <w:tl2br w:val="nil"/>
              <w:tr2bl w:val="nil"/>
            </w:tcBorders>
            <w:vAlign w:val="center"/>
          </w:tcPr>
          <w:p>
            <w:pPr>
              <w:pStyle w:val="42"/>
              <w:kinsoku w:val="0"/>
              <w:overflowPunct w:val="0"/>
              <w:adjustRightInd/>
              <w:snapToGrid/>
              <w:spacing w:line="360" w:lineRule="exact"/>
              <w:ind w:firstLine="0" w:firstLineChars="0"/>
              <w:jc w:val="center"/>
              <w:rPr>
                <w:color w:val="auto"/>
              </w:rPr>
            </w:pPr>
            <w:r>
              <w:rPr>
                <w:rFonts w:eastAsia="Times New Roman"/>
                <w:color w:val="auto"/>
                <w:sz w:val="21"/>
              </w:rPr>
              <w:t>08</w:t>
            </w:r>
          </w:p>
        </w:tc>
        <w:tc>
          <w:tcPr>
            <w:tcW w:w="1790" w:type="dxa"/>
            <w:tcBorders>
              <w:tl2br w:val="nil"/>
              <w:tr2bl w:val="nil"/>
            </w:tcBorders>
            <w:vAlign w:val="center"/>
          </w:tcPr>
          <w:p>
            <w:pPr>
              <w:pStyle w:val="42"/>
              <w:kinsoku w:val="0"/>
              <w:overflowPunct w:val="0"/>
              <w:adjustRightInd/>
              <w:snapToGrid/>
              <w:spacing w:line="360" w:lineRule="exact"/>
              <w:ind w:firstLine="0" w:firstLineChars="0"/>
              <w:jc w:val="center"/>
              <w:rPr>
                <w:color w:val="auto"/>
              </w:rPr>
            </w:pPr>
            <w:r>
              <w:rPr>
                <w:rFonts w:eastAsia="Times New Roman"/>
                <w:color w:val="auto"/>
                <w:sz w:val="21"/>
              </w:rPr>
              <w:t>14</w:t>
            </w:r>
          </w:p>
        </w:tc>
        <w:tc>
          <w:tcPr>
            <w:tcW w:w="1789" w:type="dxa"/>
            <w:tcBorders>
              <w:tl2br w:val="nil"/>
              <w:tr2bl w:val="nil"/>
            </w:tcBorders>
            <w:vAlign w:val="center"/>
          </w:tcPr>
          <w:p>
            <w:pPr>
              <w:pStyle w:val="42"/>
              <w:kinsoku w:val="0"/>
              <w:overflowPunct w:val="0"/>
              <w:adjustRightInd/>
              <w:snapToGrid/>
              <w:spacing w:line="360" w:lineRule="exact"/>
              <w:ind w:firstLine="0" w:firstLineChars="0"/>
              <w:jc w:val="center"/>
              <w:rPr>
                <w:color w:val="auto"/>
              </w:rPr>
            </w:pPr>
            <w:r>
              <w:rPr>
                <w:rFonts w:eastAsia="Times New Roman"/>
                <w:color w:val="auto"/>
                <w:sz w:val="21"/>
              </w:rPr>
              <w:t>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6" w:hRule="exact"/>
        </w:trPr>
        <w:tc>
          <w:tcPr>
            <w:tcW w:w="1788" w:type="dxa"/>
            <w:tcBorders>
              <w:tl2br w:val="nil"/>
              <w:tr2bl w:val="nil"/>
            </w:tcBorders>
            <w:vAlign w:val="center"/>
          </w:tcPr>
          <w:p>
            <w:pPr>
              <w:pStyle w:val="42"/>
              <w:kinsoku w:val="0"/>
              <w:overflowPunct w:val="0"/>
              <w:adjustRightInd/>
              <w:snapToGrid/>
              <w:spacing w:line="360" w:lineRule="exact"/>
              <w:ind w:firstLine="0" w:firstLineChars="0"/>
              <w:jc w:val="center"/>
              <w:rPr>
                <w:color w:val="auto"/>
              </w:rPr>
            </w:pPr>
            <w:r>
              <w:rPr>
                <w:color w:val="auto"/>
                <w:sz w:val="21"/>
              </w:rPr>
              <w:t>春季</w:t>
            </w:r>
          </w:p>
        </w:tc>
        <w:tc>
          <w:tcPr>
            <w:tcW w:w="1790" w:type="dxa"/>
            <w:tcBorders>
              <w:tl2br w:val="nil"/>
              <w:tr2bl w:val="nil"/>
            </w:tcBorders>
            <w:vAlign w:val="center"/>
          </w:tcPr>
          <w:p>
            <w:pPr>
              <w:pStyle w:val="42"/>
              <w:kinsoku w:val="0"/>
              <w:overflowPunct w:val="0"/>
              <w:adjustRightInd/>
              <w:snapToGrid/>
              <w:spacing w:line="360" w:lineRule="exact"/>
              <w:ind w:firstLine="0" w:firstLineChars="0"/>
              <w:jc w:val="center"/>
              <w:rPr>
                <w:color w:val="auto"/>
              </w:rPr>
            </w:pPr>
            <w:r>
              <w:rPr>
                <w:rFonts w:eastAsia="Times New Roman"/>
                <w:color w:val="auto"/>
                <w:sz w:val="21"/>
              </w:rPr>
              <w:t>2.1</w:t>
            </w:r>
          </w:p>
        </w:tc>
        <w:tc>
          <w:tcPr>
            <w:tcW w:w="1789" w:type="dxa"/>
            <w:tcBorders>
              <w:tl2br w:val="nil"/>
              <w:tr2bl w:val="nil"/>
            </w:tcBorders>
            <w:vAlign w:val="center"/>
          </w:tcPr>
          <w:p>
            <w:pPr>
              <w:pStyle w:val="42"/>
              <w:kinsoku w:val="0"/>
              <w:overflowPunct w:val="0"/>
              <w:adjustRightInd/>
              <w:snapToGrid/>
              <w:spacing w:line="360" w:lineRule="exact"/>
              <w:ind w:firstLine="0" w:firstLineChars="0"/>
              <w:jc w:val="center"/>
              <w:rPr>
                <w:color w:val="auto"/>
              </w:rPr>
            </w:pPr>
            <w:r>
              <w:rPr>
                <w:rFonts w:eastAsia="Times New Roman"/>
                <w:color w:val="auto"/>
                <w:sz w:val="21"/>
              </w:rPr>
              <w:t>2.5</w:t>
            </w:r>
          </w:p>
        </w:tc>
        <w:tc>
          <w:tcPr>
            <w:tcW w:w="1790" w:type="dxa"/>
            <w:tcBorders>
              <w:tl2br w:val="nil"/>
              <w:tr2bl w:val="nil"/>
            </w:tcBorders>
            <w:vAlign w:val="center"/>
          </w:tcPr>
          <w:p>
            <w:pPr>
              <w:pStyle w:val="42"/>
              <w:kinsoku w:val="0"/>
              <w:overflowPunct w:val="0"/>
              <w:adjustRightInd/>
              <w:snapToGrid/>
              <w:spacing w:line="360" w:lineRule="exact"/>
              <w:ind w:firstLine="0" w:firstLineChars="0"/>
              <w:jc w:val="center"/>
              <w:rPr>
                <w:color w:val="auto"/>
              </w:rPr>
            </w:pPr>
            <w:r>
              <w:rPr>
                <w:rFonts w:eastAsia="Times New Roman"/>
                <w:color w:val="auto"/>
                <w:sz w:val="21"/>
              </w:rPr>
              <w:t>3.9</w:t>
            </w:r>
          </w:p>
        </w:tc>
        <w:tc>
          <w:tcPr>
            <w:tcW w:w="1789" w:type="dxa"/>
            <w:tcBorders>
              <w:tl2br w:val="nil"/>
              <w:tr2bl w:val="nil"/>
            </w:tcBorders>
            <w:vAlign w:val="center"/>
          </w:tcPr>
          <w:p>
            <w:pPr>
              <w:pStyle w:val="42"/>
              <w:kinsoku w:val="0"/>
              <w:overflowPunct w:val="0"/>
              <w:adjustRightInd/>
              <w:snapToGrid/>
              <w:spacing w:line="360" w:lineRule="exact"/>
              <w:ind w:firstLine="0" w:firstLineChars="0"/>
              <w:jc w:val="center"/>
              <w:rPr>
                <w:color w:val="auto"/>
              </w:rPr>
            </w:pPr>
            <w:r>
              <w:rPr>
                <w:rFonts w:eastAsia="Times New Roman"/>
                <w:color w:val="auto"/>
                <w:sz w:val="21"/>
              </w:rPr>
              <w:t>2.3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6" w:hRule="exact"/>
        </w:trPr>
        <w:tc>
          <w:tcPr>
            <w:tcW w:w="1788" w:type="dxa"/>
            <w:tcBorders>
              <w:tl2br w:val="nil"/>
              <w:tr2bl w:val="nil"/>
            </w:tcBorders>
            <w:vAlign w:val="center"/>
          </w:tcPr>
          <w:p>
            <w:pPr>
              <w:pStyle w:val="42"/>
              <w:kinsoku w:val="0"/>
              <w:overflowPunct w:val="0"/>
              <w:adjustRightInd/>
              <w:snapToGrid/>
              <w:spacing w:line="360" w:lineRule="exact"/>
              <w:ind w:firstLine="0" w:firstLineChars="0"/>
              <w:jc w:val="center"/>
              <w:rPr>
                <w:color w:val="auto"/>
              </w:rPr>
            </w:pPr>
            <w:r>
              <w:rPr>
                <w:color w:val="auto"/>
                <w:sz w:val="21"/>
              </w:rPr>
              <w:t>夏季</w:t>
            </w:r>
          </w:p>
        </w:tc>
        <w:tc>
          <w:tcPr>
            <w:tcW w:w="1790" w:type="dxa"/>
            <w:tcBorders>
              <w:tl2br w:val="nil"/>
              <w:tr2bl w:val="nil"/>
            </w:tcBorders>
            <w:vAlign w:val="center"/>
          </w:tcPr>
          <w:p>
            <w:pPr>
              <w:pStyle w:val="42"/>
              <w:kinsoku w:val="0"/>
              <w:overflowPunct w:val="0"/>
              <w:adjustRightInd/>
              <w:snapToGrid/>
              <w:spacing w:line="360" w:lineRule="exact"/>
              <w:ind w:firstLine="0" w:firstLineChars="0"/>
              <w:jc w:val="center"/>
              <w:rPr>
                <w:color w:val="auto"/>
              </w:rPr>
            </w:pPr>
            <w:r>
              <w:rPr>
                <w:rFonts w:eastAsia="Times New Roman"/>
                <w:color w:val="auto"/>
                <w:sz w:val="21"/>
              </w:rPr>
              <w:t>1.4</w:t>
            </w:r>
          </w:p>
        </w:tc>
        <w:tc>
          <w:tcPr>
            <w:tcW w:w="1789" w:type="dxa"/>
            <w:tcBorders>
              <w:tl2br w:val="nil"/>
              <w:tr2bl w:val="nil"/>
            </w:tcBorders>
            <w:vAlign w:val="center"/>
          </w:tcPr>
          <w:p>
            <w:pPr>
              <w:pStyle w:val="42"/>
              <w:kinsoku w:val="0"/>
              <w:overflowPunct w:val="0"/>
              <w:adjustRightInd/>
              <w:snapToGrid/>
              <w:spacing w:line="360" w:lineRule="exact"/>
              <w:ind w:firstLine="0" w:firstLineChars="0"/>
              <w:jc w:val="center"/>
              <w:rPr>
                <w:color w:val="auto"/>
              </w:rPr>
            </w:pPr>
            <w:r>
              <w:rPr>
                <w:rFonts w:eastAsia="Times New Roman"/>
                <w:color w:val="auto"/>
                <w:sz w:val="21"/>
              </w:rPr>
              <w:t>1.5</w:t>
            </w:r>
          </w:p>
        </w:tc>
        <w:tc>
          <w:tcPr>
            <w:tcW w:w="1790" w:type="dxa"/>
            <w:tcBorders>
              <w:tl2br w:val="nil"/>
              <w:tr2bl w:val="nil"/>
            </w:tcBorders>
            <w:vAlign w:val="center"/>
          </w:tcPr>
          <w:p>
            <w:pPr>
              <w:pStyle w:val="42"/>
              <w:kinsoku w:val="0"/>
              <w:overflowPunct w:val="0"/>
              <w:adjustRightInd/>
              <w:snapToGrid/>
              <w:spacing w:line="360" w:lineRule="exact"/>
              <w:ind w:firstLine="0" w:firstLineChars="0"/>
              <w:jc w:val="center"/>
              <w:rPr>
                <w:color w:val="auto"/>
              </w:rPr>
            </w:pPr>
            <w:r>
              <w:rPr>
                <w:rFonts w:eastAsia="Times New Roman"/>
                <w:color w:val="auto"/>
                <w:sz w:val="21"/>
              </w:rPr>
              <w:t>2.7</w:t>
            </w:r>
          </w:p>
        </w:tc>
        <w:tc>
          <w:tcPr>
            <w:tcW w:w="1789" w:type="dxa"/>
            <w:tcBorders>
              <w:tl2br w:val="nil"/>
              <w:tr2bl w:val="nil"/>
            </w:tcBorders>
            <w:vAlign w:val="center"/>
          </w:tcPr>
          <w:p>
            <w:pPr>
              <w:pStyle w:val="42"/>
              <w:kinsoku w:val="0"/>
              <w:overflowPunct w:val="0"/>
              <w:adjustRightInd/>
              <w:snapToGrid/>
              <w:spacing w:line="360" w:lineRule="exact"/>
              <w:ind w:firstLine="0" w:firstLineChars="0"/>
              <w:jc w:val="center"/>
              <w:rPr>
                <w:color w:val="auto"/>
              </w:rPr>
            </w:pPr>
            <w:r>
              <w:rPr>
                <w:rFonts w:eastAsia="Times New Roman"/>
                <w:color w:val="auto"/>
                <w:sz w:val="21"/>
              </w:rPr>
              <w:t>1.5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1788" w:type="dxa"/>
            <w:tcBorders>
              <w:tl2br w:val="nil"/>
              <w:tr2bl w:val="nil"/>
            </w:tcBorders>
            <w:vAlign w:val="center"/>
          </w:tcPr>
          <w:p>
            <w:pPr>
              <w:pStyle w:val="42"/>
              <w:kinsoku w:val="0"/>
              <w:overflowPunct w:val="0"/>
              <w:adjustRightInd/>
              <w:snapToGrid/>
              <w:spacing w:line="360" w:lineRule="exact"/>
              <w:ind w:firstLine="0" w:firstLineChars="0"/>
              <w:jc w:val="center"/>
              <w:rPr>
                <w:color w:val="auto"/>
              </w:rPr>
            </w:pPr>
            <w:r>
              <w:rPr>
                <w:color w:val="auto"/>
                <w:sz w:val="21"/>
              </w:rPr>
              <w:t>秋季</w:t>
            </w:r>
          </w:p>
        </w:tc>
        <w:tc>
          <w:tcPr>
            <w:tcW w:w="1790" w:type="dxa"/>
            <w:tcBorders>
              <w:tl2br w:val="nil"/>
              <w:tr2bl w:val="nil"/>
            </w:tcBorders>
            <w:vAlign w:val="center"/>
          </w:tcPr>
          <w:p>
            <w:pPr>
              <w:pStyle w:val="42"/>
              <w:kinsoku w:val="0"/>
              <w:overflowPunct w:val="0"/>
              <w:adjustRightInd/>
              <w:snapToGrid/>
              <w:spacing w:line="360" w:lineRule="exact"/>
              <w:ind w:firstLine="0" w:firstLineChars="0"/>
              <w:jc w:val="center"/>
              <w:rPr>
                <w:color w:val="auto"/>
              </w:rPr>
            </w:pPr>
            <w:r>
              <w:rPr>
                <w:rFonts w:eastAsia="Times New Roman"/>
                <w:color w:val="auto"/>
                <w:sz w:val="21"/>
              </w:rPr>
              <w:t>1.3</w:t>
            </w:r>
          </w:p>
        </w:tc>
        <w:tc>
          <w:tcPr>
            <w:tcW w:w="1789" w:type="dxa"/>
            <w:tcBorders>
              <w:tl2br w:val="nil"/>
              <w:tr2bl w:val="nil"/>
            </w:tcBorders>
            <w:vAlign w:val="center"/>
          </w:tcPr>
          <w:p>
            <w:pPr>
              <w:pStyle w:val="42"/>
              <w:kinsoku w:val="0"/>
              <w:overflowPunct w:val="0"/>
              <w:adjustRightInd/>
              <w:snapToGrid/>
              <w:spacing w:line="360" w:lineRule="exact"/>
              <w:ind w:firstLine="0" w:firstLineChars="0"/>
              <w:jc w:val="center"/>
              <w:rPr>
                <w:color w:val="auto"/>
              </w:rPr>
            </w:pPr>
            <w:r>
              <w:rPr>
                <w:rFonts w:eastAsia="Times New Roman"/>
                <w:color w:val="auto"/>
                <w:sz w:val="21"/>
              </w:rPr>
              <w:t>1.4</w:t>
            </w:r>
          </w:p>
        </w:tc>
        <w:tc>
          <w:tcPr>
            <w:tcW w:w="1790" w:type="dxa"/>
            <w:tcBorders>
              <w:tl2br w:val="nil"/>
              <w:tr2bl w:val="nil"/>
            </w:tcBorders>
            <w:vAlign w:val="center"/>
          </w:tcPr>
          <w:p>
            <w:pPr>
              <w:pStyle w:val="42"/>
              <w:kinsoku w:val="0"/>
              <w:overflowPunct w:val="0"/>
              <w:adjustRightInd/>
              <w:snapToGrid/>
              <w:spacing w:line="360" w:lineRule="exact"/>
              <w:ind w:firstLine="0" w:firstLineChars="0"/>
              <w:jc w:val="center"/>
              <w:rPr>
                <w:color w:val="auto"/>
              </w:rPr>
            </w:pPr>
            <w:r>
              <w:rPr>
                <w:rFonts w:eastAsia="Times New Roman"/>
                <w:color w:val="auto"/>
                <w:sz w:val="21"/>
              </w:rPr>
              <w:t>2.6</w:t>
            </w:r>
          </w:p>
        </w:tc>
        <w:tc>
          <w:tcPr>
            <w:tcW w:w="1789" w:type="dxa"/>
            <w:tcBorders>
              <w:tl2br w:val="nil"/>
              <w:tr2bl w:val="nil"/>
            </w:tcBorders>
            <w:vAlign w:val="center"/>
          </w:tcPr>
          <w:p>
            <w:pPr>
              <w:pStyle w:val="42"/>
              <w:kinsoku w:val="0"/>
              <w:overflowPunct w:val="0"/>
              <w:adjustRightInd/>
              <w:snapToGrid/>
              <w:spacing w:line="360" w:lineRule="exact"/>
              <w:ind w:firstLine="0" w:firstLineChars="0"/>
              <w:jc w:val="center"/>
              <w:rPr>
                <w:color w:val="auto"/>
              </w:rPr>
            </w:pPr>
            <w:r>
              <w:rPr>
                <w:rFonts w:eastAsia="Times New Roman"/>
                <w:color w:val="auto"/>
                <w:sz w:val="21"/>
              </w:rPr>
              <w:t>1.2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6" w:hRule="exact"/>
        </w:trPr>
        <w:tc>
          <w:tcPr>
            <w:tcW w:w="1788" w:type="dxa"/>
            <w:tcBorders>
              <w:tl2br w:val="nil"/>
              <w:tr2bl w:val="nil"/>
            </w:tcBorders>
            <w:vAlign w:val="center"/>
          </w:tcPr>
          <w:p>
            <w:pPr>
              <w:pStyle w:val="42"/>
              <w:kinsoku w:val="0"/>
              <w:overflowPunct w:val="0"/>
              <w:adjustRightInd/>
              <w:snapToGrid/>
              <w:spacing w:line="360" w:lineRule="exact"/>
              <w:ind w:firstLine="0" w:firstLineChars="0"/>
              <w:jc w:val="center"/>
              <w:rPr>
                <w:color w:val="auto"/>
              </w:rPr>
            </w:pPr>
            <w:r>
              <w:rPr>
                <w:color w:val="auto"/>
                <w:sz w:val="21"/>
              </w:rPr>
              <w:t>冬季</w:t>
            </w:r>
          </w:p>
        </w:tc>
        <w:tc>
          <w:tcPr>
            <w:tcW w:w="1790" w:type="dxa"/>
            <w:tcBorders>
              <w:tl2br w:val="nil"/>
              <w:tr2bl w:val="nil"/>
            </w:tcBorders>
            <w:vAlign w:val="center"/>
          </w:tcPr>
          <w:p>
            <w:pPr>
              <w:pStyle w:val="42"/>
              <w:kinsoku w:val="0"/>
              <w:overflowPunct w:val="0"/>
              <w:adjustRightInd/>
              <w:snapToGrid/>
              <w:spacing w:line="360" w:lineRule="exact"/>
              <w:ind w:firstLine="0" w:firstLineChars="0"/>
              <w:jc w:val="center"/>
              <w:rPr>
                <w:color w:val="auto"/>
              </w:rPr>
            </w:pPr>
            <w:r>
              <w:rPr>
                <w:rFonts w:eastAsia="Times New Roman"/>
                <w:color w:val="auto"/>
                <w:sz w:val="21"/>
              </w:rPr>
              <w:t>1.6</w:t>
            </w:r>
          </w:p>
        </w:tc>
        <w:tc>
          <w:tcPr>
            <w:tcW w:w="1789" w:type="dxa"/>
            <w:tcBorders>
              <w:tl2br w:val="nil"/>
              <w:tr2bl w:val="nil"/>
            </w:tcBorders>
            <w:vAlign w:val="center"/>
          </w:tcPr>
          <w:p>
            <w:pPr>
              <w:pStyle w:val="42"/>
              <w:kinsoku w:val="0"/>
              <w:overflowPunct w:val="0"/>
              <w:adjustRightInd/>
              <w:snapToGrid/>
              <w:spacing w:line="360" w:lineRule="exact"/>
              <w:ind w:firstLine="0" w:firstLineChars="0"/>
              <w:jc w:val="center"/>
              <w:rPr>
                <w:color w:val="auto"/>
              </w:rPr>
            </w:pPr>
            <w:r>
              <w:rPr>
                <w:rFonts w:eastAsia="Times New Roman"/>
                <w:color w:val="auto"/>
                <w:sz w:val="21"/>
              </w:rPr>
              <w:t>1.8</w:t>
            </w:r>
          </w:p>
        </w:tc>
        <w:tc>
          <w:tcPr>
            <w:tcW w:w="1790" w:type="dxa"/>
            <w:tcBorders>
              <w:tl2br w:val="nil"/>
              <w:tr2bl w:val="nil"/>
            </w:tcBorders>
            <w:vAlign w:val="center"/>
          </w:tcPr>
          <w:p>
            <w:pPr>
              <w:pStyle w:val="42"/>
              <w:kinsoku w:val="0"/>
              <w:overflowPunct w:val="0"/>
              <w:adjustRightInd/>
              <w:snapToGrid/>
              <w:spacing w:line="360" w:lineRule="exact"/>
              <w:ind w:firstLine="0" w:firstLineChars="0"/>
              <w:jc w:val="center"/>
              <w:rPr>
                <w:color w:val="auto"/>
              </w:rPr>
            </w:pPr>
            <w:r>
              <w:rPr>
                <w:rFonts w:eastAsia="Times New Roman"/>
                <w:color w:val="auto"/>
                <w:sz w:val="21"/>
              </w:rPr>
              <w:t>3.0</w:t>
            </w:r>
          </w:p>
        </w:tc>
        <w:tc>
          <w:tcPr>
            <w:tcW w:w="1789" w:type="dxa"/>
            <w:tcBorders>
              <w:tl2br w:val="nil"/>
              <w:tr2bl w:val="nil"/>
            </w:tcBorders>
            <w:vAlign w:val="center"/>
          </w:tcPr>
          <w:p>
            <w:pPr>
              <w:pStyle w:val="42"/>
              <w:kinsoku w:val="0"/>
              <w:overflowPunct w:val="0"/>
              <w:adjustRightInd/>
              <w:snapToGrid/>
              <w:spacing w:line="360" w:lineRule="exact"/>
              <w:ind w:firstLine="0" w:firstLineChars="0"/>
              <w:jc w:val="center"/>
              <w:rPr>
                <w:color w:val="auto"/>
              </w:rPr>
            </w:pPr>
            <w:r>
              <w:rPr>
                <w:rFonts w:eastAsia="Times New Roman"/>
                <w:color w:val="auto"/>
                <w:sz w:val="21"/>
              </w:rPr>
              <w:t>1.8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6" w:hRule="exact"/>
        </w:trPr>
        <w:tc>
          <w:tcPr>
            <w:tcW w:w="1788" w:type="dxa"/>
            <w:tcBorders>
              <w:tl2br w:val="nil"/>
              <w:tr2bl w:val="nil"/>
            </w:tcBorders>
            <w:vAlign w:val="center"/>
          </w:tcPr>
          <w:p>
            <w:pPr>
              <w:pStyle w:val="42"/>
              <w:kinsoku w:val="0"/>
              <w:overflowPunct w:val="0"/>
              <w:adjustRightInd/>
              <w:snapToGrid/>
              <w:spacing w:line="360" w:lineRule="exact"/>
              <w:ind w:firstLine="0" w:firstLineChars="0"/>
              <w:jc w:val="center"/>
              <w:rPr>
                <w:color w:val="auto"/>
              </w:rPr>
            </w:pPr>
            <w:r>
              <w:rPr>
                <w:color w:val="auto"/>
                <w:sz w:val="21"/>
              </w:rPr>
              <w:t>全年</w:t>
            </w:r>
          </w:p>
        </w:tc>
        <w:tc>
          <w:tcPr>
            <w:tcW w:w="1790" w:type="dxa"/>
            <w:tcBorders>
              <w:tl2br w:val="nil"/>
              <w:tr2bl w:val="nil"/>
            </w:tcBorders>
            <w:vAlign w:val="center"/>
          </w:tcPr>
          <w:p>
            <w:pPr>
              <w:pStyle w:val="42"/>
              <w:kinsoku w:val="0"/>
              <w:overflowPunct w:val="0"/>
              <w:adjustRightInd/>
              <w:snapToGrid/>
              <w:spacing w:line="360" w:lineRule="exact"/>
              <w:ind w:firstLine="0" w:firstLineChars="0"/>
              <w:jc w:val="center"/>
              <w:rPr>
                <w:color w:val="auto"/>
              </w:rPr>
            </w:pPr>
            <w:r>
              <w:rPr>
                <w:rFonts w:eastAsia="Times New Roman"/>
                <w:color w:val="auto"/>
                <w:sz w:val="21"/>
              </w:rPr>
              <w:t>1.6</w:t>
            </w:r>
          </w:p>
        </w:tc>
        <w:tc>
          <w:tcPr>
            <w:tcW w:w="1789" w:type="dxa"/>
            <w:tcBorders>
              <w:tl2br w:val="nil"/>
              <w:tr2bl w:val="nil"/>
            </w:tcBorders>
            <w:vAlign w:val="center"/>
          </w:tcPr>
          <w:p>
            <w:pPr>
              <w:pStyle w:val="42"/>
              <w:kinsoku w:val="0"/>
              <w:overflowPunct w:val="0"/>
              <w:adjustRightInd/>
              <w:snapToGrid/>
              <w:spacing w:line="360" w:lineRule="exact"/>
              <w:ind w:firstLine="0" w:firstLineChars="0"/>
              <w:jc w:val="center"/>
              <w:rPr>
                <w:color w:val="auto"/>
              </w:rPr>
            </w:pPr>
            <w:r>
              <w:rPr>
                <w:rFonts w:eastAsia="Times New Roman"/>
                <w:color w:val="auto"/>
                <w:sz w:val="21"/>
              </w:rPr>
              <w:t>1.9</w:t>
            </w:r>
          </w:p>
        </w:tc>
        <w:tc>
          <w:tcPr>
            <w:tcW w:w="1790" w:type="dxa"/>
            <w:tcBorders>
              <w:tl2br w:val="nil"/>
              <w:tr2bl w:val="nil"/>
            </w:tcBorders>
            <w:vAlign w:val="center"/>
          </w:tcPr>
          <w:p>
            <w:pPr>
              <w:pStyle w:val="42"/>
              <w:kinsoku w:val="0"/>
              <w:overflowPunct w:val="0"/>
              <w:adjustRightInd/>
              <w:snapToGrid/>
              <w:spacing w:line="360" w:lineRule="exact"/>
              <w:ind w:firstLine="0" w:firstLineChars="0"/>
              <w:jc w:val="center"/>
              <w:rPr>
                <w:color w:val="auto"/>
              </w:rPr>
            </w:pPr>
            <w:r>
              <w:rPr>
                <w:rFonts w:eastAsia="Times New Roman"/>
                <w:color w:val="auto"/>
                <w:sz w:val="21"/>
              </w:rPr>
              <w:t>3.1</w:t>
            </w:r>
          </w:p>
        </w:tc>
        <w:tc>
          <w:tcPr>
            <w:tcW w:w="1789" w:type="dxa"/>
            <w:tcBorders>
              <w:tl2br w:val="nil"/>
              <w:tr2bl w:val="nil"/>
            </w:tcBorders>
            <w:vAlign w:val="center"/>
          </w:tcPr>
          <w:p>
            <w:pPr>
              <w:pStyle w:val="42"/>
              <w:kinsoku w:val="0"/>
              <w:overflowPunct w:val="0"/>
              <w:adjustRightInd/>
              <w:snapToGrid/>
              <w:spacing w:line="360" w:lineRule="exact"/>
              <w:ind w:firstLine="0" w:firstLineChars="0"/>
              <w:jc w:val="center"/>
              <w:rPr>
                <w:color w:val="auto"/>
              </w:rPr>
            </w:pPr>
            <w:r>
              <w:rPr>
                <w:rFonts w:eastAsia="Times New Roman"/>
                <w:color w:val="auto"/>
                <w:sz w:val="21"/>
              </w:rPr>
              <w:t>1.7</w:t>
            </w:r>
          </w:p>
        </w:tc>
      </w:tr>
    </w:tbl>
    <w:p>
      <w:pPr>
        <w:pStyle w:val="11"/>
        <w:tabs>
          <w:tab w:val="left" w:pos="4017"/>
        </w:tabs>
        <w:kinsoku w:val="0"/>
        <w:overflowPunct w:val="0"/>
        <w:spacing w:after="0"/>
        <w:ind w:firstLine="480"/>
        <w:jc w:val="center"/>
        <w:rPr>
          <w:rFonts w:eastAsia="黑体"/>
          <w:color w:val="auto"/>
        </w:rPr>
      </w:pPr>
      <w:r>
        <w:rPr>
          <w:rFonts w:eastAsia="黑体"/>
          <w:color w:val="auto"/>
        </w:rPr>
        <w:t>表5.2-8  全年及各季节不同风速档级频率（%）</w:t>
      </w:r>
    </w:p>
    <w:tbl>
      <w:tblPr>
        <w:tblStyle w:val="27"/>
        <w:tblW w:w="0" w:type="auto"/>
        <w:tblInd w:w="0" w:type="dxa"/>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2382"/>
        <w:gridCol w:w="1391"/>
        <w:gridCol w:w="1390"/>
        <w:gridCol w:w="1391"/>
        <w:gridCol w:w="1391"/>
        <w:gridCol w:w="1001"/>
      </w:tblGrid>
      <w:tr>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79" w:hRule="exact"/>
        </w:trPr>
        <w:tc>
          <w:tcPr>
            <w:tcW w:w="2382" w:type="dxa"/>
            <w:tcBorders>
              <w:tl2br w:val="nil"/>
              <w:tr2bl w:val="nil"/>
            </w:tcBorders>
            <w:vAlign w:val="center"/>
          </w:tcPr>
          <w:p>
            <w:pPr>
              <w:pStyle w:val="42"/>
              <w:kinsoku w:val="0"/>
              <w:overflowPunct w:val="0"/>
              <w:autoSpaceDE w:val="0"/>
              <w:autoSpaceDN w:val="0"/>
              <w:snapToGrid/>
              <w:spacing w:line="360" w:lineRule="exact"/>
              <w:ind w:firstLine="0" w:firstLineChars="0"/>
              <w:jc w:val="right"/>
              <w:rPr>
                <w:color w:val="auto"/>
                <w:sz w:val="21"/>
              </w:rPr>
            </w:pPr>
            <w:r>
              <w:rPr>
                <w:rFonts w:eastAsia="黑体"/>
                <w:color w:val="auto"/>
                <w:sz w:val="20"/>
              </w:rPr>
              <w:pict>
                <v:shape id="任意多边形 235" o:spid="_x0000_s1031" style="position:absolute;left:0pt;margin-left:-1.35pt;margin-top:0.7pt;height:33.05pt;width:121.2pt;mso-position-horizontal-relative:page;z-index:-251654144;mso-width-relative:page;mso-height-relative:page;" filled="f" coordsize="2425,662" o:gfxdata="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pW&#10;c/jaAAAACgEAAA8AAAAAAAAAAQAgAAAAIgAAAGRycy9kb3ducmV2LnhtbFBLAQIUABQAAAAIAIdO&#10;4kAqywviIQIAAEcEAAAOAAAAAAAAAAEAIAAAACkBAABkcnMvZTJvRG9jLnhtbFBLBQYAAAAABgAG&#10;AFkBAAC8BQAAAAA=&#10;" path="m0,0l2425,662e">
                  <v:fill on="f" focussize="0,0"/>
                  <v:stroke weight="0.5pt"/>
                  <v:imagedata o:title=""/>
                  <o:lock v:ext="edit"/>
                </v:shape>
              </w:pict>
            </w:r>
            <w:r>
              <w:rPr>
                <w:color w:val="auto"/>
                <w:sz w:val="21"/>
              </w:rPr>
              <w:t>风速档（</w:t>
            </w:r>
            <w:r>
              <w:rPr>
                <w:rFonts w:eastAsia="Times New Roman"/>
                <w:color w:val="auto"/>
                <w:sz w:val="21"/>
              </w:rPr>
              <w:t>m/s</w:t>
            </w:r>
            <w:r>
              <w:rPr>
                <w:color w:val="auto"/>
                <w:sz w:val="21"/>
              </w:rPr>
              <w:t>）</w:t>
            </w:r>
          </w:p>
          <w:p>
            <w:pPr>
              <w:pStyle w:val="42"/>
              <w:kinsoku w:val="0"/>
              <w:overflowPunct w:val="0"/>
              <w:autoSpaceDE w:val="0"/>
              <w:autoSpaceDN w:val="0"/>
              <w:snapToGrid/>
              <w:spacing w:line="360" w:lineRule="exact"/>
              <w:ind w:firstLine="0" w:firstLineChars="0"/>
              <w:jc w:val="left"/>
              <w:rPr>
                <w:color w:val="auto"/>
              </w:rPr>
            </w:pPr>
            <w:r>
              <w:rPr>
                <w:color w:val="auto"/>
                <w:sz w:val="21"/>
              </w:rPr>
              <w:t>时间</w:t>
            </w:r>
          </w:p>
        </w:tc>
        <w:tc>
          <w:tcPr>
            <w:tcW w:w="1391"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color w:val="auto"/>
                <w:sz w:val="21"/>
              </w:rPr>
              <w:t>≤</w:t>
            </w:r>
            <w:r>
              <w:rPr>
                <w:rFonts w:eastAsia="Times New Roman"/>
                <w:color w:val="auto"/>
                <w:sz w:val="21"/>
              </w:rPr>
              <w:t>1.9</w:t>
            </w:r>
          </w:p>
        </w:tc>
        <w:tc>
          <w:tcPr>
            <w:tcW w:w="1390"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rFonts w:eastAsia="Times New Roman"/>
                <w:color w:val="auto"/>
                <w:sz w:val="21"/>
              </w:rPr>
              <w:t>2.0</w:t>
            </w:r>
            <w:r>
              <w:rPr>
                <w:color w:val="auto"/>
                <w:sz w:val="21"/>
              </w:rPr>
              <w:t>～</w:t>
            </w:r>
            <w:r>
              <w:rPr>
                <w:rFonts w:eastAsia="Times New Roman"/>
                <w:color w:val="auto"/>
                <w:sz w:val="21"/>
              </w:rPr>
              <w:t>2.9</w:t>
            </w:r>
          </w:p>
        </w:tc>
        <w:tc>
          <w:tcPr>
            <w:tcW w:w="1391"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rFonts w:eastAsia="Times New Roman"/>
                <w:color w:val="auto"/>
                <w:sz w:val="21"/>
              </w:rPr>
              <w:t>3.0</w:t>
            </w:r>
            <w:r>
              <w:rPr>
                <w:color w:val="auto"/>
                <w:sz w:val="21"/>
              </w:rPr>
              <w:t>～</w:t>
            </w:r>
            <w:r>
              <w:rPr>
                <w:rFonts w:eastAsia="Times New Roman"/>
                <w:color w:val="auto"/>
                <w:sz w:val="21"/>
              </w:rPr>
              <w:t>3.9</w:t>
            </w:r>
          </w:p>
        </w:tc>
        <w:tc>
          <w:tcPr>
            <w:tcW w:w="1391"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rFonts w:eastAsia="Times New Roman"/>
                <w:color w:val="auto"/>
                <w:sz w:val="21"/>
              </w:rPr>
              <w:t>4.0</w:t>
            </w:r>
            <w:r>
              <w:rPr>
                <w:color w:val="auto"/>
                <w:sz w:val="21"/>
              </w:rPr>
              <w:t>～</w:t>
            </w:r>
            <w:r>
              <w:rPr>
                <w:rFonts w:eastAsia="Times New Roman"/>
                <w:color w:val="auto"/>
                <w:sz w:val="21"/>
              </w:rPr>
              <w:t>5.9</w:t>
            </w:r>
          </w:p>
        </w:tc>
        <w:tc>
          <w:tcPr>
            <w:tcW w:w="1001"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color w:val="auto"/>
                <w:sz w:val="21"/>
              </w:rPr>
              <w:t>≥</w:t>
            </w:r>
            <w:r>
              <w:rPr>
                <w:rFonts w:eastAsia="Times New Roman"/>
                <w:color w:val="auto"/>
                <w:sz w:val="21"/>
              </w:rPr>
              <w:t>6.0</w:t>
            </w:r>
          </w:p>
        </w:tc>
      </w:tr>
      <w:tr>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6" w:hRule="exact"/>
        </w:trPr>
        <w:tc>
          <w:tcPr>
            <w:tcW w:w="2382"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color w:val="auto"/>
                <w:sz w:val="21"/>
              </w:rPr>
              <w:t>春季</w:t>
            </w:r>
          </w:p>
        </w:tc>
        <w:tc>
          <w:tcPr>
            <w:tcW w:w="1391"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rFonts w:eastAsia="Times New Roman"/>
                <w:color w:val="auto"/>
                <w:sz w:val="21"/>
              </w:rPr>
              <w:t>28.6</w:t>
            </w:r>
          </w:p>
        </w:tc>
        <w:tc>
          <w:tcPr>
            <w:tcW w:w="1390"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rFonts w:eastAsia="Times New Roman"/>
                <w:color w:val="auto"/>
                <w:sz w:val="21"/>
              </w:rPr>
              <w:t>22.7</w:t>
            </w:r>
          </w:p>
        </w:tc>
        <w:tc>
          <w:tcPr>
            <w:tcW w:w="1391"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rFonts w:eastAsia="Times New Roman"/>
                <w:color w:val="auto"/>
                <w:sz w:val="21"/>
              </w:rPr>
              <w:t>21.1</w:t>
            </w:r>
          </w:p>
        </w:tc>
        <w:tc>
          <w:tcPr>
            <w:tcW w:w="1391"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rFonts w:eastAsia="Times New Roman"/>
                <w:color w:val="auto"/>
                <w:sz w:val="21"/>
              </w:rPr>
              <w:t>20.0</w:t>
            </w:r>
          </w:p>
        </w:tc>
        <w:tc>
          <w:tcPr>
            <w:tcW w:w="1001"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rFonts w:eastAsia="Times New Roman"/>
                <w:color w:val="auto"/>
                <w:sz w:val="21"/>
              </w:rPr>
              <w:t>7.6</w:t>
            </w:r>
          </w:p>
        </w:tc>
      </w:tr>
      <w:tr>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6" w:hRule="exact"/>
        </w:trPr>
        <w:tc>
          <w:tcPr>
            <w:tcW w:w="2382"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color w:val="auto"/>
                <w:sz w:val="21"/>
              </w:rPr>
              <w:t>夏季</w:t>
            </w:r>
          </w:p>
        </w:tc>
        <w:tc>
          <w:tcPr>
            <w:tcW w:w="1391"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rFonts w:eastAsia="Times New Roman"/>
                <w:color w:val="auto"/>
                <w:sz w:val="21"/>
              </w:rPr>
              <w:t>43.8</w:t>
            </w:r>
          </w:p>
        </w:tc>
        <w:tc>
          <w:tcPr>
            <w:tcW w:w="1390"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rFonts w:eastAsia="Times New Roman"/>
                <w:color w:val="auto"/>
                <w:sz w:val="21"/>
              </w:rPr>
              <w:t>28.0</w:t>
            </w:r>
          </w:p>
        </w:tc>
        <w:tc>
          <w:tcPr>
            <w:tcW w:w="1391"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rFonts w:eastAsia="Times New Roman"/>
                <w:color w:val="auto"/>
                <w:sz w:val="21"/>
              </w:rPr>
              <w:t>15.6</w:t>
            </w:r>
          </w:p>
        </w:tc>
        <w:tc>
          <w:tcPr>
            <w:tcW w:w="1391"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rFonts w:eastAsia="Times New Roman"/>
                <w:color w:val="auto"/>
                <w:spacing w:val="-3"/>
                <w:sz w:val="21"/>
              </w:rPr>
              <w:t>11.2</w:t>
            </w:r>
          </w:p>
        </w:tc>
        <w:tc>
          <w:tcPr>
            <w:tcW w:w="1001"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rFonts w:eastAsia="Times New Roman"/>
                <w:color w:val="auto"/>
                <w:sz w:val="21"/>
              </w:rPr>
              <w:t>1.4</w:t>
            </w:r>
          </w:p>
        </w:tc>
      </w:tr>
      <w:tr>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exact"/>
        </w:trPr>
        <w:tc>
          <w:tcPr>
            <w:tcW w:w="2382"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color w:val="auto"/>
                <w:sz w:val="21"/>
              </w:rPr>
              <w:t>秋季</w:t>
            </w:r>
          </w:p>
        </w:tc>
        <w:tc>
          <w:tcPr>
            <w:tcW w:w="1391"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rFonts w:eastAsia="Times New Roman"/>
                <w:color w:val="auto"/>
                <w:sz w:val="21"/>
              </w:rPr>
              <w:t>53.8</w:t>
            </w:r>
          </w:p>
        </w:tc>
        <w:tc>
          <w:tcPr>
            <w:tcW w:w="1390"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rFonts w:eastAsia="Times New Roman"/>
                <w:color w:val="auto"/>
                <w:sz w:val="21"/>
              </w:rPr>
              <w:t>25.1</w:t>
            </w:r>
          </w:p>
        </w:tc>
        <w:tc>
          <w:tcPr>
            <w:tcW w:w="1391"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rFonts w:eastAsia="Times New Roman"/>
                <w:color w:val="auto"/>
                <w:spacing w:val="-3"/>
                <w:sz w:val="21"/>
              </w:rPr>
              <w:t>11.5</w:t>
            </w:r>
          </w:p>
        </w:tc>
        <w:tc>
          <w:tcPr>
            <w:tcW w:w="1391"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rFonts w:eastAsia="Times New Roman"/>
                <w:color w:val="auto"/>
                <w:sz w:val="21"/>
              </w:rPr>
              <w:t>7.2</w:t>
            </w:r>
          </w:p>
        </w:tc>
        <w:tc>
          <w:tcPr>
            <w:tcW w:w="1001"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rFonts w:eastAsia="Times New Roman"/>
                <w:color w:val="auto"/>
                <w:sz w:val="21"/>
              </w:rPr>
              <w:t>2.4</w:t>
            </w:r>
          </w:p>
        </w:tc>
      </w:tr>
      <w:tr>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6" w:hRule="exact"/>
        </w:trPr>
        <w:tc>
          <w:tcPr>
            <w:tcW w:w="2382"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color w:val="auto"/>
                <w:sz w:val="21"/>
              </w:rPr>
              <w:t>冬季</w:t>
            </w:r>
          </w:p>
        </w:tc>
        <w:tc>
          <w:tcPr>
            <w:tcW w:w="1391"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rFonts w:eastAsia="Times New Roman"/>
                <w:color w:val="auto"/>
                <w:sz w:val="21"/>
              </w:rPr>
              <w:t>40.9</w:t>
            </w:r>
          </w:p>
        </w:tc>
        <w:tc>
          <w:tcPr>
            <w:tcW w:w="1390"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rFonts w:eastAsia="Times New Roman"/>
                <w:color w:val="auto"/>
                <w:sz w:val="21"/>
              </w:rPr>
              <w:t>26.8</w:t>
            </w:r>
          </w:p>
        </w:tc>
        <w:tc>
          <w:tcPr>
            <w:tcW w:w="1391"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rFonts w:eastAsia="Times New Roman"/>
                <w:color w:val="auto"/>
                <w:sz w:val="21"/>
              </w:rPr>
              <w:t>16.1</w:t>
            </w:r>
          </w:p>
        </w:tc>
        <w:tc>
          <w:tcPr>
            <w:tcW w:w="1391"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rFonts w:eastAsia="Times New Roman"/>
                <w:color w:val="auto"/>
                <w:sz w:val="21"/>
              </w:rPr>
              <w:t>13.7</w:t>
            </w:r>
          </w:p>
        </w:tc>
        <w:tc>
          <w:tcPr>
            <w:tcW w:w="1001"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rFonts w:eastAsia="Times New Roman"/>
                <w:color w:val="auto"/>
                <w:sz w:val="21"/>
              </w:rPr>
              <w:t>2.5</w:t>
            </w:r>
          </w:p>
        </w:tc>
      </w:tr>
      <w:tr>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06" w:hRule="exact"/>
        </w:trPr>
        <w:tc>
          <w:tcPr>
            <w:tcW w:w="2382"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color w:val="auto"/>
                <w:sz w:val="21"/>
              </w:rPr>
              <w:t>全年</w:t>
            </w:r>
          </w:p>
        </w:tc>
        <w:tc>
          <w:tcPr>
            <w:tcW w:w="1391"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rFonts w:eastAsia="Times New Roman"/>
                <w:color w:val="auto"/>
                <w:sz w:val="21"/>
              </w:rPr>
              <w:t>41.8</w:t>
            </w:r>
          </w:p>
        </w:tc>
        <w:tc>
          <w:tcPr>
            <w:tcW w:w="1390"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rFonts w:eastAsia="Times New Roman"/>
                <w:color w:val="auto"/>
                <w:sz w:val="21"/>
              </w:rPr>
              <w:t>25.6</w:t>
            </w:r>
          </w:p>
        </w:tc>
        <w:tc>
          <w:tcPr>
            <w:tcW w:w="1391"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rFonts w:eastAsia="Times New Roman"/>
                <w:color w:val="auto"/>
                <w:sz w:val="21"/>
              </w:rPr>
              <w:t>16.1</w:t>
            </w:r>
          </w:p>
        </w:tc>
        <w:tc>
          <w:tcPr>
            <w:tcW w:w="1391"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rFonts w:eastAsia="Times New Roman"/>
                <w:color w:val="auto"/>
                <w:sz w:val="21"/>
              </w:rPr>
              <w:t>13.0</w:t>
            </w:r>
          </w:p>
        </w:tc>
        <w:tc>
          <w:tcPr>
            <w:tcW w:w="1001" w:type="dxa"/>
            <w:tcBorders>
              <w:tl2br w:val="nil"/>
              <w:tr2bl w:val="nil"/>
            </w:tcBorders>
            <w:vAlign w:val="center"/>
          </w:tcPr>
          <w:p>
            <w:pPr>
              <w:pStyle w:val="42"/>
              <w:kinsoku w:val="0"/>
              <w:overflowPunct w:val="0"/>
              <w:autoSpaceDE w:val="0"/>
              <w:autoSpaceDN w:val="0"/>
              <w:snapToGrid/>
              <w:spacing w:line="360" w:lineRule="exact"/>
              <w:ind w:firstLine="0" w:firstLineChars="0"/>
              <w:jc w:val="center"/>
              <w:rPr>
                <w:color w:val="auto"/>
              </w:rPr>
            </w:pPr>
            <w:r>
              <w:rPr>
                <w:rFonts w:eastAsia="Times New Roman"/>
                <w:color w:val="auto"/>
                <w:sz w:val="21"/>
              </w:rPr>
              <w:t>3.5</w:t>
            </w:r>
          </w:p>
        </w:tc>
      </w:tr>
    </w:tbl>
    <w:p>
      <w:pPr>
        <w:pStyle w:val="11"/>
        <w:kinsoku w:val="0"/>
        <w:overflowPunct w:val="0"/>
        <w:ind w:firstLine="0" w:firstLineChars="0"/>
        <w:jc w:val="center"/>
        <w:rPr>
          <w:rFonts w:eastAsia="黑体"/>
          <w:color w:val="auto"/>
          <w:sz w:val="20"/>
        </w:rPr>
      </w:pPr>
      <w:r>
        <w:rPr>
          <w:color w:val="auto"/>
        </w:rPr>
        <w:drawing>
          <wp:inline distT="0" distB="0" distL="114300" distR="114300">
            <wp:extent cx="5076825" cy="7038975"/>
            <wp:effectExtent l="0" t="0" r="9525" b="9525"/>
            <wp:docPr id="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
                    <pic:cNvPicPr>
                      <a:picLocks noChangeAspect="1"/>
                    </pic:cNvPicPr>
                  </pic:nvPicPr>
                  <pic:blipFill>
                    <a:blip r:embed="rId48"/>
                    <a:stretch>
                      <a:fillRect/>
                    </a:stretch>
                  </pic:blipFill>
                  <pic:spPr>
                    <a:xfrm>
                      <a:off x="0" y="0"/>
                      <a:ext cx="5076825" cy="7038975"/>
                    </a:xfrm>
                    <a:prstGeom prst="rect">
                      <a:avLst/>
                    </a:prstGeom>
                    <a:noFill/>
                    <a:ln w="9525">
                      <a:noFill/>
                    </a:ln>
                  </pic:spPr>
                </pic:pic>
              </a:graphicData>
            </a:graphic>
          </wp:inline>
        </w:drawing>
      </w:r>
    </w:p>
    <w:p>
      <w:pPr>
        <w:pStyle w:val="11"/>
        <w:tabs>
          <w:tab w:val="left" w:pos="3623"/>
        </w:tabs>
        <w:kinsoku w:val="0"/>
        <w:overflowPunct w:val="0"/>
        <w:spacing w:after="0"/>
        <w:ind w:firstLine="480"/>
        <w:jc w:val="center"/>
        <w:rPr>
          <w:rFonts w:eastAsia="黑体"/>
          <w:color w:val="auto"/>
        </w:rPr>
      </w:pPr>
      <w:r>
        <w:rPr>
          <w:rFonts w:eastAsia="黑体"/>
          <w:color w:val="auto"/>
        </w:rPr>
        <w:t>图</w:t>
      </w:r>
      <w:r>
        <w:rPr>
          <w:rFonts w:eastAsia="Times New Roman"/>
          <w:color w:val="auto"/>
        </w:rPr>
        <w:t>5</w:t>
      </w:r>
      <w:r>
        <w:rPr>
          <w:color w:val="auto"/>
        </w:rPr>
        <w:t>.2</w:t>
      </w:r>
      <w:r>
        <w:rPr>
          <w:rFonts w:eastAsia="Times New Roman"/>
          <w:color w:val="auto"/>
        </w:rPr>
        <w:t>-3</w:t>
      </w:r>
      <w:r>
        <w:rPr>
          <w:color w:val="auto"/>
        </w:rPr>
        <w:t xml:space="preserve">  </w:t>
      </w:r>
      <w:r>
        <w:rPr>
          <w:rFonts w:eastAsia="黑体"/>
          <w:color w:val="auto"/>
        </w:rPr>
        <w:t>全年及各季风</w:t>
      </w:r>
      <w:r>
        <w:rPr>
          <w:rFonts w:hint="eastAsia" w:eastAsia="黑体"/>
          <w:color w:val="auto"/>
        </w:rPr>
        <w:t>速</w:t>
      </w:r>
      <w:r>
        <w:rPr>
          <w:rFonts w:eastAsia="黑体"/>
          <w:color w:val="auto"/>
        </w:rPr>
        <w:t>频率玫瑰图</w:t>
      </w:r>
    </w:p>
    <w:p>
      <w:pPr>
        <w:pStyle w:val="11"/>
        <w:kinsoku w:val="0"/>
        <w:overflowPunct w:val="0"/>
        <w:autoSpaceDE w:val="0"/>
        <w:autoSpaceDN w:val="0"/>
        <w:snapToGrid/>
        <w:spacing w:after="0"/>
        <w:ind w:firstLine="480"/>
        <w:rPr>
          <w:color w:val="auto"/>
        </w:rPr>
      </w:pPr>
      <w:r>
        <w:rPr>
          <w:color w:val="auto"/>
        </w:rPr>
        <w:t>由表5.2-4～表5.2-8及图5.2-3可以看出：</w:t>
      </w:r>
    </w:p>
    <w:p>
      <w:pPr>
        <w:pStyle w:val="11"/>
        <w:kinsoku w:val="0"/>
        <w:overflowPunct w:val="0"/>
        <w:autoSpaceDE w:val="0"/>
        <w:autoSpaceDN w:val="0"/>
        <w:snapToGrid/>
        <w:spacing w:after="0"/>
        <w:ind w:firstLine="480"/>
        <w:rPr>
          <w:color w:val="auto"/>
        </w:rPr>
      </w:pPr>
      <w:r>
        <w:rPr>
          <w:color w:val="auto"/>
        </w:rPr>
        <w:t>该地全年平均风速2.1m/s，以4月份平均风速最大，为2.9m/s；以10月份平均风速最小，为1.5m/s。</w:t>
      </w:r>
    </w:p>
    <w:p>
      <w:pPr>
        <w:pStyle w:val="11"/>
        <w:kinsoku w:val="0"/>
        <w:overflowPunct w:val="0"/>
        <w:autoSpaceDE w:val="0"/>
        <w:autoSpaceDN w:val="0"/>
        <w:snapToGrid/>
        <w:spacing w:after="0"/>
        <w:ind w:firstLine="480"/>
        <w:rPr>
          <w:color w:val="auto"/>
        </w:rPr>
      </w:pPr>
      <w:r>
        <w:rPr>
          <w:color w:val="auto"/>
        </w:rPr>
        <w:t>全年中，以春季平均风速最大，为2.7m/s；以秋季平均风速最小，为1.6m/s。就平均风速条件而言，春季是大气污染扩散的最好季节，秋季为扩散的最不利季节。</w:t>
      </w:r>
    </w:p>
    <w:p>
      <w:pPr>
        <w:pStyle w:val="11"/>
        <w:kinsoku w:val="0"/>
        <w:overflowPunct w:val="0"/>
        <w:autoSpaceDE w:val="0"/>
        <w:autoSpaceDN w:val="0"/>
        <w:snapToGrid/>
        <w:spacing w:after="0"/>
        <w:ind w:firstLine="480"/>
        <w:rPr>
          <w:color w:val="auto"/>
        </w:rPr>
      </w:pPr>
      <w:r>
        <w:rPr>
          <w:color w:val="auto"/>
        </w:rPr>
        <w:t>各风向平均风速，以N和SSW为最大，其次为NNE，平均风速大，可以减轻高风频下风向的污染程度。</w:t>
      </w:r>
    </w:p>
    <w:p>
      <w:pPr>
        <w:ind w:firstLine="480"/>
        <w:rPr>
          <w:bCs/>
          <w:color w:val="auto"/>
        </w:rPr>
      </w:pPr>
      <w:r>
        <w:rPr>
          <w:bCs/>
          <w:color w:val="auto"/>
        </w:rPr>
        <w:t>在全天，以午间14时的平均风速最大，为3.1m/s，说明中午前后为有利于扩散的时段。平均风速最小的时刻在夜间，20时和02时的平均风速分别只有1.7m/s和1.6m/s，表明夜间对污染物的扩散不利，容易加重污染。</w:t>
      </w:r>
    </w:p>
    <w:p>
      <w:pPr>
        <w:ind w:firstLine="480"/>
        <w:rPr>
          <w:bCs/>
          <w:color w:val="auto"/>
        </w:rPr>
      </w:pPr>
      <w:r>
        <w:rPr>
          <w:bCs/>
          <w:color w:val="auto"/>
        </w:rPr>
        <w:t>全年小于2.0m/s的小风占41.8％，其中静风频率占17.8％。风速≥6.0m/s的频率仅占3.5％。从小风多、大风很少的特点可以说明该地风速扩散能力不强。</w:t>
      </w:r>
    </w:p>
    <w:bookmarkEnd w:id="527"/>
    <w:p>
      <w:pPr>
        <w:ind w:firstLine="482"/>
        <w:rPr>
          <w:b/>
          <w:bCs/>
          <w:color w:val="auto"/>
          <w:szCs w:val="32"/>
        </w:rPr>
      </w:pPr>
      <w:r>
        <w:rPr>
          <w:b/>
          <w:bCs/>
          <w:color w:val="auto"/>
          <w:szCs w:val="32"/>
        </w:rPr>
        <w:t>5.2.1.5环境空气影响预测及评价</w:t>
      </w:r>
    </w:p>
    <w:p>
      <w:pPr>
        <w:adjustRightInd/>
        <w:ind w:firstLine="360" w:firstLineChars="150"/>
        <w:rPr>
          <w:bCs/>
          <w:color w:val="auto"/>
        </w:rPr>
      </w:pPr>
      <w:r>
        <w:rPr>
          <w:bCs/>
          <w:color w:val="auto"/>
        </w:rPr>
        <w:t>（1）预测因子</w:t>
      </w:r>
    </w:p>
    <w:p>
      <w:pPr>
        <w:adjustRightInd/>
        <w:ind w:firstLine="480" w:firstLineChars="0"/>
        <w:rPr>
          <w:color w:val="auto"/>
        </w:rPr>
      </w:pPr>
      <w:r>
        <w:rPr>
          <w:color w:val="auto"/>
        </w:rPr>
        <w:t>根据导则要求，按照《建设项目环境影响评价技术导则总纲》（HJ2.1-2016）的要求识别大气环境影响因素，并筛选出大气环境影响评价因子。大气环境影响评价因子主要为项目排放的基本污染物及其他污染物。</w:t>
      </w:r>
    </w:p>
    <w:p>
      <w:pPr>
        <w:adjustRightInd/>
        <w:ind w:firstLine="484" w:firstLineChars="202"/>
        <w:rPr>
          <w:color w:val="auto"/>
        </w:rPr>
      </w:pPr>
      <w:r>
        <w:rPr>
          <w:color w:val="auto"/>
        </w:rPr>
        <w:t>根据工程分析和污染源调查确定的评价因子，选取有环境空气质量标准的评价因子作为预测因子，确定拟建工程的预测因子为H</w:t>
      </w:r>
      <w:r>
        <w:rPr>
          <w:color w:val="auto"/>
          <w:vertAlign w:val="subscript"/>
        </w:rPr>
        <w:t>2</w:t>
      </w:r>
      <w:r>
        <w:rPr>
          <w:color w:val="auto"/>
        </w:rPr>
        <w:t>S、NH</w:t>
      </w:r>
      <w:r>
        <w:rPr>
          <w:color w:val="auto"/>
          <w:vertAlign w:val="subscript"/>
        </w:rPr>
        <w:t>3</w:t>
      </w:r>
      <w:r>
        <w:rPr>
          <w:color w:val="auto"/>
        </w:rPr>
        <w:t>、SO</w:t>
      </w:r>
      <w:r>
        <w:rPr>
          <w:color w:val="auto"/>
          <w:vertAlign w:val="subscript"/>
        </w:rPr>
        <w:t>2</w:t>
      </w:r>
      <w:r>
        <w:rPr>
          <w:color w:val="auto"/>
        </w:rPr>
        <w:t>、NO</w:t>
      </w:r>
      <w:r>
        <w:rPr>
          <w:color w:val="auto"/>
          <w:vertAlign w:val="subscript"/>
        </w:rPr>
        <w:t>2</w:t>
      </w:r>
      <w:r>
        <w:rPr>
          <w:color w:val="auto"/>
        </w:rPr>
        <w:t>、PM</w:t>
      </w:r>
      <w:r>
        <w:rPr>
          <w:color w:val="auto"/>
          <w:vertAlign w:val="subscript"/>
        </w:rPr>
        <w:t>10</w:t>
      </w:r>
      <w:r>
        <w:rPr>
          <w:color w:val="auto"/>
        </w:rPr>
        <w:t>。</w:t>
      </w:r>
    </w:p>
    <w:p>
      <w:pPr>
        <w:adjustRightInd/>
        <w:ind w:firstLine="480" w:firstLineChars="0"/>
        <w:rPr>
          <w:color w:val="auto"/>
        </w:rPr>
      </w:pPr>
      <w:r>
        <w:rPr>
          <w:color w:val="auto"/>
        </w:rPr>
        <w:t>（2）评价标准</w:t>
      </w:r>
    </w:p>
    <w:p>
      <w:pPr>
        <w:adjustRightInd/>
        <w:ind w:firstLine="480" w:firstLineChars="0"/>
        <w:rPr>
          <w:color w:val="auto"/>
        </w:rPr>
      </w:pPr>
      <w:r>
        <w:rPr>
          <w:color w:val="auto"/>
        </w:rPr>
        <w:t>H</w:t>
      </w:r>
      <w:r>
        <w:rPr>
          <w:color w:val="auto"/>
          <w:vertAlign w:val="subscript"/>
        </w:rPr>
        <w:t>2</w:t>
      </w:r>
      <w:r>
        <w:rPr>
          <w:color w:val="auto"/>
        </w:rPr>
        <w:t>S、NH</w:t>
      </w:r>
      <w:r>
        <w:rPr>
          <w:color w:val="auto"/>
          <w:vertAlign w:val="subscript"/>
        </w:rPr>
        <w:t>3</w:t>
      </w:r>
      <w:r>
        <w:rPr>
          <w:color w:val="auto"/>
        </w:rPr>
        <w:t>、SO</w:t>
      </w:r>
      <w:r>
        <w:rPr>
          <w:color w:val="auto"/>
          <w:vertAlign w:val="subscript"/>
        </w:rPr>
        <w:t>2</w:t>
      </w:r>
      <w:r>
        <w:rPr>
          <w:color w:val="auto"/>
        </w:rPr>
        <w:t>、NO</w:t>
      </w:r>
      <w:r>
        <w:rPr>
          <w:color w:val="auto"/>
          <w:vertAlign w:val="subscript"/>
        </w:rPr>
        <w:t>2</w:t>
      </w:r>
      <w:r>
        <w:rPr>
          <w:color w:val="auto"/>
        </w:rPr>
        <w:t>、PM</w:t>
      </w:r>
      <w:r>
        <w:rPr>
          <w:color w:val="auto"/>
          <w:vertAlign w:val="subscript"/>
        </w:rPr>
        <w:t>10</w:t>
      </w:r>
      <w:r>
        <w:rPr>
          <w:color w:val="auto"/>
        </w:rPr>
        <w:t>的评价标准见表5.2-7。</w:t>
      </w:r>
    </w:p>
    <w:p>
      <w:pPr>
        <w:adjustRightInd/>
        <w:ind w:firstLine="480" w:firstLineChars="0"/>
        <w:jc w:val="center"/>
        <w:rPr>
          <w:b/>
          <w:bCs/>
          <w:color w:val="auto"/>
        </w:rPr>
      </w:pPr>
      <w:r>
        <w:rPr>
          <w:b/>
          <w:bCs/>
          <w:color w:val="auto"/>
        </w:rPr>
        <w:t>表5.2-7  评价标准                        单位：μg/m</w:t>
      </w:r>
      <w:r>
        <w:rPr>
          <w:b/>
          <w:bCs/>
          <w:color w:val="auto"/>
          <w:vertAlign w:val="superscript"/>
        </w:rPr>
        <w:t>3</w:t>
      </w:r>
    </w:p>
    <w:tbl>
      <w:tblPr>
        <w:tblStyle w:val="27"/>
        <w:tblW w:w="4998" w:type="pct"/>
        <w:jc w:val="center"/>
        <w:tblBorders>
          <w:top w:val="single" w:color="auto" w:sz="2" w:space="0"/>
          <w:left w:val="none" w:color="auto" w:sz="0" w:space="0"/>
          <w:bottom w:val="single" w:color="auto" w:sz="2" w:space="0"/>
          <w:right w:val="none" w:color="auto" w:sz="0" w:space="0"/>
          <w:insideH w:val="single" w:color="auto" w:sz="6" w:space="0"/>
          <w:insideV w:val="single" w:color="auto" w:sz="6" w:space="0"/>
        </w:tblBorders>
        <w:tblLayout w:type="autofit"/>
        <w:tblCellMar>
          <w:top w:w="0" w:type="dxa"/>
          <w:left w:w="0" w:type="dxa"/>
          <w:bottom w:w="0" w:type="dxa"/>
          <w:right w:w="0" w:type="dxa"/>
        </w:tblCellMar>
      </w:tblPr>
      <w:tblGrid>
        <w:gridCol w:w="1239"/>
        <w:gridCol w:w="2227"/>
        <w:gridCol w:w="2204"/>
        <w:gridCol w:w="1607"/>
        <w:gridCol w:w="1450"/>
      </w:tblGrid>
      <w:tr>
        <w:tblPrEx>
          <w:tblBorders>
            <w:top w:val="single" w:color="auto" w:sz="2" w:space="0"/>
            <w:left w:val="none" w:color="auto" w:sz="0" w:space="0"/>
            <w:bottom w:val="single" w:color="auto" w:sz="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tblHeader/>
          <w:jc w:val="center"/>
        </w:trPr>
        <w:tc>
          <w:tcPr>
            <w:tcW w:w="710" w:type="pct"/>
            <w:vAlign w:val="center"/>
          </w:tcPr>
          <w:p>
            <w:pPr>
              <w:adjustRightInd/>
              <w:snapToGrid/>
              <w:spacing w:line="320" w:lineRule="exact"/>
              <w:ind w:firstLine="0" w:firstLineChars="0"/>
              <w:jc w:val="center"/>
              <w:rPr>
                <w:b/>
                <w:bCs/>
                <w:color w:val="auto"/>
                <w:sz w:val="21"/>
                <w:szCs w:val="21"/>
              </w:rPr>
            </w:pPr>
            <w:r>
              <w:rPr>
                <w:b/>
                <w:bCs/>
                <w:color w:val="auto"/>
                <w:sz w:val="21"/>
                <w:szCs w:val="21"/>
              </w:rPr>
              <w:t>序号</w:t>
            </w:r>
          </w:p>
        </w:tc>
        <w:tc>
          <w:tcPr>
            <w:tcW w:w="1275" w:type="pct"/>
            <w:vAlign w:val="center"/>
          </w:tcPr>
          <w:p>
            <w:pPr>
              <w:adjustRightInd/>
              <w:snapToGrid/>
              <w:spacing w:line="320" w:lineRule="exact"/>
              <w:ind w:firstLine="0" w:firstLineChars="0"/>
              <w:jc w:val="center"/>
              <w:rPr>
                <w:b/>
                <w:bCs/>
                <w:color w:val="auto"/>
                <w:sz w:val="21"/>
                <w:szCs w:val="21"/>
              </w:rPr>
            </w:pPr>
            <w:r>
              <w:rPr>
                <w:b/>
                <w:bCs/>
                <w:color w:val="auto"/>
                <w:sz w:val="21"/>
                <w:szCs w:val="21"/>
              </w:rPr>
              <w:t>评价因子</w:t>
            </w:r>
          </w:p>
        </w:tc>
        <w:tc>
          <w:tcPr>
            <w:tcW w:w="1262" w:type="pct"/>
            <w:vAlign w:val="center"/>
          </w:tcPr>
          <w:p>
            <w:pPr>
              <w:adjustRightInd/>
              <w:snapToGrid/>
              <w:spacing w:line="320" w:lineRule="exact"/>
              <w:ind w:firstLine="0" w:firstLineChars="0"/>
              <w:jc w:val="center"/>
              <w:rPr>
                <w:b/>
                <w:bCs/>
                <w:color w:val="auto"/>
                <w:sz w:val="21"/>
                <w:szCs w:val="21"/>
              </w:rPr>
            </w:pPr>
            <w:r>
              <w:rPr>
                <w:b/>
                <w:bCs/>
                <w:color w:val="auto"/>
                <w:sz w:val="21"/>
                <w:szCs w:val="21"/>
              </w:rPr>
              <w:t>一小时平均</w:t>
            </w:r>
          </w:p>
        </w:tc>
        <w:tc>
          <w:tcPr>
            <w:tcW w:w="920" w:type="pct"/>
            <w:vAlign w:val="center"/>
          </w:tcPr>
          <w:p>
            <w:pPr>
              <w:adjustRightInd/>
              <w:snapToGrid/>
              <w:spacing w:line="320" w:lineRule="exact"/>
              <w:ind w:firstLine="0" w:firstLineChars="0"/>
              <w:jc w:val="center"/>
              <w:rPr>
                <w:b/>
                <w:bCs/>
                <w:color w:val="auto"/>
                <w:sz w:val="21"/>
                <w:szCs w:val="21"/>
              </w:rPr>
            </w:pPr>
            <w:r>
              <w:rPr>
                <w:b/>
                <w:bCs/>
                <w:color w:val="auto"/>
                <w:sz w:val="21"/>
                <w:szCs w:val="21"/>
              </w:rPr>
              <w:t>日平均</w:t>
            </w:r>
          </w:p>
        </w:tc>
        <w:tc>
          <w:tcPr>
            <w:tcW w:w="830" w:type="pct"/>
            <w:vAlign w:val="center"/>
          </w:tcPr>
          <w:p>
            <w:pPr>
              <w:adjustRightInd/>
              <w:snapToGrid/>
              <w:spacing w:line="320" w:lineRule="exact"/>
              <w:ind w:firstLine="0" w:firstLineChars="0"/>
              <w:jc w:val="center"/>
              <w:rPr>
                <w:b/>
                <w:bCs/>
                <w:color w:val="auto"/>
                <w:sz w:val="21"/>
                <w:szCs w:val="21"/>
              </w:rPr>
            </w:pPr>
            <w:r>
              <w:rPr>
                <w:b/>
                <w:bCs/>
                <w:color w:val="auto"/>
                <w:sz w:val="21"/>
                <w:szCs w:val="21"/>
              </w:rPr>
              <w:t>年均值</w:t>
            </w:r>
          </w:p>
        </w:tc>
      </w:tr>
      <w:tr>
        <w:tblPrEx>
          <w:tblBorders>
            <w:top w:val="single" w:color="auto" w:sz="2" w:space="0"/>
            <w:left w:val="none" w:color="auto" w:sz="0" w:space="0"/>
            <w:bottom w:val="single" w:color="auto" w:sz="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10" w:hRule="atLeast"/>
          <w:tblHeader/>
          <w:jc w:val="center"/>
        </w:trPr>
        <w:tc>
          <w:tcPr>
            <w:tcW w:w="710" w:type="pct"/>
            <w:vAlign w:val="center"/>
          </w:tcPr>
          <w:p>
            <w:pPr>
              <w:adjustRightInd/>
              <w:snapToGrid/>
              <w:spacing w:line="320" w:lineRule="exact"/>
              <w:ind w:firstLine="0" w:firstLineChars="0"/>
              <w:jc w:val="center"/>
              <w:rPr>
                <w:bCs/>
                <w:color w:val="auto"/>
                <w:sz w:val="21"/>
                <w:szCs w:val="21"/>
              </w:rPr>
            </w:pPr>
            <w:r>
              <w:rPr>
                <w:bCs/>
                <w:color w:val="auto"/>
                <w:sz w:val="21"/>
                <w:szCs w:val="21"/>
              </w:rPr>
              <w:t>1</w:t>
            </w:r>
          </w:p>
        </w:tc>
        <w:tc>
          <w:tcPr>
            <w:tcW w:w="1275" w:type="pct"/>
            <w:vAlign w:val="center"/>
          </w:tcPr>
          <w:p>
            <w:pPr>
              <w:adjustRightInd/>
              <w:snapToGrid/>
              <w:spacing w:line="320" w:lineRule="exact"/>
              <w:ind w:firstLine="0" w:firstLineChars="0"/>
              <w:jc w:val="center"/>
              <w:rPr>
                <w:color w:val="auto"/>
                <w:sz w:val="21"/>
                <w:szCs w:val="21"/>
              </w:rPr>
            </w:pPr>
            <w:r>
              <w:rPr>
                <w:color w:val="auto"/>
                <w:sz w:val="21"/>
                <w:szCs w:val="21"/>
              </w:rPr>
              <w:t>NH</w:t>
            </w:r>
            <w:r>
              <w:rPr>
                <w:color w:val="auto"/>
                <w:sz w:val="21"/>
                <w:szCs w:val="21"/>
                <w:vertAlign w:val="subscript"/>
              </w:rPr>
              <w:t>3</w:t>
            </w:r>
          </w:p>
        </w:tc>
        <w:tc>
          <w:tcPr>
            <w:tcW w:w="1262" w:type="pct"/>
            <w:vAlign w:val="center"/>
          </w:tcPr>
          <w:p>
            <w:pPr>
              <w:adjustRightInd/>
              <w:snapToGrid/>
              <w:spacing w:line="320" w:lineRule="exact"/>
              <w:ind w:firstLine="0" w:firstLineChars="0"/>
              <w:jc w:val="center"/>
              <w:rPr>
                <w:bCs/>
                <w:color w:val="auto"/>
                <w:sz w:val="21"/>
                <w:szCs w:val="21"/>
              </w:rPr>
            </w:pPr>
            <w:r>
              <w:rPr>
                <w:color w:val="auto"/>
                <w:sz w:val="21"/>
                <w:szCs w:val="21"/>
              </w:rPr>
              <w:t>200</w:t>
            </w:r>
          </w:p>
        </w:tc>
        <w:tc>
          <w:tcPr>
            <w:tcW w:w="920" w:type="pct"/>
            <w:vAlign w:val="center"/>
          </w:tcPr>
          <w:p>
            <w:pPr>
              <w:adjustRightInd/>
              <w:snapToGrid/>
              <w:spacing w:line="320" w:lineRule="exact"/>
              <w:ind w:firstLine="0" w:firstLineChars="0"/>
              <w:jc w:val="center"/>
              <w:rPr>
                <w:bCs/>
                <w:color w:val="auto"/>
                <w:sz w:val="21"/>
                <w:szCs w:val="21"/>
              </w:rPr>
            </w:pPr>
            <w:r>
              <w:rPr>
                <w:bCs/>
                <w:color w:val="auto"/>
                <w:sz w:val="21"/>
                <w:szCs w:val="21"/>
              </w:rPr>
              <w:t>-</w:t>
            </w:r>
          </w:p>
        </w:tc>
        <w:tc>
          <w:tcPr>
            <w:tcW w:w="830" w:type="pct"/>
            <w:vAlign w:val="center"/>
          </w:tcPr>
          <w:p>
            <w:pPr>
              <w:adjustRightInd/>
              <w:snapToGrid/>
              <w:spacing w:line="320" w:lineRule="exact"/>
              <w:ind w:firstLine="0" w:firstLineChars="0"/>
              <w:jc w:val="center"/>
              <w:rPr>
                <w:bCs/>
                <w:color w:val="auto"/>
                <w:sz w:val="21"/>
                <w:szCs w:val="21"/>
              </w:rPr>
            </w:pPr>
            <w:r>
              <w:rPr>
                <w:bCs/>
                <w:color w:val="auto"/>
                <w:sz w:val="21"/>
                <w:szCs w:val="21"/>
              </w:rPr>
              <w:t>-</w:t>
            </w:r>
          </w:p>
        </w:tc>
      </w:tr>
      <w:tr>
        <w:tblPrEx>
          <w:tblBorders>
            <w:top w:val="single" w:color="auto" w:sz="2" w:space="0"/>
            <w:left w:val="none" w:color="auto" w:sz="0" w:space="0"/>
            <w:bottom w:val="single" w:color="auto" w:sz="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10" w:hRule="atLeast"/>
          <w:tblHeader/>
          <w:jc w:val="center"/>
        </w:trPr>
        <w:tc>
          <w:tcPr>
            <w:tcW w:w="710" w:type="pct"/>
            <w:vAlign w:val="center"/>
          </w:tcPr>
          <w:p>
            <w:pPr>
              <w:adjustRightInd/>
              <w:snapToGrid/>
              <w:spacing w:line="320" w:lineRule="exact"/>
              <w:ind w:firstLine="0" w:firstLineChars="0"/>
              <w:jc w:val="center"/>
              <w:rPr>
                <w:bCs/>
                <w:color w:val="auto"/>
                <w:sz w:val="21"/>
                <w:szCs w:val="21"/>
              </w:rPr>
            </w:pPr>
            <w:r>
              <w:rPr>
                <w:bCs/>
                <w:color w:val="auto"/>
                <w:sz w:val="21"/>
                <w:szCs w:val="21"/>
              </w:rPr>
              <w:t>2</w:t>
            </w:r>
          </w:p>
        </w:tc>
        <w:tc>
          <w:tcPr>
            <w:tcW w:w="1275" w:type="pct"/>
            <w:vAlign w:val="center"/>
          </w:tcPr>
          <w:p>
            <w:pPr>
              <w:adjustRightInd/>
              <w:snapToGrid/>
              <w:spacing w:line="320" w:lineRule="exact"/>
              <w:ind w:firstLine="0" w:firstLineChars="0"/>
              <w:jc w:val="center"/>
              <w:rPr>
                <w:color w:val="auto"/>
                <w:sz w:val="21"/>
                <w:szCs w:val="21"/>
              </w:rPr>
            </w:pPr>
            <w:r>
              <w:rPr>
                <w:color w:val="auto"/>
                <w:sz w:val="21"/>
                <w:szCs w:val="21"/>
              </w:rPr>
              <w:t>H</w:t>
            </w:r>
            <w:r>
              <w:rPr>
                <w:color w:val="auto"/>
                <w:sz w:val="21"/>
                <w:szCs w:val="21"/>
                <w:vertAlign w:val="subscript"/>
              </w:rPr>
              <w:t>2</w:t>
            </w:r>
            <w:r>
              <w:rPr>
                <w:color w:val="auto"/>
                <w:sz w:val="21"/>
                <w:szCs w:val="21"/>
              </w:rPr>
              <w:t>S</w:t>
            </w:r>
          </w:p>
        </w:tc>
        <w:tc>
          <w:tcPr>
            <w:tcW w:w="1262" w:type="pct"/>
            <w:vAlign w:val="center"/>
          </w:tcPr>
          <w:p>
            <w:pPr>
              <w:adjustRightInd/>
              <w:snapToGrid/>
              <w:spacing w:line="320" w:lineRule="exact"/>
              <w:ind w:firstLine="0" w:firstLineChars="0"/>
              <w:jc w:val="center"/>
              <w:rPr>
                <w:bCs/>
                <w:color w:val="auto"/>
                <w:sz w:val="21"/>
                <w:szCs w:val="21"/>
              </w:rPr>
            </w:pPr>
            <w:r>
              <w:rPr>
                <w:color w:val="auto"/>
                <w:sz w:val="21"/>
                <w:szCs w:val="21"/>
              </w:rPr>
              <w:t>10</w:t>
            </w:r>
          </w:p>
        </w:tc>
        <w:tc>
          <w:tcPr>
            <w:tcW w:w="920" w:type="pct"/>
            <w:vAlign w:val="center"/>
          </w:tcPr>
          <w:p>
            <w:pPr>
              <w:adjustRightInd/>
              <w:snapToGrid/>
              <w:spacing w:line="320" w:lineRule="exact"/>
              <w:ind w:firstLine="0" w:firstLineChars="0"/>
              <w:jc w:val="center"/>
              <w:rPr>
                <w:bCs/>
                <w:color w:val="auto"/>
                <w:sz w:val="21"/>
                <w:szCs w:val="21"/>
              </w:rPr>
            </w:pPr>
            <w:r>
              <w:rPr>
                <w:bCs/>
                <w:color w:val="auto"/>
                <w:sz w:val="21"/>
                <w:szCs w:val="21"/>
              </w:rPr>
              <w:t>-</w:t>
            </w:r>
          </w:p>
        </w:tc>
        <w:tc>
          <w:tcPr>
            <w:tcW w:w="830" w:type="pct"/>
            <w:vAlign w:val="center"/>
          </w:tcPr>
          <w:p>
            <w:pPr>
              <w:adjustRightInd/>
              <w:snapToGrid/>
              <w:spacing w:line="320" w:lineRule="exact"/>
              <w:ind w:firstLine="0" w:firstLineChars="0"/>
              <w:jc w:val="center"/>
              <w:rPr>
                <w:bCs/>
                <w:color w:val="auto"/>
                <w:sz w:val="21"/>
                <w:szCs w:val="21"/>
              </w:rPr>
            </w:pPr>
            <w:r>
              <w:rPr>
                <w:bCs/>
                <w:color w:val="auto"/>
                <w:sz w:val="21"/>
                <w:szCs w:val="21"/>
              </w:rPr>
              <w:t>-</w:t>
            </w:r>
          </w:p>
        </w:tc>
      </w:tr>
      <w:tr>
        <w:tblPrEx>
          <w:tblBorders>
            <w:top w:val="single" w:color="auto" w:sz="2" w:space="0"/>
            <w:left w:val="none" w:color="auto" w:sz="0" w:space="0"/>
            <w:bottom w:val="single" w:color="auto" w:sz="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10" w:hRule="atLeast"/>
          <w:tblHeader/>
          <w:jc w:val="center"/>
        </w:trPr>
        <w:tc>
          <w:tcPr>
            <w:tcW w:w="710" w:type="pct"/>
            <w:vAlign w:val="center"/>
          </w:tcPr>
          <w:p>
            <w:pPr>
              <w:adjustRightInd/>
              <w:snapToGrid/>
              <w:spacing w:line="320" w:lineRule="exact"/>
              <w:ind w:firstLine="0" w:firstLineChars="0"/>
              <w:jc w:val="center"/>
              <w:rPr>
                <w:bCs/>
                <w:color w:val="auto"/>
                <w:sz w:val="21"/>
                <w:szCs w:val="21"/>
              </w:rPr>
            </w:pPr>
            <w:r>
              <w:rPr>
                <w:bCs/>
                <w:color w:val="auto"/>
                <w:sz w:val="21"/>
                <w:szCs w:val="21"/>
              </w:rPr>
              <w:t>3</w:t>
            </w:r>
          </w:p>
        </w:tc>
        <w:tc>
          <w:tcPr>
            <w:tcW w:w="1275" w:type="pct"/>
            <w:vAlign w:val="center"/>
          </w:tcPr>
          <w:p>
            <w:pPr>
              <w:adjustRightInd/>
              <w:snapToGrid/>
              <w:spacing w:line="320" w:lineRule="exact"/>
              <w:ind w:firstLine="0" w:firstLineChars="0"/>
              <w:jc w:val="center"/>
              <w:rPr>
                <w:bCs/>
                <w:color w:val="auto"/>
                <w:sz w:val="21"/>
                <w:szCs w:val="21"/>
              </w:rPr>
            </w:pPr>
            <w:r>
              <w:rPr>
                <w:color w:val="auto"/>
                <w:sz w:val="21"/>
                <w:szCs w:val="21"/>
              </w:rPr>
              <w:t>SO</w:t>
            </w:r>
            <w:r>
              <w:rPr>
                <w:color w:val="auto"/>
                <w:sz w:val="21"/>
                <w:szCs w:val="21"/>
                <w:vertAlign w:val="subscript"/>
              </w:rPr>
              <w:t>2</w:t>
            </w:r>
          </w:p>
        </w:tc>
        <w:tc>
          <w:tcPr>
            <w:tcW w:w="1262" w:type="pct"/>
            <w:vAlign w:val="center"/>
          </w:tcPr>
          <w:p>
            <w:pPr>
              <w:adjustRightInd/>
              <w:snapToGrid/>
              <w:spacing w:line="320" w:lineRule="exact"/>
              <w:ind w:firstLine="0" w:firstLineChars="0"/>
              <w:jc w:val="center"/>
              <w:rPr>
                <w:bCs/>
                <w:color w:val="auto"/>
                <w:sz w:val="21"/>
                <w:szCs w:val="21"/>
              </w:rPr>
            </w:pPr>
            <w:r>
              <w:rPr>
                <w:bCs/>
                <w:color w:val="auto"/>
                <w:sz w:val="21"/>
                <w:szCs w:val="21"/>
              </w:rPr>
              <w:t>500</w:t>
            </w:r>
          </w:p>
        </w:tc>
        <w:tc>
          <w:tcPr>
            <w:tcW w:w="920" w:type="pct"/>
            <w:vAlign w:val="center"/>
          </w:tcPr>
          <w:p>
            <w:pPr>
              <w:adjustRightInd/>
              <w:snapToGrid/>
              <w:spacing w:line="320" w:lineRule="exact"/>
              <w:ind w:firstLine="0" w:firstLineChars="0"/>
              <w:jc w:val="center"/>
              <w:rPr>
                <w:bCs/>
                <w:color w:val="auto"/>
                <w:sz w:val="21"/>
                <w:szCs w:val="21"/>
              </w:rPr>
            </w:pPr>
            <w:r>
              <w:rPr>
                <w:bCs/>
                <w:color w:val="auto"/>
                <w:sz w:val="21"/>
                <w:szCs w:val="21"/>
              </w:rPr>
              <w:t>150</w:t>
            </w:r>
          </w:p>
        </w:tc>
        <w:tc>
          <w:tcPr>
            <w:tcW w:w="830" w:type="pct"/>
            <w:vAlign w:val="center"/>
          </w:tcPr>
          <w:p>
            <w:pPr>
              <w:adjustRightInd/>
              <w:snapToGrid/>
              <w:spacing w:line="320" w:lineRule="exact"/>
              <w:ind w:firstLine="0" w:firstLineChars="0"/>
              <w:jc w:val="center"/>
              <w:rPr>
                <w:bCs/>
                <w:color w:val="auto"/>
                <w:sz w:val="21"/>
                <w:szCs w:val="21"/>
              </w:rPr>
            </w:pPr>
            <w:r>
              <w:rPr>
                <w:bCs/>
                <w:color w:val="auto"/>
                <w:sz w:val="21"/>
                <w:szCs w:val="21"/>
              </w:rPr>
              <w:t>60</w:t>
            </w:r>
          </w:p>
        </w:tc>
      </w:tr>
      <w:tr>
        <w:tblPrEx>
          <w:tblBorders>
            <w:top w:val="single" w:color="auto" w:sz="2" w:space="0"/>
            <w:left w:val="none" w:color="auto" w:sz="0" w:space="0"/>
            <w:bottom w:val="single" w:color="auto" w:sz="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10" w:hRule="atLeast"/>
          <w:tblHeader/>
          <w:jc w:val="center"/>
        </w:trPr>
        <w:tc>
          <w:tcPr>
            <w:tcW w:w="710" w:type="pct"/>
            <w:vAlign w:val="center"/>
          </w:tcPr>
          <w:p>
            <w:pPr>
              <w:adjustRightInd/>
              <w:snapToGrid/>
              <w:spacing w:line="320" w:lineRule="exact"/>
              <w:ind w:firstLine="0" w:firstLineChars="0"/>
              <w:jc w:val="center"/>
              <w:rPr>
                <w:bCs/>
                <w:color w:val="auto"/>
                <w:sz w:val="21"/>
                <w:szCs w:val="21"/>
              </w:rPr>
            </w:pPr>
            <w:r>
              <w:rPr>
                <w:bCs/>
                <w:color w:val="auto"/>
                <w:sz w:val="21"/>
                <w:szCs w:val="21"/>
              </w:rPr>
              <w:t>4</w:t>
            </w:r>
          </w:p>
        </w:tc>
        <w:tc>
          <w:tcPr>
            <w:tcW w:w="1275" w:type="pct"/>
            <w:vAlign w:val="center"/>
          </w:tcPr>
          <w:p>
            <w:pPr>
              <w:adjustRightInd/>
              <w:snapToGrid/>
              <w:spacing w:line="320" w:lineRule="exact"/>
              <w:ind w:firstLine="0" w:firstLineChars="0"/>
              <w:jc w:val="center"/>
              <w:rPr>
                <w:bCs/>
                <w:color w:val="auto"/>
                <w:sz w:val="21"/>
                <w:szCs w:val="21"/>
              </w:rPr>
            </w:pPr>
            <w:r>
              <w:rPr>
                <w:color w:val="auto"/>
                <w:sz w:val="21"/>
                <w:szCs w:val="21"/>
              </w:rPr>
              <w:t>NO</w:t>
            </w:r>
            <w:r>
              <w:rPr>
                <w:color w:val="auto"/>
                <w:sz w:val="21"/>
                <w:szCs w:val="21"/>
                <w:vertAlign w:val="subscript"/>
              </w:rPr>
              <w:t>2</w:t>
            </w:r>
          </w:p>
        </w:tc>
        <w:tc>
          <w:tcPr>
            <w:tcW w:w="1262" w:type="pct"/>
            <w:vAlign w:val="center"/>
          </w:tcPr>
          <w:p>
            <w:pPr>
              <w:adjustRightInd/>
              <w:snapToGrid/>
              <w:spacing w:line="320" w:lineRule="exact"/>
              <w:ind w:firstLine="0" w:firstLineChars="0"/>
              <w:jc w:val="center"/>
              <w:rPr>
                <w:bCs/>
                <w:color w:val="auto"/>
                <w:sz w:val="21"/>
                <w:szCs w:val="21"/>
              </w:rPr>
            </w:pPr>
            <w:r>
              <w:rPr>
                <w:bCs/>
                <w:color w:val="auto"/>
                <w:sz w:val="21"/>
                <w:szCs w:val="21"/>
              </w:rPr>
              <w:t>200</w:t>
            </w:r>
          </w:p>
        </w:tc>
        <w:tc>
          <w:tcPr>
            <w:tcW w:w="920" w:type="pct"/>
            <w:vAlign w:val="center"/>
          </w:tcPr>
          <w:p>
            <w:pPr>
              <w:adjustRightInd/>
              <w:snapToGrid/>
              <w:spacing w:line="320" w:lineRule="exact"/>
              <w:ind w:firstLine="0" w:firstLineChars="0"/>
              <w:jc w:val="center"/>
              <w:rPr>
                <w:bCs/>
                <w:color w:val="auto"/>
                <w:sz w:val="21"/>
                <w:szCs w:val="21"/>
              </w:rPr>
            </w:pPr>
            <w:r>
              <w:rPr>
                <w:bCs/>
                <w:color w:val="auto"/>
                <w:sz w:val="21"/>
                <w:szCs w:val="21"/>
              </w:rPr>
              <w:t>80</w:t>
            </w:r>
          </w:p>
        </w:tc>
        <w:tc>
          <w:tcPr>
            <w:tcW w:w="830" w:type="pct"/>
            <w:vAlign w:val="center"/>
          </w:tcPr>
          <w:p>
            <w:pPr>
              <w:adjustRightInd/>
              <w:snapToGrid/>
              <w:spacing w:line="320" w:lineRule="exact"/>
              <w:ind w:firstLine="0" w:firstLineChars="0"/>
              <w:jc w:val="center"/>
              <w:rPr>
                <w:bCs/>
                <w:color w:val="auto"/>
                <w:sz w:val="21"/>
                <w:szCs w:val="21"/>
              </w:rPr>
            </w:pPr>
            <w:r>
              <w:rPr>
                <w:bCs/>
                <w:color w:val="auto"/>
                <w:sz w:val="21"/>
                <w:szCs w:val="21"/>
              </w:rPr>
              <w:t>40</w:t>
            </w:r>
          </w:p>
        </w:tc>
      </w:tr>
      <w:tr>
        <w:tblPrEx>
          <w:tblBorders>
            <w:top w:val="single" w:color="auto" w:sz="2" w:space="0"/>
            <w:left w:val="none" w:color="auto" w:sz="0" w:space="0"/>
            <w:bottom w:val="single" w:color="auto" w:sz="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10" w:hRule="atLeast"/>
          <w:tblHeader/>
          <w:jc w:val="center"/>
        </w:trPr>
        <w:tc>
          <w:tcPr>
            <w:tcW w:w="710" w:type="pct"/>
            <w:vAlign w:val="center"/>
          </w:tcPr>
          <w:p>
            <w:pPr>
              <w:adjustRightInd/>
              <w:snapToGrid/>
              <w:spacing w:line="320" w:lineRule="exact"/>
              <w:ind w:firstLine="0" w:firstLineChars="0"/>
              <w:jc w:val="center"/>
              <w:rPr>
                <w:bCs/>
                <w:color w:val="auto"/>
                <w:sz w:val="21"/>
                <w:szCs w:val="21"/>
              </w:rPr>
            </w:pPr>
            <w:r>
              <w:rPr>
                <w:bCs/>
                <w:color w:val="auto"/>
                <w:sz w:val="21"/>
                <w:szCs w:val="21"/>
              </w:rPr>
              <w:t>5</w:t>
            </w:r>
          </w:p>
        </w:tc>
        <w:tc>
          <w:tcPr>
            <w:tcW w:w="1275" w:type="pct"/>
            <w:vAlign w:val="center"/>
          </w:tcPr>
          <w:p>
            <w:pPr>
              <w:adjustRightInd/>
              <w:snapToGrid/>
              <w:spacing w:line="320" w:lineRule="exact"/>
              <w:ind w:firstLine="0" w:firstLineChars="0"/>
              <w:jc w:val="center"/>
              <w:rPr>
                <w:color w:val="auto"/>
                <w:sz w:val="21"/>
                <w:szCs w:val="21"/>
              </w:rPr>
            </w:pPr>
            <w:r>
              <w:rPr>
                <w:color w:val="auto"/>
                <w:sz w:val="21"/>
                <w:szCs w:val="21"/>
              </w:rPr>
              <w:t>PM</w:t>
            </w:r>
            <w:r>
              <w:rPr>
                <w:color w:val="auto"/>
                <w:sz w:val="21"/>
                <w:szCs w:val="21"/>
                <w:vertAlign w:val="subscript"/>
              </w:rPr>
              <w:t>10</w:t>
            </w:r>
          </w:p>
        </w:tc>
        <w:tc>
          <w:tcPr>
            <w:tcW w:w="1262" w:type="pct"/>
            <w:vAlign w:val="center"/>
          </w:tcPr>
          <w:p>
            <w:pPr>
              <w:adjustRightInd/>
              <w:snapToGrid/>
              <w:spacing w:line="320" w:lineRule="exact"/>
              <w:ind w:firstLine="0" w:firstLineChars="0"/>
              <w:jc w:val="center"/>
              <w:rPr>
                <w:bCs/>
                <w:color w:val="auto"/>
                <w:sz w:val="21"/>
                <w:szCs w:val="21"/>
              </w:rPr>
            </w:pPr>
            <w:r>
              <w:rPr>
                <w:bCs/>
                <w:color w:val="auto"/>
                <w:sz w:val="21"/>
                <w:szCs w:val="21"/>
              </w:rPr>
              <w:t>/</w:t>
            </w:r>
          </w:p>
        </w:tc>
        <w:tc>
          <w:tcPr>
            <w:tcW w:w="920" w:type="pct"/>
            <w:vAlign w:val="center"/>
          </w:tcPr>
          <w:p>
            <w:pPr>
              <w:adjustRightInd/>
              <w:snapToGrid/>
              <w:spacing w:line="320" w:lineRule="exact"/>
              <w:ind w:firstLine="0" w:firstLineChars="0"/>
              <w:jc w:val="center"/>
              <w:rPr>
                <w:bCs/>
                <w:color w:val="auto"/>
                <w:sz w:val="21"/>
                <w:szCs w:val="21"/>
              </w:rPr>
            </w:pPr>
            <w:r>
              <w:rPr>
                <w:bCs/>
                <w:color w:val="auto"/>
                <w:sz w:val="21"/>
                <w:szCs w:val="21"/>
              </w:rPr>
              <w:t>70</w:t>
            </w:r>
          </w:p>
        </w:tc>
        <w:tc>
          <w:tcPr>
            <w:tcW w:w="830" w:type="pct"/>
            <w:vAlign w:val="center"/>
          </w:tcPr>
          <w:p>
            <w:pPr>
              <w:adjustRightInd/>
              <w:snapToGrid/>
              <w:spacing w:line="320" w:lineRule="exact"/>
              <w:ind w:firstLine="0" w:firstLineChars="0"/>
              <w:jc w:val="center"/>
              <w:rPr>
                <w:bCs/>
                <w:color w:val="auto"/>
                <w:sz w:val="21"/>
                <w:szCs w:val="21"/>
              </w:rPr>
            </w:pPr>
            <w:r>
              <w:rPr>
                <w:bCs/>
                <w:color w:val="auto"/>
                <w:sz w:val="21"/>
                <w:szCs w:val="21"/>
              </w:rPr>
              <w:t>150</w:t>
            </w:r>
          </w:p>
        </w:tc>
      </w:tr>
    </w:tbl>
    <w:p>
      <w:pPr>
        <w:ind w:firstLine="480"/>
        <w:rPr>
          <w:color w:val="auto"/>
        </w:rPr>
      </w:pPr>
      <w:r>
        <w:rPr>
          <w:color w:val="auto"/>
        </w:rPr>
        <w:t>5.2.1.3预测范围</w:t>
      </w:r>
    </w:p>
    <w:p>
      <w:pPr>
        <w:autoSpaceDE w:val="0"/>
        <w:autoSpaceDN w:val="0"/>
        <w:adjustRightInd/>
        <w:ind w:firstLine="480"/>
        <w:textAlignment w:val="baseline"/>
        <w:rPr>
          <w:bCs/>
          <w:color w:val="auto"/>
          <w:kern w:val="0"/>
        </w:rPr>
      </w:pPr>
      <w:r>
        <w:rPr>
          <w:color w:val="auto"/>
          <w:kern w:val="0"/>
        </w:rPr>
        <w:t>根据《环境影响评价技术导则大气环境》(HJ 2.2-2018)中评价工作等级划分及评价范围确定的原则，采用导则推荐的估算模式对每一个污染物排放源下风向的轴线浓度及相应浓度占标率进行了计算，</w:t>
      </w:r>
      <w:r>
        <w:rPr>
          <w:color w:val="auto"/>
          <w:kern w:val="0"/>
          <w:szCs w:val="28"/>
        </w:rPr>
        <w:t>本项目大气环境影响评价等级为一级，评价范围为以</w:t>
      </w:r>
      <w:r>
        <w:rPr>
          <w:bCs/>
          <w:color w:val="auto"/>
          <w:kern w:val="0"/>
        </w:rPr>
        <w:t>养殖场为中心区域，自</w:t>
      </w:r>
      <w:r>
        <w:rPr>
          <w:rFonts w:hint="eastAsia"/>
          <w:bCs/>
          <w:color w:val="auto"/>
          <w:kern w:val="0"/>
        </w:rPr>
        <w:t>厂界</w:t>
      </w:r>
      <w:r>
        <w:rPr>
          <w:bCs/>
          <w:color w:val="auto"/>
          <w:kern w:val="0"/>
        </w:rPr>
        <w:t>外延2500m的矩形区域。</w:t>
      </w:r>
    </w:p>
    <w:p>
      <w:pPr>
        <w:ind w:firstLine="480"/>
        <w:rPr>
          <w:color w:val="auto"/>
        </w:rPr>
      </w:pPr>
      <w:r>
        <w:rPr>
          <w:color w:val="auto"/>
        </w:rPr>
        <w:t>5.2.1.4预测周期</w:t>
      </w:r>
    </w:p>
    <w:p>
      <w:pPr>
        <w:adjustRightInd/>
        <w:ind w:firstLine="480"/>
        <w:rPr>
          <w:color w:val="auto"/>
        </w:rPr>
      </w:pPr>
      <w:r>
        <w:rPr>
          <w:color w:val="auto"/>
        </w:rPr>
        <w:t>依据评价所需环境空气质量现状、气象资料等数据的可获得性、数据质量、代表性等因素，选择近3年中数据相对完整的1个日历年作为评价基准年。</w:t>
      </w:r>
    </w:p>
    <w:p>
      <w:pPr>
        <w:adjustRightInd/>
        <w:ind w:firstLine="480"/>
        <w:rPr>
          <w:color w:val="auto"/>
        </w:rPr>
      </w:pPr>
      <w:r>
        <w:rPr>
          <w:color w:val="auto"/>
        </w:rPr>
        <w:t>拟建工程评价基准年为2019年，本次评价选取2019年为预测周期，预测时段取连续1年。</w:t>
      </w:r>
    </w:p>
    <w:p>
      <w:pPr>
        <w:ind w:firstLine="480"/>
        <w:rPr>
          <w:color w:val="auto"/>
        </w:rPr>
      </w:pPr>
      <w:r>
        <w:rPr>
          <w:color w:val="auto"/>
        </w:rPr>
        <w:t>5.2.1.5预测模型选取及选取依据</w:t>
      </w:r>
    </w:p>
    <w:p>
      <w:pPr>
        <w:adjustRightInd/>
        <w:ind w:firstLine="480" w:firstLineChars="0"/>
        <w:rPr>
          <w:color w:val="auto"/>
        </w:rPr>
      </w:pPr>
      <w:r>
        <w:rPr>
          <w:color w:val="auto"/>
        </w:rPr>
        <w:t>根据评价等级计算，本次大气评价等级为一级。因此，需采用进一步预测模型开展大气环境影响预测与评价。根据《环境影响评价技术导则-大气环境》HJ2.2-2018）表3推荐模型适用范围，满足拟建工程进一步预测的模型有AREMOD、ADMS。根据濮阳气象站2019年的气象统计结果：2019年出现风速≤0.5m/s的持续时间为1</w:t>
      </w:r>
      <w:r>
        <w:rPr>
          <w:rFonts w:hint="eastAsia"/>
          <w:color w:val="auto"/>
        </w:rPr>
        <w:t>5</w:t>
      </w:r>
      <w:r>
        <w:rPr>
          <w:color w:val="auto"/>
        </w:rPr>
        <w:t>h，未超过72h。另根据现场调查，拟建工程2.5km范围内无大型水体（海或湖），不会发生熏烟现象。因此，本次评价不需要采用CALPUFF模型进行进一步预测。根据以上模型比选，本次采用AERMOD模型对拟建工程进行进一步预测。</w:t>
      </w:r>
    </w:p>
    <w:p>
      <w:pPr>
        <w:adjustRightInd/>
        <w:ind w:firstLine="480" w:firstLineChars="0"/>
        <w:rPr>
          <w:color w:val="auto"/>
        </w:rPr>
      </w:pPr>
      <w:r>
        <w:rPr>
          <w:color w:val="auto"/>
        </w:rPr>
        <w:t>AERMOD模式是美国国家环保署与美国气象学会联合开发的新扩散模型，主要包括三个模块：AERMOD（AERMIC扩散模型）、AERMAP（AERMOD地形预处理）和AERMET（AERMOD气象预处理）。</w:t>
      </w:r>
    </w:p>
    <w:p>
      <w:pPr>
        <w:adjustRightInd/>
        <w:ind w:firstLine="480" w:firstLineChars="0"/>
        <w:rPr>
          <w:color w:val="auto"/>
        </w:rPr>
      </w:pPr>
      <w:r>
        <w:rPr>
          <w:color w:val="auto"/>
        </w:rPr>
        <w:t>AERMOD是一个稳态烟羽扩散模式，可基于大气边界层数据特征模拟点源、面源、体源等排放出的污染物在短期（小时平均、日平均）、长期（年平均）的浓度分布，适用于农村或城市地区、简单或复杂地形。AERMOD考虑了建筑物尾流的影响，即烟羽下洗。模式使用每小时连续预处理气象数据模拟大于等于1小时平均时间的浓度分布。AERMOD包括两个预处理模式，即AERMET气象预处理和AERMAP地形预处理模式。</w:t>
      </w:r>
    </w:p>
    <w:p>
      <w:pPr>
        <w:ind w:firstLine="480"/>
        <w:rPr>
          <w:color w:val="auto"/>
        </w:rPr>
      </w:pPr>
      <w:r>
        <w:rPr>
          <w:color w:val="auto"/>
        </w:rPr>
        <w:t>5.2.1.6气象数据</w:t>
      </w:r>
    </w:p>
    <w:p>
      <w:pPr>
        <w:adjustRightInd/>
        <w:ind w:firstLine="480" w:firstLineChars="0"/>
        <w:rPr>
          <w:color w:val="auto"/>
        </w:rPr>
      </w:pPr>
      <w:r>
        <w:rPr>
          <w:color w:val="auto"/>
        </w:rPr>
        <w:t>本数据中地面及高空气象数据均来源于濮阳气象站，对于观测数据中存在个别数据缺失的时段，采用线性插值方式予以补充。对于低云量的缺失（低云量主要影响气象统计分析，不参与模型计算），采用总云量代替的方式予以补充。</w:t>
      </w:r>
    </w:p>
    <w:p>
      <w:pPr>
        <w:adjustRightInd/>
        <w:ind w:firstLine="480" w:firstLineChars="0"/>
        <w:rPr>
          <w:color w:val="auto"/>
          <w:sz w:val="21"/>
          <w:szCs w:val="22"/>
        </w:rPr>
      </w:pPr>
      <w:r>
        <w:rPr>
          <w:color w:val="auto"/>
        </w:rPr>
        <w:t>拟建工程采用的气象站数据见表5.2-8。</w:t>
      </w:r>
    </w:p>
    <w:p>
      <w:pPr>
        <w:adjustRightInd/>
        <w:snapToGrid/>
        <w:spacing w:before="156" w:beforeLines="50" w:after="156" w:afterLines="50" w:line="240" w:lineRule="auto"/>
        <w:ind w:firstLine="0" w:firstLineChars="0"/>
        <w:jc w:val="center"/>
        <w:rPr>
          <w:b/>
          <w:color w:val="auto"/>
        </w:rPr>
      </w:pPr>
    </w:p>
    <w:p>
      <w:pPr>
        <w:adjustRightInd/>
        <w:snapToGrid/>
        <w:spacing w:before="156" w:beforeLines="50" w:after="156" w:afterLines="50" w:line="240" w:lineRule="auto"/>
        <w:ind w:firstLine="0" w:firstLineChars="0"/>
        <w:jc w:val="center"/>
        <w:rPr>
          <w:b/>
          <w:color w:val="auto"/>
        </w:rPr>
      </w:pPr>
      <w:r>
        <w:rPr>
          <w:b/>
          <w:color w:val="auto"/>
        </w:rPr>
        <w:t>表5.2-8             观测气象数据信息一览表</w:t>
      </w:r>
    </w:p>
    <w:tbl>
      <w:tblPr>
        <w:tblStyle w:val="27"/>
        <w:tblW w:w="5000"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766"/>
        <w:gridCol w:w="725"/>
        <w:gridCol w:w="744"/>
        <w:gridCol w:w="1041"/>
        <w:gridCol w:w="893"/>
        <w:gridCol w:w="744"/>
        <w:gridCol w:w="891"/>
        <w:gridCol w:w="1041"/>
        <w:gridCol w:w="1885"/>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280" w:type="pct"/>
            <w:gridSpan w:val="3"/>
            <w:vAlign w:val="center"/>
          </w:tcPr>
          <w:p>
            <w:pPr>
              <w:kinsoku w:val="0"/>
              <w:overflowPunct w:val="0"/>
              <w:autoSpaceDE w:val="0"/>
              <w:autoSpaceDN w:val="0"/>
              <w:snapToGrid/>
              <w:spacing w:line="240" w:lineRule="auto"/>
              <w:ind w:firstLine="0" w:firstLineChars="0"/>
              <w:jc w:val="center"/>
              <w:rPr>
                <w:b/>
                <w:color w:val="auto"/>
                <w:spacing w:val="3"/>
                <w:kern w:val="0"/>
                <w:sz w:val="21"/>
                <w:szCs w:val="21"/>
              </w:rPr>
            </w:pPr>
            <w:r>
              <w:rPr>
                <w:b/>
                <w:color w:val="auto"/>
                <w:spacing w:val="3"/>
                <w:kern w:val="0"/>
                <w:sz w:val="21"/>
                <w:szCs w:val="21"/>
              </w:rPr>
              <w:t>气象站</w:t>
            </w:r>
          </w:p>
        </w:tc>
        <w:tc>
          <w:tcPr>
            <w:tcW w:w="1107" w:type="pct"/>
            <w:gridSpan w:val="2"/>
            <w:vAlign w:val="center"/>
          </w:tcPr>
          <w:p>
            <w:pPr>
              <w:kinsoku w:val="0"/>
              <w:overflowPunct w:val="0"/>
              <w:autoSpaceDE w:val="0"/>
              <w:autoSpaceDN w:val="0"/>
              <w:snapToGrid/>
              <w:spacing w:line="240" w:lineRule="auto"/>
              <w:ind w:firstLine="0" w:firstLineChars="0"/>
              <w:jc w:val="center"/>
              <w:rPr>
                <w:b/>
                <w:color w:val="auto"/>
                <w:spacing w:val="6"/>
                <w:kern w:val="0"/>
                <w:sz w:val="21"/>
                <w:szCs w:val="21"/>
              </w:rPr>
            </w:pPr>
            <w:r>
              <w:rPr>
                <w:b/>
                <w:color w:val="auto"/>
                <w:spacing w:val="6"/>
                <w:kern w:val="0"/>
                <w:sz w:val="21"/>
                <w:szCs w:val="21"/>
              </w:rPr>
              <w:t>位置</w:t>
            </w:r>
          </w:p>
        </w:tc>
        <w:tc>
          <w:tcPr>
            <w:tcW w:w="426" w:type="pct"/>
            <w:vMerge w:val="restart"/>
            <w:vAlign w:val="center"/>
          </w:tcPr>
          <w:p>
            <w:pPr>
              <w:kinsoku w:val="0"/>
              <w:overflowPunct w:val="0"/>
              <w:autoSpaceDE w:val="0"/>
              <w:autoSpaceDN w:val="0"/>
              <w:snapToGrid/>
              <w:spacing w:line="240" w:lineRule="auto"/>
              <w:ind w:firstLine="0" w:firstLineChars="0"/>
              <w:jc w:val="center"/>
              <w:rPr>
                <w:b/>
                <w:color w:val="auto"/>
                <w:kern w:val="0"/>
                <w:sz w:val="21"/>
                <w:szCs w:val="21"/>
              </w:rPr>
            </w:pPr>
            <w:r>
              <w:rPr>
                <w:b/>
                <w:color w:val="auto"/>
                <w:spacing w:val="6"/>
                <w:kern w:val="0"/>
                <w:sz w:val="21"/>
                <w:szCs w:val="21"/>
              </w:rPr>
              <w:t>距离</w:t>
            </w:r>
          </w:p>
        </w:tc>
        <w:tc>
          <w:tcPr>
            <w:tcW w:w="510" w:type="pct"/>
            <w:vMerge w:val="restart"/>
            <w:vAlign w:val="center"/>
          </w:tcPr>
          <w:p>
            <w:pPr>
              <w:kinsoku w:val="0"/>
              <w:overflowPunct w:val="0"/>
              <w:autoSpaceDE w:val="0"/>
              <w:autoSpaceDN w:val="0"/>
              <w:snapToGrid/>
              <w:spacing w:line="240" w:lineRule="auto"/>
              <w:ind w:firstLine="0" w:firstLineChars="0"/>
              <w:jc w:val="center"/>
              <w:rPr>
                <w:b/>
                <w:color w:val="auto"/>
                <w:spacing w:val="6"/>
                <w:kern w:val="0"/>
                <w:sz w:val="21"/>
                <w:szCs w:val="21"/>
              </w:rPr>
            </w:pPr>
            <w:r>
              <w:rPr>
                <w:b/>
                <w:color w:val="auto"/>
                <w:spacing w:val="6"/>
                <w:kern w:val="0"/>
                <w:sz w:val="21"/>
                <w:szCs w:val="21"/>
              </w:rPr>
              <w:t>海拔</w:t>
            </w:r>
          </w:p>
          <w:p>
            <w:pPr>
              <w:kinsoku w:val="0"/>
              <w:overflowPunct w:val="0"/>
              <w:autoSpaceDE w:val="0"/>
              <w:autoSpaceDN w:val="0"/>
              <w:snapToGrid/>
              <w:spacing w:line="240" w:lineRule="auto"/>
              <w:ind w:firstLine="0" w:firstLineChars="0"/>
              <w:jc w:val="center"/>
              <w:rPr>
                <w:b/>
                <w:color w:val="auto"/>
                <w:spacing w:val="6"/>
                <w:kern w:val="0"/>
                <w:sz w:val="21"/>
                <w:szCs w:val="21"/>
              </w:rPr>
            </w:pPr>
            <w:r>
              <w:rPr>
                <w:b/>
                <w:color w:val="auto"/>
                <w:spacing w:val="6"/>
                <w:kern w:val="0"/>
                <w:sz w:val="21"/>
                <w:szCs w:val="21"/>
              </w:rPr>
              <w:t>高度</w:t>
            </w:r>
          </w:p>
        </w:tc>
        <w:tc>
          <w:tcPr>
            <w:tcW w:w="596" w:type="pct"/>
            <w:vMerge w:val="restart"/>
            <w:vAlign w:val="center"/>
          </w:tcPr>
          <w:p>
            <w:pPr>
              <w:kinsoku w:val="0"/>
              <w:overflowPunct w:val="0"/>
              <w:autoSpaceDE w:val="0"/>
              <w:autoSpaceDN w:val="0"/>
              <w:snapToGrid/>
              <w:spacing w:line="240" w:lineRule="auto"/>
              <w:ind w:firstLine="0" w:firstLineChars="0"/>
              <w:jc w:val="center"/>
              <w:rPr>
                <w:b/>
                <w:color w:val="auto"/>
                <w:spacing w:val="6"/>
                <w:kern w:val="0"/>
                <w:sz w:val="21"/>
                <w:szCs w:val="21"/>
              </w:rPr>
            </w:pPr>
            <w:r>
              <w:rPr>
                <w:b/>
                <w:color w:val="auto"/>
                <w:spacing w:val="6"/>
                <w:kern w:val="0"/>
                <w:sz w:val="21"/>
                <w:szCs w:val="21"/>
              </w:rPr>
              <w:t>数据年份</w:t>
            </w:r>
          </w:p>
        </w:tc>
        <w:tc>
          <w:tcPr>
            <w:tcW w:w="1079" w:type="pct"/>
            <w:vMerge w:val="restart"/>
            <w:vAlign w:val="center"/>
          </w:tcPr>
          <w:p>
            <w:pPr>
              <w:kinsoku w:val="0"/>
              <w:overflowPunct w:val="0"/>
              <w:autoSpaceDE w:val="0"/>
              <w:autoSpaceDN w:val="0"/>
              <w:snapToGrid/>
              <w:spacing w:line="240" w:lineRule="auto"/>
              <w:ind w:firstLine="0" w:firstLineChars="0"/>
              <w:jc w:val="center"/>
              <w:rPr>
                <w:b/>
                <w:color w:val="auto"/>
                <w:spacing w:val="6"/>
                <w:kern w:val="0"/>
                <w:sz w:val="21"/>
                <w:szCs w:val="21"/>
              </w:rPr>
            </w:pPr>
            <w:r>
              <w:rPr>
                <w:b/>
                <w:color w:val="auto"/>
                <w:spacing w:val="6"/>
                <w:kern w:val="0"/>
                <w:sz w:val="21"/>
                <w:szCs w:val="21"/>
              </w:rPr>
              <w:t>气象要素</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39" w:type="pct"/>
            <w:vAlign w:val="center"/>
          </w:tcPr>
          <w:p>
            <w:pPr>
              <w:kinsoku w:val="0"/>
              <w:overflowPunct w:val="0"/>
              <w:autoSpaceDE w:val="0"/>
              <w:autoSpaceDN w:val="0"/>
              <w:snapToGrid/>
              <w:spacing w:line="240" w:lineRule="auto"/>
              <w:ind w:firstLine="0" w:firstLineChars="0"/>
              <w:jc w:val="center"/>
              <w:rPr>
                <w:b/>
                <w:color w:val="auto"/>
                <w:kern w:val="0"/>
                <w:sz w:val="21"/>
                <w:szCs w:val="21"/>
              </w:rPr>
            </w:pPr>
            <w:r>
              <w:rPr>
                <w:b/>
                <w:color w:val="auto"/>
                <w:kern w:val="0"/>
                <w:sz w:val="21"/>
                <w:szCs w:val="21"/>
              </w:rPr>
              <w:t>名称</w:t>
            </w:r>
          </w:p>
        </w:tc>
        <w:tc>
          <w:tcPr>
            <w:tcW w:w="415" w:type="pct"/>
            <w:vAlign w:val="center"/>
          </w:tcPr>
          <w:p>
            <w:pPr>
              <w:kinsoku w:val="0"/>
              <w:overflowPunct w:val="0"/>
              <w:autoSpaceDE w:val="0"/>
              <w:autoSpaceDN w:val="0"/>
              <w:snapToGrid/>
              <w:spacing w:line="240" w:lineRule="auto"/>
              <w:ind w:firstLine="0" w:firstLineChars="0"/>
              <w:jc w:val="center"/>
              <w:rPr>
                <w:b/>
                <w:color w:val="auto"/>
                <w:kern w:val="0"/>
                <w:sz w:val="21"/>
                <w:szCs w:val="21"/>
              </w:rPr>
            </w:pPr>
            <w:r>
              <w:rPr>
                <w:b/>
                <w:color w:val="auto"/>
                <w:kern w:val="0"/>
                <w:sz w:val="21"/>
                <w:szCs w:val="21"/>
              </w:rPr>
              <w:t>编号</w:t>
            </w:r>
          </w:p>
        </w:tc>
        <w:tc>
          <w:tcPr>
            <w:tcW w:w="426" w:type="pct"/>
            <w:vAlign w:val="center"/>
          </w:tcPr>
          <w:p>
            <w:pPr>
              <w:kinsoku w:val="0"/>
              <w:overflowPunct w:val="0"/>
              <w:autoSpaceDE w:val="0"/>
              <w:autoSpaceDN w:val="0"/>
              <w:snapToGrid/>
              <w:spacing w:line="240" w:lineRule="auto"/>
              <w:ind w:firstLine="0" w:firstLineChars="0"/>
              <w:jc w:val="center"/>
              <w:rPr>
                <w:b/>
                <w:color w:val="auto"/>
                <w:kern w:val="0"/>
                <w:sz w:val="21"/>
                <w:szCs w:val="21"/>
              </w:rPr>
            </w:pPr>
            <w:r>
              <w:rPr>
                <w:b/>
                <w:color w:val="auto"/>
                <w:kern w:val="0"/>
                <w:sz w:val="21"/>
                <w:szCs w:val="21"/>
              </w:rPr>
              <w:t>等级</w:t>
            </w:r>
          </w:p>
        </w:tc>
        <w:tc>
          <w:tcPr>
            <w:tcW w:w="596" w:type="pct"/>
            <w:vAlign w:val="center"/>
          </w:tcPr>
          <w:p>
            <w:pPr>
              <w:kinsoku w:val="0"/>
              <w:overflowPunct w:val="0"/>
              <w:autoSpaceDE w:val="0"/>
              <w:autoSpaceDN w:val="0"/>
              <w:snapToGrid/>
              <w:spacing w:line="240" w:lineRule="auto"/>
              <w:ind w:firstLine="0" w:firstLineChars="0"/>
              <w:jc w:val="center"/>
              <w:rPr>
                <w:b/>
                <w:color w:val="auto"/>
                <w:kern w:val="0"/>
                <w:sz w:val="21"/>
                <w:szCs w:val="21"/>
              </w:rPr>
            </w:pPr>
            <w:r>
              <w:rPr>
                <w:b/>
                <w:color w:val="auto"/>
                <w:spacing w:val="3"/>
                <w:kern w:val="0"/>
                <w:sz w:val="21"/>
                <w:szCs w:val="21"/>
              </w:rPr>
              <w:t>经度</w:t>
            </w:r>
          </w:p>
        </w:tc>
        <w:tc>
          <w:tcPr>
            <w:tcW w:w="510" w:type="pct"/>
            <w:vAlign w:val="center"/>
          </w:tcPr>
          <w:p>
            <w:pPr>
              <w:kinsoku w:val="0"/>
              <w:overflowPunct w:val="0"/>
              <w:autoSpaceDE w:val="0"/>
              <w:autoSpaceDN w:val="0"/>
              <w:snapToGrid/>
              <w:spacing w:line="240" w:lineRule="auto"/>
              <w:ind w:firstLine="0" w:firstLineChars="0"/>
              <w:jc w:val="center"/>
              <w:rPr>
                <w:b/>
                <w:color w:val="auto"/>
                <w:kern w:val="0"/>
                <w:sz w:val="21"/>
                <w:szCs w:val="21"/>
              </w:rPr>
            </w:pPr>
            <w:r>
              <w:rPr>
                <w:b/>
                <w:color w:val="auto"/>
                <w:spacing w:val="3"/>
                <w:kern w:val="0"/>
                <w:sz w:val="21"/>
                <w:szCs w:val="21"/>
              </w:rPr>
              <w:t>纬度</w:t>
            </w:r>
          </w:p>
        </w:tc>
        <w:tc>
          <w:tcPr>
            <w:tcW w:w="426" w:type="pct"/>
            <w:vMerge w:val="continue"/>
            <w:vAlign w:val="center"/>
          </w:tcPr>
          <w:p>
            <w:pPr>
              <w:kinsoku w:val="0"/>
              <w:overflowPunct w:val="0"/>
              <w:autoSpaceDE w:val="0"/>
              <w:autoSpaceDN w:val="0"/>
              <w:snapToGrid/>
              <w:spacing w:line="240" w:lineRule="auto"/>
              <w:ind w:firstLine="0" w:firstLineChars="0"/>
              <w:jc w:val="center"/>
              <w:rPr>
                <w:color w:val="auto"/>
                <w:spacing w:val="6"/>
                <w:kern w:val="0"/>
                <w:sz w:val="21"/>
                <w:szCs w:val="21"/>
              </w:rPr>
            </w:pPr>
          </w:p>
        </w:tc>
        <w:tc>
          <w:tcPr>
            <w:tcW w:w="510" w:type="pct"/>
            <w:vMerge w:val="continue"/>
            <w:vAlign w:val="center"/>
          </w:tcPr>
          <w:p>
            <w:pPr>
              <w:kinsoku w:val="0"/>
              <w:overflowPunct w:val="0"/>
              <w:autoSpaceDE w:val="0"/>
              <w:autoSpaceDN w:val="0"/>
              <w:snapToGrid/>
              <w:spacing w:line="240" w:lineRule="auto"/>
              <w:ind w:firstLine="0" w:firstLineChars="0"/>
              <w:jc w:val="center"/>
              <w:rPr>
                <w:color w:val="auto"/>
                <w:spacing w:val="6"/>
                <w:kern w:val="0"/>
                <w:sz w:val="21"/>
                <w:szCs w:val="21"/>
              </w:rPr>
            </w:pPr>
          </w:p>
        </w:tc>
        <w:tc>
          <w:tcPr>
            <w:tcW w:w="596" w:type="pct"/>
            <w:vMerge w:val="continue"/>
            <w:vAlign w:val="center"/>
          </w:tcPr>
          <w:p>
            <w:pPr>
              <w:kinsoku w:val="0"/>
              <w:overflowPunct w:val="0"/>
              <w:autoSpaceDE w:val="0"/>
              <w:autoSpaceDN w:val="0"/>
              <w:snapToGrid/>
              <w:spacing w:line="240" w:lineRule="auto"/>
              <w:ind w:firstLine="0" w:firstLineChars="0"/>
              <w:jc w:val="center"/>
              <w:rPr>
                <w:color w:val="auto"/>
                <w:spacing w:val="6"/>
                <w:kern w:val="0"/>
                <w:sz w:val="21"/>
                <w:szCs w:val="21"/>
              </w:rPr>
            </w:pPr>
          </w:p>
        </w:tc>
        <w:tc>
          <w:tcPr>
            <w:tcW w:w="1079" w:type="pct"/>
            <w:vMerge w:val="continue"/>
            <w:vAlign w:val="center"/>
          </w:tcPr>
          <w:p>
            <w:pPr>
              <w:kinsoku w:val="0"/>
              <w:overflowPunct w:val="0"/>
              <w:autoSpaceDE w:val="0"/>
              <w:autoSpaceDN w:val="0"/>
              <w:snapToGrid/>
              <w:spacing w:line="240" w:lineRule="auto"/>
              <w:ind w:firstLine="0" w:firstLineChars="0"/>
              <w:jc w:val="center"/>
              <w:rPr>
                <w:color w:val="auto"/>
                <w:spacing w:val="6"/>
                <w:kern w:val="0"/>
                <w:sz w:val="21"/>
                <w:szCs w:val="21"/>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39" w:type="pct"/>
            <w:vAlign w:val="center"/>
          </w:tcPr>
          <w:p>
            <w:pPr>
              <w:kinsoku w:val="0"/>
              <w:overflowPunct w:val="0"/>
              <w:autoSpaceDE w:val="0"/>
              <w:autoSpaceDN w:val="0"/>
              <w:snapToGrid/>
              <w:spacing w:line="240" w:lineRule="auto"/>
              <w:ind w:firstLine="0" w:firstLineChars="0"/>
              <w:jc w:val="center"/>
              <w:rPr>
                <w:color w:val="auto"/>
                <w:kern w:val="0"/>
                <w:sz w:val="21"/>
                <w:szCs w:val="21"/>
              </w:rPr>
            </w:pPr>
            <w:r>
              <w:rPr>
                <w:color w:val="auto"/>
                <w:spacing w:val="3"/>
                <w:kern w:val="0"/>
                <w:sz w:val="21"/>
                <w:szCs w:val="21"/>
              </w:rPr>
              <w:t>濮阳</w:t>
            </w:r>
          </w:p>
        </w:tc>
        <w:tc>
          <w:tcPr>
            <w:tcW w:w="415" w:type="pct"/>
            <w:vAlign w:val="center"/>
          </w:tcPr>
          <w:p>
            <w:pPr>
              <w:kinsoku w:val="0"/>
              <w:overflowPunct w:val="0"/>
              <w:autoSpaceDE w:val="0"/>
              <w:autoSpaceDN w:val="0"/>
              <w:snapToGrid/>
              <w:spacing w:line="240" w:lineRule="auto"/>
              <w:ind w:firstLine="0" w:firstLineChars="0"/>
              <w:jc w:val="center"/>
              <w:rPr>
                <w:color w:val="auto"/>
                <w:kern w:val="0"/>
                <w:sz w:val="21"/>
                <w:szCs w:val="21"/>
              </w:rPr>
            </w:pPr>
            <w:r>
              <w:rPr>
                <w:color w:val="auto"/>
                <w:kern w:val="0"/>
                <w:sz w:val="21"/>
                <w:szCs w:val="21"/>
              </w:rPr>
              <w:t>54900</w:t>
            </w:r>
          </w:p>
        </w:tc>
        <w:tc>
          <w:tcPr>
            <w:tcW w:w="426" w:type="pct"/>
            <w:vAlign w:val="center"/>
          </w:tcPr>
          <w:p>
            <w:pPr>
              <w:kinsoku w:val="0"/>
              <w:overflowPunct w:val="0"/>
              <w:autoSpaceDE w:val="0"/>
              <w:autoSpaceDN w:val="0"/>
              <w:snapToGrid/>
              <w:spacing w:line="240" w:lineRule="auto"/>
              <w:ind w:firstLine="0" w:firstLineChars="0"/>
              <w:jc w:val="center"/>
              <w:rPr>
                <w:color w:val="auto"/>
                <w:kern w:val="0"/>
                <w:sz w:val="21"/>
                <w:szCs w:val="21"/>
              </w:rPr>
            </w:pPr>
            <w:r>
              <w:rPr>
                <w:color w:val="auto"/>
                <w:kern w:val="0"/>
                <w:sz w:val="21"/>
                <w:szCs w:val="21"/>
              </w:rPr>
              <w:t>一般站</w:t>
            </w:r>
          </w:p>
        </w:tc>
        <w:tc>
          <w:tcPr>
            <w:tcW w:w="596" w:type="pct"/>
            <w:vAlign w:val="center"/>
          </w:tcPr>
          <w:p>
            <w:pPr>
              <w:kinsoku w:val="0"/>
              <w:overflowPunct w:val="0"/>
              <w:autoSpaceDE w:val="0"/>
              <w:autoSpaceDN w:val="0"/>
              <w:snapToGrid/>
              <w:spacing w:line="240" w:lineRule="auto"/>
              <w:ind w:firstLine="0" w:firstLineChars="0"/>
              <w:jc w:val="center"/>
              <w:rPr>
                <w:color w:val="auto"/>
                <w:kern w:val="0"/>
                <w:sz w:val="21"/>
                <w:szCs w:val="21"/>
              </w:rPr>
            </w:pPr>
            <w:r>
              <w:rPr>
                <w:color w:val="auto"/>
                <w:sz w:val="21"/>
                <w:szCs w:val="21"/>
                <w:shd w:val="clear" w:color="auto" w:fill="F5F5F5"/>
              </w:rPr>
              <w:t>115.0167</w:t>
            </w:r>
          </w:p>
        </w:tc>
        <w:tc>
          <w:tcPr>
            <w:tcW w:w="510" w:type="pct"/>
            <w:vAlign w:val="center"/>
          </w:tcPr>
          <w:p>
            <w:pPr>
              <w:kinsoku w:val="0"/>
              <w:overflowPunct w:val="0"/>
              <w:autoSpaceDE w:val="0"/>
              <w:autoSpaceDN w:val="0"/>
              <w:snapToGrid/>
              <w:spacing w:line="240" w:lineRule="auto"/>
              <w:ind w:firstLine="0" w:firstLineChars="0"/>
              <w:jc w:val="center"/>
              <w:rPr>
                <w:color w:val="auto"/>
                <w:kern w:val="0"/>
                <w:sz w:val="21"/>
                <w:szCs w:val="21"/>
              </w:rPr>
            </w:pPr>
            <w:r>
              <w:rPr>
                <w:color w:val="auto"/>
                <w:sz w:val="21"/>
                <w:szCs w:val="21"/>
                <w:shd w:val="clear" w:color="auto" w:fill="F5F5F5"/>
              </w:rPr>
              <w:t>35.7000</w:t>
            </w:r>
          </w:p>
        </w:tc>
        <w:tc>
          <w:tcPr>
            <w:tcW w:w="426" w:type="pct"/>
            <w:vAlign w:val="center"/>
          </w:tcPr>
          <w:p>
            <w:pPr>
              <w:kinsoku w:val="0"/>
              <w:overflowPunct w:val="0"/>
              <w:autoSpaceDE w:val="0"/>
              <w:autoSpaceDN w:val="0"/>
              <w:snapToGrid/>
              <w:spacing w:line="240" w:lineRule="auto"/>
              <w:ind w:firstLine="0" w:firstLineChars="0"/>
              <w:jc w:val="center"/>
              <w:rPr>
                <w:color w:val="auto"/>
                <w:kern w:val="0"/>
                <w:sz w:val="21"/>
                <w:szCs w:val="21"/>
              </w:rPr>
            </w:pPr>
            <w:r>
              <w:rPr>
                <w:color w:val="auto"/>
                <w:kern w:val="0"/>
                <w:sz w:val="21"/>
                <w:szCs w:val="21"/>
              </w:rPr>
              <w:t>25km</w:t>
            </w:r>
          </w:p>
        </w:tc>
        <w:tc>
          <w:tcPr>
            <w:tcW w:w="510" w:type="pct"/>
            <w:vAlign w:val="center"/>
          </w:tcPr>
          <w:p>
            <w:pPr>
              <w:kinsoku w:val="0"/>
              <w:overflowPunct w:val="0"/>
              <w:autoSpaceDE w:val="0"/>
              <w:autoSpaceDN w:val="0"/>
              <w:snapToGrid/>
              <w:spacing w:line="240" w:lineRule="auto"/>
              <w:ind w:firstLine="0" w:firstLineChars="0"/>
              <w:jc w:val="center"/>
              <w:rPr>
                <w:color w:val="auto"/>
                <w:kern w:val="0"/>
                <w:sz w:val="21"/>
                <w:szCs w:val="21"/>
              </w:rPr>
            </w:pPr>
            <w:r>
              <w:rPr>
                <w:color w:val="auto"/>
                <w:kern w:val="0"/>
                <w:sz w:val="21"/>
                <w:szCs w:val="21"/>
              </w:rPr>
              <w:t>55m</w:t>
            </w:r>
          </w:p>
        </w:tc>
        <w:tc>
          <w:tcPr>
            <w:tcW w:w="596" w:type="pct"/>
            <w:vAlign w:val="center"/>
          </w:tcPr>
          <w:p>
            <w:pPr>
              <w:kinsoku w:val="0"/>
              <w:overflowPunct w:val="0"/>
              <w:autoSpaceDE w:val="0"/>
              <w:autoSpaceDN w:val="0"/>
              <w:snapToGrid/>
              <w:spacing w:line="240" w:lineRule="auto"/>
              <w:ind w:firstLine="0" w:firstLineChars="0"/>
              <w:jc w:val="center"/>
              <w:rPr>
                <w:color w:val="auto"/>
                <w:kern w:val="0"/>
                <w:sz w:val="21"/>
                <w:szCs w:val="21"/>
              </w:rPr>
            </w:pPr>
            <w:r>
              <w:rPr>
                <w:color w:val="auto"/>
                <w:kern w:val="0"/>
                <w:sz w:val="21"/>
                <w:szCs w:val="21"/>
              </w:rPr>
              <w:t>2019</w:t>
            </w:r>
          </w:p>
        </w:tc>
        <w:tc>
          <w:tcPr>
            <w:tcW w:w="1079" w:type="pct"/>
            <w:vAlign w:val="center"/>
          </w:tcPr>
          <w:p>
            <w:pPr>
              <w:kinsoku w:val="0"/>
              <w:overflowPunct w:val="0"/>
              <w:autoSpaceDE w:val="0"/>
              <w:autoSpaceDN w:val="0"/>
              <w:snapToGrid/>
              <w:spacing w:line="240" w:lineRule="auto"/>
              <w:ind w:firstLine="0" w:firstLineChars="0"/>
              <w:jc w:val="center"/>
              <w:rPr>
                <w:color w:val="auto"/>
                <w:kern w:val="0"/>
                <w:sz w:val="21"/>
                <w:szCs w:val="21"/>
              </w:rPr>
            </w:pPr>
            <w:r>
              <w:rPr>
                <w:color w:val="auto"/>
                <w:spacing w:val="3"/>
                <w:kern w:val="0"/>
                <w:sz w:val="21"/>
                <w:szCs w:val="21"/>
              </w:rPr>
              <w:t>风向、风速、温度、低云量、总云量、探空层数、气压、干球温度</w:t>
            </w:r>
          </w:p>
        </w:tc>
      </w:tr>
    </w:tbl>
    <w:p>
      <w:pPr>
        <w:ind w:firstLine="480"/>
        <w:rPr>
          <w:color w:val="auto"/>
        </w:rPr>
      </w:pPr>
      <w:r>
        <w:rPr>
          <w:color w:val="auto"/>
        </w:rPr>
        <w:t xml:space="preserve">5.2.1.7地形数据 </w:t>
      </w:r>
    </w:p>
    <w:p>
      <w:pPr>
        <w:adjustRightInd/>
        <w:snapToGrid/>
        <w:spacing w:line="460" w:lineRule="exact"/>
        <w:ind w:firstLine="480"/>
        <w:rPr>
          <w:color w:val="auto"/>
        </w:rPr>
      </w:pPr>
      <w:r>
        <w:rPr>
          <w:color w:val="auto"/>
        </w:rPr>
        <w:t>本项目地形数据采用SRTM（Shuttle Radar Topography Mission）90m分辨率地形数据。数据来源为：http://srtm.csi.cgiar.org。地形数据范围为srtm60-05。</w:t>
      </w:r>
    </w:p>
    <w:p>
      <w:pPr>
        <w:adjustRightInd/>
        <w:snapToGrid/>
        <w:spacing w:line="240" w:lineRule="auto"/>
        <w:ind w:firstLine="0" w:firstLineChars="0"/>
        <w:jc w:val="center"/>
        <w:rPr>
          <w:color w:val="auto"/>
          <w:sz w:val="21"/>
          <w:szCs w:val="22"/>
        </w:rPr>
      </w:pPr>
      <w:r>
        <w:rPr>
          <w:color w:val="auto"/>
        </w:rPr>
        <w:drawing>
          <wp:inline distT="0" distB="0" distL="114300" distR="114300">
            <wp:extent cx="5541645" cy="3392170"/>
            <wp:effectExtent l="0" t="0" r="1905" b="17780"/>
            <wp:docPr id="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pic:cNvPicPr>
                      <a:picLocks noChangeAspect="1"/>
                    </pic:cNvPicPr>
                  </pic:nvPicPr>
                  <pic:blipFill>
                    <a:blip r:embed="rId49"/>
                    <a:stretch>
                      <a:fillRect/>
                    </a:stretch>
                  </pic:blipFill>
                  <pic:spPr>
                    <a:xfrm>
                      <a:off x="0" y="0"/>
                      <a:ext cx="5541645" cy="3392170"/>
                    </a:xfrm>
                    <a:prstGeom prst="rect">
                      <a:avLst/>
                    </a:prstGeom>
                    <a:noFill/>
                    <a:ln>
                      <a:noFill/>
                    </a:ln>
                  </pic:spPr>
                </pic:pic>
              </a:graphicData>
            </a:graphic>
          </wp:inline>
        </w:drawing>
      </w:r>
    </w:p>
    <w:p>
      <w:pPr>
        <w:spacing w:before="156" w:beforeLines="50" w:after="156" w:afterLines="50" w:line="240" w:lineRule="auto"/>
        <w:ind w:left="420" w:firstLine="0" w:firstLineChars="0"/>
        <w:jc w:val="center"/>
        <w:rPr>
          <w:b/>
          <w:color w:val="auto"/>
        </w:rPr>
      </w:pPr>
      <w:r>
        <w:rPr>
          <w:b/>
          <w:color w:val="auto"/>
        </w:rPr>
        <w:t>图5-4   评价区域地形图</w:t>
      </w:r>
    </w:p>
    <w:p>
      <w:pPr>
        <w:ind w:firstLine="480"/>
        <w:rPr>
          <w:color w:val="auto"/>
        </w:rPr>
      </w:pPr>
      <w:r>
        <w:rPr>
          <w:color w:val="auto"/>
        </w:rPr>
        <w:t>5.2.1.8模型主要参数设置</w:t>
      </w:r>
    </w:p>
    <w:p>
      <w:pPr>
        <w:adjustRightInd/>
        <w:snapToGrid/>
        <w:spacing w:line="460" w:lineRule="exact"/>
        <w:ind w:firstLine="480"/>
        <w:rPr>
          <w:color w:val="auto"/>
        </w:rPr>
      </w:pPr>
      <w:r>
        <w:rPr>
          <w:color w:val="auto"/>
        </w:rPr>
        <w:t>（1）预测网格设置及计算点</w:t>
      </w:r>
    </w:p>
    <w:p>
      <w:pPr>
        <w:adjustRightInd/>
        <w:snapToGrid/>
        <w:spacing w:line="460" w:lineRule="exact"/>
        <w:ind w:firstLine="480"/>
        <w:rPr>
          <w:color w:val="auto"/>
        </w:rPr>
      </w:pPr>
      <w:r>
        <w:rPr>
          <w:color w:val="auto"/>
        </w:rPr>
        <w:t>本次预测范围为5km×5km的矩形范围，覆盖了评价范围及各污染物短期浓度贡献值占标率大于10%的区域、大部分削减源。为了准确描述各污染源及评价点（敏感点）的位置，定量预测污染程度，对预测区域进行网格化处理，以拟建项目厂址为中心，边长为5×5km的矩形网格，网格点采用100m，共计4487个网格点，能够保证预测网格具有足够的分辨率，尽可能的精确预测污染源对评价范围的环境影响。</w:t>
      </w:r>
    </w:p>
    <w:p>
      <w:pPr>
        <w:adjustRightInd/>
        <w:snapToGrid/>
        <w:spacing w:line="460" w:lineRule="exact"/>
        <w:ind w:firstLine="480"/>
        <w:rPr>
          <w:color w:val="auto"/>
        </w:rPr>
      </w:pPr>
      <w:r>
        <w:rPr>
          <w:color w:val="auto"/>
        </w:rPr>
        <w:t>拟建工程设置多个离散点，为项目预测范围内的主要敏感点，见表5.2-9。</w:t>
      </w:r>
    </w:p>
    <w:p>
      <w:pPr>
        <w:adjustRightInd/>
        <w:snapToGrid/>
        <w:spacing w:before="156" w:beforeLines="50" w:after="156" w:afterLines="50" w:line="240" w:lineRule="auto"/>
        <w:ind w:firstLine="0" w:firstLineChars="0"/>
        <w:jc w:val="center"/>
        <w:rPr>
          <w:b/>
          <w:color w:val="auto"/>
        </w:rPr>
      </w:pPr>
      <w:r>
        <w:rPr>
          <w:b/>
          <w:color w:val="auto"/>
        </w:rPr>
        <w:t>表5.2-9         离散点设置情况一览表</w:t>
      </w:r>
    </w:p>
    <w:tbl>
      <w:tblPr>
        <w:tblStyle w:val="27"/>
        <w:tblW w:w="5000" w:type="pct"/>
        <w:jc w:val="center"/>
        <w:tblBorders>
          <w:top w:val="single" w:color="auto" w:sz="2" w:space="0"/>
          <w:left w:val="none" w:color="auto" w:sz="0" w:space="0"/>
          <w:bottom w:val="single" w:color="auto" w:sz="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49"/>
        <w:gridCol w:w="1017"/>
        <w:gridCol w:w="1151"/>
        <w:gridCol w:w="1174"/>
        <w:gridCol w:w="904"/>
        <w:gridCol w:w="657"/>
        <w:gridCol w:w="861"/>
        <w:gridCol w:w="861"/>
        <w:gridCol w:w="1072"/>
      </w:tblGrid>
      <w:tr>
        <w:tblPrEx>
          <w:tblBorders>
            <w:top w:val="single" w:color="auto" w:sz="2" w:space="0"/>
            <w:left w:val="none" w:color="auto" w:sz="0" w:space="0"/>
            <w:bottom w:val="sing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8" w:type="pct"/>
            <w:vMerge w:val="restart"/>
            <w:tcBorders>
              <w:top w:val="single" w:color="auto" w:sz="2" w:space="0"/>
              <w:left w:val="nil"/>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名称</w:t>
            </w:r>
          </w:p>
        </w:tc>
        <w:tc>
          <w:tcPr>
            <w:tcW w:w="1867" w:type="pct"/>
            <w:gridSpan w:val="3"/>
            <w:tcBorders>
              <w:top w:val="single" w:color="auto" w:sz="2"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坐标（m）</w:t>
            </w:r>
          </w:p>
        </w:tc>
        <w:tc>
          <w:tcPr>
            <w:tcW w:w="505" w:type="pct"/>
            <w:vMerge w:val="restart"/>
            <w:tcBorders>
              <w:top w:val="single" w:color="auto" w:sz="2"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保护对象</w:t>
            </w:r>
          </w:p>
        </w:tc>
        <w:tc>
          <w:tcPr>
            <w:tcW w:w="367" w:type="pct"/>
            <w:vMerge w:val="restart"/>
            <w:tcBorders>
              <w:top w:val="single" w:color="auto" w:sz="2"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保护内容</w:t>
            </w:r>
          </w:p>
        </w:tc>
        <w:tc>
          <w:tcPr>
            <w:tcW w:w="481" w:type="pct"/>
            <w:vMerge w:val="restart"/>
            <w:tcBorders>
              <w:top w:val="single" w:color="auto" w:sz="2"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环境功能区</w:t>
            </w:r>
          </w:p>
        </w:tc>
        <w:tc>
          <w:tcPr>
            <w:tcW w:w="481" w:type="pct"/>
            <w:vMerge w:val="restart"/>
            <w:tcBorders>
              <w:top w:val="single" w:color="auto" w:sz="2"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相对厂址方位</w:t>
            </w:r>
          </w:p>
        </w:tc>
        <w:tc>
          <w:tcPr>
            <w:tcW w:w="599" w:type="pct"/>
            <w:vMerge w:val="restart"/>
            <w:tcBorders>
              <w:top w:val="single" w:color="auto" w:sz="2" w:space="0"/>
              <w:left w:val="single" w:color="auto" w:sz="4" w:space="0"/>
              <w:bottom w:val="single" w:color="auto" w:sz="4" w:space="0"/>
              <w:right w:val="nil"/>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相对厂界距离/m</w:t>
            </w:r>
          </w:p>
        </w:tc>
      </w:tr>
      <w:tr>
        <w:tblPrEx>
          <w:tblBorders>
            <w:top w:val="single" w:color="auto" w:sz="2" w:space="0"/>
            <w:left w:val="none" w:color="auto" w:sz="0" w:space="0"/>
            <w:bottom w:val="sing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8" w:type="pct"/>
            <w:vMerge w:val="continue"/>
            <w:tcBorders>
              <w:top w:val="single" w:color="auto" w:sz="2" w:space="0"/>
              <w:left w:val="nil"/>
              <w:bottom w:val="single" w:color="auto" w:sz="4" w:space="0"/>
              <w:right w:val="single" w:color="auto" w:sz="4" w:space="0"/>
            </w:tcBorders>
            <w:vAlign w:val="center"/>
          </w:tcPr>
          <w:p>
            <w:pPr>
              <w:widowControl/>
              <w:adjustRightInd/>
              <w:spacing w:line="240" w:lineRule="auto"/>
              <w:ind w:firstLine="0" w:firstLineChars="0"/>
              <w:jc w:val="center"/>
              <w:rPr>
                <w:color w:val="auto"/>
                <w:kern w:val="0"/>
                <w:sz w:val="21"/>
                <w:szCs w:val="21"/>
                <w:lang w:val="zh-CN"/>
              </w:rPr>
            </w:pPr>
          </w:p>
        </w:tc>
        <w:tc>
          <w:tcPr>
            <w:tcW w:w="568"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X</w:t>
            </w:r>
          </w:p>
        </w:tc>
        <w:tc>
          <w:tcPr>
            <w:tcW w:w="643"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Y</w:t>
            </w:r>
          </w:p>
        </w:tc>
        <w:tc>
          <w:tcPr>
            <w:tcW w:w="656" w:type="pct"/>
            <w:tcBorders>
              <w:top w:val="single" w:color="auto" w:sz="2" w:space="0"/>
              <w:left w:val="single" w:color="auto" w:sz="4" w:space="0"/>
              <w:bottom w:val="single" w:color="auto" w:sz="4" w:space="0"/>
              <w:right w:val="single" w:color="auto" w:sz="4" w:space="0"/>
            </w:tcBorders>
            <w:vAlign w:val="center"/>
          </w:tcPr>
          <w:p>
            <w:pPr>
              <w:widowControl/>
              <w:adjustRightInd/>
              <w:spacing w:line="240" w:lineRule="auto"/>
              <w:ind w:firstLine="0" w:firstLineChars="0"/>
              <w:jc w:val="center"/>
              <w:rPr>
                <w:color w:val="auto"/>
                <w:kern w:val="0"/>
                <w:sz w:val="21"/>
                <w:szCs w:val="21"/>
                <w:lang w:val="zh-CN"/>
              </w:rPr>
            </w:pPr>
            <w:r>
              <w:rPr>
                <w:color w:val="auto"/>
                <w:kern w:val="0"/>
                <w:sz w:val="21"/>
                <w:szCs w:val="21"/>
                <w:lang w:val="zh-CN"/>
              </w:rPr>
              <w:t>Z</w:t>
            </w:r>
          </w:p>
        </w:tc>
        <w:tc>
          <w:tcPr>
            <w:tcW w:w="505" w:type="pct"/>
            <w:vMerge w:val="continue"/>
            <w:tcBorders>
              <w:top w:val="single" w:color="auto" w:sz="2" w:space="0"/>
              <w:left w:val="single" w:color="auto" w:sz="4" w:space="0"/>
              <w:bottom w:val="single" w:color="auto" w:sz="4" w:space="0"/>
              <w:right w:val="single" w:color="auto" w:sz="4" w:space="0"/>
            </w:tcBorders>
            <w:vAlign w:val="center"/>
          </w:tcPr>
          <w:p>
            <w:pPr>
              <w:widowControl/>
              <w:adjustRightInd/>
              <w:spacing w:line="240" w:lineRule="auto"/>
              <w:ind w:firstLine="0" w:firstLineChars="0"/>
              <w:jc w:val="center"/>
              <w:rPr>
                <w:color w:val="auto"/>
                <w:kern w:val="0"/>
                <w:sz w:val="21"/>
                <w:szCs w:val="21"/>
                <w:lang w:val="zh-CN"/>
              </w:rPr>
            </w:pPr>
          </w:p>
        </w:tc>
        <w:tc>
          <w:tcPr>
            <w:tcW w:w="367" w:type="pct"/>
            <w:vMerge w:val="continue"/>
            <w:tcBorders>
              <w:top w:val="single" w:color="auto" w:sz="2" w:space="0"/>
              <w:left w:val="single" w:color="auto" w:sz="4" w:space="0"/>
              <w:bottom w:val="single" w:color="auto" w:sz="4" w:space="0"/>
              <w:right w:val="single" w:color="auto" w:sz="4" w:space="0"/>
            </w:tcBorders>
            <w:vAlign w:val="center"/>
          </w:tcPr>
          <w:p>
            <w:pPr>
              <w:widowControl/>
              <w:adjustRightInd/>
              <w:spacing w:line="240" w:lineRule="auto"/>
              <w:ind w:firstLine="0" w:firstLineChars="0"/>
              <w:jc w:val="center"/>
              <w:rPr>
                <w:color w:val="auto"/>
                <w:kern w:val="0"/>
                <w:sz w:val="21"/>
                <w:szCs w:val="21"/>
                <w:lang w:val="zh-CN"/>
              </w:rPr>
            </w:pPr>
          </w:p>
        </w:tc>
        <w:tc>
          <w:tcPr>
            <w:tcW w:w="481" w:type="pct"/>
            <w:vMerge w:val="continue"/>
            <w:tcBorders>
              <w:top w:val="single" w:color="auto" w:sz="2" w:space="0"/>
              <w:left w:val="single" w:color="auto" w:sz="4" w:space="0"/>
              <w:bottom w:val="single" w:color="auto" w:sz="4" w:space="0"/>
              <w:right w:val="single" w:color="auto" w:sz="4" w:space="0"/>
            </w:tcBorders>
            <w:vAlign w:val="center"/>
          </w:tcPr>
          <w:p>
            <w:pPr>
              <w:widowControl/>
              <w:adjustRightInd/>
              <w:spacing w:line="240" w:lineRule="auto"/>
              <w:ind w:firstLine="0" w:firstLineChars="0"/>
              <w:jc w:val="center"/>
              <w:rPr>
                <w:color w:val="auto"/>
                <w:kern w:val="0"/>
                <w:sz w:val="21"/>
                <w:szCs w:val="21"/>
                <w:lang w:val="zh-CN"/>
              </w:rPr>
            </w:pPr>
          </w:p>
        </w:tc>
        <w:tc>
          <w:tcPr>
            <w:tcW w:w="481" w:type="pct"/>
            <w:vMerge w:val="continue"/>
            <w:tcBorders>
              <w:top w:val="single" w:color="auto" w:sz="2" w:space="0"/>
              <w:left w:val="single" w:color="auto" w:sz="4" w:space="0"/>
              <w:bottom w:val="single" w:color="auto" w:sz="4" w:space="0"/>
              <w:right w:val="single" w:color="auto" w:sz="4" w:space="0"/>
            </w:tcBorders>
            <w:vAlign w:val="center"/>
          </w:tcPr>
          <w:p>
            <w:pPr>
              <w:widowControl/>
              <w:adjustRightInd/>
              <w:spacing w:line="240" w:lineRule="auto"/>
              <w:ind w:firstLine="0" w:firstLineChars="0"/>
              <w:jc w:val="center"/>
              <w:rPr>
                <w:color w:val="auto"/>
                <w:kern w:val="0"/>
                <w:sz w:val="21"/>
                <w:szCs w:val="21"/>
                <w:lang w:val="zh-CN"/>
              </w:rPr>
            </w:pPr>
          </w:p>
        </w:tc>
        <w:tc>
          <w:tcPr>
            <w:tcW w:w="599" w:type="pct"/>
            <w:vMerge w:val="continue"/>
            <w:tcBorders>
              <w:top w:val="single" w:color="auto" w:sz="2" w:space="0"/>
              <w:left w:val="single" w:color="auto" w:sz="4" w:space="0"/>
              <w:bottom w:val="single" w:color="auto" w:sz="4" w:space="0"/>
              <w:right w:val="nil"/>
            </w:tcBorders>
            <w:vAlign w:val="center"/>
          </w:tcPr>
          <w:p>
            <w:pPr>
              <w:widowControl/>
              <w:adjustRightInd/>
              <w:spacing w:line="240" w:lineRule="auto"/>
              <w:ind w:firstLine="0" w:firstLineChars="0"/>
              <w:jc w:val="center"/>
              <w:rPr>
                <w:color w:val="auto"/>
                <w:kern w:val="0"/>
                <w:sz w:val="21"/>
                <w:szCs w:val="21"/>
                <w:lang w:val="zh-CN"/>
              </w:rPr>
            </w:pPr>
          </w:p>
        </w:tc>
      </w:tr>
      <w:tr>
        <w:tblPrEx>
          <w:tblBorders>
            <w:top w:val="single" w:color="auto" w:sz="2" w:space="0"/>
            <w:left w:val="none" w:color="auto" w:sz="0" w:space="0"/>
            <w:bottom w:val="sing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8"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lang w:val="zh-CN"/>
              </w:rPr>
            </w:pPr>
            <w:r>
              <w:rPr>
                <w:rFonts w:hint="eastAsia"/>
                <w:color w:val="auto"/>
                <w:sz w:val="21"/>
                <w:szCs w:val="21"/>
              </w:rPr>
              <w:t>七王庙村</w:t>
            </w:r>
          </w:p>
        </w:tc>
        <w:tc>
          <w:tcPr>
            <w:tcW w:w="568"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rPr>
            </w:pPr>
            <w:r>
              <w:rPr>
                <w:rFonts w:hint="eastAsia"/>
                <w:color w:val="auto"/>
                <w:kern w:val="0"/>
                <w:sz w:val="21"/>
                <w:szCs w:val="21"/>
              </w:rPr>
              <w:t>-660</w:t>
            </w:r>
          </w:p>
        </w:tc>
        <w:tc>
          <w:tcPr>
            <w:tcW w:w="643"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rPr>
            </w:pPr>
            <w:r>
              <w:rPr>
                <w:rFonts w:hint="eastAsia"/>
                <w:color w:val="auto"/>
                <w:kern w:val="0"/>
                <w:sz w:val="21"/>
                <w:szCs w:val="21"/>
              </w:rPr>
              <w:t>736</w:t>
            </w:r>
          </w:p>
        </w:tc>
        <w:tc>
          <w:tcPr>
            <w:tcW w:w="656"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rPr>
            </w:pPr>
            <w:r>
              <w:rPr>
                <w:rFonts w:hint="eastAsia"/>
                <w:color w:val="auto"/>
                <w:kern w:val="0"/>
                <w:sz w:val="21"/>
                <w:szCs w:val="21"/>
              </w:rPr>
              <w:t>51.85</w:t>
            </w:r>
          </w:p>
        </w:tc>
        <w:tc>
          <w:tcPr>
            <w:tcW w:w="505"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居民区</w:t>
            </w:r>
          </w:p>
        </w:tc>
        <w:tc>
          <w:tcPr>
            <w:tcW w:w="367"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居民</w:t>
            </w:r>
          </w:p>
        </w:tc>
        <w:tc>
          <w:tcPr>
            <w:tcW w:w="481"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二类区</w:t>
            </w:r>
          </w:p>
        </w:tc>
        <w:tc>
          <w:tcPr>
            <w:tcW w:w="48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kern w:val="0"/>
                <w:sz w:val="21"/>
                <w:szCs w:val="21"/>
                <w:lang w:val="zh-CN"/>
              </w:rPr>
            </w:pPr>
            <w:r>
              <w:rPr>
                <w:rFonts w:hint="eastAsia"/>
                <w:color w:val="auto"/>
                <w:sz w:val="21"/>
                <w:szCs w:val="21"/>
              </w:rPr>
              <w:t>NW</w:t>
            </w:r>
          </w:p>
        </w:tc>
        <w:tc>
          <w:tcPr>
            <w:tcW w:w="1072" w:type="dxa"/>
            <w:tcBorders>
              <w:top w:val="single" w:color="auto" w:sz="4" w:space="0"/>
              <w:left w:val="single" w:color="auto" w:sz="4" w:space="0"/>
              <w:bottom w:val="single" w:color="auto" w:sz="4" w:space="0"/>
              <w:right w:val="nil"/>
            </w:tcBorders>
            <w:vAlign w:val="center"/>
          </w:tcPr>
          <w:p>
            <w:pPr>
              <w:spacing w:line="240" w:lineRule="auto"/>
              <w:ind w:firstLine="0" w:firstLineChars="0"/>
              <w:jc w:val="center"/>
              <w:rPr>
                <w:color w:val="auto"/>
                <w:kern w:val="0"/>
                <w:sz w:val="21"/>
                <w:szCs w:val="21"/>
                <w:lang w:val="zh-CN"/>
              </w:rPr>
            </w:pPr>
            <w:r>
              <w:rPr>
                <w:rFonts w:hint="eastAsia"/>
                <w:bCs/>
                <w:color w:val="auto"/>
                <w:sz w:val="21"/>
                <w:szCs w:val="21"/>
              </w:rPr>
              <w:t>705</w:t>
            </w:r>
          </w:p>
        </w:tc>
      </w:tr>
      <w:tr>
        <w:tblPrEx>
          <w:tblBorders>
            <w:top w:val="single" w:color="auto" w:sz="2" w:space="0"/>
            <w:left w:val="none" w:color="auto" w:sz="0" w:space="0"/>
            <w:bottom w:val="sing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8"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lang w:val="zh-CN"/>
              </w:rPr>
            </w:pPr>
            <w:r>
              <w:rPr>
                <w:rFonts w:hint="eastAsia"/>
                <w:color w:val="auto"/>
                <w:sz w:val="21"/>
                <w:szCs w:val="21"/>
              </w:rPr>
              <w:t>于屯村</w:t>
            </w:r>
          </w:p>
        </w:tc>
        <w:tc>
          <w:tcPr>
            <w:tcW w:w="568"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rPr>
            </w:pPr>
            <w:r>
              <w:rPr>
                <w:rFonts w:hint="eastAsia"/>
                <w:color w:val="auto"/>
                <w:kern w:val="0"/>
                <w:sz w:val="21"/>
                <w:szCs w:val="21"/>
              </w:rPr>
              <w:t>-1063</w:t>
            </w:r>
          </w:p>
        </w:tc>
        <w:tc>
          <w:tcPr>
            <w:tcW w:w="643"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rPr>
            </w:pPr>
            <w:r>
              <w:rPr>
                <w:rFonts w:hint="eastAsia"/>
                <w:color w:val="auto"/>
                <w:kern w:val="0"/>
                <w:sz w:val="21"/>
                <w:szCs w:val="21"/>
              </w:rPr>
              <w:t>-15</w:t>
            </w:r>
          </w:p>
        </w:tc>
        <w:tc>
          <w:tcPr>
            <w:tcW w:w="656"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rPr>
            </w:pPr>
            <w:r>
              <w:rPr>
                <w:rFonts w:hint="eastAsia"/>
                <w:color w:val="auto"/>
                <w:kern w:val="0"/>
                <w:sz w:val="21"/>
                <w:szCs w:val="21"/>
              </w:rPr>
              <w:t>51.98</w:t>
            </w:r>
          </w:p>
        </w:tc>
        <w:tc>
          <w:tcPr>
            <w:tcW w:w="505"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居民区</w:t>
            </w:r>
          </w:p>
        </w:tc>
        <w:tc>
          <w:tcPr>
            <w:tcW w:w="367"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居民</w:t>
            </w:r>
          </w:p>
        </w:tc>
        <w:tc>
          <w:tcPr>
            <w:tcW w:w="481"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二类区</w:t>
            </w:r>
          </w:p>
        </w:tc>
        <w:tc>
          <w:tcPr>
            <w:tcW w:w="48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kern w:val="0"/>
                <w:sz w:val="21"/>
                <w:szCs w:val="21"/>
                <w:lang w:val="zh-CN"/>
              </w:rPr>
            </w:pPr>
            <w:r>
              <w:rPr>
                <w:rFonts w:hint="eastAsia"/>
                <w:color w:val="auto"/>
                <w:sz w:val="21"/>
                <w:szCs w:val="21"/>
              </w:rPr>
              <w:t>W</w:t>
            </w:r>
          </w:p>
        </w:tc>
        <w:tc>
          <w:tcPr>
            <w:tcW w:w="1072" w:type="dxa"/>
            <w:tcBorders>
              <w:top w:val="single" w:color="auto" w:sz="4" w:space="0"/>
              <w:left w:val="single" w:color="auto" w:sz="4" w:space="0"/>
              <w:bottom w:val="single" w:color="auto" w:sz="4" w:space="0"/>
              <w:right w:val="nil"/>
            </w:tcBorders>
            <w:vAlign w:val="center"/>
          </w:tcPr>
          <w:p>
            <w:pPr>
              <w:spacing w:line="240" w:lineRule="auto"/>
              <w:ind w:firstLine="0" w:firstLineChars="0"/>
              <w:jc w:val="center"/>
              <w:rPr>
                <w:color w:val="auto"/>
                <w:kern w:val="0"/>
                <w:sz w:val="21"/>
                <w:szCs w:val="21"/>
                <w:lang w:val="zh-CN"/>
              </w:rPr>
            </w:pPr>
            <w:r>
              <w:rPr>
                <w:rFonts w:hint="eastAsia"/>
                <w:bCs/>
                <w:color w:val="auto"/>
                <w:sz w:val="21"/>
                <w:szCs w:val="21"/>
              </w:rPr>
              <w:t>740</w:t>
            </w:r>
          </w:p>
        </w:tc>
      </w:tr>
      <w:tr>
        <w:tblPrEx>
          <w:tblBorders>
            <w:top w:val="single" w:color="auto" w:sz="2" w:space="0"/>
            <w:left w:val="none" w:color="auto" w:sz="0" w:space="0"/>
            <w:bottom w:val="sing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8"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lang w:val="zh-CN"/>
              </w:rPr>
            </w:pPr>
            <w:r>
              <w:rPr>
                <w:rFonts w:hint="eastAsia"/>
                <w:color w:val="auto"/>
                <w:sz w:val="21"/>
                <w:szCs w:val="21"/>
              </w:rPr>
              <w:t>东高城村</w:t>
            </w:r>
          </w:p>
        </w:tc>
        <w:tc>
          <w:tcPr>
            <w:tcW w:w="568"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rPr>
            </w:pPr>
            <w:r>
              <w:rPr>
                <w:rFonts w:hint="eastAsia"/>
                <w:color w:val="auto"/>
                <w:kern w:val="0"/>
                <w:sz w:val="21"/>
                <w:szCs w:val="21"/>
              </w:rPr>
              <w:t>-1531</w:t>
            </w:r>
          </w:p>
        </w:tc>
        <w:tc>
          <w:tcPr>
            <w:tcW w:w="643"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rPr>
            </w:pPr>
            <w:r>
              <w:rPr>
                <w:rFonts w:hint="eastAsia"/>
                <w:color w:val="auto"/>
                <w:kern w:val="0"/>
                <w:sz w:val="21"/>
                <w:szCs w:val="21"/>
              </w:rPr>
              <w:t>570</w:t>
            </w:r>
          </w:p>
        </w:tc>
        <w:tc>
          <w:tcPr>
            <w:tcW w:w="656"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rPr>
            </w:pPr>
            <w:r>
              <w:rPr>
                <w:rFonts w:hint="eastAsia"/>
                <w:color w:val="auto"/>
                <w:kern w:val="0"/>
                <w:sz w:val="21"/>
                <w:szCs w:val="21"/>
              </w:rPr>
              <w:t>52.38</w:t>
            </w:r>
          </w:p>
        </w:tc>
        <w:tc>
          <w:tcPr>
            <w:tcW w:w="505"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居民区</w:t>
            </w:r>
          </w:p>
        </w:tc>
        <w:tc>
          <w:tcPr>
            <w:tcW w:w="367"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居民</w:t>
            </w:r>
          </w:p>
        </w:tc>
        <w:tc>
          <w:tcPr>
            <w:tcW w:w="481"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二类区</w:t>
            </w:r>
          </w:p>
        </w:tc>
        <w:tc>
          <w:tcPr>
            <w:tcW w:w="48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kern w:val="0"/>
                <w:sz w:val="21"/>
                <w:szCs w:val="21"/>
                <w:lang w:val="zh-CN"/>
              </w:rPr>
            </w:pPr>
            <w:r>
              <w:rPr>
                <w:rFonts w:hint="eastAsia"/>
                <w:color w:val="auto"/>
                <w:sz w:val="21"/>
                <w:szCs w:val="21"/>
              </w:rPr>
              <w:t>NW</w:t>
            </w:r>
          </w:p>
        </w:tc>
        <w:tc>
          <w:tcPr>
            <w:tcW w:w="1072" w:type="dxa"/>
            <w:tcBorders>
              <w:top w:val="single" w:color="auto" w:sz="4" w:space="0"/>
              <w:left w:val="single" w:color="auto" w:sz="4" w:space="0"/>
              <w:bottom w:val="single" w:color="auto" w:sz="4" w:space="0"/>
              <w:right w:val="nil"/>
            </w:tcBorders>
            <w:vAlign w:val="center"/>
          </w:tcPr>
          <w:p>
            <w:pPr>
              <w:spacing w:line="240" w:lineRule="auto"/>
              <w:ind w:firstLine="0" w:firstLineChars="0"/>
              <w:jc w:val="center"/>
              <w:rPr>
                <w:color w:val="auto"/>
                <w:kern w:val="0"/>
                <w:sz w:val="21"/>
                <w:szCs w:val="21"/>
                <w:lang w:val="zh-CN"/>
              </w:rPr>
            </w:pPr>
            <w:r>
              <w:rPr>
                <w:rFonts w:hint="eastAsia"/>
                <w:bCs/>
                <w:color w:val="auto"/>
                <w:sz w:val="21"/>
                <w:szCs w:val="21"/>
              </w:rPr>
              <w:t>1195</w:t>
            </w:r>
          </w:p>
        </w:tc>
      </w:tr>
      <w:tr>
        <w:tblPrEx>
          <w:tblBorders>
            <w:top w:val="single" w:color="auto" w:sz="2" w:space="0"/>
            <w:left w:val="none" w:color="auto" w:sz="0" w:space="0"/>
            <w:bottom w:val="sing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8"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lang w:val="zh-CN"/>
              </w:rPr>
            </w:pPr>
            <w:r>
              <w:rPr>
                <w:rFonts w:hint="eastAsia"/>
                <w:color w:val="auto"/>
                <w:sz w:val="21"/>
                <w:szCs w:val="21"/>
              </w:rPr>
              <w:t>前吕寨村</w:t>
            </w:r>
          </w:p>
        </w:tc>
        <w:tc>
          <w:tcPr>
            <w:tcW w:w="568"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rPr>
            </w:pPr>
            <w:r>
              <w:rPr>
                <w:rFonts w:hint="eastAsia"/>
                <w:color w:val="auto"/>
                <w:kern w:val="0"/>
                <w:sz w:val="21"/>
                <w:szCs w:val="21"/>
              </w:rPr>
              <w:t>-1923</w:t>
            </w:r>
          </w:p>
        </w:tc>
        <w:tc>
          <w:tcPr>
            <w:tcW w:w="643"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rPr>
            </w:pPr>
            <w:r>
              <w:rPr>
                <w:rFonts w:hint="eastAsia"/>
                <w:color w:val="auto"/>
                <w:kern w:val="0"/>
                <w:sz w:val="21"/>
                <w:szCs w:val="21"/>
              </w:rPr>
              <w:t>976</w:t>
            </w:r>
          </w:p>
        </w:tc>
        <w:tc>
          <w:tcPr>
            <w:tcW w:w="656"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rPr>
            </w:pPr>
            <w:r>
              <w:rPr>
                <w:rFonts w:hint="eastAsia"/>
                <w:color w:val="auto"/>
                <w:kern w:val="0"/>
                <w:sz w:val="21"/>
                <w:szCs w:val="21"/>
              </w:rPr>
              <w:t>51.68</w:t>
            </w:r>
          </w:p>
        </w:tc>
        <w:tc>
          <w:tcPr>
            <w:tcW w:w="505"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居民区</w:t>
            </w:r>
          </w:p>
        </w:tc>
        <w:tc>
          <w:tcPr>
            <w:tcW w:w="367"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居民</w:t>
            </w:r>
          </w:p>
        </w:tc>
        <w:tc>
          <w:tcPr>
            <w:tcW w:w="481"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二类区</w:t>
            </w:r>
          </w:p>
        </w:tc>
        <w:tc>
          <w:tcPr>
            <w:tcW w:w="48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kern w:val="0"/>
                <w:sz w:val="21"/>
                <w:szCs w:val="21"/>
                <w:lang w:val="zh-CN"/>
              </w:rPr>
            </w:pPr>
            <w:r>
              <w:rPr>
                <w:rFonts w:hint="eastAsia"/>
                <w:color w:val="auto"/>
                <w:sz w:val="21"/>
                <w:szCs w:val="21"/>
              </w:rPr>
              <w:t>NW</w:t>
            </w:r>
          </w:p>
        </w:tc>
        <w:tc>
          <w:tcPr>
            <w:tcW w:w="1072" w:type="dxa"/>
            <w:tcBorders>
              <w:top w:val="single" w:color="auto" w:sz="4" w:space="0"/>
              <w:left w:val="single" w:color="auto" w:sz="4" w:space="0"/>
              <w:bottom w:val="single" w:color="auto" w:sz="4" w:space="0"/>
              <w:right w:val="nil"/>
            </w:tcBorders>
            <w:vAlign w:val="center"/>
          </w:tcPr>
          <w:p>
            <w:pPr>
              <w:spacing w:line="240" w:lineRule="auto"/>
              <w:ind w:firstLine="0" w:firstLineChars="0"/>
              <w:jc w:val="center"/>
              <w:rPr>
                <w:color w:val="auto"/>
                <w:kern w:val="0"/>
                <w:sz w:val="21"/>
                <w:szCs w:val="21"/>
                <w:lang w:val="zh-CN"/>
              </w:rPr>
            </w:pPr>
            <w:r>
              <w:rPr>
                <w:rFonts w:hint="eastAsia"/>
                <w:bCs/>
                <w:color w:val="auto"/>
                <w:sz w:val="21"/>
                <w:szCs w:val="21"/>
              </w:rPr>
              <w:t>1905</w:t>
            </w:r>
          </w:p>
        </w:tc>
      </w:tr>
      <w:tr>
        <w:tblPrEx>
          <w:tblBorders>
            <w:top w:val="single" w:color="auto" w:sz="2" w:space="0"/>
            <w:left w:val="none" w:color="auto" w:sz="0" w:space="0"/>
            <w:bottom w:val="sing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8"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lang w:val="zh-CN"/>
              </w:rPr>
            </w:pPr>
            <w:r>
              <w:rPr>
                <w:rFonts w:hint="eastAsia"/>
                <w:color w:val="auto"/>
                <w:sz w:val="21"/>
                <w:szCs w:val="21"/>
              </w:rPr>
              <w:t>后吕寨村</w:t>
            </w:r>
          </w:p>
        </w:tc>
        <w:tc>
          <w:tcPr>
            <w:tcW w:w="568"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rPr>
            </w:pPr>
            <w:r>
              <w:rPr>
                <w:rFonts w:hint="eastAsia"/>
                <w:color w:val="auto"/>
                <w:kern w:val="0"/>
                <w:sz w:val="21"/>
                <w:szCs w:val="21"/>
              </w:rPr>
              <w:t>-2016</w:t>
            </w:r>
          </w:p>
        </w:tc>
        <w:tc>
          <w:tcPr>
            <w:tcW w:w="643"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rPr>
            </w:pPr>
            <w:r>
              <w:rPr>
                <w:rFonts w:hint="eastAsia"/>
                <w:color w:val="auto"/>
                <w:kern w:val="0"/>
                <w:sz w:val="21"/>
                <w:szCs w:val="21"/>
              </w:rPr>
              <w:t>1461</w:t>
            </w:r>
          </w:p>
        </w:tc>
        <w:tc>
          <w:tcPr>
            <w:tcW w:w="1174" w:type="dxa"/>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rPr>
            </w:pPr>
            <w:r>
              <w:rPr>
                <w:rFonts w:hint="eastAsia"/>
                <w:color w:val="auto"/>
                <w:kern w:val="0"/>
                <w:sz w:val="21"/>
                <w:szCs w:val="21"/>
              </w:rPr>
              <w:t>53.23</w:t>
            </w:r>
          </w:p>
        </w:tc>
        <w:tc>
          <w:tcPr>
            <w:tcW w:w="505"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居民区</w:t>
            </w:r>
          </w:p>
        </w:tc>
        <w:tc>
          <w:tcPr>
            <w:tcW w:w="367"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居民</w:t>
            </w:r>
          </w:p>
        </w:tc>
        <w:tc>
          <w:tcPr>
            <w:tcW w:w="481"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二类区</w:t>
            </w:r>
          </w:p>
        </w:tc>
        <w:tc>
          <w:tcPr>
            <w:tcW w:w="48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kern w:val="0"/>
                <w:sz w:val="21"/>
                <w:szCs w:val="21"/>
                <w:lang w:val="zh-CN"/>
              </w:rPr>
            </w:pPr>
            <w:r>
              <w:rPr>
                <w:rFonts w:hint="eastAsia"/>
                <w:color w:val="auto"/>
                <w:sz w:val="21"/>
                <w:szCs w:val="21"/>
              </w:rPr>
              <w:t>NW</w:t>
            </w:r>
          </w:p>
        </w:tc>
        <w:tc>
          <w:tcPr>
            <w:tcW w:w="1072" w:type="dxa"/>
            <w:tcBorders>
              <w:top w:val="single" w:color="auto" w:sz="4" w:space="0"/>
              <w:left w:val="single" w:color="auto" w:sz="4" w:space="0"/>
              <w:bottom w:val="single" w:color="auto" w:sz="4" w:space="0"/>
              <w:right w:val="nil"/>
            </w:tcBorders>
            <w:vAlign w:val="center"/>
          </w:tcPr>
          <w:p>
            <w:pPr>
              <w:spacing w:line="240" w:lineRule="auto"/>
              <w:ind w:firstLine="0" w:firstLineChars="0"/>
              <w:jc w:val="center"/>
              <w:rPr>
                <w:color w:val="auto"/>
                <w:kern w:val="0"/>
                <w:sz w:val="21"/>
                <w:szCs w:val="21"/>
                <w:lang w:val="zh-CN"/>
              </w:rPr>
            </w:pPr>
            <w:r>
              <w:rPr>
                <w:rFonts w:hint="eastAsia"/>
                <w:bCs/>
                <w:color w:val="auto"/>
                <w:sz w:val="21"/>
                <w:szCs w:val="21"/>
              </w:rPr>
              <w:t>2200</w:t>
            </w:r>
          </w:p>
        </w:tc>
      </w:tr>
      <w:tr>
        <w:tblPrEx>
          <w:tblBorders>
            <w:top w:val="single" w:color="auto" w:sz="2" w:space="0"/>
            <w:left w:val="none" w:color="auto" w:sz="0" w:space="0"/>
            <w:bottom w:val="sing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8"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梨园村</w:t>
            </w:r>
          </w:p>
        </w:tc>
        <w:tc>
          <w:tcPr>
            <w:tcW w:w="568"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rPr>
            </w:pPr>
            <w:r>
              <w:rPr>
                <w:rFonts w:hint="eastAsia"/>
                <w:color w:val="auto"/>
                <w:kern w:val="0"/>
                <w:sz w:val="21"/>
                <w:szCs w:val="21"/>
              </w:rPr>
              <w:t>-1297</w:t>
            </w:r>
          </w:p>
        </w:tc>
        <w:tc>
          <w:tcPr>
            <w:tcW w:w="643"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rPr>
            </w:pPr>
            <w:r>
              <w:rPr>
                <w:rFonts w:hint="eastAsia"/>
                <w:color w:val="auto"/>
                <w:kern w:val="0"/>
                <w:sz w:val="21"/>
                <w:szCs w:val="21"/>
              </w:rPr>
              <w:t>2109</w:t>
            </w:r>
          </w:p>
        </w:tc>
        <w:tc>
          <w:tcPr>
            <w:tcW w:w="1174" w:type="dxa"/>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rPr>
            </w:pPr>
            <w:r>
              <w:rPr>
                <w:rFonts w:hint="eastAsia"/>
                <w:color w:val="auto"/>
                <w:kern w:val="0"/>
                <w:sz w:val="21"/>
                <w:szCs w:val="21"/>
              </w:rPr>
              <w:t>51.75</w:t>
            </w:r>
          </w:p>
        </w:tc>
        <w:tc>
          <w:tcPr>
            <w:tcW w:w="505"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居民区</w:t>
            </w:r>
          </w:p>
        </w:tc>
        <w:tc>
          <w:tcPr>
            <w:tcW w:w="367"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居民</w:t>
            </w:r>
          </w:p>
        </w:tc>
        <w:tc>
          <w:tcPr>
            <w:tcW w:w="481"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二类区</w:t>
            </w:r>
          </w:p>
        </w:tc>
        <w:tc>
          <w:tcPr>
            <w:tcW w:w="48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kern w:val="0"/>
                <w:sz w:val="21"/>
                <w:szCs w:val="21"/>
                <w:lang w:val="zh-CN"/>
              </w:rPr>
            </w:pPr>
            <w:r>
              <w:rPr>
                <w:rFonts w:hint="eastAsia"/>
                <w:color w:val="auto"/>
                <w:sz w:val="21"/>
                <w:szCs w:val="21"/>
              </w:rPr>
              <w:t>NW</w:t>
            </w:r>
          </w:p>
        </w:tc>
        <w:tc>
          <w:tcPr>
            <w:tcW w:w="1072" w:type="dxa"/>
            <w:tcBorders>
              <w:top w:val="single" w:color="auto" w:sz="4" w:space="0"/>
              <w:left w:val="single" w:color="auto" w:sz="4" w:space="0"/>
              <w:bottom w:val="single" w:color="auto" w:sz="4" w:space="0"/>
              <w:right w:val="nil"/>
            </w:tcBorders>
            <w:vAlign w:val="center"/>
          </w:tcPr>
          <w:p>
            <w:pPr>
              <w:spacing w:line="240" w:lineRule="auto"/>
              <w:ind w:firstLine="0" w:firstLineChars="0"/>
              <w:jc w:val="center"/>
              <w:rPr>
                <w:color w:val="auto"/>
                <w:kern w:val="0"/>
                <w:sz w:val="21"/>
                <w:szCs w:val="21"/>
                <w:lang w:val="zh-CN"/>
              </w:rPr>
            </w:pPr>
            <w:r>
              <w:rPr>
                <w:rFonts w:hint="eastAsia"/>
                <w:bCs/>
                <w:color w:val="auto"/>
                <w:sz w:val="21"/>
                <w:szCs w:val="21"/>
              </w:rPr>
              <w:t>2260</w:t>
            </w:r>
          </w:p>
        </w:tc>
      </w:tr>
      <w:tr>
        <w:tblPrEx>
          <w:tblBorders>
            <w:top w:val="single" w:color="auto" w:sz="2" w:space="0"/>
            <w:left w:val="none" w:color="auto" w:sz="0" w:space="0"/>
            <w:bottom w:val="sing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8"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后坡村</w:t>
            </w:r>
          </w:p>
        </w:tc>
        <w:tc>
          <w:tcPr>
            <w:tcW w:w="568"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rPr>
            </w:pPr>
            <w:r>
              <w:rPr>
                <w:rFonts w:hint="eastAsia"/>
                <w:color w:val="auto"/>
                <w:kern w:val="0"/>
                <w:sz w:val="21"/>
                <w:szCs w:val="21"/>
              </w:rPr>
              <w:t>-1983</w:t>
            </w:r>
          </w:p>
        </w:tc>
        <w:tc>
          <w:tcPr>
            <w:tcW w:w="643"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rPr>
            </w:pPr>
            <w:r>
              <w:rPr>
                <w:rFonts w:hint="eastAsia"/>
                <w:color w:val="auto"/>
                <w:kern w:val="0"/>
                <w:sz w:val="21"/>
                <w:szCs w:val="21"/>
              </w:rPr>
              <w:t>-201</w:t>
            </w:r>
          </w:p>
        </w:tc>
        <w:tc>
          <w:tcPr>
            <w:tcW w:w="1174" w:type="dxa"/>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rPr>
            </w:pPr>
            <w:r>
              <w:rPr>
                <w:rFonts w:hint="eastAsia"/>
                <w:color w:val="auto"/>
                <w:kern w:val="0"/>
                <w:sz w:val="21"/>
                <w:szCs w:val="21"/>
              </w:rPr>
              <w:t>52.3</w:t>
            </w:r>
          </w:p>
        </w:tc>
        <w:tc>
          <w:tcPr>
            <w:tcW w:w="505"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居民区</w:t>
            </w:r>
          </w:p>
        </w:tc>
        <w:tc>
          <w:tcPr>
            <w:tcW w:w="367"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居民</w:t>
            </w:r>
          </w:p>
        </w:tc>
        <w:tc>
          <w:tcPr>
            <w:tcW w:w="481"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二类区</w:t>
            </w:r>
          </w:p>
        </w:tc>
        <w:tc>
          <w:tcPr>
            <w:tcW w:w="48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kern w:val="0"/>
                <w:sz w:val="21"/>
                <w:szCs w:val="21"/>
                <w:lang w:val="zh-CN"/>
              </w:rPr>
            </w:pPr>
            <w:r>
              <w:rPr>
                <w:rFonts w:hint="eastAsia"/>
                <w:color w:val="auto"/>
                <w:sz w:val="21"/>
                <w:szCs w:val="21"/>
              </w:rPr>
              <w:t>W</w:t>
            </w:r>
          </w:p>
        </w:tc>
        <w:tc>
          <w:tcPr>
            <w:tcW w:w="1072" w:type="dxa"/>
            <w:tcBorders>
              <w:top w:val="single" w:color="auto" w:sz="4" w:space="0"/>
              <w:left w:val="single" w:color="auto" w:sz="4" w:space="0"/>
              <w:bottom w:val="single" w:color="auto" w:sz="4" w:space="0"/>
              <w:right w:val="nil"/>
            </w:tcBorders>
            <w:vAlign w:val="center"/>
          </w:tcPr>
          <w:p>
            <w:pPr>
              <w:spacing w:line="240" w:lineRule="auto"/>
              <w:ind w:firstLine="0" w:firstLineChars="0"/>
              <w:jc w:val="center"/>
              <w:rPr>
                <w:color w:val="auto"/>
                <w:kern w:val="0"/>
                <w:sz w:val="21"/>
                <w:szCs w:val="21"/>
                <w:lang w:val="zh-CN"/>
              </w:rPr>
            </w:pPr>
            <w:r>
              <w:rPr>
                <w:rFonts w:hint="eastAsia"/>
                <w:bCs/>
                <w:color w:val="auto"/>
                <w:sz w:val="21"/>
                <w:szCs w:val="21"/>
              </w:rPr>
              <w:t>1805</w:t>
            </w:r>
          </w:p>
        </w:tc>
      </w:tr>
      <w:tr>
        <w:tblPrEx>
          <w:tblBorders>
            <w:top w:val="single" w:color="auto" w:sz="2" w:space="0"/>
            <w:left w:val="none" w:color="auto" w:sz="0" w:space="0"/>
            <w:bottom w:val="sing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8"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中坡村</w:t>
            </w:r>
          </w:p>
        </w:tc>
        <w:tc>
          <w:tcPr>
            <w:tcW w:w="568"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rPr>
            </w:pPr>
            <w:r>
              <w:rPr>
                <w:rFonts w:hint="eastAsia"/>
                <w:color w:val="auto"/>
                <w:kern w:val="0"/>
                <w:sz w:val="21"/>
                <w:szCs w:val="21"/>
              </w:rPr>
              <w:t>-2168</w:t>
            </w:r>
          </w:p>
        </w:tc>
        <w:tc>
          <w:tcPr>
            <w:tcW w:w="643"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rPr>
            </w:pPr>
            <w:r>
              <w:rPr>
                <w:rFonts w:hint="eastAsia"/>
                <w:color w:val="auto"/>
                <w:kern w:val="0"/>
                <w:sz w:val="21"/>
                <w:szCs w:val="21"/>
              </w:rPr>
              <w:t>-702</w:t>
            </w:r>
          </w:p>
        </w:tc>
        <w:tc>
          <w:tcPr>
            <w:tcW w:w="1174" w:type="dxa"/>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rPr>
            </w:pPr>
            <w:r>
              <w:rPr>
                <w:rFonts w:hint="eastAsia"/>
                <w:color w:val="auto"/>
                <w:kern w:val="0"/>
                <w:sz w:val="21"/>
                <w:szCs w:val="21"/>
              </w:rPr>
              <w:t>52.57</w:t>
            </w:r>
          </w:p>
        </w:tc>
        <w:tc>
          <w:tcPr>
            <w:tcW w:w="505"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居民区</w:t>
            </w:r>
          </w:p>
        </w:tc>
        <w:tc>
          <w:tcPr>
            <w:tcW w:w="367"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居民</w:t>
            </w:r>
          </w:p>
        </w:tc>
        <w:tc>
          <w:tcPr>
            <w:tcW w:w="481"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二类区</w:t>
            </w:r>
          </w:p>
        </w:tc>
        <w:tc>
          <w:tcPr>
            <w:tcW w:w="48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kern w:val="0"/>
                <w:sz w:val="21"/>
                <w:szCs w:val="21"/>
                <w:lang w:val="zh-CN"/>
              </w:rPr>
            </w:pPr>
            <w:r>
              <w:rPr>
                <w:rFonts w:hint="eastAsia"/>
                <w:color w:val="auto"/>
                <w:sz w:val="21"/>
                <w:szCs w:val="21"/>
              </w:rPr>
              <w:t>SW</w:t>
            </w:r>
          </w:p>
        </w:tc>
        <w:tc>
          <w:tcPr>
            <w:tcW w:w="1072" w:type="dxa"/>
            <w:tcBorders>
              <w:top w:val="single" w:color="auto" w:sz="4" w:space="0"/>
              <w:left w:val="single" w:color="auto" w:sz="4" w:space="0"/>
              <w:bottom w:val="single" w:color="auto" w:sz="4" w:space="0"/>
              <w:right w:val="nil"/>
            </w:tcBorders>
            <w:vAlign w:val="center"/>
          </w:tcPr>
          <w:p>
            <w:pPr>
              <w:spacing w:line="240" w:lineRule="auto"/>
              <w:ind w:firstLine="0" w:firstLineChars="0"/>
              <w:jc w:val="center"/>
              <w:rPr>
                <w:color w:val="auto"/>
                <w:kern w:val="0"/>
                <w:sz w:val="21"/>
                <w:szCs w:val="21"/>
                <w:lang w:val="zh-CN"/>
              </w:rPr>
            </w:pPr>
            <w:r>
              <w:rPr>
                <w:rFonts w:hint="eastAsia"/>
                <w:bCs/>
                <w:color w:val="auto"/>
                <w:sz w:val="21"/>
                <w:szCs w:val="21"/>
              </w:rPr>
              <w:t>2150</w:t>
            </w:r>
          </w:p>
        </w:tc>
      </w:tr>
      <w:tr>
        <w:tblPrEx>
          <w:tblBorders>
            <w:top w:val="single" w:color="auto" w:sz="2" w:space="0"/>
            <w:left w:val="none" w:color="auto" w:sz="0" w:space="0"/>
            <w:bottom w:val="sing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8"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李楼村</w:t>
            </w:r>
          </w:p>
        </w:tc>
        <w:tc>
          <w:tcPr>
            <w:tcW w:w="568"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rPr>
            </w:pPr>
            <w:r>
              <w:rPr>
                <w:rFonts w:hint="eastAsia"/>
                <w:color w:val="auto"/>
                <w:kern w:val="0"/>
                <w:sz w:val="21"/>
                <w:szCs w:val="21"/>
              </w:rPr>
              <w:t>-2098</w:t>
            </w:r>
          </w:p>
        </w:tc>
        <w:tc>
          <w:tcPr>
            <w:tcW w:w="643"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rPr>
            </w:pPr>
            <w:r>
              <w:rPr>
                <w:rFonts w:hint="eastAsia"/>
                <w:color w:val="auto"/>
                <w:kern w:val="0"/>
                <w:sz w:val="21"/>
                <w:szCs w:val="21"/>
              </w:rPr>
              <w:t>-1502</w:t>
            </w:r>
          </w:p>
        </w:tc>
        <w:tc>
          <w:tcPr>
            <w:tcW w:w="1174" w:type="dxa"/>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rPr>
            </w:pPr>
            <w:r>
              <w:rPr>
                <w:rFonts w:hint="eastAsia"/>
                <w:color w:val="auto"/>
                <w:kern w:val="0"/>
                <w:sz w:val="21"/>
                <w:szCs w:val="21"/>
              </w:rPr>
              <w:t>51.64</w:t>
            </w:r>
          </w:p>
        </w:tc>
        <w:tc>
          <w:tcPr>
            <w:tcW w:w="505"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居民区</w:t>
            </w:r>
          </w:p>
        </w:tc>
        <w:tc>
          <w:tcPr>
            <w:tcW w:w="367"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居民</w:t>
            </w:r>
          </w:p>
        </w:tc>
        <w:tc>
          <w:tcPr>
            <w:tcW w:w="481"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二类区</w:t>
            </w:r>
          </w:p>
        </w:tc>
        <w:tc>
          <w:tcPr>
            <w:tcW w:w="48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kern w:val="0"/>
                <w:sz w:val="21"/>
                <w:szCs w:val="21"/>
                <w:lang w:val="zh-CN"/>
              </w:rPr>
            </w:pPr>
            <w:r>
              <w:rPr>
                <w:rFonts w:hint="eastAsia"/>
                <w:color w:val="auto"/>
                <w:sz w:val="21"/>
                <w:szCs w:val="21"/>
              </w:rPr>
              <w:t>SW</w:t>
            </w:r>
          </w:p>
        </w:tc>
        <w:tc>
          <w:tcPr>
            <w:tcW w:w="1072" w:type="dxa"/>
            <w:tcBorders>
              <w:top w:val="single" w:color="auto" w:sz="4" w:space="0"/>
              <w:left w:val="single" w:color="auto" w:sz="4" w:space="0"/>
              <w:bottom w:val="single" w:color="auto" w:sz="4" w:space="0"/>
              <w:right w:val="nil"/>
            </w:tcBorders>
            <w:vAlign w:val="center"/>
          </w:tcPr>
          <w:p>
            <w:pPr>
              <w:spacing w:line="240" w:lineRule="auto"/>
              <w:ind w:firstLine="0" w:firstLineChars="0"/>
              <w:jc w:val="center"/>
              <w:rPr>
                <w:color w:val="auto"/>
                <w:kern w:val="0"/>
                <w:sz w:val="21"/>
                <w:szCs w:val="21"/>
                <w:lang w:val="zh-CN"/>
              </w:rPr>
            </w:pPr>
            <w:r>
              <w:rPr>
                <w:rFonts w:hint="eastAsia"/>
                <w:bCs/>
                <w:color w:val="auto"/>
                <w:sz w:val="21"/>
                <w:szCs w:val="21"/>
              </w:rPr>
              <w:t>2450</w:t>
            </w:r>
          </w:p>
        </w:tc>
      </w:tr>
      <w:tr>
        <w:tblPrEx>
          <w:tblBorders>
            <w:top w:val="single" w:color="auto" w:sz="2" w:space="0"/>
            <w:left w:val="none" w:color="auto" w:sz="0" w:space="0"/>
            <w:bottom w:val="sing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8"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桑园村</w:t>
            </w:r>
          </w:p>
        </w:tc>
        <w:tc>
          <w:tcPr>
            <w:tcW w:w="568"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rPr>
            </w:pPr>
            <w:r>
              <w:rPr>
                <w:rFonts w:hint="eastAsia"/>
                <w:color w:val="auto"/>
                <w:kern w:val="0"/>
                <w:sz w:val="21"/>
                <w:szCs w:val="21"/>
              </w:rPr>
              <w:t>-774</w:t>
            </w:r>
          </w:p>
        </w:tc>
        <w:tc>
          <w:tcPr>
            <w:tcW w:w="643"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rPr>
            </w:pPr>
            <w:r>
              <w:rPr>
                <w:rFonts w:hint="eastAsia"/>
                <w:color w:val="auto"/>
                <w:kern w:val="0"/>
                <w:sz w:val="21"/>
                <w:szCs w:val="21"/>
              </w:rPr>
              <w:t>-1284</w:t>
            </w:r>
          </w:p>
        </w:tc>
        <w:tc>
          <w:tcPr>
            <w:tcW w:w="1174" w:type="dxa"/>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rPr>
            </w:pPr>
            <w:r>
              <w:rPr>
                <w:rFonts w:hint="eastAsia"/>
                <w:color w:val="auto"/>
                <w:kern w:val="0"/>
                <w:sz w:val="21"/>
                <w:szCs w:val="21"/>
              </w:rPr>
              <w:t>55.45</w:t>
            </w:r>
          </w:p>
        </w:tc>
        <w:tc>
          <w:tcPr>
            <w:tcW w:w="505"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居民区</w:t>
            </w:r>
          </w:p>
        </w:tc>
        <w:tc>
          <w:tcPr>
            <w:tcW w:w="367"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居民</w:t>
            </w:r>
          </w:p>
        </w:tc>
        <w:tc>
          <w:tcPr>
            <w:tcW w:w="481"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二类区</w:t>
            </w:r>
          </w:p>
        </w:tc>
        <w:tc>
          <w:tcPr>
            <w:tcW w:w="48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kern w:val="0"/>
                <w:sz w:val="21"/>
                <w:szCs w:val="21"/>
                <w:lang w:val="zh-CN"/>
              </w:rPr>
            </w:pPr>
            <w:r>
              <w:rPr>
                <w:rFonts w:hint="eastAsia"/>
                <w:color w:val="auto"/>
                <w:sz w:val="21"/>
                <w:szCs w:val="21"/>
              </w:rPr>
              <w:t>S</w:t>
            </w:r>
          </w:p>
        </w:tc>
        <w:tc>
          <w:tcPr>
            <w:tcW w:w="1072" w:type="dxa"/>
            <w:tcBorders>
              <w:top w:val="single" w:color="auto" w:sz="4" w:space="0"/>
              <w:left w:val="single" w:color="auto" w:sz="4" w:space="0"/>
              <w:bottom w:val="single" w:color="auto" w:sz="4" w:space="0"/>
              <w:right w:val="nil"/>
            </w:tcBorders>
            <w:vAlign w:val="center"/>
          </w:tcPr>
          <w:p>
            <w:pPr>
              <w:spacing w:line="240" w:lineRule="auto"/>
              <w:ind w:firstLine="0" w:firstLineChars="0"/>
              <w:jc w:val="center"/>
              <w:rPr>
                <w:color w:val="auto"/>
                <w:kern w:val="0"/>
                <w:sz w:val="21"/>
                <w:szCs w:val="21"/>
                <w:lang w:val="zh-CN"/>
              </w:rPr>
            </w:pPr>
            <w:r>
              <w:rPr>
                <w:rFonts w:hint="eastAsia"/>
                <w:bCs/>
                <w:color w:val="auto"/>
                <w:sz w:val="21"/>
                <w:szCs w:val="21"/>
              </w:rPr>
              <w:t>1400</w:t>
            </w:r>
          </w:p>
        </w:tc>
      </w:tr>
      <w:tr>
        <w:tblPrEx>
          <w:tblBorders>
            <w:top w:val="single" w:color="auto" w:sz="2" w:space="0"/>
            <w:left w:val="none" w:color="auto" w:sz="0" w:space="0"/>
            <w:bottom w:val="sing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8"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老王庄村</w:t>
            </w:r>
          </w:p>
        </w:tc>
        <w:tc>
          <w:tcPr>
            <w:tcW w:w="568"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rPr>
            </w:pPr>
            <w:r>
              <w:rPr>
                <w:rFonts w:hint="eastAsia"/>
                <w:color w:val="auto"/>
                <w:kern w:val="0"/>
                <w:sz w:val="21"/>
                <w:szCs w:val="21"/>
              </w:rPr>
              <w:t>-115</w:t>
            </w:r>
          </w:p>
        </w:tc>
        <w:tc>
          <w:tcPr>
            <w:tcW w:w="643"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rPr>
            </w:pPr>
            <w:r>
              <w:rPr>
                <w:rFonts w:hint="eastAsia"/>
                <w:color w:val="auto"/>
                <w:kern w:val="0"/>
                <w:sz w:val="21"/>
                <w:szCs w:val="21"/>
              </w:rPr>
              <w:t>-1339</w:t>
            </w:r>
          </w:p>
        </w:tc>
        <w:tc>
          <w:tcPr>
            <w:tcW w:w="1174" w:type="dxa"/>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rPr>
            </w:pPr>
            <w:r>
              <w:rPr>
                <w:rFonts w:hint="eastAsia"/>
                <w:color w:val="auto"/>
                <w:kern w:val="0"/>
                <w:sz w:val="21"/>
                <w:szCs w:val="21"/>
              </w:rPr>
              <w:t>51.91</w:t>
            </w:r>
          </w:p>
        </w:tc>
        <w:tc>
          <w:tcPr>
            <w:tcW w:w="505"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居民区</w:t>
            </w:r>
          </w:p>
        </w:tc>
        <w:tc>
          <w:tcPr>
            <w:tcW w:w="367"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居民</w:t>
            </w:r>
          </w:p>
        </w:tc>
        <w:tc>
          <w:tcPr>
            <w:tcW w:w="481"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二类区</w:t>
            </w:r>
          </w:p>
        </w:tc>
        <w:tc>
          <w:tcPr>
            <w:tcW w:w="48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S</w:t>
            </w:r>
          </w:p>
        </w:tc>
        <w:tc>
          <w:tcPr>
            <w:tcW w:w="1072" w:type="dxa"/>
            <w:tcBorders>
              <w:top w:val="single" w:color="auto" w:sz="4" w:space="0"/>
              <w:left w:val="single" w:color="auto" w:sz="4" w:space="0"/>
              <w:bottom w:val="single" w:color="auto" w:sz="4" w:space="0"/>
              <w:right w:val="nil"/>
            </w:tcBorders>
            <w:vAlign w:val="center"/>
          </w:tcPr>
          <w:p>
            <w:pPr>
              <w:spacing w:line="240" w:lineRule="auto"/>
              <w:ind w:firstLine="0" w:firstLineChars="0"/>
              <w:jc w:val="center"/>
              <w:rPr>
                <w:bCs/>
                <w:color w:val="auto"/>
                <w:sz w:val="21"/>
                <w:szCs w:val="21"/>
              </w:rPr>
            </w:pPr>
            <w:r>
              <w:rPr>
                <w:rFonts w:hint="eastAsia"/>
                <w:bCs/>
                <w:color w:val="auto"/>
                <w:sz w:val="21"/>
                <w:szCs w:val="21"/>
              </w:rPr>
              <w:t>1060</w:t>
            </w:r>
          </w:p>
        </w:tc>
      </w:tr>
      <w:tr>
        <w:tblPrEx>
          <w:tblBorders>
            <w:top w:val="single" w:color="auto" w:sz="2" w:space="0"/>
            <w:left w:val="none" w:color="auto" w:sz="0" w:space="0"/>
            <w:bottom w:val="sing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8"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冯寨村</w:t>
            </w:r>
          </w:p>
        </w:tc>
        <w:tc>
          <w:tcPr>
            <w:tcW w:w="568"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rPr>
            </w:pPr>
            <w:r>
              <w:rPr>
                <w:rFonts w:hint="eastAsia"/>
                <w:color w:val="auto"/>
                <w:kern w:val="0"/>
                <w:sz w:val="21"/>
                <w:szCs w:val="21"/>
              </w:rPr>
              <w:t>1132</w:t>
            </w:r>
          </w:p>
        </w:tc>
        <w:tc>
          <w:tcPr>
            <w:tcW w:w="643"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rPr>
            </w:pPr>
            <w:r>
              <w:rPr>
                <w:rFonts w:hint="eastAsia"/>
                <w:color w:val="auto"/>
                <w:kern w:val="0"/>
                <w:sz w:val="21"/>
                <w:szCs w:val="21"/>
              </w:rPr>
              <w:t>-740</w:t>
            </w:r>
          </w:p>
        </w:tc>
        <w:tc>
          <w:tcPr>
            <w:tcW w:w="1174" w:type="dxa"/>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rPr>
            </w:pPr>
            <w:r>
              <w:rPr>
                <w:rFonts w:hint="eastAsia"/>
                <w:color w:val="auto"/>
                <w:kern w:val="0"/>
                <w:sz w:val="21"/>
                <w:szCs w:val="21"/>
              </w:rPr>
              <w:t>51.86</w:t>
            </w:r>
          </w:p>
        </w:tc>
        <w:tc>
          <w:tcPr>
            <w:tcW w:w="505"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居民区</w:t>
            </w:r>
          </w:p>
        </w:tc>
        <w:tc>
          <w:tcPr>
            <w:tcW w:w="367"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居民</w:t>
            </w:r>
          </w:p>
        </w:tc>
        <w:tc>
          <w:tcPr>
            <w:tcW w:w="481"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二类区</w:t>
            </w:r>
          </w:p>
        </w:tc>
        <w:tc>
          <w:tcPr>
            <w:tcW w:w="48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SE</w:t>
            </w:r>
          </w:p>
        </w:tc>
        <w:tc>
          <w:tcPr>
            <w:tcW w:w="1072" w:type="dxa"/>
            <w:tcBorders>
              <w:top w:val="single" w:color="auto" w:sz="4" w:space="0"/>
              <w:left w:val="single" w:color="auto" w:sz="4" w:space="0"/>
              <w:bottom w:val="single" w:color="auto" w:sz="4" w:space="0"/>
              <w:right w:val="nil"/>
            </w:tcBorders>
            <w:vAlign w:val="center"/>
          </w:tcPr>
          <w:p>
            <w:pPr>
              <w:spacing w:line="240" w:lineRule="auto"/>
              <w:ind w:firstLine="0" w:firstLineChars="0"/>
              <w:jc w:val="center"/>
              <w:rPr>
                <w:bCs/>
                <w:color w:val="auto"/>
                <w:sz w:val="21"/>
                <w:szCs w:val="21"/>
              </w:rPr>
            </w:pPr>
            <w:r>
              <w:rPr>
                <w:rFonts w:hint="eastAsia"/>
                <w:bCs/>
                <w:color w:val="auto"/>
                <w:sz w:val="21"/>
                <w:szCs w:val="21"/>
              </w:rPr>
              <w:t>850</w:t>
            </w:r>
          </w:p>
        </w:tc>
      </w:tr>
      <w:tr>
        <w:tblPrEx>
          <w:tblBorders>
            <w:top w:val="single" w:color="auto" w:sz="2" w:space="0"/>
            <w:left w:val="none" w:color="auto" w:sz="0" w:space="0"/>
            <w:bottom w:val="sing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8"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东郭集村</w:t>
            </w:r>
          </w:p>
        </w:tc>
        <w:tc>
          <w:tcPr>
            <w:tcW w:w="568"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rPr>
            </w:pPr>
            <w:r>
              <w:rPr>
                <w:rFonts w:hint="eastAsia"/>
                <w:color w:val="auto"/>
                <w:kern w:val="0"/>
                <w:sz w:val="21"/>
                <w:szCs w:val="21"/>
              </w:rPr>
              <w:t>1410</w:t>
            </w:r>
          </w:p>
        </w:tc>
        <w:tc>
          <w:tcPr>
            <w:tcW w:w="643"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rPr>
            </w:pPr>
            <w:r>
              <w:rPr>
                <w:rFonts w:hint="eastAsia"/>
                <w:color w:val="auto"/>
                <w:kern w:val="0"/>
                <w:sz w:val="21"/>
                <w:szCs w:val="21"/>
              </w:rPr>
              <w:t>-1034</w:t>
            </w:r>
          </w:p>
        </w:tc>
        <w:tc>
          <w:tcPr>
            <w:tcW w:w="1174" w:type="dxa"/>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rPr>
            </w:pPr>
            <w:r>
              <w:rPr>
                <w:rFonts w:hint="eastAsia"/>
                <w:color w:val="auto"/>
                <w:kern w:val="0"/>
                <w:sz w:val="21"/>
                <w:szCs w:val="21"/>
              </w:rPr>
              <w:t>51.74</w:t>
            </w:r>
          </w:p>
        </w:tc>
        <w:tc>
          <w:tcPr>
            <w:tcW w:w="505"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居民区</w:t>
            </w:r>
          </w:p>
        </w:tc>
        <w:tc>
          <w:tcPr>
            <w:tcW w:w="367"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居民</w:t>
            </w:r>
          </w:p>
        </w:tc>
        <w:tc>
          <w:tcPr>
            <w:tcW w:w="481"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二类区</w:t>
            </w:r>
          </w:p>
        </w:tc>
        <w:tc>
          <w:tcPr>
            <w:tcW w:w="48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SE</w:t>
            </w:r>
          </w:p>
        </w:tc>
        <w:tc>
          <w:tcPr>
            <w:tcW w:w="1072" w:type="dxa"/>
            <w:tcBorders>
              <w:top w:val="single" w:color="auto" w:sz="4" w:space="0"/>
              <w:left w:val="single" w:color="auto" w:sz="4" w:space="0"/>
              <w:bottom w:val="single" w:color="auto" w:sz="4" w:space="0"/>
              <w:right w:val="nil"/>
            </w:tcBorders>
            <w:vAlign w:val="center"/>
          </w:tcPr>
          <w:p>
            <w:pPr>
              <w:spacing w:line="240" w:lineRule="auto"/>
              <w:ind w:firstLine="0" w:firstLineChars="0"/>
              <w:jc w:val="center"/>
              <w:rPr>
                <w:bCs/>
                <w:color w:val="auto"/>
                <w:sz w:val="21"/>
                <w:szCs w:val="21"/>
              </w:rPr>
            </w:pPr>
            <w:r>
              <w:rPr>
                <w:rFonts w:hint="eastAsia"/>
                <w:bCs/>
                <w:color w:val="auto"/>
                <w:sz w:val="21"/>
                <w:szCs w:val="21"/>
              </w:rPr>
              <w:t>1220</w:t>
            </w:r>
          </w:p>
        </w:tc>
      </w:tr>
      <w:tr>
        <w:tblPrEx>
          <w:tblBorders>
            <w:top w:val="single" w:color="auto" w:sz="2" w:space="0"/>
            <w:left w:val="none" w:color="auto" w:sz="0" w:space="0"/>
            <w:bottom w:val="sing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8"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柳寨村</w:t>
            </w:r>
          </w:p>
        </w:tc>
        <w:tc>
          <w:tcPr>
            <w:tcW w:w="568"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rPr>
            </w:pPr>
            <w:r>
              <w:rPr>
                <w:rFonts w:hint="eastAsia"/>
                <w:color w:val="auto"/>
                <w:kern w:val="0"/>
                <w:sz w:val="21"/>
                <w:szCs w:val="21"/>
              </w:rPr>
              <w:t>2194</w:t>
            </w:r>
          </w:p>
        </w:tc>
        <w:tc>
          <w:tcPr>
            <w:tcW w:w="643"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rPr>
            </w:pPr>
            <w:r>
              <w:rPr>
                <w:rFonts w:hint="eastAsia"/>
                <w:color w:val="auto"/>
                <w:kern w:val="0"/>
                <w:sz w:val="21"/>
                <w:szCs w:val="21"/>
              </w:rPr>
              <w:t>-288</w:t>
            </w:r>
          </w:p>
        </w:tc>
        <w:tc>
          <w:tcPr>
            <w:tcW w:w="1174" w:type="dxa"/>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rPr>
            </w:pPr>
            <w:r>
              <w:rPr>
                <w:rFonts w:hint="eastAsia"/>
                <w:color w:val="auto"/>
                <w:kern w:val="0"/>
                <w:sz w:val="21"/>
                <w:szCs w:val="21"/>
              </w:rPr>
              <w:t>53.94</w:t>
            </w:r>
          </w:p>
        </w:tc>
        <w:tc>
          <w:tcPr>
            <w:tcW w:w="505"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居民区</w:t>
            </w:r>
          </w:p>
        </w:tc>
        <w:tc>
          <w:tcPr>
            <w:tcW w:w="367"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居民</w:t>
            </w:r>
          </w:p>
        </w:tc>
        <w:tc>
          <w:tcPr>
            <w:tcW w:w="481"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二类区</w:t>
            </w:r>
          </w:p>
        </w:tc>
        <w:tc>
          <w:tcPr>
            <w:tcW w:w="48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SE</w:t>
            </w:r>
          </w:p>
        </w:tc>
        <w:tc>
          <w:tcPr>
            <w:tcW w:w="1072" w:type="dxa"/>
            <w:tcBorders>
              <w:top w:val="single" w:color="auto" w:sz="4" w:space="0"/>
              <w:left w:val="single" w:color="auto" w:sz="4" w:space="0"/>
              <w:bottom w:val="single" w:color="auto" w:sz="4" w:space="0"/>
              <w:right w:val="nil"/>
            </w:tcBorders>
            <w:vAlign w:val="center"/>
          </w:tcPr>
          <w:p>
            <w:pPr>
              <w:spacing w:line="240" w:lineRule="auto"/>
              <w:ind w:firstLine="0" w:firstLineChars="0"/>
              <w:jc w:val="center"/>
              <w:rPr>
                <w:bCs/>
                <w:color w:val="auto"/>
                <w:sz w:val="21"/>
                <w:szCs w:val="21"/>
              </w:rPr>
            </w:pPr>
            <w:r>
              <w:rPr>
                <w:rFonts w:hint="eastAsia"/>
                <w:bCs/>
                <w:color w:val="auto"/>
                <w:sz w:val="21"/>
                <w:szCs w:val="21"/>
              </w:rPr>
              <w:t>1450</w:t>
            </w:r>
          </w:p>
        </w:tc>
      </w:tr>
      <w:tr>
        <w:tblPrEx>
          <w:tblBorders>
            <w:top w:val="single" w:color="auto" w:sz="2" w:space="0"/>
            <w:left w:val="none" w:color="auto" w:sz="0" w:space="0"/>
            <w:bottom w:val="sing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8"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安寨村</w:t>
            </w:r>
          </w:p>
        </w:tc>
        <w:tc>
          <w:tcPr>
            <w:tcW w:w="568"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rPr>
            </w:pPr>
            <w:r>
              <w:rPr>
                <w:rFonts w:hint="eastAsia"/>
                <w:color w:val="auto"/>
                <w:kern w:val="0"/>
                <w:sz w:val="21"/>
                <w:szCs w:val="21"/>
              </w:rPr>
              <w:t>6911</w:t>
            </w:r>
          </w:p>
        </w:tc>
        <w:tc>
          <w:tcPr>
            <w:tcW w:w="643"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rPr>
            </w:pPr>
            <w:r>
              <w:rPr>
                <w:rFonts w:hint="eastAsia"/>
                <w:color w:val="auto"/>
                <w:kern w:val="0"/>
                <w:sz w:val="21"/>
                <w:szCs w:val="21"/>
              </w:rPr>
              <w:t>1172</w:t>
            </w:r>
          </w:p>
        </w:tc>
        <w:tc>
          <w:tcPr>
            <w:tcW w:w="1174" w:type="dxa"/>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rPr>
            </w:pPr>
            <w:r>
              <w:rPr>
                <w:rFonts w:hint="eastAsia"/>
                <w:color w:val="auto"/>
                <w:kern w:val="0"/>
                <w:sz w:val="21"/>
                <w:szCs w:val="21"/>
              </w:rPr>
              <w:t>51.88</w:t>
            </w:r>
          </w:p>
        </w:tc>
        <w:tc>
          <w:tcPr>
            <w:tcW w:w="505"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居民区</w:t>
            </w:r>
          </w:p>
        </w:tc>
        <w:tc>
          <w:tcPr>
            <w:tcW w:w="367"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居民</w:t>
            </w:r>
          </w:p>
        </w:tc>
        <w:tc>
          <w:tcPr>
            <w:tcW w:w="481"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二类区</w:t>
            </w:r>
          </w:p>
        </w:tc>
        <w:tc>
          <w:tcPr>
            <w:tcW w:w="48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kern w:val="0"/>
                <w:sz w:val="21"/>
                <w:szCs w:val="21"/>
              </w:rPr>
            </w:pPr>
            <w:r>
              <w:rPr>
                <w:rFonts w:hint="eastAsia"/>
                <w:color w:val="auto"/>
                <w:sz w:val="21"/>
                <w:szCs w:val="21"/>
              </w:rPr>
              <w:t>N</w:t>
            </w:r>
          </w:p>
        </w:tc>
        <w:tc>
          <w:tcPr>
            <w:tcW w:w="1072" w:type="dxa"/>
            <w:tcBorders>
              <w:top w:val="single" w:color="auto" w:sz="4" w:space="0"/>
              <w:left w:val="single" w:color="auto" w:sz="4" w:space="0"/>
              <w:bottom w:val="single" w:color="auto" w:sz="4" w:space="0"/>
              <w:right w:val="nil"/>
            </w:tcBorders>
            <w:vAlign w:val="center"/>
          </w:tcPr>
          <w:p>
            <w:pPr>
              <w:spacing w:line="240" w:lineRule="auto"/>
              <w:ind w:firstLine="0" w:firstLineChars="0"/>
              <w:jc w:val="center"/>
              <w:rPr>
                <w:color w:val="auto"/>
                <w:kern w:val="0"/>
                <w:sz w:val="21"/>
                <w:szCs w:val="21"/>
              </w:rPr>
            </w:pPr>
            <w:r>
              <w:rPr>
                <w:rFonts w:hint="eastAsia"/>
                <w:bCs/>
                <w:color w:val="auto"/>
                <w:sz w:val="21"/>
                <w:szCs w:val="21"/>
              </w:rPr>
              <w:t>970</w:t>
            </w:r>
          </w:p>
        </w:tc>
      </w:tr>
      <w:tr>
        <w:tblPrEx>
          <w:tblBorders>
            <w:top w:val="single" w:color="auto" w:sz="2" w:space="0"/>
            <w:left w:val="none" w:color="auto" w:sz="0" w:space="0"/>
            <w:bottom w:val="sing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8"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东草庙村</w:t>
            </w:r>
          </w:p>
        </w:tc>
        <w:tc>
          <w:tcPr>
            <w:tcW w:w="568"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rPr>
            </w:pPr>
            <w:r>
              <w:rPr>
                <w:rFonts w:hint="eastAsia"/>
                <w:color w:val="auto"/>
                <w:kern w:val="0"/>
                <w:sz w:val="21"/>
                <w:szCs w:val="21"/>
              </w:rPr>
              <w:t>1181</w:t>
            </w:r>
          </w:p>
        </w:tc>
        <w:tc>
          <w:tcPr>
            <w:tcW w:w="643"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rPr>
            </w:pPr>
            <w:r>
              <w:rPr>
                <w:rFonts w:hint="eastAsia"/>
                <w:color w:val="auto"/>
                <w:kern w:val="0"/>
                <w:sz w:val="21"/>
                <w:szCs w:val="21"/>
              </w:rPr>
              <w:t>1924</w:t>
            </w:r>
          </w:p>
        </w:tc>
        <w:tc>
          <w:tcPr>
            <w:tcW w:w="1174" w:type="dxa"/>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rPr>
            </w:pPr>
            <w:r>
              <w:rPr>
                <w:rFonts w:hint="eastAsia"/>
                <w:color w:val="auto"/>
                <w:kern w:val="0"/>
                <w:sz w:val="21"/>
                <w:szCs w:val="21"/>
              </w:rPr>
              <w:t>52.71</w:t>
            </w:r>
          </w:p>
        </w:tc>
        <w:tc>
          <w:tcPr>
            <w:tcW w:w="505"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居民区</w:t>
            </w:r>
          </w:p>
        </w:tc>
        <w:tc>
          <w:tcPr>
            <w:tcW w:w="367"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居民</w:t>
            </w:r>
          </w:p>
        </w:tc>
        <w:tc>
          <w:tcPr>
            <w:tcW w:w="481"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二类区</w:t>
            </w:r>
          </w:p>
        </w:tc>
        <w:tc>
          <w:tcPr>
            <w:tcW w:w="48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kern w:val="0"/>
                <w:sz w:val="21"/>
                <w:szCs w:val="21"/>
              </w:rPr>
            </w:pPr>
            <w:r>
              <w:rPr>
                <w:rFonts w:hint="eastAsia"/>
                <w:color w:val="auto"/>
                <w:sz w:val="21"/>
                <w:szCs w:val="21"/>
              </w:rPr>
              <w:t>NE</w:t>
            </w:r>
          </w:p>
        </w:tc>
        <w:tc>
          <w:tcPr>
            <w:tcW w:w="1072" w:type="dxa"/>
            <w:tcBorders>
              <w:top w:val="single" w:color="auto" w:sz="4" w:space="0"/>
              <w:left w:val="single" w:color="auto" w:sz="4" w:space="0"/>
              <w:bottom w:val="single" w:color="auto" w:sz="4" w:space="0"/>
              <w:right w:val="nil"/>
            </w:tcBorders>
            <w:vAlign w:val="center"/>
          </w:tcPr>
          <w:p>
            <w:pPr>
              <w:spacing w:line="240" w:lineRule="auto"/>
              <w:ind w:firstLine="0" w:firstLineChars="0"/>
              <w:jc w:val="center"/>
              <w:rPr>
                <w:color w:val="auto"/>
                <w:kern w:val="0"/>
                <w:sz w:val="21"/>
                <w:szCs w:val="21"/>
              </w:rPr>
            </w:pPr>
            <w:r>
              <w:rPr>
                <w:rFonts w:hint="eastAsia"/>
                <w:bCs/>
                <w:color w:val="auto"/>
                <w:sz w:val="21"/>
                <w:szCs w:val="21"/>
              </w:rPr>
              <w:t>1795</w:t>
            </w:r>
          </w:p>
        </w:tc>
      </w:tr>
      <w:tr>
        <w:tblPrEx>
          <w:tblBorders>
            <w:top w:val="single" w:color="auto" w:sz="2" w:space="0"/>
            <w:left w:val="none" w:color="auto" w:sz="0" w:space="0"/>
            <w:bottom w:val="sing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8"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中草庙村</w:t>
            </w:r>
          </w:p>
        </w:tc>
        <w:tc>
          <w:tcPr>
            <w:tcW w:w="568"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rPr>
            </w:pPr>
            <w:r>
              <w:rPr>
                <w:rFonts w:hint="eastAsia"/>
                <w:color w:val="auto"/>
                <w:kern w:val="0"/>
                <w:sz w:val="21"/>
                <w:szCs w:val="21"/>
              </w:rPr>
              <w:t>664</w:t>
            </w:r>
          </w:p>
        </w:tc>
        <w:tc>
          <w:tcPr>
            <w:tcW w:w="643"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rPr>
            </w:pPr>
            <w:r>
              <w:rPr>
                <w:rFonts w:hint="eastAsia"/>
                <w:color w:val="auto"/>
                <w:kern w:val="0"/>
                <w:sz w:val="21"/>
                <w:szCs w:val="21"/>
              </w:rPr>
              <w:t>1918</w:t>
            </w:r>
          </w:p>
        </w:tc>
        <w:tc>
          <w:tcPr>
            <w:tcW w:w="1174" w:type="dxa"/>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rPr>
            </w:pPr>
            <w:r>
              <w:rPr>
                <w:rFonts w:hint="eastAsia"/>
                <w:color w:val="auto"/>
                <w:kern w:val="0"/>
                <w:sz w:val="21"/>
                <w:szCs w:val="21"/>
              </w:rPr>
              <w:t>55.07</w:t>
            </w:r>
          </w:p>
        </w:tc>
        <w:tc>
          <w:tcPr>
            <w:tcW w:w="505"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居民区</w:t>
            </w:r>
          </w:p>
        </w:tc>
        <w:tc>
          <w:tcPr>
            <w:tcW w:w="367"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居民</w:t>
            </w:r>
          </w:p>
        </w:tc>
        <w:tc>
          <w:tcPr>
            <w:tcW w:w="481" w:type="pct"/>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color w:val="auto"/>
                <w:kern w:val="0"/>
                <w:sz w:val="21"/>
                <w:szCs w:val="21"/>
                <w:lang w:val="zh-CN"/>
              </w:rPr>
            </w:pPr>
            <w:r>
              <w:rPr>
                <w:color w:val="auto"/>
                <w:kern w:val="0"/>
                <w:sz w:val="21"/>
                <w:szCs w:val="21"/>
                <w:lang w:val="zh-CN"/>
              </w:rPr>
              <w:t>二类区</w:t>
            </w:r>
          </w:p>
        </w:tc>
        <w:tc>
          <w:tcPr>
            <w:tcW w:w="48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kern w:val="0"/>
                <w:sz w:val="21"/>
                <w:szCs w:val="21"/>
              </w:rPr>
            </w:pPr>
            <w:r>
              <w:rPr>
                <w:rFonts w:hint="eastAsia"/>
                <w:color w:val="auto"/>
                <w:sz w:val="21"/>
                <w:szCs w:val="21"/>
              </w:rPr>
              <w:t>NE</w:t>
            </w:r>
          </w:p>
        </w:tc>
        <w:tc>
          <w:tcPr>
            <w:tcW w:w="1072" w:type="dxa"/>
            <w:tcBorders>
              <w:top w:val="single" w:color="auto" w:sz="4" w:space="0"/>
              <w:left w:val="single" w:color="auto" w:sz="4" w:space="0"/>
              <w:bottom w:val="single" w:color="auto" w:sz="4" w:space="0"/>
              <w:right w:val="nil"/>
            </w:tcBorders>
            <w:vAlign w:val="center"/>
          </w:tcPr>
          <w:p>
            <w:pPr>
              <w:spacing w:line="240" w:lineRule="auto"/>
              <w:ind w:firstLine="0" w:firstLineChars="0"/>
              <w:jc w:val="center"/>
              <w:rPr>
                <w:color w:val="auto"/>
                <w:kern w:val="0"/>
                <w:sz w:val="21"/>
                <w:szCs w:val="21"/>
              </w:rPr>
            </w:pPr>
            <w:r>
              <w:rPr>
                <w:rFonts w:hint="eastAsia"/>
                <w:bCs/>
                <w:color w:val="auto"/>
                <w:sz w:val="21"/>
                <w:szCs w:val="21"/>
              </w:rPr>
              <w:t>1650</w:t>
            </w:r>
          </w:p>
        </w:tc>
      </w:tr>
    </w:tbl>
    <w:p>
      <w:pPr>
        <w:adjustRightInd/>
        <w:snapToGrid/>
        <w:spacing w:line="460" w:lineRule="exact"/>
        <w:ind w:firstLine="480"/>
        <w:rPr>
          <w:color w:val="auto"/>
        </w:rPr>
      </w:pPr>
      <w:r>
        <w:rPr>
          <w:color w:val="auto"/>
        </w:rPr>
        <w:t>本次评价大气影响预测点位为预测范围内主要敏感点及所有网格点。</w:t>
      </w:r>
    </w:p>
    <w:p>
      <w:pPr>
        <w:adjustRightInd/>
        <w:snapToGrid/>
        <w:spacing w:line="460" w:lineRule="exact"/>
        <w:ind w:firstLine="480"/>
        <w:rPr>
          <w:color w:val="auto"/>
        </w:rPr>
      </w:pPr>
      <w:r>
        <w:rPr>
          <w:color w:val="auto"/>
        </w:rPr>
        <w:t>（2）AERMOD 选用的预测参数</w:t>
      </w:r>
    </w:p>
    <w:p>
      <w:pPr>
        <w:adjustRightInd/>
        <w:snapToGrid/>
        <w:spacing w:line="460" w:lineRule="exact"/>
        <w:ind w:firstLine="480"/>
        <w:rPr>
          <w:color w:val="auto"/>
        </w:rPr>
      </w:pPr>
      <w:r>
        <w:rPr>
          <w:color w:val="auto"/>
        </w:rPr>
        <w:t>结合现场调查，拟建工程周边2.5km范围内地表主要为农田，因此，地表参数（反照率、波文比和表面粗糙度等）选用耕地地表的推荐值，如表5.2-10 所示。</w:t>
      </w:r>
    </w:p>
    <w:p>
      <w:pPr>
        <w:adjustRightInd/>
        <w:snapToGrid/>
        <w:spacing w:before="156" w:beforeLines="50" w:after="156" w:afterLines="50" w:line="240" w:lineRule="auto"/>
        <w:ind w:firstLine="0" w:firstLineChars="0"/>
        <w:jc w:val="center"/>
        <w:rPr>
          <w:b/>
          <w:color w:val="auto"/>
        </w:rPr>
      </w:pPr>
      <w:r>
        <w:rPr>
          <w:b/>
          <w:color w:val="auto"/>
        </w:rPr>
        <w:t>表5.2-10            拟建工程进一步预测使用的地表参数一览表</w:t>
      </w:r>
    </w:p>
    <w:tbl>
      <w:tblPr>
        <w:tblStyle w:val="27"/>
        <w:tblW w:w="5000" w:type="pct"/>
        <w:tblInd w:w="0" w:type="dxa"/>
        <w:tblBorders>
          <w:top w:val="single" w:color="auto" w:sz="2" w:space="0"/>
          <w:left w:val="none" w:color="auto" w:sz="0" w:space="0"/>
          <w:bottom w:val="single" w:color="auto" w:sz="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05"/>
        <w:gridCol w:w="1337"/>
        <w:gridCol w:w="2387"/>
        <w:gridCol w:w="1710"/>
        <w:gridCol w:w="1369"/>
        <w:gridCol w:w="1138"/>
      </w:tblGrid>
      <w:tr>
        <w:tblPrEx>
          <w:tblBorders>
            <w:top w:val="single" w:color="auto" w:sz="2" w:space="0"/>
            <w:left w:val="none" w:color="auto" w:sz="0" w:space="0"/>
            <w:bottom w:val="sing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2" w:type="pct"/>
            <w:vAlign w:val="center"/>
          </w:tcPr>
          <w:p>
            <w:pPr>
              <w:spacing w:line="240" w:lineRule="auto"/>
              <w:ind w:firstLine="0" w:firstLineChars="0"/>
              <w:jc w:val="center"/>
              <w:rPr>
                <w:b/>
                <w:color w:val="auto"/>
                <w:kern w:val="0"/>
                <w:sz w:val="21"/>
                <w:szCs w:val="21"/>
                <w:lang w:val="zh-CN"/>
              </w:rPr>
            </w:pPr>
            <w:r>
              <w:rPr>
                <w:b/>
                <w:color w:val="auto"/>
                <w:kern w:val="0"/>
                <w:sz w:val="21"/>
                <w:szCs w:val="21"/>
                <w:lang w:val="zh-CN"/>
              </w:rPr>
              <w:t>序号</w:t>
            </w:r>
          </w:p>
        </w:tc>
        <w:tc>
          <w:tcPr>
            <w:tcW w:w="747" w:type="pct"/>
            <w:vAlign w:val="center"/>
          </w:tcPr>
          <w:p>
            <w:pPr>
              <w:spacing w:line="240" w:lineRule="auto"/>
              <w:ind w:firstLine="0" w:firstLineChars="0"/>
              <w:jc w:val="center"/>
              <w:rPr>
                <w:b/>
                <w:color w:val="auto"/>
                <w:kern w:val="0"/>
                <w:sz w:val="21"/>
                <w:szCs w:val="21"/>
                <w:lang w:val="zh-CN"/>
              </w:rPr>
            </w:pPr>
            <w:r>
              <w:rPr>
                <w:b/>
                <w:color w:val="auto"/>
                <w:kern w:val="0"/>
                <w:sz w:val="21"/>
                <w:szCs w:val="21"/>
                <w:lang w:val="zh-CN"/>
              </w:rPr>
              <w:t>扇区</w:t>
            </w:r>
          </w:p>
        </w:tc>
        <w:tc>
          <w:tcPr>
            <w:tcW w:w="1334" w:type="pct"/>
            <w:vAlign w:val="center"/>
          </w:tcPr>
          <w:p>
            <w:pPr>
              <w:spacing w:line="240" w:lineRule="auto"/>
              <w:ind w:firstLine="0" w:firstLineChars="0"/>
              <w:jc w:val="center"/>
              <w:rPr>
                <w:b/>
                <w:color w:val="auto"/>
                <w:kern w:val="0"/>
                <w:sz w:val="21"/>
                <w:szCs w:val="21"/>
                <w:lang w:val="zh-CN"/>
              </w:rPr>
            </w:pPr>
            <w:r>
              <w:rPr>
                <w:b/>
                <w:color w:val="auto"/>
                <w:kern w:val="0"/>
                <w:sz w:val="21"/>
                <w:szCs w:val="21"/>
                <w:lang w:val="zh-CN"/>
              </w:rPr>
              <w:t>时段</w:t>
            </w:r>
          </w:p>
        </w:tc>
        <w:tc>
          <w:tcPr>
            <w:tcW w:w="956" w:type="pct"/>
            <w:vAlign w:val="center"/>
          </w:tcPr>
          <w:p>
            <w:pPr>
              <w:spacing w:line="240" w:lineRule="auto"/>
              <w:ind w:firstLine="0" w:firstLineChars="0"/>
              <w:jc w:val="center"/>
              <w:rPr>
                <w:b/>
                <w:color w:val="auto"/>
                <w:kern w:val="0"/>
                <w:sz w:val="21"/>
                <w:szCs w:val="21"/>
                <w:lang w:val="zh-CN"/>
              </w:rPr>
            </w:pPr>
            <w:r>
              <w:rPr>
                <w:b/>
                <w:color w:val="auto"/>
                <w:kern w:val="0"/>
                <w:sz w:val="21"/>
                <w:szCs w:val="21"/>
                <w:lang w:val="zh-CN"/>
              </w:rPr>
              <w:t>正午反照率</w:t>
            </w:r>
          </w:p>
        </w:tc>
        <w:tc>
          <w:tcPr>
            <w:tcW w:w="765" w:type="pct"/>
            <w:vAlign w:val="center"/>
          </w:tcPr>
          <w:p>
            <w:pPr>
              <w:spacing w:line="240" w:lineRule="auto"/>
              <w:ind w:firstLine="0" w:firstLineChars="0"/>
              <w:jc w:val="center"/>
              <w:rPr>
                <w:b/>
                <w:color w:val="auto"/>
                <w:kern w:val="0"/>
                <w:sz w:val="21"/>
                <w:szCs w:val="21"/>
                <w:lang w:val="zh-CN"/>
              </w:rPr>
            </w:pPr>
            <w:r>
              <w:rPr>
                <w:b/>
                <w:color w:val="auto"/>
                <w:kern w:val="0"/>
                <w:sz w:val="21"/>
                <w:szCs w:val="21"/>
                <w:lang w:val="zh-CN"/>
              </w:rPr>
              <w:t>波文比</w:t>
            </w:r>
          </w:p>
        </w:tc>
        <w:tc>
          <w:tcPr>
            <w:tcW w:w="636" w:type="pct"/>
            <w:vAlign w:val="center"/>
          </w:tcPr>
          <w:p>
            <w:pPr>
              <w:spacing w:line="240" w:lineRule="auto"/>
              <w:ind w:firstLine="0" w:firstLineChars="0"/>
              <w:jc w:val="center"/>
              <w:rPr>
                <w:b/>
                <w:color w:val="auto"/>
                <w:kern w:val="0"/>
                <w:sz w:val="21"/>
                <w:szCs w:val="21"/>
                <w:lang w:val="zh-CN"/>
              </w:rPr>
            </w:pPr>
            <w:r>
              <w:rPr>
                <w:b/>
                <w:color w:val="auto"/>
                <w:kern w:val="0"/>
                <w:sz w:val="21"/>
                <w:szCs w:val="21"/>
                <w:lang w:val="zh-CN"/>
              </w:rPr>
              <w:t>粗糙度</w:t>
            </w:r>
          </w:p>
        </w:tc>
      </w:tr>
      <w:tr>
        <w:tblPrEx>
          <w:tblBorders>
            <w:top w:val="single" w:color="auto" w:sz="2" w:space="0"/>
            <w:left w:val="none" w:color="auto" w:sz="0" w:space="0"/>
            <w:bottom w:val="sing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2" w:type="pct"/>
            <w:vAlign w:val="center"/>
          </w:tcPr>
          <w:p>
            <w:pPr>
              <w:spacing w:line="240" w:lineRule="auto"/>
              <w:ind w:firstLine="0" w:firstLineChars="0"/>
              <w:jc w:val="center"/>
              <w:rPr>
                <w:color w:val="auto"/>
                <w:kern w:val="0"/>
                <w:sz w:val="21"/>
                <w:szCs w:val="21"/>
                <w:lang w:val="zh-CN"/>
              </w:rPr>
            </w:pPr>
            <w:r>
              <w:rPr>
                <w:color w:val="auto"/>
                <w:kern w:val="0"/>
                <w:sz w:val="21"/>
                <w:szCs w:val="21"/>
                <w:lang w:val="zh-CN"/>
              </w:rPr>
              <w:t>1</w:t>
            </w:r>
          </w:p>
        </w:tc>
        <w:tc>
          <w:tcPr>
            <w:tcW w:w="747" w:type="pct"/>
            <w:vAlign w:val="center"/>
          </w:tcPr>
          <w:p>
            <w:pPr>
              <w:spacing w:line="240" w:lineRule="auto"/>
              <w:ind w:firstLine="0" w:firstLineChars="0"/>
              <w:jc w:val="center"/>
              <w:rPr>
                <w:color w:val="auto"/>
                <w:kern w:val="0"/>
                <w:sz w:val="21"/>
                <w:szCs w:val="21"/>
                <w:lang w:val="zh-CN"/>
              </w:rPr>
            </w:pPr>
            <w:r>
              <w:rPr>
                <w:color w:val="auto"/>
                <w:kern w:val="0"/>
                <w:sz w:val="21"/>
                <w:szCs w:val="21"/>
                <w:lang w:val="zh-CN"/>
              </w:rPr>
              <w:t>0~360</w:t>
            </w:r>
          </w:p>
        </w:tc>
        <w:tc>
          <w:tcPr>
            <w:tcW w:w="1334" w:type="pct"/>
            <w:vAlign w:val="center"/>
          </w:tcPr>
          <w:p>
            <w:pPr>
              <w:spacing w:line="240" w:lineRule="auto"/>
              <w:ind w:firstLine="0" w:firstLineChars="0"/>
              <w:jc w:val="center"/>
              <w:rPr>
                <w:color w:val="auto"/>
                <w:kern w:val="0"/>
                <w:sz w:val="21"/>
                <w:szCs w:val="21"/>
                <w:lang w:val="zh-CN"/>
              </w:rPr>
            </w:pPr>
            <w:r>
              <w:rPr>
                <w:color w:val="auto"/>
                <w:kern w:val="0"/>
                <w:sz w:val="21"/>
                <w:szCs w:val="21"/>
                <w:lang w:val="zh-CN"/>
              </w:rPr>
              <w:t>春季（3/4/5月）</w:t>
            </w:r>
          </w:p>
        </w:tc>
        <w:tc>
          <w:tcPr>
            <w:tcW w:w="956" w:type="pct"/>
            <w:vAlign w:val="center"/>
          </w:tcPr>
          <w:p>
            <w:pPr>
              <w:spacing w:line="240" w:lineRule="auto"/>
              <w:ind w:firstLine="0" w:firstLineChars="0"/>
              <w:jc w:val="center"/>
              <w:rPr>
                <w:color w:val="auto"/>
                <w:kern w:val="0"/>
                <w:sz w:val="21"/>
                <w:szCs w:val="21"/>
                <w:lang w:val="zh-CN"/>
              </w:rPr>
            </w:pPr>
            <w:r>
              <w:rPr>
                <w:color w:val="auto"/>
                <w:kern w:val="0"/>
                <w:sz w:val="21"/>
                <w:szCs w:val="21"/>
                <w:lang w:val="zh-CN"/>
              </w:rPr>
              <w:t>0.6</w:t>
            </w:r>
          </w:p>
        </w:tc>
        <w:tc>
          <w:tcPr>
            <w:tcW w:w="765" w:type="pct"/>
            <w:vAlign w:val="center"/>
          </w:tcPr>
          <w:p>
            <w:pPr>
              <w:spacing w:line="240" w:lineRule="auto"/>
              <w:ind w:firstLine="0" w:firstLineChars="0"/>
              <w:jc w:val="center"/>
              <w:rPr>
                <w:color w:val="auto"/>
                <w:kern w:val="0"/>
                <w:sz w:val="21"/>
                <w:szCs w:val="21"/>
                <w:lang w:val="zh-CN"/>
              </w:rPr>
            </w:pPr>
            <w:r>
              <w:rPr>
                <w:color w:val="auto"/>
                <w:kern w:val="0"/>
                <w:sz w:val="21"/>
                <w:szCs w:val="21"/>
                <w:lang w:val="zh-CN"/>
              </w:rPr>
              <w:t>1.5</w:t>
            </w:r>
          </w:p>
        </w:tc>
        <w:tc>
          <w:tcPr>
            <w:tcW w:w="636" w:type="pct"/>
            <w:vAlign w:val="center"/>
          </w:tcPr>
          <w:p>
            <w:pPr>
              <w:spacing w:line="240" w:lineRule="auto"/>
              <w:ind w:firstLine="0" w:firstLineChars="0"/>
              <w:jc w:val="center"/>
              <w:rPr>
                <w:color w:val="auto"/>
                <w:kern w:val="0"/>
                <w:sz w:val="21"/>
                <w:szCs w:val="21"/>
                <w:lang w:val="zh-CN"/>
              </w:rPr>
            </w:pPr>
            <w:r>
              <w:rPr>
                <w:color w:val="auto"/>
                <w:kern w:val="0"/>
                <w:sz w:val="21"/>
                <w:szCs w:val="21"/>
                <w:lang w:val="zh-CN"/>
              </w:rPr>
              <w:t>0.01</w:t>
            </w:r>
          </w:p>
        </w:tc>
      </w:tr>
      <w:tr>
        <w:tblPrEx>
          <w:tblBorders>
            <w:top w:val="single" w:color="auto" w:sz="2" w:space="0"/>
            <w:left w:val="none" w:color="auto" w:sz="0" w:space="0"/>
            <w:bottom w:val="sing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2" w:type="pct"/>
            <w:vAlign w:val="center"/>
          </w:tcPr>
          <w:p>
            <w:pPr>
              <w:spacing w:line="240" w:lineRule="auto"/>
              <w:ind w:firstLine="0" w:firstLineChars="0"/>
              <w:jc w:val="center"/>
              <w:rPr>
                <w:color w:val="auto"/>
                <w:kern w:val="0"/>
                <w:sz w:val="21"/>
                <w:szCs w:val="21"/>
                <w:lang w:val="zh-CN"/>
              </w:rPr>
            </w:pPr>
            <w:r>
              <w:rPr>
                <w:color w:val="auto"/>
                <w:kern w:val="0"/>
                <w:sz w:val="21"/>
                <w:szCs w:val="21"/>
                <w:lang w:val="zh-CN"/>
              </w:rPr>
              <w:t>2</w:t>
            </w:r>
          </w:p>
        </w:tc>
        <w:tc>
          <w:tcPr>
            <w:tcW w:w="747" w:type="pct"/>
            <w:vAlign w:val="center"/>
          </w:tcPr>
          <w:p>
            <w:pPr>
              <w:spacing w:line="240" w:lineRule="auto"/>
              <w:ind w:firstLine="0" w:firstLineChars="0"/>
              <w:jc w:val="center"/>
              <w:rPr>
                <w:color w:val="auto"/>
                <w:kern w:val="0"/>
                <w:sz w:val="21"/>
                <w:szCs w:val="21"/>
                <w:lang w:val="zh-CN"/>
              </w:rPr>
            </w:pPr>
            <w:r>
              <w:rPr>
                <w:color w:val="auto"/>
                <w:kern w:val="0"/>
                <w:sz w:val="21"/>
                <w:szCs w:val="21"/>
                <w:lang w:val="zh-CN"/>
              </w:rPr>
              <w:t>0~360</w:t>
            </w:r>
          </w:p>
        </w:tc>
        <w:tc>
          <w:tcPr>
            <w:tcW w:w="1334" w:type="pct"/>
            <w:vAlign w:val="center"/>
          </w:tcPr>
          <w:p>
            <w:pPr>
              <w:spacing w:line="240" w:lineRule="auto"/>
              <w:ind w:firstLine="0" w:firstLineChars="0"/>
              <w:jc w:val="center"/>
              <w:rPr>
                <w:color w:val="auto"/>
                <w:kern w:val="0"/>
                <w:sz w:val="21"/>
                <w:szCs w:val="21"/>
                <w:lang w:val="zh-CN"/>
              </w:rPr>
            </w:pPr>
            <w:r>
              <w:rPr>
                <w:color w:val="auto"/>
                <w:kern w:val="0"/>
                <w:sz w:val="21"/>
                <w:szCs w:val="21"/>
                <w:lang w:val="zh-CN"/>
              </w:rPr>
              <w:t>夏季（6/7/8月）</w:t>
            </w:r>
          </w:p>
        </w:tc>
        <w:tc>
          <w:tcPr>
            <w:tcW w:w="956" w:type="pct"/>
            <w:vAlign w:val="center"/>
          </w:tcPr>
          <w:p>
            <w:pPr>
              <w:spacing w:line="240" w:lineRule="auto"/>
              <w:ind w:firstLine="0" w:firstLineChars="0"/>
              <w:jc w:val="center"/>
              <w:rPr>
                <w:color w:val="auto"/>
                <w:kern w:val="0"/>
                <w:sz w:val="21"/>
                <w:szCs w:val="21"/>
                <w:lang w:val="zh-CN"/>
              </w:rPr>
            </w:pPr>
            <w:r>
              <w:rPr>
                <w:color w:val="auto"/>
                <w:kern w:val="0"/>
                <w:sz w:val="21"/>
                <w:szCs w:val="21"/>
                <w:lang w:val="zh-CN"/>
              </w:rPr>
              <w:t>0.14</w:t>
            </w:r>
          </w:p>
        </w:tc>
        <w:tc>
          <w:tcPr>
            <w:tcW w:w="765" w:type="pct"/>
            <w:vAlign w:val="center"/>
          </w:tcPr>
          <w:p>
            <w:pPr>
              <w:spacing w:line="240" w:lineRule="auto"/>
              <w:ind w:firstLine="0" w:firstLineChars="0"/>
              <w:jc w:val="center"/>
              <w:rPr>
                <w:color w:val="auto"/>
                <w:kern w:val="0"/>
                <w:sz w:val="21"/>
                <w:szCs w:val="21"/>
                <w:lang w:val="zh-CN"/>
              </w:rPr>
            </w:pPr>
            <w:r>
              <w:rPr>
                <w:color w:val="auto"/>
                <w:kern w:val="0"/>
                <w:sz w:val="21"/>
                <w:szCs w:val="21"/>
                <w:lang w:val="zh-CN"/>
              </w:rPr>
              <w:t>0.3</w:t>
            </w:r>
          </w:p>
        </w:tc>
        <w:tc>
          <w:tcPr>
            <w:tcW w:w="636" w:type="pct"/>
            <w:vAlign w:val="center"/>
          </w:tcPr>
          <w:p>
            <w:pPr>
              <w:spacing w:line="240" w:lineRule="auto"/>
              <w:ind w:firstLine="0" w:firstLineChars="0"/>
              <w:jc w:val="center"/>
              <w:rPr>
                <w:color w:val="auto"/>
                <w:kern w:val="0"/>
                <w:sz w:val="21"/>
                <w:szCs w:val="21"/>
                <w:lang w:val="zh-CN"/>
              </w:rPr>
            </w:pPr>
            <w:r>
              <w:rPr>
                <w:color w:val="auto"/>
                <w:kern w:val="0"/>
                <w:sz w:val="21"/>
                <w:szCs w:val="21"/>
                <w:lang w:val="zh-CN"/>
              </w:rPr>
              <w:t>0.03</w:t>
            </w:r>
          </w:p>
        </w:tc>
      </w:tr>
      <w:tr>
        <w:tblPrEx>
          <w:tblBorders>
            <w:top w:val="single" w:color="auto" w:sz="2" w:space="0"/>
            <w:left w:val="none" w:color="auto" w:sz="0" w:space="0"/>
            <w:bottom w:val="sing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2" w:type="pct"/>
            <w:vAlign w:val="center"/>
          </w:tcPr>
          <w:p>
            <w:pPr>
              <w:spacing w:line="240" w:lineRule="auto"/>
              <w:ind w:firstLine="0" w:firstLineChars="0"/>
              <w:jc w:val="center"/>
              <w:rPr>
                <w:color w:val="auto"/>
                <w:kern w:val="0"/>
                <w:sz w:val="21"/>
                <w:szCs w:val="21"/>
                <w:lang w:val="zh-CN"/>
              </w:rPr>
            </w:pPr>
            <w:r>
              <w:rPr>
                <w:color w:val="auto"/>
                <w:kern w:val="0"/>
                <w:sz w:val="21"/>
                <w:szCs w:val="21"/>
                <w:lang w:val="zh-CN"/>
              </w:rPr>
              <w:t>3</w:t>
            </w:r>
          </w:p>
        </w:tc>
        <w:tc>
          <w:tcPr>
            <w:tcW w:w="747" w:type="pct"/>
            <w:vAlign w:val="center"/>
          </w:tcPr>
          <w:p>
            <w:pPr>
              <w:spacing w:line="240" w:lineRule="auto"/>
              <w:ind w:firstLine="0" w:firstLineChars="0"/>
              <w:jc w:val="center"/>
              <w:rPr>
                <w:color w:val="auto"/>
                <w:kern w:val="0"/>
                <w:sz w:val="21"/>
                <w:szCs w:val="21"/>
                <w:lang w:val="zh-CN"/>
              </w:rPr>
            </w:pPr>
            <w:r>
              <w:rPr>
                <w:color w:val="auto"/>
                <w:kern w:val="0"/>
                <w:sz w:val="21"/>
                <w:szCs w:val="21"/>
                <w:lang w:val="zh-CN"/>
              </w:rPr>
              <w:t>0~360</w:t>
            </w:r>
          </w:p>
        </w:tc>
        <w:tc>
          <w:tcPr>
            <w:tcW w:w="1334" w:type="pct"/>
            <w:vAlign w:val="center"/>
          </w:tcPr>
          <w:p>
            <w:pPr>
              <w:spacing w:line="240" w:lineRule="auto"/>
              <w:ind w:firstLine="0" w:firstLineChars="0"/>
              <w:jc w:val="center"/>
              <w:rPr>
                <w:color w:val="auto"/>
                <w:kern w:val="0"/>
                <w:sz w:val="21"/>
                <w:szCs w:val="21"/>
                <w:lang w:val="zh-CN"/>
              </w:rPr>
            </w:pPr>
            <w:r>
              <w:rPr>
                <w:color w:val="auto"/>
                <w:kern w:val="0"/>
                <w:sz w:val="21"/>
                <w:szCs w:val="21"/>
                <w:lang w:val="zh-CN"/>
              </w:rPr>
              <w:t>秋季（9/10/11月）</w:t>
            </w:r>
          </w:p>
        </w:tc>
        <w:tc>
          <w:tcPr>
            <w:tcW w:w="956" w:type="pct"/>
            <w:vAlign w:val="center"/>
          </w:tcPr>
          <w:p>
            <w:pPr>
              <w:spacing w:line="240" w:lineRule="auto"/>
              <w:ind w:firstLine="0" w:firstLineChars="0"/>
              <w:jc w:val="center"/>
              <w:rPr>
                <w:color w:val="auto"/>
                <w:kern w:val="0"/>
                <w:sz w:val="21"/>
                <w:szCs w:val="21"/>
                <w:lang w:val="zh-CN"/>
              </w:rPr>
            </w:pPr>
            <w:r>
              <w:rPr>
                <w:color w:val="auto"/>
                <w:kern w:val="0"/>
                <w:sz w:val="21"/>
                <w:szCs w:val="21"/>
                <w:lang w:val="zh-CN"/>
              </w:rPr>
              <w:t>0.2</w:t>
            </w:r>
          </w:p>
        </w:tc>
        <w:tc>
          <w:tcPr>
            <w:tcW w:w="765" w:type="pct"/>
            <w:vAlign w:val="center"/>
          </w:tcPr>
          <w:p>
            <w:pPr>
              <w:spacing w:line="240" w:lineRule="auto"/>
              <w:ind w:firstLine="0" w:firstLineChars="0"/>
              <w:jc w:val="center"/>
              <w:rPr>
                <w:color w:val="auto"/>
                <w:kern w:val="0"/>
                <w:sz w:val="21"/>
                <w:szCs w:val="21"/>
                <w:lang w:val="zh-CN"/>
              </w:rPr>
            </w:pPr>
            <w:r>
              <w:rPr>
                <w:color w:val="auto"/>
                <w:kern w:val="0"/>
                <w:sz w:val="21"/>
                <w:szCs w:val="21"/>
                <w:lang w:val="zh-CN"/>
              </w:rPr>
              <w:t>0.5</w:t>
            </w:r>
          </w:p>
        </w:tc>
        <w:tc>
          <w:tcPr>
            <w:tcW w:w="636" w:type="pct"/>
            <w:vAlign w:val="center"/>
          </w:tcPr>
          <w:p>
            <w:pPr>
              <w:spacing w:line="240" w:lineRule="auto"/>
              <w:ind w:firstLine="0" w:firstLineChars="0"/>
              <w:jc w:val="center"/>
              <w:rPr>
                <w:color w:val="auto"/>
                <w:kern w:val="0"/>
                <w:sz w:val="21"/>
                <w:szCs w:val="21"/>
                <w:lang w:val="zh-CN"/>
              </w:rPr>
            </w:pPr>
            <w:r>
              <w:rPr>
                <w:color w:val="auto"/>
                <w:kern w:val="0"/>
                <w:sz w:val="21"/>
                <w:szCs w:val="21"/>
                <w:lang w:val="zh-CN"/>
              </w:rPr>
              <w:t>0.2</w:t>
            </w:r>
          </w:p>
        </w:tc>
      </w:tr>
      <w:tr>
        <w:tblPrEx>
          <w:tblBorders>
            <w:top w:val="single" w:color="auto" w:sz="2" w:space="0"/>
            <w:left w:val="none" w:color="auto" w:sz="0" w:space="0"/>
            <w:bottom w:val="sing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2" w:type="pct"/>
            <w:vAlign w:val="center"/>
          </w:tcPr>
          <w:p>
            <w:pPr>
              <w:spacing w:line="240" w:lineRule="auto"/>
              <w:ind w:firstLine="0" w:firstLineChars="0"/>
              <w:jc w:val="center"/>
              <w:rPr>
                <w:color w:val="auto"/>
                <w:kern w:val="0"/>
                <w:sz w:val="21"/>
                <w:szCs w:val="21"/>
                <w:lang w:val="zh-CN"/>
              </w:rPr>
            </w:pPr>
            <w:r>
              <w:rPr>
                <w:color w:val="auto"/>
                <w:kern w:val="0"/>
                <w:sz w:val="21"/>
                <w:szCs w:val="21"/>
                <w:lang w:val="zh-CN"/>
              </w:rPr>
              <w:t>4</w:t>
            </w:r>
          </w:p>
        </w:tc>
        <w:tc>
          <w:tcPr>
            <w:tcW w:w="747" w:type="pct"/>
            <w:vAlign w:val="center"/>
          </w:tcPr>
          <w:p>
            <w:pPr>
              <w:spacing w:line="240" w:lineRule="auto"/>
              <w:ind w:firstLine="0" w:firstLineChars="0"/>
              <w:jc w:val="center"/>
              <w:rPr>
                <w:color w:val="auto"/>
                <w:kern w:val="0"/>
                <w:sz w:val="21"/>
                <w:szCs w:val="21"/>
                <w:lang w:val="zh-CN"/>
              </w:rPr>
            </w:pPr>
            <w:r>
              <w:rPr>
                <w:color w:val="auto"/>
                <w:kern w:val="0"/>
                <w:sz w:val="21"/>
                <w:szCs w:val="21"/>
                <w:lang w:val="zh-CN"/>
              </w:rPr>
              <w:t>0~360</w:t>
            </w:r>
          </w:p>
        </w:tc>
        <w:tc>
          <w:tcPr>
            <w:tcW w:w="1334" w:type="pct"/>
            <w:vAlign w:val="center"/>
          </w:tcPr>
          <w:p>
            <w:pPr>
              <w:spacing w:line="240" w:lineRule="auto"/>
              <w:ind w:firstLine="0" w:firstLineChars="0"/>
              <w:jc w:val="center"/>
              <w:rPr>
                <w:color w:val="auto"/>
                <w:kern w:val="0"/>
                <w:sz w:val="21"/>
                <w:szCs w:val="21"/>
                <w:lang w:val="zh-CN"/>
              </w:rPr>
            </w:pPr>
            <w:r>
              <w:rPr>
                <w:color w:val="auto"/>
                <w:kern w:val="0"/>
                <w:sz w:val="21"/>
                <w:szCs w:val="21"/>
                <w:lang w:val="zh-CN"/>
              </w:rPr>
              <w:t>冬季</w:t>
            </w:r>
            <w:r>
              <w:rPr>
                <w:color w:val="auto"/>
                <w:kern w:val="0"/>
                <w:sz w:val="21"/>
                <w:szCs w:val="21"/>
              </w:rPr>
              <w:t>（12/1/2月）</w:t>
            </w:r>
          </w:p>
        </w:tc>
        <w:tc>
          <w:tcPr>
            <w:tcW w:w="956" w:type="pct"/>
            <w:vAlign w:val="center"/>
          </w:tcPr>
          <w:p>
            <w:pPr>
              <w:spacing w:line="240" w:lineRule="auto"/>
              <w:ind w:firstLine="0" w:firstLineChars="0"/>
              <w:jc w:val="center"/>
              <w:rPr>
                <w:color w:val="auto"/>
                <w:kern w:val="0"/>
                <w:sz w:val="21"/>
                <w:szCs w:val="21"/>
                <w:lang w:val="zh-CN"/>
              </w:rPr>
            </w:pPr>
            <w:r>
              <w:rPr>
                <w:color w:val="auto"/>
                <w:kern w:val="0"/>
                <w:sz w:val="21"/>
                <w:szCs w:val="21"/>
                <w:lang w:val="zh-CN"/>
              </w:rPr>
              <w:t>0.18</w:t>
            </w:r>
          </w:p>
        </w:tc>
        <w:tc>
          <w:tcPr>
            <w:tcW w:w="765" w:type="pct"/>
            <w:vAlign w:val="center"/>
          </w:tcPr>
          <w:p>
            <w:pPr>
              <w:spacing w:line="240" w:lineRule="auto"/>
              <w:ind w:firstLine="0" w:firstLineChars="0"/>
              <w:jc w:val="center"/>
              <w:rPr>
                <w:color w:val="auto"/>
                <w:kern w:val="0"/>
                <w:sz w:val="21"/>
                <w:szCs w:val="21"/>
                <w:lang w:val="zh-CN"/>
              </w:rPr>
            </w:pPr>
            <w:r>
              <w:rPr>
                <w:color w:val="auto"/>
                <w:kern w:val="0"/>
                <w:sz w:val="21"/>
                <w:szCs w:val="21"/>
                <w:lang w:val="zh-CN"/>
              </w:rPr>
              <w:t>0.7</w:t>
            </w:r>
          </w:p>
        </w:tc>
        <w:tc>
          <w:tcPr>
            <w:tcW w:w="636" w:type="pct"/>
            <w:vAlign w:val="center"/>
          </w:tcPr>
          <w:p>
            <w:pPr>
              <w:spacing w:line="240" w:lineRule="auto"/>
              <w:ind w:firstLine="0" w:firstLineChars="0"/>
              <w:jc w:val="center"/>
              <w:rPr>
                <w:color w:val="auto"/>
                <w:kern w:val="0"/>
                <w:sz w:val="21"/>
                <w:szCs w:val="21"/>
                <w:lang w:val="zh-CN"/>
              </w:rPr>
            </w:pPr>
            <w:r>
              <w:rPr>
                <w:color w:val="auto"/>
                <w:kern w:val="0"/>
                <w:sz w:val="21"/>
                <w:szCs w:val="21"/>
                <w:lang w:val="zh-CN"/>
              </w:rPr>
              <w:t>0.05</w:t>
            </w:r>
          </w:p>
        </w:tc>
      </w:tr>
    </w:tbl>
    <w:p>
      <w:pPr>
        <w:adjustRightInd/>
        <w:snapToGrid/>
        <w:ind w:firstLine="480"/>
        <w:rPr>
          <w:color w:val="auto"/>
        </w:rPr>
      </w:pPr>
      <w:r>
        <w:rPr>
          <w:color w:val="auto"/>
        </w:rPr>
        <w:t>（3）背景浓度参数</w:t>
      </w:r>
    </w:p>
    <w:p>
      <w:pPr>
        <w:adjustRightInd/>
        <w:snapToGrid/>
        <w:ind w:firstLine="480"/>
        <w:rPr>
          <w:color w:val="auto"/>
          <w:highlight w:val="yellow"/>
        </w:rPr>
      </w:pPr>
      <w:r>
        <w:rPr>
          <w:color w:val="auto"/>
        </w:rPr>
        <w:t>本次评价选取201</w:t>
      </w:r>
      <w:r>
        <w:rPr>
          <w:rFonts w:hint="eastAsia"/>
          <w:color w:val="auto"/>
        </w:rPr>
        <w:t>9</w:t>
      </w:r>
      <w:r>
        <w:rPr>
          <w:color w:val="auto"/>
        </w:rPr>
        <w:t>年作为评价基准年，</w:t>
      </w:r>
      <w:r>
        <w:rPr>
          <w:rFonts w:hint="eastAsia"/>
          <w:color w:val="auto"/>
        </w:rPr>
        <w:t>于</w:t>
      </w:r>
      <w:r>
        <w:rPr>
          <w:rFonts w:hint="eastAsia" w:ascii="宋体" w:hAnsi="宋体" w:cs="宋体"/>
          <w:color w:val="auto"/>
          <w:kern w:val="0"/>
          <w:lang w:bidi="ar"/>
        </w:rPr>
        <w:t>环境空气质量模型技术支持服务系统（</w:t>
      </w:r>
      <w:r>
        <w:rPr>
          <w:color w:val="auto"/>
          <w:kern w:val="0"/>
          <w:lang w:bidi="ar"/>
        </w:rPr>
        <w:t>http://data.lem.org.cn/eamds/apply/tostepone.html</w:t>
      </w:r>
      <w:r>
        <w:rPr>
          <w:rFonts w:hint="eastAsia" w:ascii="宋体" w:hAnsi="宋体" w:cs="宋体"/>
          <w:color w:val="auto"/>
          <w:kern w:val="0"/>
          <w:lang w:bidi="ar"/>
        </w:rPr>
        <w:t>）收集</w:t>
      </w:r>
      <w:r>
        <w:rPr>
          <w:color w:val="auto"/>
          <w:kern w:val="0"/>
          <w:lang w:bidi="ar"/>
        </w:rPr>
        <w:t>了2019年濮阳</w:t>
      </w:r>
      <w:r>
        <w:rPr>
          <w:rFonts w:hint="eastAsia" w:ascii="宋体" w:hAnsi="宋体" w:cs="宋体"/>
          <w:color w:val="auto"/>
          <w:kern w:val="0"/>
          <w:lang w:bidi="ar"/>
        </w:rPr>
        <w:t>市环境质量监测数据</w:t>
      </w:r>
      <w:r>
        <w:rPr>
          <w:color w:val="auto"/>
        </w:rPr>
        <w:t>，SO</w:t>
      </w:r>
      <w:r>
        <w:rPr>
          <w:color w:val="auto"/>
          <w:vertAlign w:val="subscript"/>
        </w:rPr>
        <w:t>2</w:t>
      </w:r>
      <w:r>
        <w:rPr>
          <w:color w:val="auto"/>
        </w:rPr>
        <w:t>、NO</w:t>
      </w:r>
      <w:r>
        <w:rPr>
          <w:color w:val="auto"/>
          <w:vertAlign w:val="subscript"/>
        </w:rPr>
        <w:t>2</w:t>
      </w:r>
      <w:r>
        <w:rPr>
          <w:color w:val="auto"/>
        </w:rPr>
        <w:t>背景值浓度</w:t>
      </w:r>
      <w:r>
        <w:rPr>
          <w:rFonts w:hint="eastAsia"/>
          <w:color w:val="auto"/>
        </w:rPr>
        <w:t>年均值分别为11</w:t>
      </w:r>
      <w:r>
        <w:rPr>
          <w:color w:val="auto"/>
        </w:rPr>
        <w:t>μ</w:t>
      </w:r>
      <w:r>
        <w:rPr>
          <w:rFonts w:hint="eastAsia"/>
          <w:color w:val="auto"/>
        </w:rPr>
        <w:t>g/m</w:t>
      </w:r>
      <w:r>
        <w:rPr>
          <w:rFonts w:hint="eastAsia"/>
          <w:color w:val="auto"/>
          <w:vertAlign w:val="superscript"/>
        </w:rPr>
        <w:t>3</w:t>
      </w:r>
      <w:r>
        <w:rPr>
          <w:rFonts w:hint="eastAsia"/>
          <w:color w:val="auto"/>
        </w:rPr>
        <w:t>，33</w:t>
      </w:r>
      <w:r>
        <w:rPr>
          <w:color w:val="auto"/>
        </w:rPr>
        <w:t>μ</w:t>
      </w:r>
      <w:r>
        <w:rPr>
          <w:rFonts w:hint="eastAsia"/>
          <w:color w:val="auto"/>
        </w:rPr>
        <w:t>g/m</w:t>
      </w:r>
      <w:r>
        <w:rPr>
          <w:rFonts w:hint="eastAsia"/>
          <w:color w:val="auto"/>
          <w:vertAlign w:val="superscript"/>
        </w:rPr>
        <w:t>3</w:t>
      </w:r>
      <w:r>
        <w:rPr>
          <w:rFonts w:hint="eastAsia"/>
          <w:color w:val="auto"/>
        </w:rPr>
        <w:t>；保证率日均浓度分别为16</w:t>
      </w:r>
      <w:r>
        <w:rPr>
          <w:color w:val="auto"/>
        </w:rPr>
        <w:t>μ</w:t>
      </w:r>
      <w:r>
        <w:rPr>
          <w:rFonts w:hint="eastAsia"/>
          <w:color w:val="auto"/>
        </w:rPr>
        <w:t>g/m</w:t>
      </w:r>
      <w:r>
        <w:rPr>
          <w:rFonts w:hint="eastAsia"/>
          <w:color w:val="auto"/>
          <w:vertAlign w:val="superscript"/>
        </w:rPr>
        <w:t>3</w:t>
      </w:r>
      <w:r>
        <w:rPr>
          <w:rFonts w:hint="eastAsia"/>
          <w:color w:val="auto"/>
        </w:rPr>
        <w:t>，36</w:t>
      </w:r>
      <w:r>
        <w:rPr>
          <w:color w:val="auto"/>
        </w:rPr>
        <w:t>μ</w:t>
      </w:r>
      <w:r>
        <w:rPr>
          <w:rFonts w:hint="eastAsia"/>
          <w:color w:val="auto"/>
        </w:rPr>
        <w:t>g/m</w:t>
      </w:r>
      <w:r>
        <w:rPr>
          <w:rFonts w:hint="eastAsia"/>
          <w:color w:val="auto"/>
          <w:vertAlign w:val="superscript"/>
        </w:rPr>
        <w:t>3</w:t>
      </w:r>
      <w:r>
        <w:rPr>
          <w:color w:val="auto"/>
        </w:rPr>
        <w:t>；其他因子H</w:t>
      </w:r>
      <w:r>
        <w:rPr>
          <w:color w:val="auto"/>
          <w:vertAlign w:val="subscript"/>
        </w:rPr>
        <w:t>2</w:t>
      </w:r>
      <w:r>
        <w:rPr>
          <w:color w:val="auto"/>
        </w:rPr>
        <w:t>S、NH</w:t>
      </w:r>
      <w:r>
        <w:rPr>
          <w:color w:val="auto"/>
          <w:vertAlign w:val="subscript"/>
        </w:rPr>
        <w:t>3</w:t>
      </w:r>
      <w:r>
        <w:rPr>
          <w:color w:val="auto"/>
        </w:rPr>
        <w:t>采用现状补充监测数据</w:t>
      </w:r>
      <w:r>
        <w:rPr>
          <w:rFonts w:hint="eastAsia"/>
          <w:color w:val="auto"/>
        </w:rPr>
        <w:t>，</w:t>
      </w:r>
      <w:r>
        <w:rPr>
          <w:color w:val="auto"/>
        </w:rPr>
        <w:t>NH</w:t>
      </w:r>
      <w:r>
        <w:rPr>
          <w:color w:val="auto"/>
          <w:vertAlign w:val="subscript"/>
        </w:rPr>
        <w:t>3</w:t>
      </w:r>
      <w:r>
        <w:rPr>
          <w:rFonts w:hint="eastAsia"/>
          <w:color w:val="auto"/>
        </w:rPr>
        <w:t>最大一次值为0.123mg/m</w:t>
      </w:r>
      <w:r>
        <w:rPr>
          <w:rFonts w:hint="eastAsia"/>
          <w:color w:val="auto"/>
          <w:vertAlign w:val="superscript"/>
        </w:rPr>
        <w:t>3</w:t>
      </w:r>
      <w:r>
        <w:rPr>
          <w:rFonts w:hint="eastAsia"/>
          <w:color w:val="auto"/>
        </w:rPr>
        <w:t>，H</w:t>
      </w:r>
      <w:r>
        <w:rPr>
          <w:rFonts w:hint="eastAsia"/>
          <w:color w:val="auto"/>
          <w:vertAlign w:val="subscript"/>
        </w:rPr>
        <w:t>2</w:t>
      </w:r>
      <w:r>
        <w:rPr>
          <w:rFonts w:hint="eastAsia"/>
          <w:color w:val="auto"/>
        </w:rPr>
        <w:t>S最大一次值为0.003mg/m</w:t>
      </w:r>
      <w:r>
        <w:rPr>
          <w:rFonts w:hint="eastAsia"/>
          <w:color w:val="auto"/>
          <w:vertAlign w:val="superscript"/>
        </w:rPr>
        <w:t>3</w:t>
      </w:r>
      <w:r>
        <w:rPr>
          <w:color w:val="auto"/>
        </w:rPr>
        <w:t>。</w:t>
      </w:r>
    </w:p>
    <w:p>
      <w:pPr>
        <w:ind w:firstLine="480"/>
        <w:rPr>
          <w:color w:val="auto"/>
        </w:rPr>
      </w:pPr>
      <w:bookmarkStart w:id="529" w:name="_Toc528933653"/>
      <w:bookmarkStart w:id="530" w:name="_Toc525047089"/>
      <w:bookmarkStart w:id="531" w:name="_Toc525047836"/>
      <w:bookmarkStart w:id="532" w:name="_Toc523084374"/>
      <w:r>
        <w:rPr>
          <w:color w:val="auto"/>
        </w:rPr>
        <w:t>5.2.1.</w:t>
      </w:r>
      <w:bookmarkEnd w:id="529"/>
      <w:bookmarkEnd w:id="530"/>
      <w:bookmarkEnd w:id="531"/>
      <w:bookmarkEnd w:id="532"/>
      <w:r>
        <w:rPr>
          <w:color w:val="auto"/>
        </w:rPr>
        <w:t>9预测内容和预测情景</w:t>
      </w:r>
    </w:p>
    <w:p>
      <w:pPr>
        <w:adjustRightInd/>
        <w:snapToGrid/>
        <w:ind w:firstLine="480"/>
        <w:rPr>
          <w:color w:val="auto"/>
        </w:rPr>
      </w:pPr>
      <w:r>
        <w:rPr>
          <w:color w:val="auto"/>
        </w:rPr>
        <w:t>根据环境现状质量章节，拟建工程属于不达标区，因此主要进行不达标区的评价，对照《环境影响评价技术导则-大气环境》（HJ2.2-2018）表5预测内容和评价要求，本次预测内容如下：</w:t>
      </w:r>
    </w:p>
    <w:p>
      <w:pPr>
        <w:adjustRightInd/>
        <w:snapToGrid/>
        <w:spacing w:line="460" w:lineRule="exact"/>
        <w:ind w:firstLine="480"/>
        <w:rPr>
          <w:color w:val="auto"/>
        </w:rPr>
      </w:pPr>
      <w:r>
        <w:rPr>
          <w:color w:val="auto"/>
        </w:rPr>
        <w:t>（1）项目正常排放条件下，预测拟建项目对环境空气保护目标和网格点主要污染物的短期浓度和长期浓度贡献值，并评价其最大浓度占标率；排序得到环境空气保护目标和网格点最大浓度值，分析出现区域浓度最大值时的气象条件，出现位置。</w:t>
      </w:r>
    </w:p>
    <w:p>
      <w:pPr>
        <w:adjustRightInd/>
        <w:snapToGrid/>
        <w:spacing w:line="460" w:lineRule="exact"/>
        <w:ind w:firstLine="480"/>
        <w:rPr>
          <w:color w:val="auto"/>
        </w:rPr>
      </w:pPr>
      <w:r>
        <w:rPr>
          <w:color w:val="auto"/>
        </w:rPr>
        <w:t>（2）项目正常排放条件下，对现状达标的污染物，预测拟建项目叠加评价范围内在建、拟建项目和现状值减去削减源后，环境空气保护目标和网格点处保证率日平均质量浓度和年平均质量浓度的达标情况；排序得到环境空气保护目标和网格点保证率日平均浓度及年均最大浓度值，分析其出现的气象条件，出现位置，是否达标并绘制拟建工程区域短期浓度和长期浓度等值线图。</w:t>
      </w:r>
    </w:p>
    <w:p>
      <w:pPr>
        <w:adjustRightInd/>
        <w:snapToGrid/>
        <w:spacing w:line="460" w:lineRule="exact"/>
        <w:ind w:firstLine="480"/>
        <w:rPr>
          <w:color w:val="auto"/>
        </w:rPr>
      </w:pPr>
      <w:r>
        <w:rPr>
          <w:color w:val="auto"/>
        </w:rPr>
        <w:t>（3）项目正常排放条件下，对现状超标的污染物，评价区域环境质量的整体变化情况。</w:t>
      </w:r>
    </w:p>
    <w:p>
      <w:pPr>
        <w:adjustRightInd/>
        <w:snapToGrid/>
        <w:spacing w:line="460" w:lineRule="exact"/>
        <w:ind w:firstLine="480"/>
        <w:rPr>
          <w:color w:val="auto"/>
        </w:rPr>
      </w:pPr>
      <w:r>
        <w:rPr>
          <w:color w:val="auto"/>
        </w:rPr>
        <w:t>（</w:t>
      </w:r>
      <w:r>
        <w:rPr>
          <w:rFonts w:hint="eastAsia"/>
          <w:color w:val="auto"/>
        </w:rPr>
        <w:t>4</w:t>
      </w:r>
      <w:r>
        <w:rPr>
          <w:color w:val="auto"/>
        </w:rPr>
        <w:t>）厂界浓度达标分析。</w:t>
      </w:r>
    </w:p>
    <w:p>
      <w:pPr>
        <w:adjustRightInd/>
        <w:snapToGrid/>
        <w:spacing w:line="460" w:lineRule="exact"/>
        <w:ind w:firstLine="480"/>
        <w:rPr>
          <w:color w:val="auto"/>
        </w:rPr>
      </w:pPr>
      <w:r>
        <w:rPr>
          <w:color w:val="auto"/>
        </w:rPr>
        <w:t>（</w:t>
      </w:r>
      <w:r>
        <w:rPr>
          <w:rFonts w:hint="eastAsia"/>
          <w:color w:val="auto"/>
        </w:rPr>
        <w:t>5</w:t>
      </w:r>
      <w:r>
        <w:rPr>
          <w:color w:val="auto"/>
        </w:rPr>
        <w:t>）大气环境防护距离。</w:t>
      </w:r>
    </w:p>
    <w:p>
      <w:pPr>
        <w:adjustRightInd/>
        <w:snapToGrid/>
        <w:spacing w:line="460" w:lineRule="exact"/>
        <w:ind w:firstLine="480"/>
        <w:rPr>
          <w:color w:val="auto"/>
        </w:rPr>
      </w:pPr>
      <w:r>
        <w:rPr>
          <w:color w:val="auto"/>
        </w:rPr>
        <w:t>（</w:t>
      </w:r>
      <w:r>
        <w:rPr>
          <w:rFonts w:hint="eastAsia"/>
          <w:color w:val="auto"/>
        </w:rPr>
        <w:t>6</w:t>
      </w:r>
      <w:r>
        <w:rPr>
          <w:color w:val="auto"/>
        </w:rPr>
        <w:t>）污染物排放量核算。</w:t>
      </w:r>
    </w:p>
    <w:p>
      <w:pPr>
        <w:adjustRightInd/>
        <w:snapToGrid/>
        <w:spacing w:line="460" w:lineRule="exact"/>
        <w:ind w:firstLine="480"/>
        <w:rPr>
          <w:color w:val="auto"/>
        </w:rPr>
      </w:pPr>
      <w:r>
        <w:rPr>
          <w:color w:val="auto"/>
        </w:rPr>
        <w:t>拟建工程预测情景组合见表 5.2-11。</w:t>
      </w:r>
    </w:p>
    <w:p>
      <w:pPr>
        <w:adjustRightInd/>
        <w:snapToGrid/>
        <w:spacing w:before="156" w:beforeLines="50" w:after="156" w:afterLines="50" w:line="240" w:lineRule="auto"/>
        <w:ind w:firstLine="0" w:firstLineChars="0"/>
        <w:jc w:val="center"/>
        <w:rPr>
          <w:b/>
          <w:color w:val="auto"/>
          <w:sz w:val="21"/>
          <w:szCs w:val="21"/>
        </w:rPr>
      </w:pPr>
      <w:r>
        <w:rPr>
          <w:b/>
          <w:color w:val="auto"/>
          <w:sz w:val="21"/>
          <w:szCs w:val="21"/>
        </w:rPr>
        <w:t>表 5.2-11                 拟建工程预测情景组合</w:t>
      </w:r>
    </w:p>
    <w:tbl>
      <w:tblPr>
        <w:tblStyle w:val="27"/>
        <w:tblW w:w="5000" w:type="pct"/>
        <w:tblInd w:w="0" w:type="dxa"/>
        <w:tblBorders>
          <w:top w:val="single" w:color="000000" w:sz="6" w:space="0"/>
          <w:left w:val="none" w:color="auto" w:sz="0" w:space="0"/>
          <w:bottom w:val="single" w:color="000000" w:sz="6" w:space="0"/>
          <w:right w:val="none" w:color="auto" w:sz="0" w:space="0"/>
          <w:insideH w:val="single" w:color="000000" w:sz="6" w:space="0"/>
          <w:insideV w:val="single" w:color="000000" w:sz="6" w:space="0"/>
        </w:tblBorders>
        <w:tblLayout w:type="autofit"/>
        <w:tblCellMar>
          <w:top w:w="0" w:type="dxa"/>
          <w:left w:w="0" w:type="dxa"/>
          <w:bottom w:w="0" w:type="dxa"/>
          <w:right w:w="0" w:type="dxa"/>
        </w:tblCellMar>
      </w:tblPr>
      <w:tblGrid>
        <w:gridCol w:w="1042"/>
        <w:gridCol w:w="1636"/>
        <w:gridCol w:w="1636"/>
        <w:gridCol w:w="2081"/>
        <w:gridCol w:w="2335"/>
      </w:tblGrid>
      <w:tr>
        <w:tblPrEx>
          <w:tblBorders>
            <w:top w:val="single" w:color="000000" w:sz="6" w:space="0"/>
            <w:left w:val="none" w:color="auto" w:sz="0" w:space="0"/>
            <w:bottom w:val="single" w:color="000000" w:sz="6"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597" w:type="pct"/>
            <w:vAlign w:val="center"/>
          </w:tcPr>
          <w:p>
            <w:pPr>
              <w:autoSpaceDE w:val="0"/>
              <w:autoSpaceDN w:val="0"/>
              <w:spacing w:line="240" w:lineRule="auto"/>
              <w:ind w:firstLine="0" w:firstLineChars="0"/>
              <w:jc w:val="center"/>
              <w:rPr>
                <w:color w:val="auto"/>
                <w:kern w:val="0"/>
                <w:sz w:val="21"/>
                <w:szCs w:val="21"/>
                <w:lang w:val="zh-CN" w:eastAsia="en-US"/>
              </w:rPr>
            </w:pPr>
            <w:r>
              <w:rPr>
                <w:color w:val="auto"/>
                <w:kern w:val="0"/>
                <w:sz w:val="21"/>
                <w:szCs w:val="21"/>
                <w:lang w:val="zh-CN" w:eastAsia="en-US"/>
              </w:rPr>
              <w:t>评价对象</w:t>
            </w:r>
          </w:p>
        </w:tc>
        <w:tc>
          <w:tcPr>
            <w:tcW w:w="937" w:type="pct"/>
            <w:vAlign w:val="center"/>
          </w:tcPr>
          <w:p>
            <w:pPr>
              <w:autoSpaceDE w:val="0"/>
              <w:autoSpaceDN w:val="0"/>
              <w:spacing w:line="240" w:lineRule="auto"/>
              <w:ind w:firstLine="0" w:firstLineChars="0"/>
              <w:jc w:val="center"/>
              <w:rPr>
                <w:color w:val="auto"/>
                <w:kern w:val="0"/>
                <w:sz w:val="21"/>
                <w:szCs w:val="21"/>
                <w:lang w:val="zh-CN" w:eastAsia="en-US"/>
              </w:rPr>
            </w:pPr>
            <w:r>
              <w:rPr>
                <w:color w:val="auto"/>
                <w:kern w:val="0"/>
                <w:sz w:val="21"/>
                <w:szCs w:val="21"/>
                <w:lang w:val="zh-CN" w:eastAsia="en-US"/>
              </w:rPr>
              <w:t>污染源</w:t>
            </w:r>
          </w:p>
        </w:tc>
        <w:tc>
          <w:tcPr>
            <w:tcW w:w="937" w:type="pct"/>
            <w:vAlign w:val="center"/>
          </w:tcPr>
          <w:p>
            <w:pPr>
              <w:autoSpaceDE w:val="0"/>
              <w:autoSpaceDN w:val="0"/>
              <w:spacing w:line="240" w:lineRule="auto"/>
              <w:ind w:firstLine="0" w:firstLineChars="0"/>
              <w:jc w:val="center"/>
              <w:rPr>
                <w:color w:val="auto"/>
                <w:kern w:val="0"/>
                <w:sz w:val="21"/>
                <w:szCs w:val="21"/>
                <w:lang w:val="zh-CN" w:eastAsia="en-US"/>
              </w:rPr>
            </w:pPr>
            <w:r>
              <w:rPr>
                <w:color w:val="auto"/>
                <w:kern w:val="0"/>
                <w:sz w:val="21"/>
                <w:szCs w:val="21"/>
                <w:lang w:val="zh-CN" w:eastAsia="en-US"/>
              </w:rPr>
              <w:t>污染源排放形式</w:t>
            </w:r>
          </w:p>
        </w:tc>
        <w:tc>
          <w:tcPr>
            <w:tcW w:w="1192" w:type="pct"/>
            <w:vAlign w:val="center"/>
          </w:tcPr>
          <w:p>
            <w:pPr>
              <w:autoSpaceDE w:val="0"/>
              <w:autoSpaceDN w:val="0"/>
              <w:spacing w:line="240" w:lineRule="auto"/>
              <w:ind w:firstLine="0" w:firstLineChars="0"/>
              <w:jc w:val="center"/>
              <w:rPr>
                <w:color w:val="auto"/>
                <w:kern w:val="0"/>
                <w:sz w:val="21"/>
                <w:szCs w:val="21"/>
                <w:lang w:val="zh-CN" w:eastAsia="en-US"/>
              </w:rPr>
            </w:pPr>
            <w:r>
              <w:rPr>
                <w:color w:val="auto"/>
                <w:kern w:val="0"/>
                <w:sz w:val="21"/>
                <w:szCs w:val="21"/>
                <w:lang w:val="zh-CN" w:eastAsia="en-US"/>
              </w:rPr>
              <w:t>预测内容</w:t>
            </w:r>
          </w:p>
        </w:tc>
        <w:tc>
          <w:tcPr>
            <w:tcW w:w="1338" w:type="pct"/>
            <w:vAlign w:val="center"/>
          </w:tcPr>
          <w:p>
            <w:pPr>
              <w:autoSpaceDE w:val="0"/>
              <w:autoSpaceDN w:val="0"/>
              <w:spacing w:line="240" w:lineRule="auto"/>
              <w:ind w:firstLine="0" w:firstLineChars="0"/>
              <w:jc w:val="center"/>
              <w:rPr>
                <w:color w:val="auto"/>
                <w:kern w:val="0"/>
                <w:sz w:val="21"/>
                <w:szCs w:val="21"/>
                <w:lang w:val="zh-CN" w:eastAsia="en-US"/>
              </w:rPr>
            </w:pPr>
            <w:r>
              <w:rPr>
                <w:color w:val="auto"/>
                <w:kern w:val="0"/>
                <w:sz w:val="21"/>
                <w:szCs w:val="21"/>
                <w:lang w:val="zh-CN" w:eastAsia="en-US"/>
              </w:rPr>
              <w:t>评价内容</w:t>
            </w:r>
          </w:p>
        </w:tc>
      </w:tr>
      <w:tr>
        <w:tblPrEx>
          <w:tblBorders>
            <w:top w:val="single" w:color="000000" w:sz="6" w:space="0"/>
            <w:left w:val="none" w:color="auto" w:sz="0" w:space="0"/>
            <w:bottom w:val="single" w:color="000000" w:sz="6"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597" w:type="pct"/>
            <w:vMerge w:val="restart"/>
            <w:vAlign w:val="center"/>
          </w:tcPr>
          <w:p>
            <w:pPr>
              <w:autoSpaceDE w:val="0"/>
              <w:autoSpaceDN w:val="0"/>
              <w:spacing w:line="240" w:lineRule="auto"/>
              <w:ind w:firstLine="0" w:firstLineChars="0"/>
              <w:jc w:val="center"/>
              <w:rPr>
                <w:color w:val="auto"/>
                <w:kern w:val="0"/>
                <w:sz w:val="21"/>
                <w:szCs w:val="21"/>
                <w:lang w:val="zh-CN" w:eastAsia="en-US"/>
              </w:rPr>
            </w:pPr>
            <w:r>
              <w:rPr>
                <w:color w:val="auto"/>
                <w:kern w:val="0"/>
                <w:sz w:val="21"/>
                <w:szCs w:val="21"/>
                <w:lang w:val="zh-CN" w:eastAsia="en-US"/>
              </w:rPr>
              <w:t>不达标区评价</w:t>
            </w:r>
          </w:p>
        </w:tc>
        <w:tc>
          <w:tcPr>
            <w:tcW w:w="937" w:type="pct"/>
            <w:vAlign w:val="center"/>
          </w:tcPr>
          <w:p>
            <w:pPr>
              <w:autoSpaceDE w:val="0"/>
              <w:autoSpaceDN w:val="0"/>
              <w:spacing w:line="240" w:lineRule="auto"/>
              <w:ind w:firstLine="0" w:firstLineChars="0"/>
              <w:jc w:val="center"/>
              <w:rPr>
                <w:color w:val="auto"/>
                <w:kern w:val="0"/>
                <w:sz w:val="21"/>
                <w:szCs w:val="21"/>
                <w:lang w:val="zh-CN" w:eastAsia="en-US"/>
              </w:rPr>
            </w:pPr>
            <w:r>
              <w:rPr>
                <w:color w:val="auto"/>
                <w:kern w:val="0"/>
                <w:sz w:val="21"/>
                <w:szCs w:val="21"/>
                <w:lang w:val="zh-CN" w:eastAsia="en-US"/>
              </w:rPr>
              <w:t>新增污染源</w:t>
            </w:r>
          </w:p>
        </w:tc>
        <w:tc>
          <w:tcPr>
            <w:tcW w:w="937" w:type="pct"/>
            <w:vAlign w:val="center"/>
          </w:tcPr>
          <w:p>
            <w:pPr>
              <w:autoSpaceDE w:val="0"/>
              <w:autoSpaceDN w:val="0"/>
              <w:spacing w:line="240" w:lineRule="auto"/>
              <w:ind w:firstLine="0" w:firstLineChars="0"/>
              <w:jc w:val="center"/>
              <w:rPr>
                <w:color w:val="auto"/>
                <w:kern w:val="0"/>
                <w:sz w:val="21"/>
                <w:szCs w:val="21"/>
                <w:lang w:val="zh-CN" w:eastAsia="en-US"/>
              </w:rPr>
            </w:pPr>
            <w:r>
              <w:rPr>
                <w:color w:val="auto"/>
                <w:kern w:val="0"/>
                <w:sz w:val="21"/>
                <w:szCs w:val="21"/>
                <w:lang w:val="zh-CN" w:eastAsia="en-US"/>
              </w:rPr>
              <w:t>正常排放</w:t>
            </w:r>
          </w:p>
        </w:tc>
        <w:tc>
          <w:tcPr>
            <w:tcW w:w="1192" w:type="pct"/>
            <w:vAlign w:val="center"/>
          </w:tcPr>
          <w:p>
            <w:pPr>
              <w:autoSpaceDE w:val="0"/>
              <w:autoSpaceDN w:val="0"/>
              <w:spacing w:line="240" w:lineRule="auto"/>
              <w:ind w:firstLine="0" w:firstLineChars="0"/>
              <w:jc w:val="center"/>
              <w:rPr>
                <w:color w:val="auto"/>
                <w:kern w:val="0"/>
                <w:sz w:val="21"/>
                <w:szCs w:val="21"/>
                <w:lang w:val="zh-CN" w:eastAsia="en-US"/>
              </w:rPr>
            </w:pPr>
            <w:r>
              <w:rPr>
                <w:color w:val="auto"/>
                <w:kern w:val="0"/>
                <w:sz w:val="21"/>
                <w:szCs w:val="21"/>
                <w:lang w:val="zh-CN" w:eastAsia="en-US"/>
              </w:rPr>
              <w:t>短期浓度长期浓度</w:t>
            </w:r>
          </w:p>
        </w:tc>
        <w:tc>
          <w:tcPr>
            <w:tcW w:w="1338" w:type="pct"/>
            <w:vAlign w:val="center"/>
          </w:tcPr>
          <w:p>
            <w:pPr>
              <w:autoSpaceDE w:val="0"/>
              <w:autoSpaceDN w:val="0"/>
              <w:spacing w:line="240" w:lineRule="auto"/>
              <w:ind w:firstLine="0" w:firstLineChars="0"/>
              <w:jc w:val="center"/>
              <w:rPr>
                <w:color w:val="auto"/>
                <w:kern w:val="0"/>
                <w:sz w:val="21"/>
                <w:szCs w:val="21"/>
                <w:lang w:val="zh-CN" w:eastAsia="en-US"/>
              </w:rPr>
            </w:pPr>
            <w:r>
              <w:rPr>
                <w:color w:val="auto"/>
                <w:kern w:val="0"/>
                <w:sz w:val="21"/>
                <w:szCs w:val="21"/>
                <w:lang w:val="zh-CN" w:eastAsia="en-US"/>
              </w:rPr>
              <w:t>最大浓度占标率</w:t>
            </w:r>
          </w:p>
        </w:tc>
      </w:tr>
      <w:tr>
        <w:tblPrEx>
          <w:tblBorders>
            <w:top w:val="single" w:color="000000" w:sz="6" w:space="0"/>
            <w:left w:val="none" w:color="auto" w:sz="0" w:space="0"/>
            <w:bottom w:val="single" w:color="000000" w:sz="6"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597" w:type="pct"/>
            <w:vMerge w:val="continue"/>
            <w:vAlign w:val="center"/>
          </w:tcPr>
          <w:p>
            <w:pPr>
              <w:autoSpaceDE w:val="0"/>
              <w:autoSpaceDN w:val="0"/>
              <w:spacing w:line="240" w:lineRule="auto"/>
              <w:ind w:firstLine="0" w:firstLineChars="0"/>
              <w:jc w:val="center"/>
              <w:rPr>
                <w:color w:val="auto"/>
                <w:kern w:val="0"/>
                <w:sz w:val="21"/>
                <w:szCs w:val="21"/>
                <w:lang w:val="zh-CN" w:eastAsia="en-US"/>
              </w:rPr>
            </w:pPr>
          </w:p>
        </w:tc>
        <w:tc>
          <w:tcPr>
            <w:tcW w:w="937" w:type="pct"/>
            <w:vAlign w:val="center"/>
          </w:tcPr>
          <w:p>
            <w:pPr>
              <w:autoSpaceDE w:val="0"/>
              <w:autoSpaceDN w:val="0"/>
              <w:spacing w:line="240" w:lineRule="auto"/>
              <w:ind w:firstLine="0" w:firstLineChars="0"/>
              <w:jc w:val="center"/>
              <w:rPr>
                <w:color w:val="auto"/>
                <w:kern w:val="0"/>
                <w:sz w:val="21"/>
                <w:szCs w:val="21"/>
                <w:lang w:val="zh-CN"/>
              </w:rPr>
            </w:pPr>
            <w:r>
              <w:rPr>
                <w:color w:val="auto"/>
                <w:kern w:val="0"/>
                <w:sz w:val="21"/>
                <w:szCs w:val="21"/>
                <w:lang w:val="zh-CN"/>
              </w:rPr>
              <w:t>新增污染源</w:t>
            </w:r>
            <w:r>
              <w:rPr>
                <w:rFonts w:eastAsia="Times New Roman"/>
                <w:color w:val="auto"/>
                <w:kern w:val="0"/>
                <w:sz w:val="21"/>
                <w:szCs w:val="21"/>
                <w:lang w:val="zh-CN"/>
              </w:rPr>
              <w:t>-</w:t>
            </w:r>
            <w:r>
              <w:rPr>
                <w:color w:val="auto"/>
                <w:kern w:val="0"/>
                <w:sz w:val="21"/>
                <w:szCs w:val="21"/>
                <w:lang w:val="zh-CN"/>
              </w:rPr>
              <w:t>区域削减污染源+其他在建、拟建污染源</w:t>
            </w:r>
          </w:p>
        </w:tc>
        <w:tc>
          <w:tcPr>
            <w:tcW w:w="937" w:type="pct"/>
            <w:vAlign w:val="center"/>
          </w:tcPr>
          <w:p>
            <w:pPr>
              <w:autoSpaceDE w:val="0"/>
              <w:autoSpaceDN w:val="0"/>
              <w:spacing w:line="240" w:lineRule="auto"/>
              <w:ind w:firstLine="0" w:firstLineChars="0"/>
              <w:jc w:val="center"/>
              <w:rPr>
                <w:color w:val="auto"/>
                <w:kern w:val="0"/>
                <w:sz w:val="21"/>
                <w:szCs w:val="21"/>
                <w:lang w:val="zh-CN" w:eastAsia="en-US"/>
              </w:rPr>
            </w:pPr>
            <w:r>
              <w:rPr>
                <w:color w:val="auto"/>
                <w:kern w:val="0"/>
                <w:sz w:val="21"/>
                <w:szCs w:val="21"/>
                <w:lang w:val="zh-CN" w:eastAsia="en-US"/>
              </w:rPr>
              <w:t>正常排放</w:t>
            </w:r>
          </w:p>
        </w:tc>
        <w:tc>
          <w:tcPr>
            <w:tcW w:w="1192" w:type="pct"/>
            <w:vAlign w:val="center"/>
          </w:tcPr>
          <w:p>
            <w:pPr>
              <w:autoSpaceDE w:val="0"/>
              <w:autoSpaceDN w:val="0"/>
              <w:spacing w:line="240" w:lineRule="auto"/>
              <w:ind w:firstLine="0" w:firstLineChars="0"/>
              <w:jc w:val="center"/>
              <w:rPr>
                <w:color w:val="auto"/>
                <w:kern w:val="0"/>
                <w:sz w:val="21"/>
                <w:szCs w:val="21"/>
                <w:lang w:val="zh-CN" w:eastAsia="en-US"/>
              </w:rPr>
            </w:pPr>
            <w:r>
              <w:rPr>
                <w:color w:val="auto"/>
                <w:kern w:val="0"/>
                <w:sz w:val="21"/>
                <w:szCs w:val="21"/>
                <w:lang w:val="zh-CN" w:eastAsia="en-US"/>
              </w:rPr>
              <w:t>短期浓度长期浓度</w:t>
            </w:r>
          </w:p>
        </w:tc>
        <w:tc>
          <w:tcPr>
            <w:tcW w:w="1338" w:type="pct"/>
            <w:vAlign w:val="center"/>
          </w:tcPr>
          <w:p>
            <w:pPr>
              <w:autoSpaceDE w:val="0"/>
              <w:autoSpaceDN w:val="0"/>
              <w:spacing w:line="240" w:lineRule="auto"/>
              <w:ind w:firstLine="0" w:firstLineChars="0"/>
              <w:jc w:val="center"/>
              <w:rPr>
                <w:color w:val="auto"/>
                <w:kern w:val="0"/>
                <w:sz w:val="21"/>
                <w:szCs w:val="21"/>
                <w:lang w:val="zh-CN"/>
              </w:rPr>
            </w:pPr>
            <w:r>
              <w:rPr>
                <w:color w:val="auto"/>
                <w:kern w:val="0"/>
                <w:sz w:val="21"/>
                <w:szCs w:val="21"/>
                <w:lang w:val="zh-CN"/>
              </w:rPr>
              <w:t>叠加达标规划目标浓度后的保证率日平均质量浓度和年平均质量浓度的占标率，或短期浓度的达标情况；评价年平均质量浓度变化率</w:t>
            </w:r>
          </w:p>
        </w:tc>
      </w:tr>
      <w:tr>
        <w:tblPrEx>
          <w:tblBorders>
            <w:top w:val="single" w:color="000000" w:sz="6" w:space="0"/>
            <w:left w:val="none" w:color="auto" w:sz="0" w:space="0"/>
            <w:bottom w:val="single" w:color="000000" w:sz="6"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597" w:type="pct"/>
            <w:vMerge w:val="continue"/>
            <w:vAlign w:val="center"/>
          </w:tcPr>
          <w:p>
            <w:pPr>
              <w:autoSpaceDE w:val="0"/>
              <w:autoSpaceDN w:val="0"/>
              <w:spacing w:line="240" w:lineRule="auto"/>
              <w:ind w:firstLine="0" w:firstLineChars="0"/>
              <w:jc w:val="center"/>
              <w:rPr>
                <w:color w:val="auto"/>
                <w:kern w:val="0"/>
                <w:sz w:val="21"/>
                <w:szCs w:val="21"/>
                <w:lang w:val="zh-CN"/>
              </w:rPr>
            </w:pPr>
          </w:p>
        </w:tc>
        <w:tc>
          <w:tcPr>
            <w:tcW w:w="937" w:type="pct"/>
            <w:vAlign w:val="center"/>
          </w:tcPr>
          <w:p>
            <w:pPr>
              <w:autoSpaceDE w:val="0"/>
              <w:autoSpaceDN w:val="0"/>
              <w:spacing w:line="240" w:lineRule="auto"/>
              <w:ind w:firstLine="0" w:firstLineChars="0"/>
              <w:jc w:val="center"/>
              <w:rPr>
                <w:color w:val="auto"/>
                <w:kern w:val="0"/>
                <w:sz w:val="21"/>
                <w:szCs w:val="21"/>
                <w:lang w:val="zh-CN" w:eastAsia="en-US"/>
              </w:rPr>
            </w:pPr>
            <w:r>
              <w:rPr>
                <w:color w:val="auto"/>
                <w:kern w:val="0"/>
                <w:sz w:val="21"/>
                <w:szCs w:val="21"/>
                <w:lang w:val="zh-CN" w:eastAsia="en-US"/>
              </w:rPr>
              <w:t>新增污染源</w:t>
            </w:r>
          </w:p>
        </w:tc>
        <w:tc>
          <w:tcPr>
            <w:tcW w:w="937" w:type="pct"/>
            <w:vAlign w:val="center"/>
          </w:tcPr>
          <w:p>
            <w:pPr>
              <w:autoSpaceDE w:val="0"/>
              <w:autoSpaceDN w:val="0"/>
              <w:spacing w:line="240" w:lineRule="auto"/>
              <w:ind w:firstLine="0" w:firstLineChars="0"/>
              <w:jc w:val="center"/>
              <w:rPr>
                <w:color w:val="auto"/>
                <w:kern w:val="0"/>
                <w:sz w:val="21"/>
                <w:szCs w:val="21"/>
                <w:lang w:val="zh-CN"/>
              </w:rPr>
            </w:pPr>
            <w:r>
              <w:rPr>
                <w:color w:val="auto"/>
                <w:kern w:val="0"/>
                <w:sz w:val="21"/>
                <w:szCs w:val="21"/>
                <w:lang w:val="zh-CN" w:eastAsia="en-US"/>
              </w:rPr>
              <w:t>非正常排放</w:t>
            </w:r>
          </w:p>
        </w:tc>
        <w:tc>
          <w:tcPr>
            <w:tcW w:w="1192" w:type="pct"/>
            <w:vAlign w:val="center"/>
          </w:tcPr>
          <w:p>
            <w:pPr>
              <w:autoSpaceDE w:val="0"/>
              <w:autoSpaceDN w:val="0"/>
              <w:spacing w:line="240" w:lineRule="auto"/>
              <w:ind w:firstLine="0" w:firstLineChars="0"/>
              <w:jc w:val="center"/>
              <w:rPr>
                <w:color w:val="auto"/>
                <w:kern w:val="0"/>
                <w:sz w:val="21"/>
                <w:szCs w:val="21"/>
                <w:lang w:val="zh-CN" w:eastAsia="en-US"/>
              </w:rPr>
            </w:pPr>
            <w:r>
              <w:rPr>
                <w:rFonts w:eastAsia="Times New Roman"/>
                <w:color w:val="auto"/>
                <w:kern w:val="0"/>
                <w:sz w:val="21"/>
                <w:szCs w:val="21"/>
                <w:lang w:val="zh-CN" w:eastAsia="en-US"/>
              </w:rPr>
              <w:t xml:space="preserve">1h </w:t>
            </w:r>
            <w:r>
              <w:rPr>
                <w:color w:val="auto"/>
                <w:kern w:val="0"/>
                <w:sz w:val="21"/>
                <w:szCs w:val="21"/>
                <w:lang w:val="zh-CN" w:eastAsia="en-US"/>
              </w:rPr>
              <w:t>平均质量浓度</w:t>
            </w:r>
          </w:p>
        </w:tc>
        <w:tc>
          <w:tcPr>
            <w:tcW w:w="1338" w:type="pct"/>
            <w:vAlign w:val="center"/>
          </w:tcPr>
          <w:p>
            <w:pPr>
              <w:autoSpaceDE w:val="0"/>
              <w:autoSpaceDN w:val="0"/>
              <w:spacing w:line="240" w:lineRule="auto"/>
              <w:ind w:firstLine="0" w:firstLineChars="0"/>
              <w:jc w:val="center"/>
              <w:rPr>
                <w:color w:val="auto"/>
                <w:kern w:val="0"/>
                <w:sz w:val="21"/>
                <w:szCs w:val="21"/>
                <w:lang w:val="zh-CN" w:eastAsia="en-US"/>
              </w:rPr>
            </w:pPr>
            <w:r>
              <w:rPr>
                <w:color w:val="auto"/>
                <w:kern w:val="0"/>
                <w:sz w:val="21"/>
                <w:szCs w:val="21"/>
                <w:lang w:val="zh-CN" w:eastAsia="en-US"/>
              </w:rPr>
              <w:t>最大浓度占标率</w:t>
            </w:r>
          </w:p>
        </w:tc>
      </w:tr>
      <w:tr>
        <w:tblPrEx>
          <w:tblBorders>
            <w:top w:val="single" w:color="000000" w:sz="6" w:space="0"/>
            <w:left w:val="none" w:color="auto" w:sz="0" w:space="0"/>
            <w:bottom w:val="single" w:color="000000" w:sz="6"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597" w:type="pct"/>
            <w:vAlign w:val="center"/>
          </w:tcPr>
          <w:p>
            <w:pPr>
              <w:autoSpaceDE w:val="0"/>
              <w:autoSpaceDN w:val="0"/>
              <w:spacing w:line="240" w:lineRule="auto"/>
              <w:ind w:firstLine="0" w:firstLineChars="0"/>
              <w:jc w:val="center"/>
              <w:rPr>
                <w:color w:val="auto"/>
                <w:kern w:val="0"/>
                <w:sz w:val="21"/>
                <w:szCs w:val="21"/>
                <w:lang w:val="zh-CN" w:eastAsia="en-US"/>
              </w:rPr>
            </w:pPr>
            <w:r>
              <w:rPr>
                <w:color w:val="auto"/>
                <w:kern w:val="0"/>
                <w:sz w:val="21"/>
                <w:szCs w:val="21"/>
                <w:lang w:val="zh-CN" w:eastAsia="en-US"/>
              </w:rPr>
              <w:t>大气环境防护距离</w:t>
            </w:r>
          </w:p>
        </w:tc>
        <w:tc>
          <w:tcPr>
            <w:tcW w:w="937" w:type="pct"/>
            <w:vAlign w:val="center"/>
          </w:tcPr>
          <w:p>
            <w:pPr>
              <w:autoSpaceDE w:val="0"/>
              <w:autoSpaceDN w:val="0"/>
              <w:spacing w:line="240" w:lineRule="auto"/>
              <w:ind w:firstLine="0" w:firstLineChars="0"/>
              <w:jc w:val="center"/>
              <w:rPr>
                <w:color w:val="auto"/>
                <w:kern w:val="0"/>
                <w:sz w:val="21"/>
                <w:szCs w:val="21"/>
                <w:lang w:val="zh-CN" w:eastAsia="en-US"/>
              </w:rPr>
            </w:pPr>
            <w:r>
              <w:rPr>
                <w:color w:val="auto"/>
                <w:kern w:val="0"/>
                <w:sz w:val="21"/>
                <w:szCs w:val="21"/>
                <w:lang w:val="zh-CN" w:eastAsia="en-US"/>
              </w:rPr>
              <w:t>新增污染源</w:t>
            </w:r>
          </w:p>
        </w:tc>
        <w:tc>
          <w:tcPr>
            <w:tcW w:w="937" w:type="pct"/>
            <w:vAlign w:val="center"/>
          </w:tcPr>
          <w:p>
            <w:pPr>
              <w:autoSpaceDE w:val="0"/>
              <w:autoSpaceDN w:val="0"/>
              <w:spacing w:line="240" w:lineRule="auto"/>
              <w:ind w:firstLine="0" w:firstLineChars="0"/>
              <w:jc w:val="center"/>
              <w:rPr>
                <w:color w:val="auto"/>
                <w:kern w:val="0"/>
                <w:sz w:val="21"/>
                <w:szCs w:val="21"/>
                <w:lang w:val="zh-CN" w:eastAsia="en-US"/>
              </w:rPr>
            </w:pPr>
            <w:r>
              <w:rPr>
                <w:color w:val="auto"/>
                <w:kern w:val="0"/>
                <w:sz w:val="21"/>
                <w:szCs w:val="21"/>
                <w:lang w:val="zh-CN" w:eastAsia="en-US"/>
              </w:rPr>
              <w:t>正常排放</w:t>
            </w:r>
          </w:p>
        </w:tc>
        <w:tc>
          <w:tcPr>
            <w:tcW w:w="1192" w:type="pct"/>
            <w:vAlign w:val="center"/>
          </w:tcPr>
          <w:p>
            <w:pPr>
              <w:autoSpaceDE w:val="0"/>
              <w:autoSpaceDN w:val="0"/>
              <w:spacing w:line="240" w:lineRule="auto"/>
              <w:ind w:firstLine="0" w:firstLineChars="0"/>
              <w:jc w:val="center"/>
              <w:rPr>
                <w:color w:val="auto"/>
                <w:kern w:val="0"/>
                <w:sz w:val="21"/>
                <w:szCs w:val="21"/>
                <w:lang w:val="zh-CN" w:eastAsia="en-US"/>
              </w:rPr>
            </w:pPr>
            <w:r>
              <w:rPr>
                <w:color w:val="auto"/>
                <w:kern w:val="0"/>
                <w:sz w:val="21"/>
                <w:szCs w:val="21"/>
                <w:lang w:val="zh-CN" w:eastAsia="en-US"/>
              </w:rPr>
              <w:t>短期浓度</w:t>
            </w:r>
          </w:p>
        </w:tc>
        <w:tc>
          <w:tcPr>
            <w:tcW w:w="1338" w:type="pct"/>
            <w:vAlign w:val="center"/>
          </w:tcPr>
          <w:p>
            <w:pPr>
              <w:autoSpaceDE w:val="0"/>
              <w:autoSpaceDN w:val="0"/>
              <w:spacing w:line="240" w:lineRule="auto"/>
              <w:ind w:firstLine="0" w:firstLineChars="0"/>
              <w:jc w:val="center"/>
              <w:rPr>
                <w:color w:val="auto"/>
                <w:kern w:val="0"/>
                <w:sz w:val="21"/>
                <w:szCs w:val="21"/>
                <w:lang w:val="zh-CN" w:eastAsia="en-US"/>
              </w:rPr>
            </w:pPr>
            <w:r>
              <w:rPr>
                <w:color w:val="auto"/>
                <w:kern w:val="0"/>
                <w:sz w:val="21"/>
                <w:szCs w:val="21"/>
                <w:lang w:val="zh-CN" w:eastAsia="en-US"/>
              </w:rPr>
              <w:t>大气环境防护距离</w:t>
            </w:r>
          </w:p>
        </w:tc>
      </w:tr>
    </w:tbl>
    <w:p>
      <w:pPr>
        <w:ind w:firstLine="480"/>
        <w:rPr>
          <w:color w:val="auto"/>
        </w:rPr>
      </w:pPr>
      <w:r>
        <w:rPr>
          <w:color w:val="auto"/>
        </w:rPr>
        <w:t>5.2.1.10污染源计算清单</w:t>
      </w:r>
    </w:p>
    <w:p>
      <w:pPr>
        <w:ind w:firstLine="480"/>
        <w:jc w:val="left"/>
        <w:rPr>
          <w:color w:val="auto"/>
        </w:rPr>
      </w:pPr>
      <w:r>
        <w:rPr>
          <w:color w:val="auto"/>
        </w:rPr>
        <w:t>项目拟建项目正常工况火炬源排放参数见表5.2-12；根据工程分析，由于固粪处理区、污水处理站、沼液暂存池等各功能单元相距较近，均为无组织排放，排放的污染物种类相同，因此本次影响预测时将上述各单元等效成一个面源考虑，合称治污区。无组织源排放参数见表5.2-14，非正常排放参数见表5.2-15。</w:t>
      </w:r>
    </w:p>
    <w:p>
      <w:pPr>
        <w:ind w:firstLine="0" w:firstLineChars="0"/>
        <w:jc w:val="center"/>
        <w:rPr>
          <w:b/>
          <w:bCs/>
          <w:color w:val="auto"/>
        </w:rPr>
      </w:pPr>
      <w:r>
        <w:rPr>
          <w:b/>
          <w:bCs/>
          <w:color w:val="auto"/>
        </w:rPr>
        <w:t>表5.2-13  估算模型参数表</w:t>
      </w:r>
    </w:p>
    <w:tbl>
      <w:tblPr>
        <w:tblStyle w:val="28"/>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018"/>
        <w:gridCol w:w="3021"/>
        <w:gridCol w:w="301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039" w:type="dxa"/>
            <w:gridSpan w:val="2"/>
            <w:tcBorders>
              <w:tl2br w:val="nil"/>
              <w:tr2bl w:val="nil"/>
            </w:tcBorders>
            <w:vAlign w:val="center"/>
          </w:tcPr>
          <w:p>
            <w:pPr>
              <w:spacing w:line="240" w:lineRule="auto"/>
              <w:ind w:firstLine="422"/>
              <w:jc w:val="center"/>
              <w:rPr>
                <w:b/>
                <w:color w:val="auto"/>
                <w:sz w:val="21"/>
                <w:szCs w:val="21"/>
              </w:rPr>
            </w:pPr>
            <w:r>
              <w:rPr>
                <w:b/>
                <w:color w:val="auto"/>
                <w:sz w:val="21"/>
                <w:szCs w:val="21"/>
              </w:rPr>
              <w:t>参数</w:t>
            </w:r>
          </w:p>
        </w:tc>
        <w:tc>
          <w:tcPr>
            <w:tcW w:w="3019" w:type="dxa"/>
            <w:tcBorders>
              <w:tl2br w:val="nil"/>
              <w:tr2bl w:val="nil"/>
            </w:tcBorders>
            <w:vAlign w:val="center"/>
          </w:tcPr>
          <w:p>
            <w:pPr>
              <w:spacing w:line="240" w:lineRule="auto"/>
              <w:ind w:firstLine="422"/>
              <w:jc w:val="center"/>
              <w:rPr>
                <w:b/>
                <w:color w:val="auto"/>
                <w:sz w:val="21"/>
                <w:szCs w:val="21"/>
              </w:rPr>
            </w:pPr>
            <w:r>
              <w:rPr>
                <w:b/>
                <w:color w:val="auto"/>
                <w:sz w:val="21"/>
                <w:szCs w:val="21"/>
              </w:rPr>
              <w:t>取值</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18" w:type="dxa"/>
            <w:vMerge w:val="restart"/>
            <w:tcBorders>
              <w:tl2br w:val="nil"/>
              <w:tr2bl w:val="nil"/>
            </w:tcBorders>
            <w:vAlign w:val="center"/>
          </w:tcPr>
          <w:p>
            <w:pPr>
              <w:spacing w:line="240" w:lineRule="auto"/>
              <w:ind w:firstLine="420"/>
              <w:jc w:val="center"/>
              <w:rPr>
                <w:bCs/>
                <w:color w:val="auto"/>
                <w:sz w:val="21"/>
                <w:szCs w:val="21"/>
              </w:rPr>
            </w:pPr>
            <w:r>
              <w:rPr>
                <w:bCs/>
                <w:color w:val="auto"/>
                <w:sz w:val="21"/>
                <w:szCs w:val="21"/>
              </w:rPr>
              <w:t>城市/农村选项</w:t>
            </w:r>
          </w:p>
        </w:tc>
        <w:tc>
          <w:tcPr>
            <w:tcW w:w="3021" w:type="dxa"/>
            <w:tcBorders>
              <w:tl2br w:val="nil"/>
              <w:tr2bl w:val="nil"/>
            </w:tcBorders>
            <w:vAlign w:val="center"/>
          </w:tcPr>
          <w:p>
            <w:pPr>
              <w:spacing w:line="240" w:lineRule="auto"/>
              <w:ind w:firstLine="420"/>
              <w:jc w:val="center"/>
              <w:rPr>
                <w:bCs/>
                <w:color w:val="auto"/>
                <w:sz w:val="21"/>
                <w:szCs w:val="21"/>
              </w:rPr>
            </w:pPr>
            <w:r>
              <w:rPr>
                <w:bCs/>
                <w:color w:val="auto"/>
                <w:sz w:val="21"/>
                <w:szCs w:val="21"/>
              </w:rPr>
              <w:t>城市/农村</w:t>
            </w:r>
          </w:p>
        </w:tc>
        <w:tc>
          <w:tcPr>
            <w:tcW w:w="3019" w:type="dxa"/>
            <w:tcBorders>
              <w:tl2br w:val="nil"/>
              <w:tr2bl w:val="nil"/>
            </w:tcBorders>
            <w:vAlign w:val="center"/>
          </w:tcPr>
          <w:p>
            <w:pPr>
              <w:spacing w:line="240" w:lineRule="auto"/>
              <w:ind w:firstLine="420"/>
              <w:jc w:val="center"/>
              <w:rPr>
                <w:bCs/>
                <w:color w:val="auto"/>
                <w:sz w:val="21"/>
                <w:szCs w:val="21"/>
              </w:rPr>
            </w:pPr>
            <w:r>
              <w:rPr>
                <w:bCs/>
                <w:color w:val="auto"/>
                <w:sz w:val="21"/>
                <w:szCs w:val="21"/>
              </w:rPr>
              <w:t>农村</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18" w:type="dxa"/>
            <w:vMerge w:val="continue"/>
            <w:tcBorders>
              <w:tl2br w:val="nil"/>
              <w:tr2bl w:val="nil"/>
            </w:tcBorders>
            <w:vAlign w:val="center"/>
          </w:tcPr>
          <w:p>
            <w:pPr>
              <w:spacing w:line="240" w:lineRule="auto"/>
              <w:ind w:firstLine="420"/>
              <w:jc w:val="center"/>
              <w:rPr>
                <w:bCs/>
                <w:color w:val="auto"/>
                <w:sz w:val="21"/>
                <w:szCs w:val="21"/>
              </w:rPr>
            </w:pPr>
          </w:p>
        </w:tc>
        <w:tc>
          <w:tcPr>
            <w:tcW w:w="3021" w:type="dxa"/>
            <w:tcBorders>
              <w:tl2br w:val="nil"/>
              <w:tr2bl w:val="nil"/>
            </w:tcBorders>
            <w:vAlign w:val="center"/>
          </w:tcPr>
          <w:p>
            <w:pPr>
              <w:spacing w:line="240" w:lineRule="auto"/>
              <w:ind w:firstLine="420"/>
              <w:jc w:val="center"/>
              <w:rPr>
                <w:bCs/>
                <w:color w:val="auto"/>
                <w:sz w:val="21"/>
                <w:szCs w:val="21"/>
              </w:rPr>
            </w:pPr>
            <w:r>
              <w:rPr>
                <w:bCs/>
                <w:color w:val="auto"/>
                <w:sz w:val="21"/>
                <w:szCs w:val="21"/>
              </w:rPr>
              <w:t>人口数（城市选项时）</w:t>
            </w:r>
          </w:p>
        </w:tc>
        <w:tc>
          <w:tcPr>
            <w:tcW w:w="3019" w:type="dxa"/>
            <w:tcBorders>
              <w:tl2br w:val="nil"/>
              <w:tr2bl w:val="nil"/>
            </w:tcBorders>
            <w:vAlign w:val="center"/>
          </w:tcPr>
          <w:p>
            <w:pPr>
              <w:spacing w:line="240" w:lineRule="auto"/>
              <w:ind w:firstLine="420"/>
              <w:jc w:val="center"/>
              <w:rPr>
                <w:bCs/>
                <w:color w:val="auto"/>
                <w:sz w:val="21"/>
                <w:szCs w:val="21"/>
              </w:rPr>
            </w:pPr>
            <w:r>
              <w:rPr>
                <w:bCs/>
                <w:color w:val="auto"/>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039" w:type="dxa"/>
            <w:gridSpan w:val="2"/>
            <w:tcBorders>
              <w:tl2br w:val="nil"/>
              <w:tr2bl w:val="nil"/>
            </w:tcBorders>
            <w:vAlign w:val="center"/>
          </w:tcPr>
          <w:p>
            <w:pPr>
              <w:spacing w:line="240" w:lineRule="auto"/>
              <w:ind w:firstLine="420"/>
              <w:jc w:val="center"/>
              <w:rPr>
                <w:bCs/>
                <w:color w:val="auto"/>
                <w:sz w:val="21"/>
                <w:szCs w:val="21"/>
              </w:rPr>
            </w:pPr>
            <w:r>
              <w:rPr>
                <w:bCs/>
                <w:color w:val="auto"/>
                <w:sz w:val="21"/>
                <w:szCs w:val="21"/>
              </w:rPr>
              <w:t>最高环境温度/℃</w:t>
            </w:r>
          </w:p>
        </w:tc>
        <w:tc>
          <w:tcPr>
            <w:tcW w:w="3019" w:type="dxa"/>
            <w:tcBorders>
              <w:tl2br w:val="nil"/>
              <w:tr2bl w:val="nil"/>
            </w:tcBorders>
            <w:vAlign w:val="center"/>
          </w:tcPr>
          <w:p>
            <w:pPr>
              <w:ind w:firstLine="420"/>
              <w:jc w:val="center"/>
              <w:rPr>
                <w:bCs/>
                <w:color w:val="auto"/>
                <w:sz w:val="21"/>
                <w:szCs w:val="21"/>
                <w:highlight w:val="yellow"/>
              </w:rPr>
            </w:pPr>
            <w:r>
              <w:rPr>
                <w:bCs/>
                <w:color w:val="auto"/>
                <w:sz w:val="21"/>
                <w:szCs w:val="21"/>
              </w:rPr>
              <w:t>42.2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039" w:type="dxa"/>
            <w:gridSpan w:val="2"/>
            <w:tcBorders>
              <w:tl2br w:val="nil"/>
              <w:tr2bl w:val="nil"/>
            </w:tcBorders>
            <w:vAlign w:val="center"/>
          </w:tcPr>
          <w:p>
            <w:pPr>
              <w:spacing w:line="240" w:lineRule="auto"/>
              <w:ind w:firstLine="420"/>
              <w:jc w:val="center"/>
              <w:rPr>
                <w:bCs/>
                <w:color w:val="auto"/>
                <w:sz w:val="21"/>
                <w:szCs w:val="21"/>
              </w:rPr>
            </w:pPr>
            <w:r>
              <w:rPr>
                <w:bCs/>
                <w:color w:val="auto"/>
                <w:sz w:val="21"/>
                <w:szCs w:val="21"/>
              </w:rPr>
              <w:t>最低环境温度/℃</w:t>
            </w:r>
          </w:p>
        </w:tc>
        <w:tc>
          <w:tcPr>
            <w:tcW w:w="3019" w:type="dxa"/>
            <w:tcBorders>
              <w:tl2br w:val="nil"/>
              <w:tr2bl w:val="nil"/>
            </w:tcBorders>
            <w:vAlign w:val="center"/>
          </w:tcPr>
          <w:p>
            <w:pPr>
              <w:ind w:firstLine="420"/>
              <w:jc w:val="center"/>
              <w:rPr>
                <w:bCs/>
                <w:color w:val="auto"/>
                <w:sz w:val="21"/>
                <w:szCs w:val="21"/>
                <w:highlight w:val="yellow"/>
              </w:rPr>
            </w:pPr>
            <w:r>
              <w:rPr>
                <w:bCs/>
                <w:color w:val="auto"/>
                <w:sz w:val="21"/>
                <w:szCs w:val="21"/>
              </w:rPr>
              <w:t>-20.7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039" w:type="dxa"/>
            <w:gridSpan w:val="2"/>
            <w:tcBorders>
              <w:tl2br w:val="nil"/>
              <w:tr2bl w:val="nil"/>
            </w:tcBorders>
            <w:vAlign w:val="center"/>
          </w:tcPr>
          <w:p>
            <w:pPr>
              <w:spacing w:line="240" w:lineRule="auto"/>
              <w:ind w:firstLine="420"/>
              <w:jc w:val="center"/>
              <w:rPr>
                <w:bCs/>
                <w:color w:val="auto"/>
                <w:sz w:val="21"/>
                <w:szCs w:val="21"/>
              </w:rPr>
            </w:pPr>
            <w:r>
              <w:rPr>
                <w:bCs/>
                <w:color w:val="auto"/>
                <w:sz w:val="21"/>
                <w:szCs w:val="21"/>
              </w:rPr>
              <w:t>土地利用类型</w:t>
            </w:r>
          </w:p>
        </w:tc>
        <w:tc>
          <w:tcPr>
            <w:tcW w:w="3019" w:type="dxa"/>
            <w:tcBorders>
              <w:tl2br w:val="nil"/>
              <w:tr2bl w:val="nil"/>
            </w:tcBorders>
            <w:vAlign w:val="center"/>
          </w:tcPr>
          <w:p>
            <w:pPr>
              <w:spacing w:line="240" w:lineRule="auto"/>
              <w:ind w:firstLine="420"/>
              <w:jc w:val="center"/>
              <w:rPr>
                <w:bCs/>
                <w:color w:val="auto"/>
                <w:sz w:val="21"/>
                <w:szCs w:val="21"/>
              </w:rPr>
            </w:pPr>
            <w:r>
              <w:rPr>
                <w:bCs/>
                <w:color w:val="auto"/>
                <w:sz w:val="21"/>
                <w:szCs w:val="21"/>
              </w:rPr>
              <w:t>农用地</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039" w:type="dxa"/>
            <w:gridSpan w:val="2"/>
            <w:tcBorders>
              <w:tl2br w:val="nil"/>
              <w:tr2bl w:val="nil"/>
            </w:tcBorders>
            <w:vAlign w:val="center"/>
          </w:tcPr>
          <w:p>
            <w:pPr>
              <w:spacing w:line="240" w:lineRule="auto"/>
              <w:ind w:firstLine="420"/>
              <w:jc w:val="center"/>
              <w:rPr>
                <w:bCs/>
                <w:color w:val="auto"/>
                <w:sz w:val="21"/>
                <w:szCs w:val="21"/>
              </w:rPr>
            </w:pPr>
            <w:r>
              <w:rPr>
                <w:bCs/>
                <w:color w:val="auto"/>
                <w:sz w:val="21"/>
                <w:szCs w:val="21"/>
              </w:rPr>
              <w:t>区域湿度条件</w:t>
            </w:r>
          </w:p>
        </w:tc>
        <w:tc>
          <w:tcPr>
            <w:tcW w:w="3019" w:type="dxa"/>
            <w:tcBorders>
              <w:tl2br w:val="nil"/>
              <w:tr2bl w:val="nil"/>
            </w:tcBorders>
            <w:vAlign w:val="center"/>
          </w:tcPr>
          <w:p>
            <w:pPr>
              <w:spacing w:line="240" w:lineRule="auto"/>
              <w:ind w:firstLine="420"/>
              <w:jc w:val="center"/>
              <w:rPr>
                <w:bCs/>
                <w:color w:val="auto"/>
                <w:sz w:val="21"/>
                <w:szCs w:val="21"/>
              </w:rPr>
            </w:pPr>
            <w:r>
              <w:rPr>
                <w:bCs/>
                <w:color w:val="auto"/>
                <w:sz w:val="21"/>
                <w:szCs w:val="21"/>
              </w:rPr>
              <w:t>中等湿度气候</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18" w:type="dxa"/>
            <w:vMerge w:val="restart"/>
            <w:tcBorders>
              <w:tl2br w:val="nil"/>
              <w:tr2bl w:val="nil"/>
            </w:tcBorders>
            <w:vAlign w:val="center"/>
          </w:tcPr>
          <w:p>
            <w:pPr>
              <w:spacing w:line="240" w:lineRule="auto"/>
              <w:ind w:firstLine="420"/>
              <w:jc w:val="center"/>
              <w:rPr>
                <w:bCs/>
                <w:color w:val="auto"/>
                <w:sz w:val="21"/>
                <w:szCs w:val="21"/>
              </w:rPr>
            </w:pPr>
            <w:r>
              <w:rPr>
                <w:bCs/>
                <w:color w:val="auto"/>
                <w:sz w:val="21"/>
                <w:szCs w:val="21"/>
              </w:rPr>
              <w:t>是否考虑地形</w:t>
            </w:r>
          </w:p>
        </w:tc>
        <w:tc>
          <w:tcPr>
            <w:tcW w:w="3021" w:type="dxa"/>
            <w:tcBorders>
              <w:tl2br w:val="nil"/>
              <w:tr2bl w:val="nil"/>
            </w:tcBorders>
            <w:vAlign w:val="center"/>
          </w:tcPr>
          <w:p>
            <w:pPr>
              <w:spacing w:line="240" w:lineRule="auto"/>
              <w:ind w:firstLine="420"/>
              <w:jc w:val="center"/>
              <w:rPr>
                <w:bCs/>
                <w:color w:val="auto"/>
                <w:sz w:val="21"/>
                <w:szCs w:val="21"/>
              </w:rPr>
            </w:pPr>
            <w:r>
              <w:rPr>
                <w:bCs/>
                <w:color w:val="auto"/>
                <w:sz w:val="21"/>
                <w:szCs w:val="21"/>
              </w:rPr>
              <w:t>考虑地形</w:t>
            </w:r>
          </w:p>
        </w:tc>
        <w:tc>
          <w:tcPr>
            <w:tcW w:w="3019" w:type="dxa"/>
            <w:tcBorders>
              <w:tl2br w:val="nil"/>
              <w:tr2bl w:val="nil"/>
            </w:tcBorders>
            <w:vAlign w:val="center"/>
          </w:tcPr>
          <w:p>
            <w:pPr>
              <w:spacing w:line="240" w:lineRule="auto"/>
              <w:ind w:firstLine="420"/>
              <w:jc w:val="center"/>
              <w:rPr>
                <w:bCs/>
                <w:color w:val="auto"/>
                <w:sz w:val="21"/>
                <w:szCs w:val="21"/>
              </w:rPr>
            </w:pPr>
            <w:r>
              <w:rPr>
                <w:bCs/>
                <w:color w:val="auto"/>
                <w:sz w:val="21"/>
                <w:szCs w:val="21"/>
              </w:rPr>
              <w:sym w:font="Wingdings" w:char="00FE"/>
            </w:r>
            <w:r>
              <w:rPr>
                <w:bCs/>
                <w:color w:val="auto"/>
                <w:sz w:val="21"/>
                <w:szCs w:val="21"/>
              </w:rPr>
              <w:t xml:space="preserve">是  </w:t>
            </w:r>
            <w:r>
              <w:rPr>
                <w:bCs/>
                <w:color w:val="auto"/>
                <w:sz w:val="21"/>
                <w:szCs w:val="21"/>
              </w:rPr>
              <w:sym w:font="Wingdings" w:char="00A8"/>
            </w:r>
            <w:r>
              <w:rPr>
                <w:bCs/>
                <w:color w:val="auto"/>
                <w:sz w:val="21"/>
                <w:szCs w:val="21"/>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18" w:type="dxa"/>
            <w:vMerge w:val="continue"/>
            <w:tcBorders>
              <w:tl2br w:val="nil"/>
              <w:tr2bl w:val="nil"/>
            </w:tcBorders>
            <w:vAlign w:val="center"/>
          </w:tcPr>
          <w:p>
            <w:pPr>
              <w:spacing w:line="240" w:lineRule="auto"/>
              <w:ind w:firstLine="420"/>
              <w:jc w:val="center"/>
              <w:rPr>
                <w:bCs/>
                <w:color w:val="auto"/>
                <w:sz w:val="21"/>
                <w:szCs w:val="21"/>
              </w:rPr>
            </w:pPr>
          </w:p>
        </w:tc>
        <w:tc>
          <w:tcPr>
            <w:tcW w:w="3021" w:type="dxa"/>
            <w:tcBorders>
              <w:tl2br w:val="nil"/>
              <w:tr2bl w:val="nil"/>
            </w:tcBorders>
            <w:vAlign w:val="center"/>
          </w:tcPr>
          <w:p>
            <w:pPr>
              <w:spacing w:line="240" w:lineRule="auto"/>
              <w:ind w:firstLine="420"/>
              <w:jc w:val="center"/>
              <w:rPr>
                <w:bCs/>
                <w:color w:val="auto"/>
                <w:sz w:val="21"/>
                <w:szCs w:val="21"/>
              </w:rPr>
            </w:pPr>
            <w:r>
              <w:rPr>
                <w:bCs/>
                <w:color w:val="auto"/>
                <w:sz w:val="21"/>
                <w:szCs w:val="21"/>
              </w:rPr>
              <w:t>地形数据分辨率/m</w:t>
            </w:r>
          </w:p>
        </w:tc>
        <w:tc>
          <w:tcPr>
            <w:tcW w:w="3019" w:type="dxa"/>
            <w:tcBorders>
              <w:tl2br w:val="nil"/>
              <w:tr2bl w:val="nil"/>
            </w:tcBorders>
            <w:vAlign w:val="center"/>
          </w:tcPr>
          <w:p>
            <w:pPr>
              <w:spacing w:line="240" w:lineRule="auto"/>
              <w:ind w:firstLine="420"/>
              <w:jc w:val="center"/>
              <w:rPr>
                <w:bCs/>
                <w:color w:val="auto"/>
                <w:sz w:val="21"/>
                <w:szCs w:val="21"/>
              </w:rPr>
            </w:pPr>
            <w:r>
              <w:rPr>
                <w:bCs/>
                <w:color w:val="auto"/>
                <w:sz w:val="21"/>
                <w:szCs w:val="21"/>
              </w:rPr>
              <w:t>90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018" w:type="dxa"/>
            <w:vMerge w:val="restart"/>
            <w:tcBorders>
              <w:tl2br w:val="nil"/>
              <w:tr2bl w:val="nil"/>
            </w:tcBorders>
            <w:vAlign w:val="center"/>
          </w:tcPr>
          <w:p>
            <w:pPr>
              <w:spacing w:line="240" w:lineRule="auto"/>
              <w:ind w:firstLine="420"/>
              <w:jc w:val="center"/>
              <w:rPr>
                <w:bCs/>
                <w:color w:val="auto"/>
                <w:sz w:val="21"/>
                <w:szCs w:val="21"/>
              </w:rPr>
            </w:pPr>
            <w:r>
              <w:rPr>
                <w:bCs/>
                <w:color w:val="auto"/>
                <w:sz w:val="21"/>
                <w:szCs w:val="21"/>
              </w:rPr>
              <w:t>是否考虑岸线熏烟</w:t>
            </w:r>
          </w:p>
        </w:tc>
        <w:tc>
          <w:tcPr>
            <w:tcW w:w="3021" w:type="dxa"/>
            <w:tcBorders>
              <w:tl2br w:val="nil"/>
              <w:tr2bl w:val="nil"/>
            </w:tcBorders>
            <w:vAlign w:val="center"/>
          </w:tcPr>
          <w:p>
            <w:pPr>
              <w:spacing w:line="240" w:lineRule="auto"/>
              <w:ind w:firstLine="420"/>
              <w:jc w:val="center"/>
              <w:rPr>
                <w:bCs/>
                <w:color w:val="auto"/>
                <w:sz w:val="21"/>
                <w:szCs w:val="21"/>
              </w:rPr>
            </w:pPr>
            <w:r>
              <w:rPr>
                <w:bCs/>
                <w:color w:val="auto"/>
                <w:sz w:val="21"/>
                <w:szCs w:val="21"/>
              </w:rPr>
              <w:t>考虑岸线熏烟</w:t>
            </w:r>
          </w:p>
        </w:tc>
        <w:tc>
          <w:tcPr>
            <w:tcW w:w="3019" w:type="dxa"/>
            <w:tcBorders>
              <w:tl2br w:val="nil"/>
              <w:tr2bl w:val="nil"/>
            </w:tcBorders>
            <w:vAlign w:val="center"/>
          </w:tcPr>
          <w:p>
            <w:pPr>
              <w:spacing w:line="240" w:lineRule="auto"/>
              <w:ind w:firstLine="420"/>
              <w:jc w:val="center"/>
              <w:rPr>
                <w:bCs/>
                <w:color w:val="auto"/>
                <w:sz w:val="21"/>
                <w:szCs w:val="21"/>
              </w:rPr>
            </w:pPr>
            <w:r>
              <w:rPr>
                <w:bCs/>
                <w:color w:val="auto"/>
                <w:sz w:val="21"/>
                <w:szCs w:val="21"/>
              </w:rPr>
              <w:sym w:font="Wingdings" w:char="00A8"/>
            </w:r>
            <w:r>
              <w:rPr>
                <w:bCs/>
                <w:color w:val="auto"/>
                <w:sz w:val="21"/>
                <w:szCs w:val="21"/>
              </w:rPr>
              <w:t xml:space="preserve">是  </w:t>
            </w:r>
            <w:r>
              <w:rPr>
                <w:bCs/>
                <w:color w:val="auto"/>
                <w:sz w:val="21"/>
                <w:szCs w:val="21"/>
              </w:rPr>
              <w:sym w:font="Wingdings" w:char="00FE"/>
            </w:r>
            <w:r>
              <w:rPr>
                <w:bCs/>
                <w:color w:val="auto"/>
                <w:sz w:val="21"/>
                <w:szCs w:val="21"/>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18" w:type="dxa"/>
            <w:vMerge w:val="continue"/>
            <w:tcBorders>
              <w:tl2br w:val="nil"/>
              <w:tr2bl w:val="nil"/>
            </w:tcBorders>
            <w:vAlign w:val="center"/>
          </w:tcPr>
          <w:p>
            <w:pPr>
              <w:spacing w:line="240" w:lineRule="auto"/>
              <w:ind w:firstLine="420"/>
              <w:jc w:val="center"/>
              <w:rPr>
                <w:bCs/>
                <w:color w:val="auto"/>
                <w:sz w:val="21"/>
                <w:szCs w:val="21"/>
              </w:rPr>
            </w:pPr>
          </w:p>
        </w:tc>
        <w:tc>
          <w:tcPr>
            <w:tcW w:w="3021" w:type="dxa"/>
            <w:tcBorders>
              <w:tl2br w:val="nil"/>
              <w:tr2bl w:val="nil"/>
            </w:tcBorders>
            <w:vAlign w:val="center"/>
          </w:tcPr>
          <w:p>
            <w:pPr>
              <w:spacing w:line="240" w:lineRule="auto"/>
              <w:ind w:firstLine="420"/>
              <w:jc w:val="center"/>
              <w:rPr>
                <w:bCs/>
                <w:color w:val="auto"/>
                <w:sz w:val="21"/>
                <w:szCs w:val="21"/>
              </w:rPr>
            </w:pPr>
            <w:r>
              <w:rPr>
                <w:bCs/>
                <w:color w:val="auto"/>
                <w:sz w:val="21"/>
                <w:szCs w:val="21"/>
              </w:rPr>
              <w:t>岸线距离/km</w:t>
            </w:r>
          </w:p>
        </w:tc>
        <w:tc>
          <w:tcPr>
            <w:tcW w:w="3019" w:type="dxa"/>
            <w:tcBorders>
              <w:tl2br w:val="nil"/>
              <w:tr2bl w:val="nil"/>
            </w:tcBorders>
            <w:vAlign w:val="center"/>
          </w:tcPr>
          <w:p>
            <w:pPr>
              <w:spacing w:line="240" w:lineRule="auto"/>
              <w:ind w:firstLine="420"/>
              <w:jc w:val="center"/>
              <w:rPr>
                <w:bCs/>
                <w:color w:val="auto"/>
                <w:sz w:val="21"/>
                <w:szCs w:val="21"/>
              </w:rPr>
            </w:pPr>
            <w:r>
              <w:rPr>
                <w:bCs/>
                <w:color w:val="auto"/>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18" w:type="dxa"/>
            <w:vMerge w:val="continue"/>
            <w:tcBorders>
              <w:tl2br w:val="nil"/>
              <w:tr2bl w:val="nil"/>
            </w:tcBorders>
            <w:vAlign w:val="center"/>
          </w:tcPr>
          <w:p>
            <w:pPr>
              <w:spacing w:line="240" w:lineRule="auto"/>
              <w:ind w:firstLine="420"/>
              <w:jc w:val="center"/>
              <w:rPr>
                <w:bCs/>
                <w:color w:val="auto"/>
                <w:sz w:val="21"/>
                <w:szCs w:val="21"/>
              </w:rPr>
            </w:pPr>
          </w:p>
        </w:tc>
        <w:tc>
          <w:tcPr>
            <w:tcW w:w="3021" w:type="dxa"/>
            <w:tcBorders>
              <w:tl2br w:val="nil"/>
              <w:tr2bl w:val="nil"/>
            </w:tcBorders>
            <w:vAlign w:val="center"/>
          </w:tcPr>
          <w:p>
            <w:pPr>
              <w:spacing w:line="240" w:lineRule="auto"/>
              <w:ind w:firstLine="420"/>
              <w:jc w:val="center"/>
              <w:rPr>
                <w:bCs/>
                <w:color w:val="auto"/>
                <w:sz w:val="21"/>
                <w:szCs w:val="21"/>
              </w:rPr>
            </w:pPr>
            <w:r>
              <w:rPr>
                <w:bCs/>
                <w:color w:val="auto"/>
                <w:sz w:val="21"/>
                <w:szCs w:val="21"/>
              </w:rPr>
              <w:t>岸线方向/°</w:t>
            </w:r>
          </w:p>
        </w:tc>
        <w:tc>
          <w:tcPr>
            <w:tcW w:w="3019" w:type="dxa"/>
            <w:tcBorders>
              <w:tl2br w:val="nil"/>
              <w:tr2bl w:val="nil"/>
            </w:tcBorders>
            <w:vAlign w:val="center"/>
          </w:tcPr>
          <w:p>
            <w:pPr>
              <w:spacing w:line="240" w:lineRule="auto"/>
              <w:ind w:firstLine="420"/>
              <w:jc w:val="center"/>
              <w:rPr>
                <w:bCs/>
                <w:color w:val="auto"/>
                <w:sz w:val="21"/>
                <w:szCs w:val="21"/>
              </w:rPr>
            </w:pPr>
            <w:r>
              <w:rPr>
                <w:bCs/>
                <w:color w:val="auto"/>
                <w:sz w:val="21"/>
                <w:szCs w:val="21"/>
              </w:rPr>
              <w:t>/</w:t>
            </w:r>
          </w:p>
        </w:tc>
      </w:tr>
    </w:tbl>
    <w:p>
      <w:pPr>
        <w:ind w:firstLine="482"/>
        <w:jc w:val="center"/>
        <w:rPr>
          <w:b/>
          <w:bCs/>
          <w:color w:val="auto"/>
          <w:lang w:val="en-GB"/>
        </w:rPr>
      </w:pPr>
      <w:r>
        <w:rPr>
          <w:b/>
          <w:bCs/>
          <w:color w:val="auto"/>
          <w:lang w:val="en-GB"/>
        </w:rPr>
        <w:t>表</w:t>
      </w:r>
      <w:r>
        <w:rPr>
          <w:b/>
          <w:bCs/>
          <w:color w:val="auto"/>
        </w:rPr>
        <w:t>5.2-14</w:t>
      </w:r>
      <w:r>
        <w:rPr>
          <w:b/>
          <w:bCs/>
          <w:color w:val="auto"/>
          <w:lang w:val="en-GB"/>
        </w:rPr>
        <w:t xml:space="preserve">  本项目大气污染物恶臭无组织排放达标情况汇总表</w:t>
      </w:r>
    </w:p>
    <w:tbl>
      <w:tblPr>
        <w:tblStyle w:val="27"/>
        <w:tblW w:w="5041" w:type="pct"/>
        <w:jc w:val="center"/>
        <w:tblBorders>
          <w:top w:val="single" w:color="auto" w:sz="6" w:space="0"/>
          <w:left w:val="none" w:color="auto" w:sz="0" w:space="0"/>
          <w:bottom w:val="single" w:color="auto" w:sz="6"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04"/>
        <w:gridCol w:w="909"/>
        <w:gridCol w:w="863"/>
        <w:gridCol w:w="753"/>
        <w:gridCol w:w="739"/>
        <w:gridCol w:w="592"/>
        <w:gridCol w:w="560"/>
        <w:gridCol w:w="723"/>
        <w:gridCol w:w="705"/>
        <w:gridCol w:w="721"/>
        <w:gridCol w:w="430"/>
        <w:gridCol w:w="721"/>
        <w:gridCol w:w="819"/>
      </w:tblGrid>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5" w:hRule="atLeast"/>
          <w:jc w:val="center"/>
        </w:trPr>
        <w:tc>
          <w:tcPr>
            <w:tcW w:w="226" w:type="pct"/>
            <w:vMerge w:val="restart"/>
            <w:tcBorders>
              <w:tl2br w:val="nil"/>
              <w:tr2bl w:val="nil"/>
            </w:tcBorders>
            <w:tcMar>
              <w:left w:w="28" w:type="dxa"/>
              <w:right w:w="28" w:type="dxa"/>
            </w:tcMar>
            <w:vAlign w:val="center"/>
          </w:tcPr>
          <w:p>
            <w:pPr>
              <w:spacing w:line="360" w:lineRule="exact"/>
              <w:ind w:firstLine="0" w:firstLineChars="0"/>
              <w:jc w:val="center"/>
              <w:rPr>
                <w:color w:val="auto"/>
                <w:kern w:val="0"/>
                <w:sz w:val="21"/>
                <w:szCs w:val="21"/>
              </w:rPr>
            </w:pPr>
            <w:r>
              <w:rPr>
                <w:color w:val="auto"/>
                <w:kern w:val="0"/>
                <w:sz w:val="21"/>
                <w:szCs w:val="21"/>
              </w:rPr>
              <w:t>编号</w:t>
            </w:r>
          </w:p>
        </w:tc>
        <w:tc>
          <w:tcPr>
            <w:tcW w:w="508" w:type="pct"/>
            <w:vMerge w:val="restart"/>
            <w:tcBorders>
              <w:tl2br w:val="nil"/>
              <w:tr2bl w:val="nil"/>
            </w:tcBorders>
            <w:vAlign w:val="center"/>
          </w:tcPr>
          <w:p>
            <w:pPr>
              <w:spacing w:line="360" w:lineRule="exact"/>
              <w:ind w:firstLine="0" w:firstLineChars="0"/>
              <w:jc w:val="center"/>
              <w:rPr>
                <w:color w:val="auto"/>
                <w:kern w:val="0"/>
                <w:sz w:val="21"/>
                <w:szCs w:val="21"/>
              </w:rPr>
            </w:pPr>
            <w:r>
              <w:rPr>
                <w:color w:val="auto"/>
                <w:kern w:val="0"/>
                <w:sz w:val="21"/>
                <w:szCs w:val="21"/>
              </w:rPr>
              <w:t>名称</w:t>
            </w:r>
          </w:p>
        </w:tc>
        <w:tc>
          <w:tcPr>
            <w:tcW w:w="903" w:type="pct"/>
            <w:gridSpan w:val="2"/>
            <w:tcBorders>
              <w:tl2br w:val="nil"/>
              <w:tr2bl w:val="nil"/>
            </w:tcBorders>
            <w:vAlign w:val="center"/>
          </w:tcPr>
          <w:p>
            <w:pPr>
              <w:spacing w:line="360" w:lineRule="exact"/>
              <w:ind w:firstLine="0" w:firstLineChars="0"/>
              <w:jc w:val="center"/>
              <w:rPr>
                <w:color w:val="auto"/>
                <w:kern w:val="0"/>
                <w:sz w:val="21"/>
                <w:szCs w:val="21"/>
              </w:rPr>
            </w:pPr>
            <w:r>
              <w:rPr>
                <w:color w:val="auto"/>
                <w:kern w:val="0"/>
                <w:sz w:val="21"/>
                <w:szCs w:val="21"/>
              </w:rPr>
              <w:t>面源起点坐标</w:t>
            </w:r>
          </w:p>
        </w:tc>
        <w:tc>
          <w:tcPr>
            <w:tcW w:w="413" w:type="pct"/>
            <w:vMerge w:val="restart"/>
            <w:tcBorders>
              <w:tl2br w:val="nil"/>
              <w:tr2bl w:val="nil"/>
            </w:tcBorders>
            <w:vAlign w:val="center"/>
          </w:tcPr>
          <w:p>
            <w:pPr>
              <w:spacing w:line="360" w:lineRule="exact"/>
              <w:ind w:firstLine="0" w:firstLineChars="0"/>
              <w:jc w:val="center"/>
              <w:rPr>
                <w:color w:val="auto"/>
                <w:kern w:val="0"/>
                <w:sz w:val="21"/>
                <w:szCs w:val="21"/>
              </w:rPr>
            </w:pPr>
            <w:r>
              <w:rPr>
                <w:color w:val="auto"/>
                <w:kern w:val="0"/>
                <w:sz w:val="21"/>
                <w:szCs w:val="21"/>
              </w:rPr>
              <w:t>面源海拔高度/m</w:t>
            </w:r>
          </w:p>
        </w:tc>
        <w:tc>
          <w:tcPr>
            <w:tcW w:w="331" w:type="pct"/>
            <w:vMerge w:val="restart"/>
            <w:tcBorders>
              <w:tl2br w:val="nil"/>
              <w:tr2bl w:val="nil"/>
            </w:tcBorders>
            <w:vAlign w:val="center"/>
          </w:tcPr>
          <w:p>
            <w:pPr>
              <w:spacing w:line="360" w:lineRule="exact"/>
              <w:ind w:firstLine="0" w:firstLineChars="0"/>
              <w:jc w:val="center"/>
              <w:rPr>
                <w:color w:val="auto"/>
                <w:kern w:val="0"/>
                <w:sz w:val="21"/>
                <w:szCs w:val="21"/>
              </w:rPr>
            </w:pPr>
            <w:r>
              <w:rPr>
                <w:color w:val="auto"/>
                <w:kern w:val="0"/>
                <w:sz w:val="21"/>
                <w:szCs w:val="21"/>
              </w:rPr>
              <w:t>面源长度/m</w:t>
            </w:r>
          </w:p>
        </w:tc>
        <w:tc>
          <w:tcPr>
            <w:tcW w:w="313" w:type="pct"/>
            <w:vMerge w:val="restart"/>
            <w:tcBorders>
              <w:tl2br w:val="nil"/>
              <w:tr2bl w:val="nil"/>
            </w:tcBorders>
            <w:vAlign w:val="center"/>
          </w:tcPr>
          <w:p>
            <w:pPr>
              <w:spacing w:line="360" w:lineRule="exact"/>
              <w:ind w:firstLine="0" w:firstLineChars="0"/>
              <w:jc w:val="center"/>
              <w:rPr>
                <w:color w:val="auto"/>
                <w:kern w:val="0"/>
                <w:sz w:val="21"/>
                <w:szCs w:val="21"/>
              </w:rPr>
            </w:pPr>
            <w:r>
              <w:rPr>
                <w:color w:val="auto"/>
                <w:kern w:val="0"/>
                <w:sz w:val="21"/>
                <w:szCs w:val="21"/>
              </w:rPr>
              <w:t>面源宽度/m</w:t>
            </w:r>
          </w:p>
        </w:tc>
        <w:tc>
          <w:tcPr>
            <w:tcW w:w="404" w:type="pct"/>
            <w:vMerge w:val="restart"/>
            <w:tcBorders>
              <w:tl2br w:val="nil"/>
              <w:tr2bl w:val="nil"/>
            </w:tcBorders>
            <w:vAlign w:val="center"/>
          </w:tcPr>
          <w:p>
            <w:pPr>
              <w:spacing w:line="360" w:lineRule="exact"/>
              <w:ind w:firstLine="0" w:firstLineChars="0"/>
              <w:jc w:val="center"/>
              <w:rPr>
                <w:color w:val="auto"/>
                <w:kern w:val="0"/>
                <w:sz w:val="21"/>
                <w:szCs w:val="21"/>
              </w:rPr>
            </w:pPr>
            <w:r>
              <w:rPr>
                <w:color w:val="auto"/>
                <w:kern w:val="0"/>
                <w:sz w:val="21"/>
                <w:szCs w:val="21"/>
              </w:rPr>
              <w:t>与正北夹角/°</w:t>
            </w:r>
          </w:p>
        </w:tc>
        <w:tc>
          <w:tcPr>
            <w:tcW w:w="394" w:type="pct"/>
            <w:vMerge w:val="restart"/>
            <w:tcBorders>
              <w:tl2br w:val="nil"/>
              <w:tr2bl w:val="nil"/>
            </w:tcBorders>
            <w:vAlign w:val="center"/>
          </w:tcPr>
          <w:p>
            <w:pPr>
              <w:spacing w:line="360" w:lineRule="exact"/>
              <w:ind w:firstLine="0" w:firstLineChars="0"/>
              <w:jc w:val="center"/>
              <w:rPr>
                <w:color w:val="auto"/>
                <w:kern w:val="0"/>
                <w:sz w:val="21"/>
                <w:szCs w:val="21"/>
              </w:rPr>
            </w:pPr>
            <w:r>
              <w:rPr>
                <w:color w:val="auto"/>
                <w:kern w:val="0"/>
                <w:sz w:val="21"/>
                <w:szCs w:val="21"/>
              </w:rPr>
              <w:t>面源有效排放高度/m</w:t>
            </w:r>
          </w:p>
        </w:tc>
        <w:tc>
          <w:tcPr>
            <w:tcW w:w="403" w:type="pct"/>
            <w:vMerge w:val="restart"/>
            <w:tcBorders>
              <w:tl2br w:val="nil"/>
              <w:tr2bl w:val="nil"/>
            </w:tcBorders>
            <w:vAlign w:val="center"/>
          </w:tcPr>
          <w:p>
            <w:pPr>
              <w:spacing w:line="360" w:lineRule="exact"/>
              <w:ind w:firstLine="0" w:firstLineChars="0"/>
              <w:jc w:val="center"/>
              <w:rPr>
                <w:color w:val="auto"/>
                <w:kern w:val="0"/>
                <w:sz w:val="21"/>
                <w:szCs w:val="21"/>
              </w:rPr>
            </w:pPr>
            <w:r>
              <w:rPr>
                <w:color w:val="auto"/>
                <w:kern w:val="0"/>
                <w:sz w:val="21"/>
                <w:szCs w:val="21"/>
              </w:rPr>
              <w:t>年排放小时数/h</w:t>
            </w:r>
          </w:p>
        </w:tc>
        <w:tc>
          <w:tcPr>
            <w:tcW w:w="240" w:type="pct"/>
            <w:vMerge w:val="restart"/>
            <w:tcBorders>
              <w:tl2br w:val="nil"/>
              <w:tr2bl w:val="nil"/>
            </w:tcBorders>
            <w:vAlign w:val="center"/>
          </w:tcPr>
          <w:p>
            <w:pPr>
              <w:spacing w:line="360" w:lineRule="exact"/>
              <w:ind w:firstLine="0" w:firstLineChars="0"/>
              <w:jc w:val="center"/>
              <w:rPr>
                <w:color w:val="auto"/>
                <w:kern w:val="0"/>
                <w:sz w:val="21"/>
                <w:szCs w:val="21"/>
              </w:rPr>
            </w:pPr>
            <w:r>
              <w:rPr>
                <w:color w:val="auto"/>
                <w:kern w:val="0"/>
                <w:sz w:val="21"/>
                <w:szCs w:val="21"/>
              </w:rPr>
              <w:t>排放工况</w:t>
            </w:r>
          </w:p>
        </w:tc>
        <w:tc>
          <w:tcPr>
            <w:tcW w:w="860" w:type="pct"/>
            <w:gridSpan w:val="2"/>
            <w:vMerge w:val="restart"/>
            <w:tcBorders>
              <w:tl2br w:val="nil"/>
              <w:tr2bl w:val="nil"/>
            </w:tcBorders>
            <w:vAlign w:val="center"/>
          </w:tcPr>
          <w:p>
            <w:pPr>
              <w:spacing w:line="360" w:lineRule="exact"/>
              <w:ind w:firstLine="0" w:firstLineChars="0"/>
              <w:jc w:val="center"/>
              <w:rPr>
                <w:color w:val="auto"/>
                <w:kern w:val="0"/>
                <w:sz w:val="21"/>
                <w:szCs w:val="21"/>
              </w:rPr>
            </w:pPr>
            <w:r>
              <w:rPr>
                <w:color w:val="auto"/>
                <w:kern w:val="0"/>
                <w:sz w:val="21"/>
                <w:szCs w:val="21"/>
              </w:rPr>
              <w:t>污染物排放速率（kg/h）</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226" w:type="pct"/>
            <w:vMerge w:val="continue"/>
            <w:tcBorders>
              <w:tl2br w:val="nil"/>
              <w:tr2bl w:val="nil"/>
            </w:tcBorders>
            <w:tcMar>
              <w:left w:w="28" w:type="dxa"/>
              <w:right w:w="28" w:type="dxa"/>
            </w:tcMar>
            <w:vAlign w:val="center"/>
          </w:tcPr>
          <w:p>
            <w:pPr>
              <w:spacing w:line="360" w:lineRule="exact"/>
              <w:ind w:firstLine="0" w:firstLineChars="0"/>
              <w:jc w:val="center"/>
              <w:rPr>
                <w:color w:val="auto"/>
                <w:kern w:val="0"/>
                <w:sz w:val="21"/>
                <w:szCs w:val="21"/>
              </w:rPr>
            </w:pPr>
          </w:p>
        </w:tc>
        <w:tc>
          <w:tcPr>
            <w:tcW w:w="508" w:type="pct"/>
            <w:vMerge w:val="continue"/>
            <w:tcBorders>
              <w:tl2br w:val="nil"/>
              <w:tr2bl w:val="nil"/>
            </w:tcBorders>
            <w:vAlign w:val="center"/>
          </w:tcPr>
          <w:p>
            <w:pPr>
              <w:spacing w:line="360" w:lineRule="exact"/>
              <w:ind w:firstLine="0" w:firstLineChars="0"/>
              <w:jc w:val="center"/>
              <w:rPr>
                <w:color w:val="auto"/>
                <w:kern w:val="0"/>
                <w:sz w:val="21"/>
                <w:szCs w:val="21"/>
              </w:rPr>
            </w:pPr>
          </w:p>
        </w:tc>
        <w:tc>
          <w:tcPr>
            <w:tcW w:w="482" w:type="pct"/>
            <w:vMerge w:val="restart"/>
            <w:tcBorders>
              <w:tl2br w:val="nil"/>
              <w:tr2bl w:val="nil"/>
            </w:tcBorders>
            <w:vAlign w:val="center"/>
          </w:tcPr>
          <w:p>
            <w:pPr>
              <w:spacing w:line="360" w:lineRule="exact"/>
              <w:ind w:firstLine="0" w:firstLineChars="0"/>
              <w:jc w:val="center"/>
              <w:rPr>
                <w:color w:val="auto"/>
                <w:kern w:val="0"/>
                <w:sz w:val="21"/>
                <w:szCs w:val="21"/>
              </w:rPr>
            </w:pPr>
            <w:r>
              <w:rPr>
                <w:color w:val="auto"/>
                <w:kern w:val="0"/>
                <w:sz w:val="21"/>
                <w:szCs w:val="21"/>
              </w:rPr>
              <w:t>X</w:t>
            </w:r>
          </w:p>
        </w:tc>
        <w:tc>
          <w:tcPr>
            <w:tcW w:w="421" w:type="pct"/>
            <w:vMerge w:val="restart"/>
            <w:tcBorders>
              <w:tl2br w:val="nil"/>
              <w:tr2bl w:val="nil"/>
            </w:tcBorders>
            <w:vAlign w:val="center"/>
          </w:tcPr>
          <w:p>
            <w:pPr>
              <w:spacing w:line="360" w:lineRule="exact"/>
              <w:ind w:firstLine="0" w:firstLineChars="0"/>
              <w:jc w:val="center"/>
              <w:rPr>
                <w:color w:val="auto"/>
                <w:kern w:val="0"/>
                <w:sz w:val="21"/>
                <w:szCs w:val="21"/>
              </w:rPr>
            </w:pPr>
            <w:r>
              <w:rPr>
                <w:color w:val="auto"/>
                <w:kern w:val="0"/>
                <w:sz w:val="21"/>
                <w:szCs w:val="21"/>
              </w:rPr>
              <w:t>Y</w:t>
            </w:r>
          </w:p>
        </w:tc>
        <w:tc>
          <w:tcPr>
            <w:tcW w:w="413" w:type="pct"/>
            <w:vMerge w:val="continue"/>
            <w:tcBorders>
              <w:tl2br w:val="nil"/>
              <w:tr2bl w:val="nil"/>
            </w:tcBorders>
            <w:vAlign w:val="center"/>
          </w:tcPr>
          <w:p>
            <w:pPr>
              <w:spacing w:line="360" w:lineRule="exact"/>
              <w:ind w:firstLine="0" w:firstLineChars="0"/>
              <w:jc w:val="center"/>
              <w:rPr>
                <w:color w:val="auto"/>
                <w:kern w:val="0"/>
                <w:sz w:val="21"/>
                <w:szCs w:val="21"/>
              </w:rPr>
            </w:pPr>
          </w:p>
        </w:tc>
        <w:tc>
          <w:tcPr>
            <w:tcW w:w="331" w:type="pct"/>
            <w:vMerge w:val="continue"/>
            <w:tcBorders>
              <w:tl2br w:val="nil"/>
              <w:tr2bl w:val="nil"/>
            </w:tcBorders>
            <w:vAlign w:val="center"/>
          </w:tcPr>
          <w:p>
            <w:pPr>
              <w:spacing w:line="360" w:lineRule="exact"/>
              <w:ind w:firstLine="0" w:firstLineChars="0"/>
              <w:jc w:val="center"/>
              <w:rPr>
                <w:color w:val="auto"/>
                <w:kern w:val="0"/>
                <w:sz w:val="21"/>
                <w:szCs w:val="21"/>
              </w:rPr>
            </w:pPr>
          </w:p>
        </w:tc>
        <w:tc>
          <w:tcPr>
            <w:tcW w:w="313" w:type="pct"/>
            <w:vMerge w:val="continue"/>
            <w:tcBorders>
              <w:tl2br w:val="nil"/>
              <w:tr2bl w:val="nil"/>
            </w:tcBorders>
            <w:vAlign w:val="center"/>
          </w:tcPr>
          <w:p>
            <w:pPr>
              <w:spacing w:line="360" w:lineRule="exact"/>
              <w:ind w:firstLine="0" w:firstLineChars="0"/>
              <w:jc w:val="center"/>
              <w:rPr>
                <w:color w:val="auto"/>
                <w:kern w:val="0"/>
                <w:sz w:val="21"/>
                <w:szCs w:val="21"/>
              </w:rPr>
            </w:pPr>
          </w:p>
        </w:tc>
        <w:tc>
          <w:tcPr>
            <w:tcW w:w="404" w:type="pct"/>
            <w:vMerge w:val="continue"/>
            <w:tcBorders>
              <w:tl2br w:val="nil"/>
              <w:tr2bl w:val="nil"/>
            </w:tcBorders>
            <w:vAlign w:val="center"/>
          </w:tcPr>
          <w:p>
            <w:pPr>
              <w:spacing w:line="360" w:lineRule="exact"/>
              <w:ind w:firstLine="0" w:firstLineChars="0"/>
              <w:jc w:val="center"/>
              <w:rPr>
                <w:color w:val="auto"/>
                <w:kern w:val="0"/>
                <w:sz w:val="21"/>
                <w:szCs w:val="21"/>
              </w:rPr>
            </w:pPr>
          </w:p>
        </w:tc>
        <w:tc>
          <w:tcPr>
            <w:tcW w:w="394" w:type="pct"/>
            <w:vMerge w:val="continue"/>
            <w:tcBorders>
              <w:tl2br w:val="nil"/>
              <w:tr2bl w:val="nil"/>
            </w:tcBorders>
            <w:vAlign w:val="center"/>
          </w:tcPr>
          <w:p>
            <w:pPr>
              <w:spacing w:line="360" w:lineRule="exact"/>
              <w:ind w:firstLine="0" w:firstLineChars="0"/>
              <w:jc w:val="center"/>
              <w:rPr>
                <w:color w:val="auto"/>
                <w:kern w:val="0"/>
                <w:sz w:val="21"/>
                <w:szCs w:val="21"/>
              </w:rPr>
            </w:pPr>
          </w:p>
        </w:tc>
        <w:tc>
          <w:tcPr>
            <w:tcW w:w="403" w:type="pct"/>
            <w:vMerge w:val="continue"/>
            <w:tcBorders>
              <w:tl2br w:val="nil"/>
              <w:tr2bl w:val="nil"/>
            </w:tcBorders>
            <w:vAlign w:val="center"/>
          </w:tcPr>
          <w:p>
            <w:pPr>
              <w:spacing w:line="360" w:lineRule="exact"/>
              <w:ind w:firstLine="0" w:firstLineChars="0"/>
              <w:jc w:val="center"/>
              <w:rPr>
                <w:color w:val="auto"/>
                <w:kern w:val="0"/>
                <w:sz w:val="21"/>
                <w:szCs w:val="21"/>
              </w:rPr>
            </w:pPr>
          </w:p>
        </w:tc>
        <w:tc>
          <w:tcPr>
            <w:tcW w:w="240" w:type="pct"/>
            <w:vMerge w:val="continue"/>
            <w:tcBorders>
              <w:tl2br w:val="nil"/>
              <w:tr2bl w:val="nil"/>
            </w:tcBorders>
            <w:vAlign w:val="center"/>
          </w:tcPr>
          <w:p>
            <w:pPr>
              <w:spacing w:line="360" w:lineRule="exact"/>
              <w:ind w:firstLine="0" w:firstLineChars="0"/>
              <w:jc w:val="center"/>
              <w:rPr>
                <w:color w:val="auto"/>
                <w:kern w:val="0"/>
                <w:sz w:val="21"/>
                <w:szCs w:val="21"/>
              </w:rPr>
            </w:pPr>
          </w:p>
        </w:tc>
        <w:tc>
          <w:tcPr>
            <w:tcW w:w="860" w:type="pct"/>
            <w:gridSpan w:val="2"/>
            <w:vMerge w:val="continue"/>
            <w:tcBorders>
              <w:tl2br w:val="nil"/>
              <w:tr2bl w:val="nil"/>
            </w:tcBorders>
            <w:vAlign w:val="center"/>
          </w:tcPr>
          <w:p>
            <w:pPr>
              <w:spacing w:line="360" w:lineRule="exact"/>
              <w:ind w:firstLine="0" w:firstLineChars="0"/>
              <w:jc w:val="center"/>
              <w:rPr>
                <w:color w:val="auto"/>
                <w:kern w:val="0"/>
                <w:sz w:val="21"/>
                <w:szCs w:val="21"/>
              </w:rPr>
            </w:pP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5" w:hRule="atLeast"/>
          <w:jc w:val="center"/>
        </w:trPr>
        <w:tc>
          <w:tcPr>
            <w:tcW w:w="226" w:type="pct"/>
            <w:vMerge w:val="continue"/>
            <w:tcBorders>
              <w:tl2br w:val="nil"/>
              <w:tr2bl w:val="nil"/>
            </w:tcBorders>
            <w:tcMar>
              <w:left w:w="28" w:type="dxa"/>
              <w:right w:w="28" w:type="dxa"/>
            </w:tcMar>
            <w:vAlign w:val="center"/>
          </w:tcPr>
          <w:p>
            <w:pPr>
              <w:spacing w:line="360" w:lineRule="exact"/>
              <w:ind w:firstLine="0" w:firstLineChars="0"/>
              <w:jc w:val="center"/>
              <w:rPr>
                <w:color w:val="auto"/>
                <w:kern w:val="0"/>
                <w:sz w:val="21"/>
                <w:szCs w:val="21"/>
              </w:rPr>
            </w:pPr>
          </w:p>
        </w:tc>
        <w:tc>
          <w:tcPr>
            <w:tcW w:w="508" w:type="pct"/>
            <w:vMerge w:val="continue"/>
            <w:tcBorders>
              <w:tl2br w:val="nil"/>
              <w:tr2bl w:val="nil"/>
            </w:tcBorders>
            <w:vAlign w:val="center"/>
          </w:tcPr>
          <w:p>
            <w:pPr>
              <w:spacing w:line="360" w:lineRule="exact"/>
              <w:ind w:firstLine="0" w:firstLineChars="0"/>
              <w:jc w:val="center"/>
              <w:rPr>
                <w:color w:val="auto"/>
                <w:kern w:val="0"/>
                <w:sz w:val="21"/>
                <w:szCs w:val="21"/>
              </w:rPr>
            </w:pPr>
          </w:p>
        </w:tc>
        <w:tc>
          <w:tcPr>
            <w:tcW w:w="482" w:type="pct"/>
            <w:vMerge w:val="continue"/>
            <w:tcBorders>
              <w:tl2br w:val="nil"/>
              <w:tr2bl w:val="nil"/>
            </w:tcBorders>
            <w:vAlign w:val="center"/>
          </w:tcPr>
          <w:p>
            <w:pPr>
              <w:spacing w:line="360" w:lineRule="exact"/>
              <w:ind w:firstLine="0" w:firstLineChars="0"/>
              <w:jc w:val="center"/>
              <w:rPr>
                <w:color w:val="auto"/>
                <w:kern w:val="0"/>
                <w:sz w:val="21"/>
                <w:szCs w:val="21"/>
              </w:rPr>
            </w:pPr>
          </w:p>
        </w:tc>
        <w:tc>
          <w:tcPr>
            <w:tcW w:w="421" w:type="pct"/>
            <w:vMerge w:val="continue"/>
            <w:tcBorders>
              <w:tl2br w:val="nil"/>
              <w:tr2bl w:val="nil"/>
            </w:tcBorders>
            <w:vAlign w:val="center"/>
          </w:tcPr>
          <w:p>
            <w:pPr>
              <w:spacing w:line="360" w:lineRule="exact"/>
              <w:ind w:firstLine="0" w:firstLineChars="0"/>
              <w:jc w:val="center"/>
              <w:rPr>
                <w:color w:val="auto"/>
                <w:kern w:val="0"/>
                <w:sz w:val="21"/>
                <w:szCs w:val="21"/>
              </w:rPr>
            </w:pPr>
          </w:p>
        </w:tc>
        <w:tc>
          <w:tcPr>
            <w:tcW w:w="413" w:type="pct"/>
            <w:vMerge w:val="continue"/>
            <w:tcBorders>
              <w:tl2br w:val="nil"/>
              <w:tr2bl w:val="nil"/>
            </w:tcBorders>
            <w:vAlign w:val="center"/>
          </w:tcPr>
          <w:p>
            <w:pPr>
              <w:spacing w:line="360" w:lineRule="exact"/>
              <w:ind w:firstLine="0" w:firstLineChars="0"/>
              <w:jc w:val="center"/>
              <w:rPr>
                <w:color w:val="auto"/>
                <w:kern w:val="0"/>
                <w:sz w:val="21"/>
                <w:szCs w:val="21"/>
              </w:rPr>
            </w:pPr>
          </w:p>
        </w:tc>
        <w:tc>
          <w:tcPr>
            <w:tcW w:w="331" w:type="pct"/>
            <w:vMerge w:val="continue"/>
            <w:tcBorders>
              <w:tl2br w:val="nil"/>
              <w:tr2bl w:val="nil"/>
            </w:tcBorders>
            <w:vAlign w:val="center"/>
          </w:tcPr>
          <w:p>
            <w:pPr>
              <w:spacing w:line="360" w:lineRule="exact"/>
              <w:ind w:firstLine="0" w:firstLineChars="0"/>
              <w:jc w:val="center"/>
              <w:rPr>
                <w:color w:val="auto"/>
                <w:kern w:val="0"/>
                <w:sz w:val="21"/>
                <w:szCs w:val="21"/>
              </w:rPr>
            </w:pPr>
          </w:p>
        </w:tc>
        <w:tc>
          <w:tcPr>
            <w:tcW w:w="313" w:type="pct"/>
            <w:vMerge w:val="continue"/>
            <w:tcBorders>
              <w:tl2br w:val="nil"/>
              <w:tr2bl w:val="nil"/>
            </w:tcBorders>
            <w:vAlign w:val="center"/>
          </w:tcPr>
          <w:p>
            <w:pPr>
              <w:spacing w:line="360" w:lineRule="exact"/>
              <w:ind w:firstLine="0" w:firstLineChars="0"/>
              <w:jc w:val="center"/>
              <w:rPr>
                <w:color w:val="auto"/>
                <w:kern w:val="0"/>
                <w:sz w:val="21"/>
                <w:szCs w:val="21"/>
              </w:rPr>
            </w:pPr>
          </w:p>
        </w:tc>
        <w:tc>
          <w:tcPr>
            <w:tcW w:w="404" w:type="pct"/>
            <w:vMerge w:val="continue"/>
            <w:tcBorders>
              <w:tl2br w:val="nil"/>
              <w:tr2bl w:val="nil"/>
            </w:tcBorders>
            <w:vAlign w:val="center"/>
          </w:tcPr>
          <w:p>
            <w:pPr>
              <w:spacing w:line="360" w:lineRule="exact"/>
              <w:ind w:firstLine="0" w:firstLineChars="0"/>
              <w:jc w:val="center"/>
              <w:rPr>
                <w:color w:val="auto"/>
                <w:kern w:val="0"/>
                <w:sz w:val="21"/>
                <w:szCs w:val="21"/>
              </w:rPr>
            </w:pPr>
          </w:p>
        </w:tc>
        <w:tc>
          <w:tcPr>
            <w:tcW w:w="394" w:type="pct"/>
            <w:vMerge w:val="continue"/>
            <w:tcBorders>
              <w:tl2br w:val="nil"/>
              <w:tr2bl w:val="nil"/>
            </w:tcBorders>
            <w:vAlign w:val="center"/>
          </w:tcPr>
          <w:p>
            <w:pPr>
              <w:spacing w:line="360" w:lineRule="exact"/>
              <w:ind w:firstLine="0" w:firstLineChars="0"/>
              <w:jc w:val="center"/>
              <w:rPr>
                <w:color w:val="auto"/>
                <w:kern w:val="0"/>
                <w:sz w:val="21"/>
                <w:szCs w:val="21"/>
              </w:rPr>
            </w:pPr>
          </w:p>
        </w:tc>
        <w:tc>
          <w:tcPr>
            <w:tcW w:w="403" w:type="pct"/>
            <w:vMerge w:val="continue"/>
            <w:tcBorders>
              <w:tl2br w:val="nil"/>
              <w:tr2bl w:val="nil"/>
            </w:tcBorders>
            <w:vAlign w:val="center"/>
          </w:tcPr>
          <w:p>
            <w:pPr>
              <w:spacing w:line="360" w:lineRule="exact"/>
              <w:ind w:firstLine="0" w:firstLineChars="0"/>
              <w:jc w:val="center"/>
              <w:rPr>
                <w:color w:val="auto"/>
                <w:kern w:val="0"/>
                <w:sz w:val="21"/>
                <w:szCs w:val="21"/>
              </w:rPr>
            </w:pPr>
          </w:p>
        </w:tc>
        <w:tc>
          <w:tcPr>
            <w:tcW w:w="240" w:type="pct"/>
            <w:vMerge w:val="continue"/>
            <w:tcBorders>
              <w:tl2br w:val="nil"/>
              <w:tr2bl w:val="nil"/>
            </w:tcBorders>
            <w:vAlign w:val="center"/>
          </w:tcPr>
          <w:p>
            <w:pPr>
              <w:spacing w:line="360" w:lineRule="exact"/>
              <w:ind w:firstLine="0" w:firstLineChars="0"/>
              <w:jc w:val="center"/>
              <w:rPr>
                <w:color w:val="auto"/>
                <w:kern w:val="0"/>
                <w:sz w:val="21"/>
                <w:szCs w:val="21"/>
              </w:rPr>
            </w:pPr>
          </w:p>
        </w:tc>
        <w:tc>
          <w:tcPr>
            <w:tcW w:w="403" w:type="pct"/>
            <w:tcBorders>
              <w:tl2br w:val="nil"/>
              <w:tr2bl w:val="nil"/>
            </w:tcBorders>
            <w:vAlign w:val="center"/>
          </w:tcPr>
          <w:p>
            <w:pPr>
              <w:spacing w:line="360" w:lineRule="exact"/>
              <w:ind w:firstLine="0" w:firstLineChars="0"/>
              <w:jc w:val="center"/>
              <w:rPr>
                <w:color w:val="auto"/>
                <w:kern w:val="0"/>
                <w:sz w:val="21"/>
                <w:szCs w:val="21"/>
              </w:rPr>
            </w:pPr>
            <w:r>
              <w:rPr>
                <w:color w:val="auto"/>
                <w:sz w:val="21"/>
                <w:szCs w:val="21"/>
              </w:rPr>
              <w:t>NH</w:t>
            </w:r>
            <w:r>
              <w:rPr>
                <w:color w:val="auto"/>
                <w:sz w:val="21"/>
                <w:szCs w:val="21"/>
                <w:vertAlign w:val="subscript"/>
              </w:rPr>
              <w:t>3</w:t>
            </w:r>
          </w:p>
        </w:tc>
        <w:tc>
          <w:tcPr>
            <w:tcW w:w="457" w:type="pct"/>
            <w:tcBorders>
              <w:tl2br w:val="nil"/>
              <w:tr2bl w:val="nil"/>
            </w:tcBorders>
            <w:vAlign w:val="center"/>
          </w:tcPr>
          <w:p>
            <w:pPr>
              <w:spacing w:line="360" w:lineRule="exact"/>
              <w:ind w:firstLine="0" w:firstLineChars="0"/>
              <w:jc w:val="center"/>
              <w:rPr>
                <w:color w:val="auto"/>
                <w:kern w:val="0"/>
                <w:sz w:val="21"/>
                <w:szCs w:val="21"/>
              </w:rPr>
            </w:pPr>
            <w:r>
              <w:rPr>
                <w:color w:val="auto"/>
                <w:sz w:val="21"/>
                <w:szCs w:val="21"/>
              </w:rPr>
              <w:t>H</w:t>
            </w:r>
            <w:r>
              <w:rPr>
                <w:color w:val="auto"/>
                <w:sz w:val="21"/>
                <w:szCs w:val="21"/>
                <w:vertAlign w:val="subscript"/>
              </w:rPr>
              <w:t>2</w:t>
            </w:r>
            <w:r>
              <w:rPr>
                <w:color w:val="auto"/>
                <w:sz w:val="21"/>
                <w:szCs w:val="21"/>
              </w:rPr>
              <w:t>S</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226" w:type="pct"/>
            <w:tcBorders>
              <w:tl2br w:val="nil"/>
              <w:tr2bl w:val="nil"/>
            </w:tcBorders>
            <w:tcMar>
              <w:left w:w="28" w:type="dxa"/>
              <w:right w:w="28" w:type="dxa"/>
            </w:tcMar>
            <w:vAlign w:val="center"/>
          </w:tcPr>
          <w:p>
            <w:pPr>
              <w:spacing w:line="360" w:lineRule="exact"/>
              <w:ind w:firstLine="0" w:firstLineChars="0"/>
              <w:jc w:val="center"/>
              <w:rPr>
                <w:color w:val="auto"/>
                <w:kern w:val="0"/>
                <w:sz w:val="21"/>
                <w:szCs w:val="21"/>
              </w:rPr>
            </w:pPr>
            <w:r>
              <w:rPr>
                <w:color w:val="auto"/>
                <w:kern w:val="0"/>
                <w:sz w:val="21"/>
                <w:szCs w:val="21"/>
              </w:rPr>
              <w:t>1</w:t>
            </w:r>
          </w:p>
        </w:tc>
        <w:tc>
          <w:tcPr>
            <w:tcW w:w="508" w:type="pct"/>
            <w:tcBorders>
              <w:tl2br w:val="nil"/>
              <w:tr2bl w:val="nil"/>
            </w:tcBorders>
            <w:vAlign w:val="center"/>
          </w:tcPr>
          <w:p>
            <w:pPr>
              <w:spacing w:line="360" w:lineRule="exact"/>
              <w:ind w:firstLine="0" w:firstLineChars="0"/>
              <w:jc w:val="center"/>
              <w:rPr>
                <w:color w:val="auto"/>
                <w:kern w:val="0"/>
                <w:sz w:val="21"/>
                <w:szCs w:val="21"/>
              </w:rPr>
            </w:pPr>
            <w:r>
              <w:rPr>
                <w:color w:val="auto"/>
                <w:kern w:val="0"/>
                <w:sz w:val="21"/>
                <w:szCs w:val="21"/>
              </w:rPr>
              <w:t>整个</w:t>
            </w:r>
            <w:r>
              <w:rPr>
                <w:rFonts w:hint="eastAsia"/>
                <w:color w:val="auto"/>
                <w:kern w:val="0"/>
                <w:sz w:val="21"/>
                <w:szCs w:val="21"/>
              </w:rPr>
              <w:t>厂区</w:t>
            </w:r>
          </w:p>
        </w:tc>
        <w:tc>
          <w:tcPr>
            <w:tcW w:w="482" w:type="pct"/>
            <w:tcBorders>
              <w:tl2br w:val="nil"/>
              <w:tr2bl w:val="nil"/>
            </w:tcBorders>
            <w:vAlign w:val="center"/>
          </w:tcPr>
          <w:p>
            <w:pPr>
              <w:spacing w:line="360" w:lineRule="exact"/>
              <w:ind w:firstLine="0" w:firstLineChars="0"/>
              <w:jc w:val="center"/>
              <w:rPr>
                <w:color w:val="auto"/>
                <w:kern w:val="0"/>
                <w:sz w:val="21"/>
                <w:szCs w:val="21"/>
              </w:rPr>
            </w:pPr>
            <w:r>
              <w:rPr>
                <w:rFonts w:hint="eastAsia"/>
                <w:color w:val="auto"/>
                <w:kern w:val="0"/>
                <w:sz w:val="21"/>
                <w:szCs w:val="21"/>
              </w:rPr>
              <w:t>212</w:t>
            </w:r>
          </w:p>
        </w:tc>
        <w:tc>
          <w:tcPr>
            <w:tcW w:w="421" w:type="pct"/>
            <w:tcBorders>
              <w:tl2br w:val="nil"/>
              <w:tr2bl w:val="nil"/>
            </w:tcBorders>
            <w:vAlign w:val="center"/>
          </w:tcPr>
          <w:p>
            <w:pPr>
              <w:spacing w:line="360" w:lineRule="exact"/>
              <w:ind w:firstLine="0" w:firstLineChars="0"/>
              <w:jc w:val="center"/>
              <w:rPr>
                <w:color w:val="auto"/>
                <w:kern w:val="0"/>
                <w:sz w:val="21"/>
                <w:szCs w:val="21"/>
              </w:rPr>
            </w:pPr>
            <w:r>
              <w:rPr>
                <w:rFonts w:hint="eastAsia"/>
                <w:color w:val="auto"/>
                <w:kern w:val="0"/>
                <w:sz w:val="21"/>
                <w:szCs w:val="21"/>
              </w:rPr>
              <w:t>77</w:t>
            </w:r>
          </w:p>
        </w:tc>
        <w:tc>
          <w:tcPr>
            <w:tcW w:w="413" w:type="pct"/>
            <w:tcBorders>
              <w:tl2br w:val="nil"/>
              <w:tr2bl w:val="nil"/>
            </w:tcBorders>
            <w:vAlign w:val="center"/>
          </w:tcPr>
          <w:p>
            <w:pPr>
              <w:spacing w:line="360" w:lineRule="exact"/>
              <w:ind w:firstLine="0" w:firstLineChars="0"/>
              <w:jc w:val="center"/>
              <w:rPr>
                <w:color w:val="auto"/>
                <w:kern w:val="0"/>
                <w:sz w:val="21"/>
                <w:szCs w:val="21"/>
              </w:rPr>
            </w:pPr>
            <w:r>
              <w:rPr>
                <w:rFonts w:hint="eastAsia"/>
                <w:color w:val="auto"/>
                <w:kern w:val="0"/>
                <w:sz w:val="21"/>
                <w:szCs w:val="21"/>
              </w:rPr>
              <w:t>51</w:t>
            </w:r>
          </w:p>
        </w:tc>
        <w:tc>
          <w:tcPr>
            <w:tcW w:w="331" w:type="pct"/>
            <w:tcBorders>
              <w:tl2br w:val="nil"/>
              <w:tr2bl w:val="nil"/>
            </w:tcBorders>
            <w:vAlign w:val="center"/>
          </w:tcPr>
          <w:p>
            <w:pPr>
              <w:spacing w:line="360" w:lineRule="exact"/>
              <w:ind w:firstLine="0" w:firstLineChars="0"/>
              <w:jc w:val="center"/>
              <w:rPr>
                <w:color w:val="auto"/>
                <w:kern w:val="0"/>
                <w:sz w:val="21"/>
                <w:szCs w:val="21"/>
              </w:rPr>
            </w:pPr>
            <w:r>
              <w:rPr>
                <w:rFonts w:hint="eastAsia"/>
                <w:color w:val="auto"/>
                <w:kern w:val="0"/>
                <w:sz w:val="21"/>
                <w:szCs w:val="21"/>
              </w:rPr>
              <w:t>300</w:t>
            </w:r>
          </w:p>
        </w:tc>
        <w:tc>
          <w:tcPr>
            <w:tcW w:w="313" w:type="pct"/>
            <w:tcBorders>
              <w:tl2br w:val="nil"/>
              <w:tr2bl w:val="nil"/>
            </w:tcBorders>
            <w:vAlign w:val="center"/>
          </w:tcPr>
          <w:p>
            <w:pPr>
              <w:spacing w:line="360" w:lineRule="exact"/>
              <w:ind w:firstLine="0" w:firstLineChars="0"/>
              <w:jc w:val="center"/>
              <w:rPr>
                <w:color w:val="auto"/>
                <w:kern w:val="0"/>
                <w:sz w:val="21"/>
                <w:szCs w:val="21"/>
              </w:rPr>
            </w:pPr>
            <w:r>
              <w:rPr>
                <w:rFonts w:hint="eastAsia"/>
                <w:color w:val="auto"/>
                <w:kern w:val="0"/>
                <w:sz w:val="21"/>
                <w:szCs w:val="21"/>
              </w:rPr>
              <w:t>130</w:t>
            </w:r>
          </w:p>
        </w:tc>
        <w:tc>
          <w:tcPr>
            <w:tcW w:w="404" w:type="pct"/>
            <w:tcBorders>
              <w:tl2br w:val="nil"/>
              <w:tr2bl w:val="nil"/>
            </w:tcBorders>
            <w:vAlign w:val="center"/>
          </w:tcPr>
          <w:p>
            <w:pPr>
              <w:spacing w:line="360" w:lineRule="exact"/>
              <w:ind w:firstLine="0" w:firstLineChars="0"/>
              <w:jc w:val="center"/>
              <w:rPr>
                <w:color w:val="auto"/>
                <w:kern w:val="0"/>
                <w:sz w:val="21"/>
                <w:szCs w:val="21"/>
              </w:rPr>
            </w:pPr>
            <w:r>
              <w:rPr>
                <w:color w:val="auto"/>
                <w:kern w:val="0"/>
                <w:sz w:val="21"/>
                <w:szCs w:val="21"/>
              </w:rPr>
              <w:t>0</w:t>
            </w:r>
          </w:p>
        </w:tc>
        <w:tc>
          <w:tcPr>
            <w:tcW w:w="394" w:type="pct"/>
            <w:tcBorders>
              <w:tl2br w:val="nil"/>
              <w:tr2bl w:val="nil"/>
            </w:tcBorders>
            <w:vAlign w:val="center"/>
          </w:tcPr>
          <w:p>
            <w:pPr>
              <w:spacing w:line="360" w:lineRule="exact"/>
              <w:ind w:firstLine="0" w:firstLineChars="0"/>
              <w:jc w:val="center"/>
              <w:rPr>
                <w:color w:val="auto"/>
                <w:kern w:val="0"/>
                <w:sz w:val="21"/>
                <w:szCs w:val="21"/>
              </w:rPr>
            </w:pPr>
            <w:r>
              <w:rPr>
                <w:color w:val="auto"/>
                <w:kern w:val="0"/>
                <w:sz w:val="21"/>
                <w:szCs w:val="21"/>
              </w:rPr>
              <w:t>5.5</w:t>
            </w:r>
          </w:p>
        </w:tc>
        <w:tc>
          <w:tcPr>
            <w:tcW w:w="403" w:type="pct"/>
            <w:tcBorders>
              <w:tl2br w:val="nil"/>
              <w:tr2bl w:val="nil"/>
            </w:tcBorders>
            <w:vAlign w:val="center"/>
          </w:tcPr>
          <w:p>
            <w:pPr>
              <w:spacing w:line="360" w:lineRule="exact"/>
              <w:ind w:firstLine="0" w:firstLineChars="0"/>
              <w:jc w:val="center"/>
              <w:rPr>
                <w:color w:val="auto"/>
                <w:kern w:val="0"/>
                <w:sz w:val="21"/>
                <w:szCs w:val="21"/>
              </w:rPr>
            </w:pPr>
            <w:r>
              <w:rPr>
                <w:color w:val="auto"/>
                <w:kern w:val="0"/>
                <w:sz w:val="21"/>
                <w:szCs w:val="21"/>
              </w:rPr>
              <w:t>8760</w:t>
            </w:r>
          </w:p>
        </w:tc>
        <w:tc>
          <w:tcPr>
            <w:tcW w:w="240" w:type="pct"/>
            <w:tcBorders>
              <w:tl2br w:val="nil"/>
              <w:tr2bl w:val="nil"/>
            </w:tcBorders>
            <w:vAlign w:val="center"/>
          </w:tcPr>
          <w:p>
            <w:pPr>
              <w:spacing w:line="360" w:lineRule="exact"/>
              <w:ind w:firstLine="0" w:firstLineChars="0"/>
              <w:jc w:val="center"/>
              <w:rPr>
                <w:color w:val="auto"/>
                <w:kern w:val="0"/>
                <w:sz w:val="21"/>
                <w:szCs w:val="21"/>
              </w:rPr>
            </w:pPr>
            <w:r>
              <w:rPr>
                <w:color w:val="auto"/>
                <w:kern w:val="0"/>
                <w:sz w:val="21"/>
                <w:szCs w:val="21"/>
              </w:rPr>
              <w:t>正常</w:t>
            </w:r>
          </w:p>
        </w:tc>
        <w:tc>
          <w:tcPr>
            <w:tcW w:w="721" w:type="dxa"/>
            <w:tcBorders>
              <w:tl2br w:val="nil"/>
              <w:tr2bl w:val="nil"/>
            </w:tcBorders>
            <w:vAlign w:val="center"/>
          </w:tcPr>
          <w:p>
            <w:pPr>
              <w:spacing w:line="360" w:lineRule="exact"/>
              <w:ind w:firstLine="0" w:firstLineChars="0"/>
              <w:jc w:val="center"/>
              <w:rPr>
                <w:color w:val="auto"/>
                <w:sz w:val="21"/>
                <w:szCs w:val="21"/>
              </w:rPr>
            </w:pPr>
            <w:r>
              <w:rPr>
                <w:rFonts w:hint="eastAsia"/>
                <w:color w:val="auto"/>
                <w:sz w:val="21"/>
                <w:szCs w:val="21"/>
              </w:rPr>
              <w:t>0.05</w:t>
            </w:r>
          </w:p>
        </w:tc>
        <w:tc>
          <w:tcPr>
            <w:tcW w:w="819" w:type="dxa"/>
            <w:tcBorders>
              <w:tl2br w:val="nil"/>
              <w:tr2bl w:val="nil"/>
            </w:tcBorders>
            <w:vAlign w:val="center"/>
          </w:tcPr>
          <w:p>
            <w:pPr>
              <w:spacing w:line="360" w:lineRule="exact"/>
              <w:ind w:firstLine="0" w:firstLineChars="0"/>
              <w:jc w:val="center"/>
              <w:rPr>
                <w:color w:val="auto"/>
                <w:sz w:val="21"/>
                <w:szCs w:val="21"/>
              </w:rPr>
            </w:pPr>
            <w:r>
              <w:rPr>
                <w:rFonts w:hint="eastAsia"/>
                <w:color w:val="auto"/>
                <w:sz w:val="21"/>
                <w:szCs w:val="21"/>
              </w:rPr>
              <w:t>0.0032</w:t>
            </w:r>
          </w:p>
        </w:tc>
      </w:tr>
    </w:tbl>
    <w:p>
      <w:pPr>
        <w:ind w:firstLine="482"/>
        <w:jc w:val="center"/>
        <w:rPr>
          <w:b/>
          <w:bCs/>
          <w:color w:val="auto"/>
          <w:lang w:val="en-GB"/>
        </w:rPr>
      </w:pPr>
      <w:r>
        <w:rPr>
          <w:b/>
          <w:bCs/>
          <w:color w:val="auto"/>
          <w:lang w:val="en-GB"/>
        </w:rPr>
        <w:t>表</w:t>
      </w:r>
      <w:r>
        <w:rPr>
          <w:b/>
          <w:bCs/>
          <w:color w:val="auto"/>
        </w:rPr>
        <w:t>5.2-15</w:t>
      </w:r>
      <w:r>
        <w:rPr>
          <w:b/>
          <w:bCs/>
          <w:color w:val="auto"/>
          <w:lang w:val="en-GB"/>
        </w:rPr>
        <w:t xml:space="preserve"> 本项目大气污染物沼气火炬源情况汇总表</w:t>
      </w:r>
    </w:p>
    <w:tbl>
      <w:tblPr>
        <w:tblStyle w:val="27"/>
        <w:tblW w:w="4997" w:type="pct"/>
        <w:tblInd w:w="0" w:type="dxa"/>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724"/>
        <w:gridCol w:w="1137"/>
        <w:gridCol w:w="1019"/>
        <w:gridCol w:w="751"/>
        <w:gridCol w:w="1014"/>
        <w:gridCol w:w="744"/>
        <w:gridCol w:w="885"/>
        <w:gridCol w:w="477"/>
        <w:gridCol w:w="588"/>
        <w:gridCol w:w="564"/>
        <w:gridCol w:w="822"/>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16" w:type="pct"/>
            <w:vMerge w:val="restart"/>
            <w:vAlign w:val="center"/>
          </w:tcPr>
          <w:p>
            <w:pPr>
              <w:spacing w:line="360" w:lineRule="exact"/>
              <w:ind w:firstLine="0" w:firstLineChars="0"/>
              <w:jc w:val="center"/>
              <w:rPr>
                <w:color w:val="auto"/>
                <w:kern w:val="0"/>
                <w:sz w:val="21"/>
                <w:szCs w:val="21"/>
                <w:lang w:eastAsia="en-US"/>
              </w:rPr>
            </w:pPr>
            <w:r>
              <w:rPr>
                <w:color w:val="auto"/>
                <w:kern w:val="0"/>
                <w:sz w:val="21"/>
                <w:szCs w:val="21"/>
                <w:lang w:eastAsia="en-US"/>
              </w:rPr>
              <w:t>名称</w:t>
            </w:r>
          </w:p>
        </w:tc>
        <w:tc>
          <w:tcPr>
            <w:tcW w:w="1238" w:type="pct"/>
            <w:gridSpan w:val="2"/>
            <w:vMerge w:val="restart"/>
            <w:vAlign w:val="center"/>
          </w:tcPr>
          <w:p>
            <w:pPr>
              <w:spacing w:line="360" w:lineRule="exact"/>
              <w:ind w:firstLine="0" w:firstLineChars="0"/>
              <w:jc w:val="center"/>
              <w:rPr>
                <w:color w:val="auto"/>
                <w:kern w:val="0"/>
                <w:sz w:val="21"/>
                <w:szCs w:val="21"/>
                <w:lang w:eastAsia="en-US"/>
              </w:rPr>
            </w:pPr>
            <w:r>
              <w:rPr>
                <w:color w:val="auto"/>
                <w:kern w:val="0"/>
                <w:sz w:val="21"/>
                <w:szCs w:val="21"/>
              </w:rPr>
              <w:t>坐标点位</w:t>
            </w:r>
          </w:p>
        </w:tc>
        <w:tc>
          <w:tcPr>
            <w:tcW w:w="431" w:type="pct"/>
            <w:vMerge w:val="restart"/>
            <w:vAlign w:val="center"/>
          </w:tcPr>
          <w:p>
            <w:pPr>
              <w:spacing w:line="360" w:lineRule="exact"/>
              <w:ind w:firstLine="0" w:firstLineChars="0"/>
              <w:jc w:val="center"/>
              <w:rPr>
                <w:color w:val="auto"/>
                <w:kern w:val="0"/>
                <w:sz w:val="21"/>
                <w:szCs w:val="21"/>
                <w:lang w:eastAsia="en-US"/>
              </w:rPr>
            </w:pPr>
            <w:r>
              <w:rPr>
                <w:color w:val="auto"/>
                <w:kern w:val="0"/>
                <w:sz w:val="21"/>
                <w:szCs w:val="21"/>
              </w:rPr>
              <w:t>火炬等效</w:t>
            </w:r>
            <w:r>
              <w:rPr>
                <w:color w:val="auto"/>
                <w:kern w:val="0"/>
                <w:sz w:val="21"/>
                <w:szCs w:val="21"/>
                <w:lang w:eastAsia="en-US"/>
              </w:rPr>
              <w:t>高度m</w:t>
            </w:r>
          </w:p>
        </w:tc>
        <w:tc>
          <w:tcPr>
            <w:tcW w:w="582" w:type="pct"/>
            <w:vMerge w:val="restart"/>
            <w:vAlign w:val="center"/>
          </w:tcPr>
          <w:p>
            <w:pPr>
              <w:spacing w:line="360" w:lineRule="exact"/>
              <w:ind w:firstLine="0" w:firstLineChars="0"/>
              <w:jc w:val="center"/>
              <w:rPr>
                <w:color w:val="auto"/>
                <w:kern w:val="0"/>
                <w:sz w:val="21"/>
                <w:szCs w:val="21"/>
                <w:lang w:eastAsia="en-US"/>
              </w:rPr>
            </w:pPr>
            <w:r>
              <w:rPr>
                <w:color w:val="auto"/>
                <w:kern w:val="0"/>
                <w:sz w:val="21"/>
                <w:szCs w:val="21"/>
              </w:rPr>
              <w:t>等效</w:t>
            </w:r>
            <w:r>
              <w:rPr>
                <w:color w:val="auto"/>
                <w:kern w:val="0"/>
                <w:sz w:val="21"/>
                <w:szCs w:val="21"/>
                <w:lang w:eastAsia="en-US"/>
              </w:rPr>
              <w:t>出口内径/m</w:t>
            </w:r>
          </w:p>
        </w:tc>
        <w:tc>
          <w:tcPr>
            <w:tcW w:w="427" w:type="pct"/>
            <w:vMerge w:val="restart"/>
            <w:vAlign w:val="center"/>
          </w:tcPr>
          <w:p>
            <w:pPr>
              <w:spacing w:line="360" w:lineRule="exact"/>
              <w:ind w:firstLine="0" w:firstLineChars="0"/>
              <w:jc w:val="center"/>
              <w:rPr>
                <w:color w:val="auto"/>
                <w:kern w:val="0"/>
                <w:sz w:val="21"/>
                <w:szCs w:val="21"/>
                <w:lang w:eastAsia="en-US"/>
              </w:rPr>
            </w:pPr>
            <w:r>
              <w:rPr>
                <w:color w:val="auto"/>
                <w:kern w:val="0"/>
                <w:sz w:val="21"/>
                <w:szCs w:val="21"/>
              </w:rPr>
              <w:t>烟气温度/℃</w:t>
            </w:r>
          </w:p>
        </w:tc>
        <w:tc>
          <w:tcPr>
            <w:tcW w:w="508" w:type="pct"/>
            <w:vMerge w:val="restart"/>
            <w:vAlign w:val="center"/>
          </w:tcPr>
          <w:p>
            <w:pPr>
              <w:spacing w:line="360" w:lineRule="exact"/>
              <w:ind w:firstLine="0" w:firstLineChars="0"/>
              <w:jc w:val="center"/>
              <w:rPr>
                <w:color w:val="auto"/>
                <w:kern w:val="0"/>
                <w:sz w:val="21"/>
                <w:szCs w:val="21"/>
                <w:lang w:eastAsia="en-US"/>
              </w:rPr>
            </w:pPr>
            <w:r>
              <w:rPr>
                <w:color w:val="auto"/>
                <w:kern w:val="0"/>
                <w:sz w:val="21"/>
                <w:szCs w:val="21"/>
                <w:lang w:eastAsia="en-US"/>
              </w:rPr>
              <w:t>年排放小时数/h</w:t>
            </w:r>
          </w:p>
        </w:tc>
        <w:tc>
          <w:tcPr>
            <w:tcW w:w="274" w:type="pct"/>
            <w:vMerge w:val="restart"/>
            <w:vAlign w:val="center"/>
          </w:tcPr>
          <w:p>
            <w:pPr>
              <w:spacing w:line="360" w:lineRule="exact"/>
              <w:ind w:firstLine="0" w:firstLineChars="0"/>
              <w:jc w:val="center"/>
              <w:rPr>
                <w:color w:val="auto"/>
                <w:kern w:val="0"/>
                <w:sz w:val="21"/>
                <w:szCs w:val="21"/>
                <w:lang w:eastAsia="en-US"/>
              </w:rPr>
            </w:pPr>
            <w:r>
              <w:rPr>
                <w:color w:val="auto"/>
                <w:kern w:val="0"/>
                <w:sz w:val="21"/>
                <w:szCs w:val="21"/>
                <w:lang w:eastAsia="en-US"/>
              </w:rPr>
              <w:t>排放工况</w:t>
            </w:r>
          </w:p>
        </w:tc>
        <w:tc>
          <w:tcPr>
            <w:tcW w:w="1120" w:type="pct"/>
            <w:gridSpan w:val="3"/>
            <w:tcBorders>
              <w:left w:val="single" w:color="auto" w:sz="4" w:space="0"/>
            </w:tcBorders>
            <w:vAlign w:val="center"/>
          </w:tcPr>
          <w:p>
            <w:pPr>
              <w:spacing w:line="360" w:lineRule="exact"/>
              <w:ind w:firstLine="0" w:firstLineChars="0"/>
              <w:jc w:val="center"/>
              <w:rPr>
                <w:color w:val="auto"/>
                <w:kern w:val="0"/>
                <w:sz w:val="21"/>
                <w:szCs w:val="21"/>
              </w:rPr>
            </w:pPr>
            <w:r>
              <w:rPr>
                <w:color w:val="auto"/>
                <w:kern w:val="0"/>
                <w:sz w:val="21"/>
                <w:szCs w:val="21"/>
              </w:rPr>
              <w:t>排放</w:t>
            </w:r>
            <w:r>
              <w:rPr>
                <w:rFonts w:hint="eastAsia"/>
                <w:color w:val="auto"/>
                <w:kern w:val="0"/>
                <w:sz w:val="21"/>
                <w:szCs w:val="21"/>
              </w:rPr>
              <w:t>量</w:t>
            </w:r>
            <w:r>
              <w:rPr>
                <w:color w:val="auto"/>
                <w:kern w:val="0"/>
                <w:sz w:val="21"/>
                <w:szCs w:val="21"/>
              </w:rPr>
              <w:t>/（kg/h）</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16" w:type="pct"/>
            <w:vMerge w:val="continue"/>
            <w:vAlign w:val="center"/>
          </w:tcPr>
          <w:p>
            <w:pPr>
              <w:spacing w:line="360" w:lineRule="exact"/>
              <w:ind w:firstLine="0" w:firstLineChars="0"/>
              <w:jc w:val="center"/>
              <w:rPr>
                <w:color w:val="auto"/>
                <w:kern w:val="0"/>
                <w:sz w:val="21"/>
                <w:szCs w:val="21"/>
              </w:rPr>
            </w:pPr>
          </w:p>
        </w:tc>
        <w:tc>
          <w:tcPr>
            <w:tcW w:w="1238" w:type="pct"/>
            <w:gridSpan w:val="2"/>
            <w:vMerge w:val="continue"/>
            <w:vAlign w:val="center"/>
          </w:tcPr>
          <w:p>
            <w:pPr>
              <w:spacing w:line="360" w:lineRule="exact"/>
              <w:ind w:firstLine="0" w:firstLineChars="0"/>
              <w:jc w:val="center"/>
              <w:rPr>
                <w:color w:val="auto"/>
                <w:kern w:val="0"/>
                <w:sz w:val="21"/>
                <w:szCs w:val="21"/>
                <w:lang w:eastAsia="en-US"/>
              </w:rPr>
            </w:pPr>
          </w:p>
        </w:tc>
        <w:tc>
          <w:tcPr>
            <w:tcW w:w="431" w:type="pct"/>
            <w:vMerge w:val="continue"/>
            <w:vAlign w:val="center"/>
          </w:tcPr>
          <w:p>
            <w:pPr>
              <w:spacing w:line="360" w:lineRule="exact"/>
              <w:ind w:firstLine="0" w:firstLineChars="0"/>
              <w:jc w:val="center"/>
              <w:rPr>
                <w:color w:val="auto"/>
                <w:kern w:val="0"/>
                <w:sz w:val="21"/>
                <w:szCs w:val="21"/>
                <w:lang w:eastAsia="en-US"/>
              </w:rPr>
            </w:pPr>
          </w:p>
        </w:tc>
        <w:tc>
          <w:tcPr>
            <w:tcW w:w="582" w:type="pct"/>
            <w:vMerge w:val="continue"/>
            <w:vAlign w:val="center"/>
          </w:tcPr>
          <w:p>
            <w:pPr>
              <w:spacing w:line="360" w:lineRule="exact"/>
              <w:ind w:firstLine="0" w:firstLineChars="0"/>
              <w:jc w:val="center"/>
              <w:rPr>
                <w:color w:val="auto"/>
                <w:kern w:val="0"/>
                <w:sz w:val="21"/>
                <w:szCs w:val="21"/>
                <w:lang w:eastAsia="en-US"/>
              </w:rPr>
            </w:pPr>
          </w:p>
        </w:tc>
        <w:tc>
          <w:tcPr>
            <w:tcW w:w="427" w:type="pct"/>
            <w:vMerge w:val="continue"/>
            <w:vAlign w:val="center"/>
          </w:tcPr>
          <w:p>
            <w:pPr>
              <w:spacing w:line="360" w:lineRule="exact"/>
              <w:ind w:firstLine="0" w:firstLineChars="0"/>
              <w:jc w:val="center"/>
              <w:rPr>
                <w:color w:val="auto"/>
                <w:kern w:val="0"/>
                <w:sz w:val="21"/>
                <w:szCs w:val="21"/>
                <w:lang w:eastAsia="en-US"/>
              </w:rPr>
            </w:pPr>
          </w:p>
        </w:tc>
        <w:tc>
          <w:tcPr>
            <w:tcW w:w="508" w:type="pct"/>
            <w:vMerge w:val="continue"/>
            <w:vAlign w:val="center"/>
          </w:tcPr>
          <w:p>
            <w:pPr>
              <w:spacing w:line="360" w:lineRule="exact"/>
              <w:ind w:firstLine="0" w:firstLineChars="0"/>
              <w:jc w:val="center"/>
              <w:rPr>
                <w:color w:val="auto"/>
                <w:kern w:val="0"/>
                <w:sz w:val="21"/>
                <w:szCs w:val="21"/>
                <w:lang w:eastAsia="en-US"/>
              </w:rPr>
            </w:pPr>
          </w:p>
        </w:tc>
        <w:tc>
          <w:tcPr>
            <w:tcW w:w="274" w:type="pct"/>
            <w:vMerge w:val="continue"/>
            <w:vAlign w:val="center"/>
          </w:tcPr>
          <w:p>
            <w:pPr>
              <w:spacing w:line="360" w:lineRule="exact"/>
              <w:ind w:firstLine="0" w:firstLineChars="0"/>
              <w:jc w:val="center"/>
              <w:rPr>
                <w:color w:val="auto"/>
                <w:kern w:val="0"/>
                <w:sz w:val="21"/>
                <w:szCs w:val="21"/>
                <w:lang w:eastAsia="en-US"/>
              </w:rPr>
            </w:pPr>
          </w:p>
        </w:tc>
        <w:tc>
          <w:tcPr>
            <w:tcW w:w="324" w:type="pct"/>
            <w:tcBorders>
              <w:left w:val="single" w:color="auto" w:sz="4" w:space="0"/>
            </w:tcBorders>
            <w:vAlign w:val="center"/>
          </w:tcPr>
          <w:p>
            <w:pPr>
              <w:spacing w:line="360" w:lineRule="exact"/>
              <w:ind w:firstLine="0" w:firstLineChars="0"/>
              <w:jc w:val="center"/>
              <w:rPr>
                <w:color w:val="auto"/>
                <w:kern w:val="0"/>
                <w:sz w:val="21"/>
                <w:szCs w:val="21"/>
                <w:lang w:eastAsia="en-US"/>
              </w:rPr>
            </w:pPr>
            <w:r>
              <w:rPr>
                <w:color w:val="auto"/>
                <w:kern w:val="0"/>
                <w:sz w:val="21"/>
                <w:szCs w:val="21"/>
              </w:rPr>
              <w:t>SO</w:t>
            </w:r>
            <w:r>
              <w:rPr>
                <w:color w:val="auto"/>
                <w:kern w:val="0"/>
                <w:sz w:val="21"/>
                <w:szCs w:val="21"/>
                <w:vertAlign w:val="subscript"/>
              </w:rPr>
              <w:t>2</w:t>
            </w:r>
          </w:p>
        </w:tc>
        <w:tc>
          <w:tcPr>
            <w:tcW w:w="324" w:type="pct"/>
            <w:vAlign w:val="center"/>
          </w:tcPr>
          <w:p>
            <w:pPr>
              <w:spacing w:line="360" w:lineRule="exact"/>
              <w:ind w:firstLine="0" w:firstLineChars="0"/>
              <w:jc w:val="center"/>
              <w:rPr>
                <w:color w:val="auto"/>
                <w:kern w:val="0"/>
                <w:sz w:val="21"/>
                <w:szCs w:val="21"/>
                <w:lang w:eastAsia="en-US"/>
              </w:rPr>
            </w:pPr>
            <w:r>
              <w:rPr>
                <w:color w:val="auto"/>
                <w:kern w:val="0"/>
                <w:sz w:val="21"/>
                <w:szCs w:val="21"/>
              </w:rPr>
              <w:t>NO</w:t>
            </w:r>
            <w:r>
              <w:rPr>
                <w:color w:val="auto"/>
                <w:kern w:val="0"/>
                <w:sz w:val="21"/>
                <w:szCs w:val="21"/>
                <w:vertAlign w:val="subscript"/>
              </w:rPr>
              <w:t>2</w:t>
            </w:r>
          </w:p>
        </w:tc>
        <w:tc>
          <w:tcPr>
            <w:tcW w:w="472" w:type="pct"/>
            <w:vAlign w:val="center"/>
          </w:tcPr>
          <w:p>
            <w:pPr>
              <w:spacing w:line="360" w:lineRule="exact"/>
              <w:ind w:firstLine="0" w:firstLineChars="0"/>
              <w:jc w:val="center"/>
              <w:rPr>
                <w:color w:val="auto"/>
                <w:kern w:val="0"/>
                <w:sz w:val="21"/>
                <w:szCs w:val="21"/>
              </w:rPr>
            </w:pPr>
            <w:r>
              <w:rPr>
                <w:color w:val="auto"/>
                <w:kern w:val="0"/>
                <w:sz w:val="21"/>
                <w:szCs w:val="21"/>
              </w:rPr>
              <w:t>烟尘</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16" w:type="pct"/>
            <w:vAlign w:val="center"/>
          </w:tcPr>
          <w:p>
            <w:pPr>
              <w:spacing w:line="360" w:lineRule="exact"/>
              <w:ind w:firstLine="0" w:firstLineChars="0"/>
              <w:jc w:val="center"/>
              <w:rPr>
                <w:color w:val="auto"/>
                <w:kern w:val="0"/>
                <w:sz w:val="21"/>
                <w:szCs w:val="21"/>
                <w:lang w:eastAsia="en-US"/>
              </w:rPr>
            </w:pPr>
            <w:r>
              <w:rPr>
                <w:color w:val="auto"/>
                <w:kern w:val="0"/>
                <w:sz w:val="21"/>
                <w:szCs w:val="21"/>
              </w:rPr>
              <w:t>沼气火炬</w:t>
            </w:r>
          </w:p>
        </w:tc>
        <w:tc>
          <w:tcPr>
            <w:tcW w:w="653" w:type="pct"/>
            <w:vAlign w:val="center"/>
          </w:tcPr>
          <w:p>
            <w:pPr>
              <w:spacing w:line="360" w:lineRule="exact"/>
              <w:ind w:firstLine="0" w:firstLineChars="0"/>
              <w:jc w:val="center"/>
              <w:rPr>
                <w:color w:val="auto"/>
                <w:kern w:val="0"/>
                <w:sz w:val="21"/>
                <w:szCs w:val="21"/>
              </w:rPr>
            </w:pPr>
            <w:r>
              <w:rPr>
                <w:rFonts w:hint="eastAsia"/>
                <w:color w:val="auto"/>
                <w:kern w:val="0"/>
                <w:sz w:val="21"/>
                <w:szCs w:val="21"/>
              </w:rPr>
              <w:t>359</w:t>
            </w:r>
          </w:p>
        </w:tc>
        <w:tc>
          <w:tcPr>
            <w:tcW w:w="585" w:type="pct"/>
            <w:vAlign w:val="center"/>
          </w:tcPr>
          <w:p>
            <w:pPr>
              <w:spacing w:line="360" w:lineRule="exact"/>
              <w:ind w:firstLine="0" w:firstLineChars="0"/>
              <w:jc w:val="center"/>
              <w:rPr>
                <w:color w:val="auto"/>
                <w:kern w:val="0"/>
                <w:sz w:val="21"/>
                <w:szCs w:val="21"/>
              </w:rPr>
            </w:pPr>
            <w:r>
              <w:rPr>
                <w:rFonts w:hint="eastAsia"/>
                <w:color w:val="auto"/>
                <w:kern w:val="0"/>
                <w:sz w:val="21"/>
                <w:szCs w:val="21"/>
              </w:rPr>
              <w:t>45</w:t>
            </w:r>
          </w:p>
        </w:tc>
        <w:tc>
          <w:tcPr>
            <w:tcW w:w="431" w:type="pct"/>
            <w:vAlign w:val="center"/>
          </w:tcPr>
          <w:p>
            <w:pPr>
              <w:spacing w:line="360" w:lineRule="exact"/>
              <w:ind w:firstLine="0" w:firstLineChars="0"/>
              <w:jc w:val="center"/>
              <w:rPr>
                <w:color w:val="auto"/>
                <w:kern w:val="0"/>
                <w:sz w:val="21"/>
                <w:szCs w:val="21"/>
              </w:rPr>
            </w:pPr>
            <w:r>
              <w:rPr>
                <w:rFonts w:hint="eastAsia"/>
                <w:color w:val="auto"/>
                <w:kern w:val="0"/>
                <w:sz w:val="21"/>
                <w:szCs w:val="21"/>
              </w:rPr>
              <w:t>3</w:t>
            </w:r>
            <w:r>
              <w:rPr>
                <w:color w:val="auto"/>
                <w:kern w:val="0"/>
                <w:sz w:val="21"/>
                <w:szCs w:val="21"/>
              </w:rPr>
              <w:t>.</w:t>
            </w:r>
            <w:r>
              <w:rPr>
                <w:rFonts w:hint="eastAsia"/>
                <w:color w:val="auto"/>
                <w:kern w:val="0"/>
                <w:sz w:val="21"/>
                <w:szCs w:val="21"/>
              </w:rPr>
              <w:t>0</w:t>
            </w:r>
          </w:p>
        </w:tc>
        <w:tc>
          <w:tcPr>
            <w:tcW w:w="582" w:type="pct"/>
            <w:vAlign w:val="center"/>
          </w:tcPr>
          <w:p>
            <w:pPr>
              <w:spacing w:line="360" w:lineRule="exact"/>
              <w:ind w:firstLine="0" w:firstLineChars="0"/>
              <w:jc w:val="center"/>
              <w:rPr>
                <w:color w:val="auto"/>
                <w:kern w:val="0"/>
                <w:sz w:val="21"/>
                <w:szCs w:val="21"/>
              </w:rPr>
            </w:pPr>
            <w:r>
              <w:rPr>
                <w:color w:val="auto"/>
                <w:kern w:val="0"/>
                <w:sz w:val="21"/>
                <w:szCs w:val="21"/>
              </w:rPr>
              <w:t>0.13</w:t>
            </w:r>
          </w:p>
        </w:tc>
        <w:tc>
          <w:tcPr>
            <w:tcW w:w="427" w:type="pct"/>
            <w:vAlign w:val="center"/>
          </w:tcPr>
          <w:p>
            <w:pPr>
              <w:spacing w:line="360" w:lineRule="exact"/>
              <w:ind w:firstLine="0" w:firstLineChars="0"/>
              <w:jc w:val="center"/>
              <w:rPr>
                <w:color w:val="auto"/>
                <w:kern w:val="0"/>
                <w:sz w:val="21"/>
                <w:szCs w:val="21"/>
              </w:rPr>
            </w:pPr>
            <w:r>
              <w:rPr>
                <w:color w:val="auto"/>
                <w:kern w:val="0"/>
                <w:sz w:val="21"/>
                <w:szCs w:val="21"/>
              </w:rPr>
              <w:t>100</w:t>
            </w:r>
          </w:p>
        </w:tc>
        <w:tc>
          <w:tcPr>
            <w:tcW w:w="508" w:type="pct"/>
            <w:vAlign w:val="center"/>
          </w:tcPr>
          <w:p>
            <w:pPr>
              <w:spacing w:line="360" w:lineRule="exact"/>
              <w:ind w:firstLine="0" w:firstLineChars="0"/>
              <w:jc w:val="center"/>
              <w:rPr>
                <w:color w:val="auto"/>
                <w:kern w:val="0"/>
                <w:sz w:val="21"/>
                <w:szCs w:val="21"/>
              </w:rPr>
            </w:pPr>
            <w:r>
              <w:rPr>
                <w:color w:val="auto"/>
                <w:kern w:val="0"/>
                <w:sz w:val="21"/>
                <w:szCs w:val="21"/>
              </w:rPr>
              <w:t>8760</w:t>
            </w:r>
          </w:p>
        </w:tc>
        <w:tc>
          <w:tcPr>
            <w:tcW w:w="274" w:type="pct"/>
            <w:vAlign w:val="center"/>
          </w:tcPr>
          <w:p>
            <w:pPr>
              <w:spacing w:line="360" w:lineRule="exact"/>
              <w:ind w:firstLine="0" w:firstLineChars="0"/>
              <w:jc w:val="center"/>
              <w:rPr>
                <w:color w:val="auto"/>
                <w:kern w:val="0"/>
                <w:sz w:val="21"/>
                <w:szCs w:val="21"/>
                <w:lang w:eastAsia="en-US"/>
              </w:rPr>
            </w:pPr>
            <w:r>
              <w:rPr>
                <w:color w:val="auto"/>
                <w:kern w:val="0"/>
                <w:sz w:val="21"/>
                <w:szCs w:val="21"/>
                <w:lang w:eastAsia="en-US"/>
              </w:rPr>
              <w:t>正常</w:t>
            </w:r>
          </w:p>
        </w:tc>
        <w:tc>
          <w:tcPr>
            <w:tcW w:w="324" w:type="pct"/>
            <w:tcBorders>
              <w:left w:val="single" w:color="auto" w:sz="4" w:space="0"/>
            </w:tcBorders>
            <w:vAlign w:val="center"/>
          </w:tcPr>
          <w:p>
            <w:pPr>
              <w:spacing w:line="360" w:lineRule="exact"/>
              <w:ind w:firstLine="0" w:firstLineChars="0"/>
              <w:jc w:val="center"/>
              <w:rPr>
                <w:rFonts w:hint="default" w:eastAsia="宋体"/>
                <w:color w:val="auto"/>
                <w:kern w:val="0"/>
                <w:sz w:val="21"/>
                <w:szCs w:val="21"/>
                <w:lang w:val="en-US" w:eastAsia="zh-CN"/>
              </w:rPr>
            </w:pPr>
            <w:r>
              <w:rPr>
                <w:color w:val="auto"/>
                <w:kern w:val="0"/>
                <w:sz w:val="21"/>
                <w:szCs w:val="21"/>
              </w:rPr>
              <w:t>0.0</w:t>
            </w:r>
            <w:r>
              <w:rPr>
                <w:rFonts w:hint="eastAsia"/>
                <w:color w:val="auto"/>
                <w:kern w:val="0"/>
                <w:sz w:val="21"/>
                <w:szCs w:val="21"/>
              </w:rPr>
              <w:t>0</w:t>
            </w:r>
            <w:r>
              <w:rPr>
                <w:rFonts w:hint="eastAsia"/>
                <w:color w:val="auto"/>
                <w:kern w:val="0"/>
                <w:sz w:val="21"/>
                <w:szCs w:val="21"/>
                <w:lang w:val="en-US" w:eastAsia="zh-CN"/>
              </w:rPr>
              <w:t>17</w:t>
            </w:r>
          </w:p>
        </w:tc>
        <w:tc>
          <w:tcPr>
            <w:tcW w:w="324" w:type="pct"/>
            <w:vAlign w:val="center"/>
          </w:tcPr>
          <w:p>
            <w:pPr>
              <w:spacing w:line="360" w:lineRule="exact"/>
              <w:ind w:firstLine="0" w:firstLineChars="0"/>
              <w:jc w:val="center"/>
              <w:rPr>
                <w:rFonts w:hint="default" w:eastAsia="宋体"/>
                <w:color w:val="auto"/>
                <w:kern w:val="0"/>
                <w:sz w:val="21"/>
                <w:szCs w:val="21"/>
                <w:lang w:val="en-US" w:eastAsia="zh-CN"/>
              </w:rPr>
            </w:pPr>
            <w:r>
              <w:rPr>
                <w:color w:val="auto"/>
                <w:kern w:val="0"/>
                <w:sz w:val="21"/>
                <w:szCs w:val="21"/>
              </w:rPr>
              <w:t>0.0</w:t>
            </w:r>
            <w:r>
              <w:rPr>
                <w:rFonts w:hint="eastAsia"/>
                <w:color w:val="auto"/>
                <w:kern w:val="0"/>
                <w:sz w:val="21"/>
                <w:szCs w:val="21"/>
                <w:lang w:val="en-US" w:eastAsia="zh-CN"/>
              </w:rPr>
              <w:t>07</w:t>
            </w:r>
          </w:p>
        </w:tc>
        <w:tc>
          <w:tcPr>
            <w:tcW w:w="472" w:type="pct"/>
            <w:vAlign w:val="center"/>
          </w:tcPr>
          <w:p>
            <w:pPr>
              <w:spacing w:line="360" w:lineRule="exact"/>
              <w:ind w:firstLine="0" w:firstLineChars="0"/>
              <w:jc w:val="center"/>
              <w:rPr>
                <w:rFonts w:hint="eastAsia" w:eastAsia="宋体"/>
                <w:color w:val="auto"/>
                <w:kern w:val="0"/>
                <w:sz w:val="21"/>
                <w:szCs w:val="21"/>
                <w:lang w:eastAsia="zh-CN"/>
              </w:rPr>
            </w:pPr>
            <w:r>
              <w:rPr>
                <w:color w:val="auto"/>
                <w:kern w:val="0"/>
                <w:sz w:val="21"/>
                <w:szCs w:val="21"/>
              </w:rPr>
              <w:t>0.0</w:t>
            </w:r>
            <w:r>
              <w:rPr>
                <w:rFonts w:hint="eastAsia"/>
                <w:color w:val="auto"/>
                <w:kern w:val="0"/>
                <w:sz w:val="21"/>
                <w:szCs w:val="21"/>
              </w:rPr>
              <w:t>0</w:t>
            </w:r>
            <w:r>
              <w:rPr>
                <w:rFonts w:hint="eastAsia"/>
                <w:color w:val="auto"/>
                <w:kern w:val="0"/>
                <w:sz w:val="21"/>
                <w:szCs w:val="21"/>
                <w:lang w:val="en-US" w:eastAsia="zh-CN"/>
              </w:rPr>
              <w:t>3</w:t>
            </w:r>
          </w:p>
        </w:tc>
      </w:tr>
    </w:tbl>
    <w:p>
      <w:pPr>
        <w:spacing w:line="460" w:lineRule="exact"/>
        <w:ind w:firstLine="464"/>
        <w:rPr>
          <w:color w:val="auto"/>
          <w:spacing w:val="-4"/>
        </w:rPr>
      </w:pPr>
      <w:r>
        <w:rPr>
          <w:color w:val="auto"/>
          <w:spacing w:val="-4"/>
        </w:rPr>
        <w:t>拟建工程短期浓度及长期浓度预测结果见表5.2-16~5.</w:t>
      </w:r>
      <w:r>
        <w:rPr>
          <w:rFonts w:hint="eastAsia"/>
          <w:color w:val="auto"/>
          <w:spacing w:val="-4"/>
        </w:rPr>
        <w:t>2</w:t>
      </w:r>
      <w:r>
        <w:rPr>
          <w:color w:val="auto"/>
          <w:spacing w:val="-4"/>
        </w:rPr>
        <w:t>-25。</w:t>
      </w:r>
    </w:p>
    <w:p>
      <w:pPr>
        <w:spacing w:line="460" w:lineRule="exact"/>
        <w:ind w:left="480" w:leftChars="200" w:firstLine="0" w:firstLineChars="0"/>
        <w:jc w:val="left"/>
        <w:rPr>
          <w:b/>
          <w:color w:val="auto"/>
          <w:szCs w:val="21"/>
        </w:rPr>
      </w:pPr>
      <w:r>
        <w:rPr>
          <w:b/>
          <w:color w:val="auto"/>
          <w:szCs w:val="21"/>
        </w:rPr>
        <w:t>表5.2-16  拟建工程SO</w:t>
      </w:r>
      <w:r>
        <w:rPr>
          <w:b/>
          <w:color w:val="auto"/>
          <w:szCs w:val="21"/>
          <w:vertAlign w:val="subscript"/>
        </w:rPr>
        <w:t>2</w:t>
      </w:r>
      <w:r>
        <w:rPr>
          <w:b/>
          <w:color w:val="auto"/>
          <w:szCs w:val="21"/>
        </w:rPr>
        <w:t>浓度贡献预测结果一览表        单位：mg/m</w:t>
      </w:r>
      <w:r>
        <w:rPr>
          <w:b/>
          <w:color w:val="auto"/>
          <w:szCs w:val="21"/>
          <w:vertAlign w:val="superscript"/>
        </w:rPr>
        <w:t>3</w:t>
      </w:r>
    </w:p>
    <w:tbl>
      <w:tblPr>
        <w:tblStyle w:val="27"/>
        <w:tblW w:w="4996"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590"/>
        <w:gridCol w:w="1449"/>
        <w:gridCol w:w="1112"/>
        <w:gridCol w:w="1112"/>
        <w:gridCol w:w="1435"/>
        <w:gridCol w:w="915"/>
        <w:gridCol w:w="1180"/>
        <w:gridCol w:w="930"/>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38"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序号</w:t>
            </w:r>
          </w:p>
        </w:tc>
        <w:tc>
          <w:tcPr>
            <w:tcW w:w="830"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名称</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平均时间</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浓度增量</w:t>
            </w:r>
          </w:p>
          <w:p>
            <w:pPr>
              <w:spacing w:line="240" w:lineRule="auto"/>
              <w:ind w:firstLine="0" w:firstLineChars="0"/>
              <w:jc w:val="center"/>
              <w:rPr>
                <w:color w:val="auto"/>
                <w:sz w:val="21"/>
                <w:szCs w:val="21"/>
              </w:rPr>
            </w:pPr>
            <w:r>
              <w:rPr>
                <w:color w:val="auto"/>
                <w:sz w:val="21"/>
                <w:szCs w:val="21"/>
              </w:rPr>
              <w:t>(mg/m3)</w:t>
            </w:r>
          </w:p>
        </w:tc>
        <w:tc>
          <w:tcPr>
            <w:tcW w:w="822"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出现时间(YYMMDDHH)</w:t>
            </w:r>
          </w:p>
        </w:tc>
        <w:tc>
          <w:tcPr>
            <w:tcW w:w="524"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评价标准(mg/m3)</w:t>
            </w:r>
          </w:p>
        </w:tc>
        <w:tc>
          <w:tcPr>
            <w:tcW w:w="676"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占标率%</w:t>
            </w:r>
          </w:p>
        </w:tc>
        <w:tc>
          <w:tcPr>
            <w:tcW w:w="53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是否超标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87" w:hRule="atLeast"/>
          <w:jc w:val="center"/>
        </w:trPr>
        <w:tc>
          <w:tcPr>
            <w:tcW w:w="338"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1</w:t>
            </w:r>
          </w:p>
        </w:tc>
        <w:tc>
          <w:tcPr>
            <w:tcW w:w="830" w:type="pct"/>
            <w:vMerge w:val="restart"/>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rPr>
              <w:t>七王庙村</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1.34E-05</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19022709</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5.00E-01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54"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lang w:val="zh-CN"/>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9.00E-07</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190113</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7"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lang w:val="zh-CN"/>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9.00E-08</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76" w:hRule="atLeast"/>
          <w:jc w:val="center"/>
        </w:trPr>
        <w:tc>
          <w:tcPr>
            <w:tcW w:w="338"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2</w:t>
            </w:r>
          </w:p>
        </w:tc>
        <w:tc>
          <w:tcPr>
            <w:tcW w:w="830" w:type="pct"/>
            <w:vMerge w:val="restart"/>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rPr>
              <w:t>于屯村</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8.72E-06</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19032003</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5.00E-01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4"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lang w:val="zh-CN"/>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4.30E-07</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190126</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57"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lang w:val="zh-CN"/>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5.00E-08</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91" w:hRule="atLeast"/>
          <w:jc w:val="center"/>
        </w:trPr>
        <w:tc>
          <w:tcPr>
            <w:tcW w:w="338"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3</w:t>
            </w:r>
          </w:p>
        </w:tc>
        <w:tc>
          <w:tcPr>
            <w:tcW w:w="830" w:type="pct"/>
            <w:vMerge w:val="restart"/>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rPr>
              <w:t>东高城村</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1.25E-05</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19052922</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5.00E-01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34"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lang w:val="zh-CN"/>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8.30E-07</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191024</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7"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lang w:val="zh-CN"/>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1.40E-07</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6" w:hRule="atLeast"/>
          <w:jc w:val="center"/>
        </w:trPr>
        <w:tc>
          <w:tcPr>
            <w:tcW w:w="338"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4</w:t>
            </w:r>
          </w:p>
        </w:tc>
        <w:tc>
          <w:tcPr>
            <w:tcW w:w="830" w:type="pct"/>
            <w:vMerge w:val="restart"/>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rPr>
              <w:t>前吕寨村</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6.98E-06</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19120916</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5.00E-01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85"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lang w:val="zh-CN"/>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4.10E-07</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190106</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6"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lang w:val="zh-CN"/>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4.00E-08</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45" w:hRule="atLeast"/>
          <w:jc w:val="center"/>
        </w:trPr>
        <w:tc>
          <w:tcPr>
            <w:tcW w:w="338"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5</w:t>
            </w:r>
          </w:p>
        </w:tc>
        <w:tc>
          <w:tcPr>
            <w:tcW w:w="830" w:type="pct"/>
            <w:vMerge w:val="restart"/>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rPr>
              <w:t>后吕寨村</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9.16E-06</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19011315</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5.00E-01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00"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lang w:val="zh-CN"/>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5.30E-07</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190517</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51"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lang w:val="zh-CN"/>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5.00E-08</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85" w:hRule="atLeast"/>
          <w:jc w:val="center"/>
        </w:trPr>
        <w:tc>
          <w:tcPr>
            <w:tcW w:w="338"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6</w:t>
            </w:r>
          </w:p>
        </w:tc>
        <w:tc>
          <w:tcPr>
            <w:tcW w:w="830"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梨园村</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8.64E-06</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19050907</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5.00E-01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40"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6.40E-07</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190517</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1"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8.00E-08</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21" w:hRule="atLeast"/>
          <w:jc w:val="center"/>
        </w:trPr>
        <w:tc>
          <w:tcPr>
            <w:tcW w:w="338"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7</w:t>
            </w:r>
          </w:p>
        </w:tc>
        <w:tc>
          <w:tcPr>
            <w:tcW w:w="830"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后坡村</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6.54E-06</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19083102</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5.00E-01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25"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3.70E-07</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190831</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26"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3.00E-08</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86" w:hRule="atLeast"/>
          <w:jc w:val="center"/>
        </w:trPr>
        <w:tc>
          <w:tcPr>
            <w:tcW w:w="338"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8</w:t>
            </w:r>
          </w:p>
        </w:tc>
        <w:tc>
          <w:tcPr>
            <w:tcW w:w="830"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中坡村</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6.39E-06</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19042520</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5.00E-01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40"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4.10E-07</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190919</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1"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4.00E-08</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87" w:hRule="atLeast"/>
          <w:jc w:val="center"/>
        </w:trPr>
        <w:tc>
          <w:tcPr>
            <w:tcW w:w="338"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9</w:t>
            </w:r>
          </w:p>
        </w:tc>
        <w:tc>
          <w:tcPr>
            <w:tcW w:w="830"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李楼村</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9.84E-06</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19091823</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5.00E-01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43"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6.00E-07</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191209</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08"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6.00E-08</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0" w:hRule="atLeast"/>
          <w:jc w:val="center"/>
        </w:trPr>
        <w:tc>
          <w:tcPr>
            <w:tcW w:w="338"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10</w:t>
            </w:r>
          </w:p>
        </w:tc>
        <w:tc>
          <w:tcPr>
            <w:tcW w:w="830"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桑园村</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1.28E-05</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19032901</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5.00E-01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8"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9.60E-07</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191124</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83"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1.00E-07</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3" w:hRule="atLeast"/>
          <w:jc w:val="center"/>
        </w:trPr>
        <w:tc>
          <w:tcPr>
            <w:tcW w:w="338"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11</w:t>
            </w:r>
          </w:p>
        </w:tc>
        <w:tc>
          <w:tcPr>
            <w:tcW w:w="830"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老王庄村</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3.11E-05</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19020908</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5.00E-01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0.01</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45"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1.98E-06</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191014</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06"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2.60E-07</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79" w:hRule="atLeast"/>
          <w:jc w:val="center"/>
        </w:trPr>
        <w:tc>
          <w:tcPr>
            <w:tcW w:w="338"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12</w:t>
            </w:r>
          </w:p>
        </w:tc>
        <w:tc>
          <w:tcPr>
            <w:tcW w:w="830"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冯寨村</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1.17E-05</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19122411</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5.00E-01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35"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6.10E-07</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190113</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6"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6.00E-08</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57" w:hRule="atLeast"/>
          <w:jc w:val="center"/>
        </w:trPr>
        <w:tc>
          <w:tcPr>
            <w:tcW w:w="338"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13</w:t>
            </w:r>
          </w:p>
        </w:tc>
        <w:tc>
          <w:tcPr>
            <w:tcW w:w="830"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东郭集村</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9.66E-06</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19020511</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5.00E-01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87"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5.20E-07</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191204</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2"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5.00E-08</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8" w:hRule="atLeast"/>
          <w:jc w:val="center"/>
        </w:trPr>
        <w:tc>
          <w:tcPr>
            <w:tcW w:w="338"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14</w:t>
            </w:r>
          </w:p>
        </w:tc>
        <w:tc>
          <w:tcPr>
            <w:tcW w:w="830"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柳寨村</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8.11E-06</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19031022</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5.00E-01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71"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3.30E-07</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190101</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9"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3.00E-08</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4" w:hRule="atLeast"/>
          <w:jc w:val="center"/>
        </w:trPr>
        <w:tc>
          <w:tcPr>
            <w:tcW w:w="338"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15</w:t>
            </w:r>
          </w:p>
        </w:tc>
        <w:tc>
          <w:tcPr>
            <w:tcW w:w="830"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安寨村</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2.98E-05</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19122011</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5.00E-01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0.01</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95"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1.86E-06</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190324</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0"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2.70E-07</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51" w:hRule="atLeast"/>
          <w:jc w:val="center"/>
        </w:trPr>
        <w:tc>
          <w:tcPr>
            <w:tcW w:w="338"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16</w:t>
            </w:r>
          </w:p>
        </w:tc>
        <w:tc>
          <w:tcPr>
            <w:tcW w:w="830"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东草庙村</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1.43E-05</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19050724</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5.00E-01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6"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1.01E-06</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190219</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82"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1.50E-07</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10" w:hRule="atLeast"/>
          <w:jc w:val="center"/>
        </w:trPr>
        <w:tc>
          <w:tcPr>
            <w:tcW w:w="338"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17</w:t>
            </w:r>
          </w:p>
        </w:tc>
        <w:tc>
          <w:tcPr>
            <w:tcW w:w="830"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中草庙村</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1.71E-05</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19110922</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5.00E-01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88"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1.50E-06</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190404</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89"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1.80E-07</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45" w:hRule="atLeast"/>
          <w:jc w:val="center"/>
        </w:trPr>
        <w:tc>
          <w:tcPr>
            <w:tcW w:w="1168" w:type="pct"/>
            <w:gridSpan w:val="2"/>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网格</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4.57E-05</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19121515</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5.00E-01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0.01</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168" w:type="pct"/>
            <w:gridSpan w:val="2"/>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3.82E-06</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190115</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4" w:hRule="atLeast"/>
          <w:jc w:val="center"/>
        </w:trPr>
        <w:tc>
          <w:tcPr>
            <w:tcW w:w="1168" w:type="pct"/>
            <w:gridSpan w:val="2"/>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5.00E-07</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bl>
    <w:p>
      <w:pPr>
        <w:spacing w:before="156" w:beforeLines="50"/>
        <w:ind w:firstLine="0" w:firstLineChars="0"/>
        <w:jc w:val="center"/>
        <w:rPr>
          <w:color w:val="auto"/>
        </w:rPr>
      </w:pPr>
      <w:r>
        <w:rPr>
          <w:color w:val="auto"/>
        </w:rPr>
        <w:drawing>
          <wp:inline distT="0" distB="0" distL="114300" distR="114300">
            <wp:extent cx="5534025" cy="3482340"/>
            <wp:effectExtent l="0" t="0" r="9525" b="3810"/>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50"/>
                    <a:stretch>
                      <a:fillRect/>
                    </a:stretch>
                  </pic:blipFill>
                  <pic:spPr>
                    <a:xfrm>
                      <a:off x="0" y="0"/>
                      <a:ext cx="5534025" cy="3482340"/>
                    </a:xfrm>
                    <a:prstGeom prst="rect">
                      <a:avLst/>
                    </a:prstGeom>
                    <a:noFill/>
                    <a:ln>
                      <a:noFill/>
                    </a:ln>
                  </pic:spPr>
                </pic:pic>
              </a:graphicData>
            </a:graphic>
          </wp:inline>
        </w:drawing>
      </w:r>
      <w:r>
        <w:rPr>
          <w:b/>
          <w:color w:val="auto"/>
          <w:szCs w:val="21"/>
        </w:rPr>
        <w:t>SO</w:t>
      </w:r>
      <w:r>
        <w:rPr>
          <w:b/>
          <w:color w:val="auto"/>
          <w:szCs w:val="21"/>
          <w:vertAlign w:val="subscript"/>
        </w:rPr>
        <w:t>2</w:t>
      </w:r>
      <w:r>
        <w:rPr>
          <w:b/>
          <w:color w:val="auto"/>
          <w:szCs w:val="21"/>
        </w:rPr>
        <w:t>小时浓度贡献值分布图</w:t>
      </w:r>
    </w:p>
    <w:p>
      <w:pPr>
        <w:spacing w:before="156" w:beforeLines="50" w:after="156" w:afterLines="50" w:line="240" w:lineRule="auto"/>
        <w:ind w:firstLine="0" w:firstLineChars="0"/>
        <w:jc w:val="left"/>
        <w:rPr>
          <w:b/>
          <w:color w:val="auto"/>
          <w:szCs w:val="21"/>
        </w:rPr>
      </w:pPr>
    </w:p>
    <w:p>
      <w:pPr>
        <w:spacing w:before="156" w:beforeLines="50" w:after="156" w:afterLines="50" w:line="240" w:lineRule="auto"/>
        <w:ind w:firstLine="0" w:firstLineChars="0"/>
        <w:jc w:val="left"/>
        <w:rPr>
          <w:color w:val="auto"/>
        </w:rPr>
      </w:pPr>
      <w:r>
        <w:rPr>
          <w:color w:val="auto"/>
        </w:rPr>
        <w:drawing>
          <wp:inline distT="0" distB="0" distL="114300" distR="114300">
            <wp:extent cx="5532755" cy="3455670"/>
            <wp:effectExtent l="0" t="0" r="10795" b="11430"/>
            <wp:docPr id="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
                    <pic:cNvPicPr>
                      <a:picLocks noChangeAspect="1"/>
                    </pic:cNvPicPr>
                  </pic:nvPicPr>
                  <pic:blipFill>
                    <a:blip r:embed="rId51"/>
                    <a:stretch>
                      <a:fillRect/>
                    </a:stretch>
                  </pic:blipFill>
                  <pic:spPr>
                    <a:xfrm>
                      <a:off x="0" y="0"/>
                      <a:ext cx="5532755" cy="3455670"/>
                    </a:xfrm>
                    <a:prstGeom prst="rect">
                      <a:avLst/>
                    </a:prstGeom>
                    <a:noFill/>
                    <a:ln>
                      <a:noFill/>
                    </a:ln>
                  </pic:spPr>
                </pic:pic>
              </a:graphicData>
            </a:graphic>
          </wp:inline>
        </w:drawing>
      </w:r>
    </w:p>
    <w:p>
      <w:pPr>
        <w:pStyle w:val="67"/>
        <w:spacing w:line="240" w:lineRule="auto"/>
        <w:ind w:firstLine="0" w:firstLineChars="0"/>
        <w:jc w:val="center"/>
        <w:rPr>
          <w:rFonts w:ascii="Times New Roman" w:hAnsi="Times New Roman"/>
          <w:color w:val="auto"/>
          <w:sz w:val="28"/>
          <w:szCs w:val="21"/>
        </w:rPr>
      </w:pPr>
      <w:r>
        <w:rPr>
          <w:rFonts w:ascii="Times New Roman" w:hAnsi="Times New Roman"/>
          <w:b/>
          <w:color w:val="auto"/>
          <w:sz w:val="22"/>
          <w:szCs w:val="22"/>
        </w:rPr>
        <w:t>SO</w:t>
      </w:r>
      <w:r>
        <w:rPr>
          <w:rFonts w:ascii="Times New Roman" w:hAnsi="Times New Roman"/>
          <w:b/>
          <w:color w:val="auto"/>
          <w:sz w:val="22"/>
          <w:szCs w:val="22"/>
          <w:vertAlign w:val="subscript"/>
        </w:rPr>
        <w:t>2</w:t>
      </w:r>
      <w:r>
        <w:rPr>
          <w:rFonts w:ascii="Times New Roman" w:hAnsi="Times New Roman"/>
          <w:b/>
          <w:color w:val="auto"/>
          <w:sz w:val="22"/>
          <w:szCs w:val="22"/>
        </w:rPr>
        <w:t>日均浓度贡献值分布图</w:t>
      </w:r>
    </w:p>
    <w:p>
      <w:pPr>
        <w:spacing w:before="156" w:beforeLines="50" w:after="156" w:afterLines="50" w:line="240" w:lineRule="auto"/>
        <w:ind w:firstLine="0" w:firstLineChars="0"/>
        <w:jc w:val="left"/>
        <w:rPr>
          <w:b/>
          <w:color w:val="auto"/>
          <w:szCs w:val="21"/>
        </w:rPr>
      </w:pPr>
      <w:r>
        <w:rPr>
          <w:color w:val="auto"/>
        </w:rPr>
        <w:drawing>
          <wp:inline distT="0" distB="0" distL="114300" distR="114300">
            <wp:extent cx="5534025" cy="3722370"/>
            <wp:effectExtent l="0" t="0" r="9525" b="11430"/>
            <wp:docPr id="1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5"/>
                    <pic:cNvPicPr>
                      <a:picLocks noChangeAspect="1"/>
                    </pic:cNvPicPr>
                  </pic:nvPicPr>
                  <pic:blipFill>
                    <a:blip r:embed="rId52"/>
                    <a:stretch>
                      <a:fillRect/>
                    </a:stretch>
                  </pic:blipFill>
                  <pic:spPr>
                    <a:xfrm>
                      <a:off x="0" y="0"/>
                      <a:ext cx="5534025" cy="3722370"/>
                    </a:xfrm>
                    <a:prstGeom prst="rect">
                      <a:avLst/>
                    </a:prstGeom>
                    <a:noFill/>
                    <a:ln>
                      <a:noFill/>
                    </a:ln>
                  </pic:spPr>
                </pic:pic>
              </a:graphicData>
            </a:graphic>
          </wp:inline>
        </w:drawing>
      </w:r>
    </w:p>
    <w:p>
      <w:pPr>
        <w:spacing w:before="156" w:beforeLines="50" w:after="156" w:afterLines="50" w:line="240" w:lineRule="auto"/>
        <w:ind w:left="480" w:leftChars="200" w:firstLine="0" w:firstLineChars="0"/>
        <w:jc w:val="center"/>
        <w:rPr>
          <w:b/>
          <w:color w:val="auto"/>
          <w:szCs w:val="21"/>
        </w:rPr>
      </w:pPr>
      <w:bookmarkStart w:id="533" w:name="_Toc47515418"/>
      <w:r>
        <w:rPr>
          <w:b/>
          <w:color w:val="auto"/>
          <w:szCs w:val="21"/>
        </w:rPr>
        <w:t>SO</w:t>
      </w:r>
      <w:r>
        <w:rPr>
          <w:b/>
          <w:color w:val="auto"/>
          <w:szCs w:val="21"/>
          <w:vertAlign w:val="subscript"/>
        </w:rPr>
        <w:t>2</w:t>
      </w:r>
      <w:r>
        <w:rPr>
          <w:b/>
          <w:color w:val="auto"/>
          <w:szCs w:val="21"/>
        </w:rPr>
        <w:t>年均浓度贡献值分布图</w:t>
      </w:r>
      <w:bookmarkEnd w:id="533"/>
    </w:p>
    <w:p>
      <w:pPr>
        <w:spacing w:before="156" w:beforeLines="50" w:after="156" w:afterLines="50" w:line="240" w:lineRule="auto"/>
        <w:ind w:left="480" w:leftChars="200" w:firstLine="0" w:firstLineChars="0"/>
        <w:jc w:val="left"/>
        <w:rPr>
          <w:b/>
          <w:color w:val="auto"/>
          <w:szCs w:val="21"/>
        </w:rPr>
      </w:pPr>
    </w:p>
    <w:p>
      <w:pPr>
        <w:spacing w:before="156" w:beforeLines="50" w:after="156" w:afterLines="50" w:line="240" w:lineRule="auto"/>
        <w:ind w:left="480" w:leftChars="200" w:firstLine="0" w:firstLineChars="0"/>
        <w:jc w:val="left"/>
        <w:rPr>
          <w:b/>
          <w:color w:val="auto"/>
          <w:szCs w:val="21"/>
        </w:rPr>
      </w:pPr>
      <w:r>
        <w:rPr>
          <w:b/>
          <w:color w:val="auto"/>
          <w:szCs w:val="21"/>
        </w:rPr>
        <w:t>表5.2-19  拟建工程NO</w:t>
      </w:r>
      <w:r>
        <w:rPr>
          <w:b/>
          <w:color w:val="auto"/>
          <w:szCs w:val="21"/>
          <w:vertAlign w:val="subscript"/>
        </w:rPr>
        <w:t>2</w:t>
      </w:r>
      <w:r>
        <w:rPr>
          <w:b/>
          <w:color w:val="auto"/>
          <w:szCs w:val="21"/>
        </w:rPr>
        <w:t>浓度贡献预测结果一览表        单位：mg/m</w:t>
      </w:r>
      <w:r>
        <w:rPr>
          <w:b/>
          <w:color w:val="auto"/>
          <w:szCs w:val="21"/>
          <w:vertAlign w:val="superscript"/>
        </w:rPr>
        <w:t>3</w:t>
      </w:r>
    </w:p>
    <w:tbl>
      <w:tblPr>
        <w:tblStyle w:val="27"/>
        <w:tblW w:w="4996"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590"/>
        <w:gridCol w:w="1449"/>
        <w:gridCol w:w="1112"/>
        <w:gridCol w:w="1112"/>
        <w:gridCol w:w="1435"/>
        <w:gridCol w:w="915"/>
        <w:gridCol w:w="1180"/>
        <w:gridCol w:w="930"/>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38"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序号</w:t>
            </w:r>
          </w:p>
        </w:tc>
        <w:tc>
          <w:tcPr>
            <w:tcW w:w="830"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名称</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平均时间</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浓度增量</w:t>
            </w:r>
          </w:p>
          <w:p>
            <w:pPr>
              <w:spacing w:line="240" w:lineRule="auto"/>
              <w:ind w:firstLine="0" w:firstLineChars="0"/>
              <w:jc w:val="center"/>
              <w:rPr>
                <w:color w:val="auto"/>
                <w:sz w:val="21"/>
                <w:szCs w:val="21"/>
              </w:rPr>
            </w:pPr>
            <w:r>
              <w:rPr>
                <w:color w:val="auto"/>
                <w:sz w:val="21"/>
                <w:szCs w:val="21"/>
              </w:rPr>
              <w:t>(mg/m3)</w:t>
            </w:r>
          </w:p>
        </w:tc>
        <w:tc>
          <w:tcPr>
            <w:tcW w:w="822"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出现时间(YYMMDDHH)</w:t>
            </w:r>
          </w:p>
        </w:tc>
        <w:tc>
          <w:tcPr>
            <w:tcW w:w="524"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评价标准(mg/m3)</w:t>
            </w:r>
          </w:p>
        </w:tc>
        <w:tc>
          <w:tcPr>
            <w:tcW w:w="676"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占标率%</w:t>
            </w:r>
          </w:p>
        </w:tc>
        <w:tc>
          <w:tcPr>
            <w:tcW w:w="53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是否超标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87" w:hRule="atLeast"/>
          <w:jc w:val="center"/>
        </w:trPr>
        <w:tc>
          <w:tcPr>
            <w:tcW w:w="338"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1</w:t>
            </w:r>
          </w:p>
        </w:tc>
        <w:tc>
          <w:tcPr>
            <w:tcW w:w="830" w:type="pct"/>
            <w:vMerge w:val="restart"/>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rPr>
              <w:t>七王庙村</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4.97E-05</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19022709</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2.00E-01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0.02</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54"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lang w:val="zh-CN"/>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3.32E-06</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190113</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7"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lang w:val="zh-CN"/>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3.30E-07</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76" w:hRule="atLeast"/>
          <w:jc w:val="center"/>
        </w:trPr>
        <w:tc>
          <w:tcPr>
            <w:tcW w:w="338"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2</w:t>
            </w:r>
          </w:p>
        </w:tc>
        <w:tc>
          <w:tcPr>
            <w:tcW w:w="830" w:type="pct"/>
            <w:vMerge w:val="restart"/>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rPr>
              <w:t>于屯村</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3.23E-05</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19032003</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2.00E-01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0.02</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4"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lang w:val="zh-CN"/>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1.60E-06</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190126</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57"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lang w:val="zh-CN"/>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1.80E-07</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91" w:hRule="atLeast"/>
          <w:jc w:val="center"/>
        </w:trPr>
        <w:tc>
          <w:tcPr>
            <w:tcW w:w="338"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3</w:t>
            </w:r>
          </w:p>
        </w:tc>
        <w:tc>
          <w:tcPr>
            <w:tcW w:w="830" w:type="pct"/>
            <w:vMerge w:val="restart"/>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rPr>
              <w:t>东高城村</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4.65E-05</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19052922</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2.00E-01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0.02</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34"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lang w:val="zh-CN"/>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3.08E-06</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191024</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7"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lang w:val="zh-CN"/>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5.10E-07</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6" w:hRule="atLeast"/>
          <w:jc w:val="center"/>
        </w:trPr>
        <w:tc>
          <w:tcPr>
            <w:tcW w:w="338"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4</w:t>
            </w:r>
          </w:p>
        </w:tc>
        <w:tc>
          <w:tcPr>
            <w:tcW w:w="830" w:type="pct"/>
            <w:vMerge w:val="restart"/>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rPr>
              <w:t>前吕寨村</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2.59E-05</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19120916</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2.00E-01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0.01</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85"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lang w:val="zh-CN"/>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1.54E-06</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190106</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6"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lang w:val="zh-CN"/>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1.40E-07</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45" w:hRule="atLeast"/>
          <w:jc w:val="center"/>
        </w:trPr>
        <w:tc>
          <w:tcPr>
            <w:tcW w:w="338"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5</w:t>
            </w:r>
          </w:p>
        </w:tc>
        <w:tc>
          <w:tcPr>
            <w:tcW w:w="830" w:type="pct"/>
            <w:vMerge w:val="restart"/>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rPr>
              <w:t>后吕寨村</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3.39E-05</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19011315</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2.00E-01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0.02</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00"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lang w:val="zh-CN"/>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1.97E-06</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190517</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51"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lang w:val="zh-CN"/>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1.90E-07</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85" w:hRule="atLeast"/>
          <w:jc w:val="center"/>
        </w:trPr>
        <w:tc>
          <w:tcPr>
            <w:tcW w:w="338"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6</w:t>
            </w:r>
          </w:p>
        </w:tc>
        <w:tc>
          <w:tcPr>
            <w:tcW w:w="830"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梨园村</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3.20E-05</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19050907</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2.00E-01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0.02</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40"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2.37E-06</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190517</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1"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3.00E-07</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21" w:hRule="atLeast"/>
          <w:jc w:val="center"/>
        </w:trPr>
        <w:tc>
          <w:tcPr>
            <w:tcW w:w="338"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7</w:t>
            </w:r>
          </w:p>
        </w:tc>
        <w:tc>
          <w:tcPr>
            <w:tcW w:w="830"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后坡村</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2.43E-05</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19083102</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2.00E-01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0.01</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25"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1.36E-06</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190831</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26"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1.20E-07</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86" w:hRule="atLeast"/>
          <w:jc w:val="center"/>
        </w:trPr>
        <w:tc>
          <w:tcPr>
            <w:tcW w:w="338"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8</w:t>
            </w:r>
          </w:p>
        </w:tc>
        <w:tc>
          <w:tcPr>
            <w:tcW w:w="830"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中坡村</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2.37E-05</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19042520</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2.00E-01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0.01</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40"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1.52E-06</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190919</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1"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1.50E-07</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87" w:hRule="atLeast"/>
          <w:jc w:val="center"/>
        </w:trPr>
        <w:tc>
          <w:tcPr>
            <w:tcW w:w="338"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9</w:t>
            </w:r>
          </w:p>
        </w:tc>
        <w:tc>
          <w:tcPr>
            <w:tcW w:w="830"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李楼村</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3.65E-05</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19091823</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2.00E-01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0.02</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43"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2.21E-06</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191209</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08"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2.10E-07</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0" w:hRule="atLeast"/>
          <w:jc w:val="center"/>
        </w:trPr>
        <w:tc>
          <w:tcPr>
            <w:tcW w:w="338"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10</w:t>
            </w:r>
          </w:p>
        </w:tc>
        <w:tc>
          <w:tcPr>
            <w:tcW w:w="830"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桑园村</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4.74E-05</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19032901</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2.00E-01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0.02</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8"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3.57E-06</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191124</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83"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3.60E-07</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3" w:hRule="atLeast"/>
          <w:jc w:val="center"/>
        </w:trPr>
        <w:tc>
          <w:tcPr>
            <w:tcW w:w="338"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11</w:t>
            </w:r>
          </w:p>
        </w:tc>
        <w:tc>
          <w:tcPr>
            <w:tcW w:w="830"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老王庄村</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1.15E-04</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19020908</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2.00E-01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0.06</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45"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7.35E-06</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191014</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0.01</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06"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9.60E-07</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338"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12</w:t>
            </w:r>
          </w:p>
        </w:tc>
        <w:tc>
          <w:tcPr>
            <w:tcW w:w="830"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冯寨村</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4.32E-05</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19122411</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2.00E-01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0.02</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35"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2.28E-06</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190113</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6"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2.10E-07</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57" w:hRule="atLeast"/>
          <w:jc w:val="center"/>
        </w:trPr>
        <w:tc>
          <w:tcPr>
            <w:tcW w:w="338"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13</w:t>
            </w:r>
          </w:p>
        </w:tc>
        <w:tc>
          <w:tcPr>
            <w:tcW w:w="830"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东郭集村</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3.58E-05</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19020511</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2.00E-01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0.02</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87"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1.94E-06</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191204</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2"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1.70E-07</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8" w:hRule="atLeast"/>
          <w:jc w:val="center"/>
        </w:trPr>
        <w:tc>
          <w:tcPr>
            <w:tcW w:w="338"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14</w:t>
            </w:r>
          </w:p>
        </w:tc>
        <w:tc>
          <w:tcPr>
            <w:tcW w:w="830"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柳寨村</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3.01E-05</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19031022</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2.00E-01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0.02</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71"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1.23E-06</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190101</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9"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1.10E-07</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4" w:hRule="atLeast"/>
          <w:jc w:val="center"/>
        </w:trPr>
        <w:tc>
          <w:tcPr>
            <w:tcW w:w="338"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15</w:t>
            </w:r>
          </w:p>
        </w:tc>
        <w:tc>
          <w:tcPr>
            <w:tcW w:w="830"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安寨村</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1.10E-04</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19122011</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2.00E-01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0.06</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95"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6.90E-06</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190324</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0.01</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0"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9.90E-07</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51" w:hRule="atLeast"/>
          <w:jc w:val="center"/>
        </w:trPr>
        <w:tc>
          <w:tcPr>
            <w:tcW w:w="338"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16</w:t>
            </w:r>
          </w:p>
        </w:tc>
        <w:tc>
          <w:tcPr>
            <w:tcW w:w="830"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东草庙村</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5.31E-05</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19050724</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2.00E-01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0.03</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6"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3.75E-06</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190219</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82"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5.60E-07</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10" w:hRule="atLeast"/>
          <w:jc w:val="center"/>
        </w:trPr>
        <w:tc>
          <w:tcPr>
            <w:tcW w:w="338"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17</w:t>
            </w:r>
          </w:p>
        </w:tc>
        <w:tc>
          <w:tcPr>
            <w:tcW w:w="830"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中草庙村</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6.34E-05</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19110922</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2.00E-01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0.03</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88"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5.54E-06</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190404</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0.01</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89"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6.80E-07</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45" w:hRule="atLeast"/>
          <w:jc w:val="center"/>
        </w:trPr>
        <w:tc>
          <w:tcPr>
            <w:tcW w:w="1168" w:type="pct"/>
            <w:gridSpan w:val="2"/>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网格</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1.70E-04</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19121515</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2.00E-01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0.08</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87" w:hRule="atLeast"/>
          <w:jc w:val="center"/>
        </w:trPr>
        <w:tc>
          <w:tcPr>
            <w:tcW w:w="1168" w:type="pct"/>
            <w:gridSpan w:val="2"/>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1.41E-05</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190115</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0.02</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4" w:hRule="atLeast"/>
          <w:jc w:val="center"/>
        </w:trPr>
        <w:tc>
          <w:tcPr>
            <w:tcW w:w="1168" w:type="pct"/>
            <w:gridSpan w:val="2"/>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1.84E-06</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bl>
    <w:p>
      <w:pPr>
        <w:spacing w:before="156" w:beforeLines="50" w:after="156" w:afterLines="50"/>
        <w:ind w:firstLine="480"/>
        <w:jc w:val="center"/>
        <w:outlineLvl w:val="0"/>
        <w:rPr>
          <w:b/>
          <w:color w:val="auto"/>
          <w:szCs w:val="21"/>
        </w:rPr>
      </w:pPr>
      <w:bookmarkStart w:id="534" w:name="_Toc47515419"/>
      <w:r>
        <w:rPr>
          <w:color w:val="auto"/>
        </w:rPr>
        <w:drawing>
          <wp:inline distT="0" distB="0" distL="114300" distR="114300">
            <wp:extent cx="5534025" cy="3482340"/>
            <wp:effectExtent l="0" t="0" r="9525" b="3810"/>
            <wp:docPr id="2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6"/>
                    <pic:cNvPicPr>
                      <a:picLocks noChangeAspect="1"/>
                    </pic:cNvPicPr>
                  </pic:nvPicPr>
                  <pic:blipFill>
                    <a:blip r:embed="rId53"/>
                    <a:stretch>
                      <a:fillRect/>
                    </a:stretch>
                  </pic:blipFill>
                  <pic:spPr>
                    <a:xfrm>
                      <a:off x="0" y="0"/>
                      <a:ext cx="5534025" cy="3482340"/>
                    </a:xfrm>
                    <a:prstGeom prst="rect">
                      <a:avLst/>
                    </a:prstGeom>
                    <a:noFill/>
                    <a:ln>
                      <a:noFill/>
                    </a:ln>
                  </pic:spPr>
                </pic:pic>
              </a:graphicData>
            </a:graphic>
          </wp:inline>
        </w:drawing>
      </w:r>
      <w:r>
        <w:rPr>
          <w:b/>
          <w:color w:val="auto"/>
          <w:szCs w:val="21"/>
        </w:rPr>
        <w:t>NO</w:t>
      </w:r>
      <w:r>
        <w:rPr>
          <w:b/>
          <w:color w:val="auto"/>
          <w:szCs w:val="21"/>
          <w:vertAlign w:val="subscript"/>
        </w:rPr>
        <w:t>2</w:t>
      </w:r>
      <w:r>
        <w:rPr>
          <w:b/>
          <w:color w:val="auto"/>
          <w:szCs w:val="21"/>
        </w:rPr>
        <w:t>小时浓度贡献值分布图</w:t>
      </w:r>
      <w:bookmarkEnd w:id="534"/>
    </w:p>
    <w:p>
      <w:pPr>
        <w:spacing w:before="156" w:beforeLines="50" w:after="156" w:afterLines="50" w:line="240" w:lineRule="auto"/>
        <w:ind w:firstLine="0" w:firstLineChars="0"/>
        <w:jc w:val="left"/>
        <w:rPr>
          <w:b/>
          <w:color w:val="auto"/>
          <w:szCs w:val="21"/>
        </w:rPr>
      </w:pPr>
    </w:p>
    <w:p>
      <w:pPr>
        <w:spacing w:before="156" w:beforeLines="50" w:after="156" w:afterLines="50" w:line="240" w:lineRule="auto"/>
        <w:ind w:firstLine="0" w:firstLineChars="0"/>
        <w:jc w:val="left"/>
        <w:rPr>
          <w:b/>
          <w:color w:val="auto"/>
          <w:szCs w:val="21"/>
        </w:rPr>
      </w:pPr>
      <w:r>
        <w:rPr>
          <w:color w:val="auto"/>
        </w:rPr>
        <w:drawing>
          <wp:inline distT="0" distB="0" distL="114300" distR="114300">
            <wp:extent cx="5532755" cy="3455670"/>
            <wp:effectExtent l="0" t="0" r="10795" b="11430"/>
            <wp:docPr id="2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7"/>
                    <pic:cNvPicPr>
                      <a:picLocks noChangeAspect="1"/>
                    </pic:cNvPicPr>
                  </pic:nvPicPr>
                  <pic:blipFill>
                    <a:blip r:embed="rId54"/>
                    <a:stretch>
                      <a:fillRect/>
                    </a:stretch>
                  </pic:blipFill>
                  <pic:spPr>
                    <a:xfrm>
                      <a:off x="0" y="0"/>
                      <a:ext cx="5532755" cy="3455670"/>
                    </a:xfrm>
                    <a:prstGeom prst="rect">
                      <a:avLst/>
                    </a:prstGeom>
                    <a:noFill/>
                    <a:ln>
                      <a:noFill/>
                    </a:ln>
                  </pic:spPr>
                </pic:pic>
              </a:graphicData>
            </a:graphic>
          </wp:inline>
        </w:drawing>
      </w:r>
    </w:p>
    <w:p>
      <w:pPr>
        <w:spacing w:before="156" w:beforeLines="50" w:after="156" w:afterLines="50" w:line="240" w:lineRule="auto"/>
        <w:ind w:firstLine="0" w:firstLineChars="0"/>
        <w:jc w:val="center"/>
        <w:rPr>
          <w:color w:val="auto"/>
        </w:rPr>
      </w:pPr>
      <w:r>
        <w:rPr>
          <w:b/>
          <w:color w:val="auto"/>
          <w:szCs w:val="21"/>
        </w:rPr>
        <w:t>NO</w:t>
      </w:r>
      <w:r>
        <w:rPr>
          <w:b/>
          <w:color w:val="auto"/>
          <w:szCs w:val="21"/>
          <w:vertAlign w:val="subscript"/>
        </w:rPr>
        <w:t>2</w:t>
      </w:r>
      <w:r>
        <w:rPr>
          <w:rFonts w:hint="eastAsia"/>
          <w:b/>
          <w:color w:val="auto"/>
          <w:szCs w:val="21"/>
        </w:rPr>
        <w:t>日均</w:t>
      </w:r>
      <w:r>
        <w:rPr>
          <w:b/>
          <w:color w:val="auto"/>
          <w:szCs w:val="21"/>
        </w:rPr>
        <w:t>浓度贡献值分布图</w:t>
      </w:r>
    </w:p>
    <w:p>
      <w:pPr>
        <w:spacing w:before="156" w:beforeLines="50" w:after="156" w:afterLines="50" w:line="240" w:lineRule="auto"/>
        <w:ind w:firstLine="0" w:firstLineChars="0"/>
        <w:jc w:val="left"/>
        <w:rPr>
          <w:b/>
          <w:color w:val="auto"/>
          <w:szCs w:val="21"/>
        </w:rPr>
      </w:pPr>
      <w:r>
        <w:rPr>
          <w:color w:val="auto"/>
        </w:rPr>
        <w:drawing>
          <wp:inline distT="0" distB="0" distL="114300" distR="114300">
            <wp:extent cx="5532755" cy="3455670"/>
            <wp:effectExtent l="0" t="0" r="10795" b="11430"/>
            <wp:docPr id="2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8"/>
                    <pic:cNvPicPr>
                      <a:picLocks noChangeAspect="1"/>
                    </pic:cNvPicPr>
                  </pic:nvPicPr>
                  <pic:blipFill>
                    <a:blip r:embed="rId55"/>
                    <a:stretch>
                      <a:fillRect/>
                    </a:stretch>
                  </pic:blipFill>
                  <pic:spPr>
                    <a:xfrm>
                      <a:off x="0" y="0"/>
                      <a:ext cx="5532755" cy="3455670"/>
                    </a:xfrm>
                    <a:prstGeom prst="rect">
                      <a:avLst/>
                    </a:prstGeom>
                    <a:noFill/>
                    <a:ln>
                      <a:noFill/>
                    </a:ln>
                  </pic:spPr>
                </pic:pic>
              </a:graphicData>
            </a:graphic>
          </wp:inline>
        </w:drawing>
      </w:r>
    </w:p>
    <w:p>
      <w:pPr>
        <w:spacing w:before="156" w:beforeLines="50" w:after="156" w:afterLines="50" w:line="240" w:lineRule="auto"/>
        <w:ind w:left="480" w:leftChars="200" w:firstLine="0" w:firstLineChars="0"/>
        <w:jc w:val="center"/>
        <w:rPr>
          <w:b/>
          <w:color w:val="auto"/>
          <w:szCs w:val="21"/>
        </w:rPr>
      </w:pPr>
      <w:r>
        <w:rPr>
          <w:b/>
          <w:color w:val="auto"/>
          <w:szCs w:val="21"/>
        </w:rPr>
        <w:t>NO</w:t>
      </w:r>
      <w:r>
        <w:rPr>
          <w:b/>
          <w:color w:val="auto"/>
          <w:szCs w:val="21"/>
          <w:vertAlign w:val="subscript"/>
        </w:rPr>
        <w:t>2</w:t>
      </w:r>
      <w:r>
        <w:rPr>
          <w:rFonts w:hint="eastAsia"/>
          <w:b/>
          <w:color w:val="auto"/>
          <w:szCs w:val="21"/>
        </w:rPr>
        <w:t>年均</w:t>
      </w:r>
      <w:r>
        <w:rPr>
          <w:b/>
          <w:color w:val="auto"/>
          <w:szCs w:val="21"/>
        </w:rPr>
        <w:t>浓度贡献值分布图</w:t>
      </w:r>
    </w:p>
    <w:p>
      <w:pPr>
        <w:spacing w:before="156" w:beforeLines="50" w:after="156" w:afterLines="50" w:line="240" w:lineRule="auto"/>
        <w:ind w:left="480" w:leftChars="200" w:firstLine="0" w:firstLineChars="0"/>
        <w:jc w:val="center"/>
        <w:rPr>
          <w:b/>
          <w:color w:val="auto"/>
          <w:szCs w:val="21"/>
        </w:rPr>
      </w:pPr>
    </w:p>
    <w:p>
      <w:pPr>
        <w:spacing w:before="156" w:beforeLines="50" w:after="156" w:afterLines="50" w:line="240" w:lineRule="auto"/>
        <w:ind w:left="480" w:leftChars="200" w:firstLine="0" w:firstLineChars="0"/>
        <w:jc w:val="center"/>
        <w:rPr>
          <w:b/>
          <w:color w:val="auto"/>
          <w:szCs w:val="21"/>
        </w:rPr>
      </w:pPr>
    </w:p>
    <w:p>
      <w:pPr>
        <w:spacing w:before="156" w:beforeLines="50" w:after="156" w:afterLines="50" w:line="240" w:lineRule="auto"/>
        <w:ind w:left="480" w:leftChars="200" w:firstLine="0" w:firstLineChars="0"/>
        <w:jc w:val="center"/>
        <w:rPr>
          <w:b/>
          <w:color w:val="auto"/>
          <w:szCs w:val="21"/>
        </w:rPr>
      </w:pPr>
      <w:r>
        <w:rPr>
          <w:b/>
          <w:color w:val="auto"/>
          <w:szCs w:val="21"/>
        </w:rPr>
        <w:t>5.2-22拟建工程PM</w:t>
      </w:r>
      <w:r>
        <w:rPr>
          <w:b/>
          <w:color w:val="auto"/>
          <w:szCs w:val="21"/>
          <w:vertAlign w:val="subscript"/>
        </w:rPr>
        <w:t>10</w:t>
      </w:r>
      <w:r>
        <w:rPr>
          <w:b/>
          <w:color w:val="auto"/>
          <w:szCs w:val="21"/>
        </w:rPr>
        <w:t>浓度贡献预测结果一览表      单位：mg/m</w:t>
      </w:r>
      <w:r>
        <w:rPr>
          <w:b/>
          <w:color w:val="auto"/>
          <w:szCs w:val="21"/>
          <w:vertAlign w:val="superscript"/>
        </w:rPr>
        <w:t>3</w:t>
      </w:r>
    </w:p>
    <w:tbl>
      <w:tblPr>
        <w:tblStyle w:val="27"/>
        <w:tblW w:w="4996"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590"/>
        <w:gridCol w:w="1449"/>
        <w:gridCol w:w="1112"/>
        <w:gridCol w:w="1112"/>
        <w:gridCol w:w="1435"/>
        <w:gridCol w:w="915"/>
        <w:gridCol w:w="1180"/>
        <w:gridCol w:w="930"/>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38"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序号</w:t>
            </w:r>
          </w:p>
        </w:tc>
        <w:tc>
          <w:tcPr>
            <w:tcW w:w="830"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名称</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平均时间</w:t>
            </w:r>
          </w:p>
        </w:tc>
        <w:tc>
          <w:tcPr>
            <w:tcW w:w="637"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浓度增量</w:t>
            </w:r>
          </w:p>
          <w:p>
            <w:pPr>
              <w:spacing w:line="240" w:lineRule="auto"/>
              <w:ind w:firstLine="0" w:firstLineChars="0"/>
              <w:jc w:val="center"/>
              <w:rPr>
                <w:color w:val="auto"/>
                <w:sz w:val="21"/>
                <w:szCs w:val="21"/>
                <w:lang w:val="zh-CN"/>
              </w:rPr>
            </w:pPr>
            <w:r>
              <w:rPr>
                <w:color w:val="auto"/>
                <w:sz w:val="21"/>
                <w:szCs w:val="21"/>
                <w:lang w:val="zh-CN"/>
              </w:rPr>
              <w:t>(mg/m3)</w:t>
            </w:r>
          </w:p>
        </w:tc>
        <w:tc>
          <w:tcPr>
            <w:tcW w:w="822"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出现时间(YYMMDDHH)</w:t>
            </w:r>
          </w:p>
        </w:tc>
        <w:tc>
          <w:tcPr>
            <w:tcW w:w="524"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评价标准(mg/m3)</w:t>
            </w:r>
          </w:p>
        </w:tc>
        <w:tc>
          <w:tcPr>
            <w:tcW w:w="676"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占标率%</w:t>
            </w:r>
          </w:p>
        </w:tc>
        <w:tc>
          <w:tcPr>
            <w:tcW w:w="53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是否超标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87" w:hRule="atLeast"/>
          <w:jc w:val="center"/>
        </w:trPr>
        <w:tc>
          <w:tcPr>
            <w:tcW w:w="338"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1</w:t>
            </w:r>
          </w:p>
        </w:tc>
        <w:tc>
          <w:tcPr>
            <w:tcW w:w="830" w:type="pct"/>
            <w:vMerge w:val="restart"/>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rPr>
              <w:t>七王庙村</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2.37E-05</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19022709</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4.50E-01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0.01</w:t>
            </w:r>
          </w:p>
        </w:tc>
        <w:tc>
          <w:tcPr>
            <w:tcW w:w="53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54"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lang w:val="zh-CN"/>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1.58E-06</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190113</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7"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lang w:val="zh-CN"/>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1.60E-07</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7.00E-02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76" w:hRule="atLeast"/>
          <w:jc w:val="center"/>
        </w:trPr>
        <w:tc>
          <w:tcPr>
            <w:tcW w:w="338"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2</w:t>
            </w:r>
          </w:p>
        </w:tc>
        <w:tc>
          <w:tcPr>
            <w:tcW w:w="830" w:type="pct"/>
            <w:vMerge w:val="restart"/>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rPr>
              <w:t>于屯村</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1.54E-05</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19032003</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4.50E-01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4"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lang w:val="zh-CN"/>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7.60E-07</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190126</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57"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lang w:val="zh-CN"/>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9.00E-08</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7.00E-02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91" w:hRule="atLeast"/>
          <w:jc w:val="center"/>
        </w:trPr>
        <w:tc>
          <w:tcPr>
            <w:tcW w:w="338"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3</w:t>
            </w:r>
          </w:p>
        </w:tc>
        <w:tc>
          <w:tcPr>
            <w:tcW w:w="830" w:type="pct"/>
            <w:vMerge w:val="restart"/>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rPr>
              <w:t>东高城村</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2.21E-05</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19052922</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4.50E-01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34"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lang w:val="zh-CN"/>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1.47E-06</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191024</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7"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lang w:val="zh-CN"/>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2.40E-07</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7.00E-02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6" w:hRule="atLeast"/>
          <w:jc w:val="center"/>
        </w:trPr>
        <w:tc>
          <w:tcPr>
            <w:tcW w:w="338"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4</w:t>
            </w:r>
          </w:p>
        </w:tc>
        <w:tc>
          <w:tcPr>
            <w:tcW w:w="830" w:type="pct"/>
            <w:vMerge w:val="restart"/>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rPr>
              <w:t>前吕寨村</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1.23E-05</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19120916</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4.50E-01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85"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lang w:val="zh-CN"/>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7.30E-07</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190106</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6"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lang w:val="zh-CN"/>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7.00E-08</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7.00E-02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45" w:hRule="atLeast"/>
          <w:jc w:val="center"/>
        </w:trPr>
        <w:tc>
          <w:tcPr>
            <w:tcW w:w="338"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5</w:t>
            </w:r>
          </w:p>
        </w:tc>
        <w:tc>
          <w:tcPr>
            <w:tcW w:w="830" w:type="pct"/>
            <w:vMerge w:val="restart"/>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rPr>
              <w:t>后吕寨村</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1.62E-05</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19011315</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4.50E-01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00"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lang w:val="zh-CN"/>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9.40E-07</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190517</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51"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lang w:val="zh-CN"/>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9.00E-08</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7.00E-02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85" w:hRule="atLeast"/>
          <w:jc w:val="center"/>
        </w:trPr>
        <w:tc>
          <w:tcPr>
            <w:tcW w:w="338"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6</w:t>
            </w:r>
          </w:p>
        </w:tc>
        <w:tc>
          <w:tcPr>
            <w:tcW w:w="830"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梨园村</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1.52E-05</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19050907</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4.50E-01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40"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1.13E-06</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190517</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1"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1.40E-07</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7.00E-02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21" w:hRule="atLeast"/>
          <w:jc w:val="center"/>
        </w:trPr>
        <w:tc>
          <w:tcPr>
            <w:tcW w:w="338"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7</w:t>
            </w:r>
          </w:p>
        </w:tc>
        <w:tc>
          <w:tcPr>
            <w:tcW w:w="830"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后坡村</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1.16E-05</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19083102</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4.50E-01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25"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6.50E-07</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190831</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26"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6.00E-08</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7.00E-02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86" w:hRule="atLeast"/>
          <w:jc w:val="center"/>
        </w:trPr>
        <w:tc>
          <w:tcPr>
            <w:tcW w:w="338"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8</w:t>
            </w:r>
          </w:p>
        </w:tc>
        <w:tc>
          <w:tcPr>
            <w:tcW w:w="830"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中坡村</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1.13E-05</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19042520</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4.50E-01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40"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7.20E-07</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190919</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1"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7.00E-08</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7.00E-02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87" w:hRule="atLeast"/>
          <w:jc w:val="center"/>
        </w:trPr>
        <w:tc>
          <w:tcPr>
            <w:tcW w:w="338"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9</w:t>
            </w:r>
          </w:p>
        </w:tc>
        <w:tc>
          <w:tcPr>
            <w:tcW w:w="830"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李楼村</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1.74E-05</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19091823</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4.50E-01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43"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1.05E-06</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191209</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08"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1.00E-07</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7.00E-02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0" w:hRule="atLeast"/>
          <w:jc w:val="center"/>
        </w:trPr>
        <w:tc>
          <w:tcPr>
            <w:tcW w:w="338"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10</w:t>
            </w:r>
          </w:p>
        </w:tc>
        <w:tc>
          <w:tcPr>
            <w:tcW w:w="830"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桑园村</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2.26E-05</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19032901</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4.50E-01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0.01</w:t>
            </w:r>
          </w:p>
        </w:tc>
        <w:tc>
          <w:tcPr>
            <w:tcW w:w="53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8"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1.70E-06</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191124</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83"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1.70E-07</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7.00E-02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3" w:hRule="atLeast"/>
          <w:jc w:val="center"/>
        </w:trPr>
        <w:tc>
          <w:tcPr>
            <w:tcW w:w="338"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11</w:t>
            </w:r>
          </w:p>
        </w:tc>
        <w:tc>
          <w:tcPr>
            <w:tcW w:w="830"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老王庄村</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5.48E-05</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19020908</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4.50E-01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0.01</w:t>
            </w:r>
          </w:p>
        </w:tc>
        <w:tc>
          <w:tcPr>
            <w:tcW w:w="53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45"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3.50E-06</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191014</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06"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4.60E-07</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7.00E-02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79" w:hRule="atLeast"/>
          <w:jc w:val="center"/>
        </w:trPr>
        <w:tc>
          <w:tcPr>
            <w:tcW w:w="338"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12</w:t>
            </w:r>
          </w:p>
        </w:tc>
        <w:tc>
          <w:tcPr>
            <w:tcW w:w="830"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冯寨村</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2.06E-05</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19122411</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4.50E-01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35"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1.08E-06</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190113</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6"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1.00E-07</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7.00E-02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57" w:hRule="atLeast"/>
          <w:jc w:val="center"/>
        </w:trPr>
        <w:tc>
          <w:tcPr>
            <w:tcW w:w="338"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13</w:t>
            </w:r>
          </w:p>
        </w:tc>
        <w:tc>
          <w:tcPr>
            <w:tcW w:w="830"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东郭集村</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1.71E-05</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19020511</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4.50E-01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87"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9.20E-07</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191204</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2"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8.00E-08</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7.00E-02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8" w:hRule="atLeast"/>
          <w:jc w:val="center"/>
        </w:trPr>
        <w:tc>
          <w:tcPr>
            <w:tcW w:w="338"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14</w:t>
            </w:r>
          </w:p>
        </w:tc>
        <w:tc>
          <w:tcPr>
            <w:tcW w:w="830"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柳寨村</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1.43E-05</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19031022</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4.50E-01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71"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5.90E-07</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190101</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9"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5.00E-08</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7.00E-02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4" w:hRule="atLeast"/>
          <w:jc w:val="center"/>
        </w:trPr>
        <w:tc>
          <w:tcPr>
            <w:tcW w:w="338"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15</w:t>
            </w:r>
          </w:p>
        </w:tc>
        <w:tc>
          <w:tcPr>
            <w:tcW w:w="830"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安寨村</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5.25E-05</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19122011</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4.50E-01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0.01</w:t>
            </w:r>
          </w:p>
        </w:tc>
        <w:tc>
          <w:tcPr>
            <w:tcW w:w="53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95"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3.29E-06</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190324</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0"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4.70E-07</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7.00E-02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51" w:hRule="atLeast"/>
          <w:jc w:val="center"/>
        </w:trPr>
        <w:tc>
          <w:tcPr>
            <w:tcW w:w="338"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16</w:t>
            </w:r>
          </w:p>
        </w:tc>
        <w:tc>
          <w:tcPr>
            <w:tcW w:w="830"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东草庙村</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2.53E-05</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19050724</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4.50E-01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0.01</w:t>
            </w:r>
          </w:p>
        </w:tc>
        <w:tc>
          <w:tcPr>
            <w:tcW w:w="53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6"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1.78E-06</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190219</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82"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2.60E-07</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7.00E-02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10" w:hRule="atLeast"/>
          <w:jc w:val="center"/>
        </w:trPr>
        <w:tc>
          <w:tcPr>
            <w:tcW w:w="338"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17</w:t>
            </w:r>
          </w:p>
        </w:tc>
        <w:tc>
          <w:tcPr>
            <w:tcW w:w="830"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中草庙村</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3.02E-05</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19110922</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4.50E-01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0.01</w:t>
            </w:r>
          </w:p>
        </w:tc>
        <w:tc>
          <w:tcPr>
            <w:tcW w:w="53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88"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2.64E-06</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190404</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89" w:hRule="atLeast"/>
          <w:jc w:val="center"/>
        </w:trPr>
        <w:tc>
          <w:tcPr>
            <w:tcW w:w="338" w:type="pct"/>
            <w:vMerge w:val="continue"/>
            <w:tcBorders>
              <w:tl2br w:val="nil"/>
              <w:tr2bl w:val="nil"/>
            </w:tcBorders>
            <w:vAlign w:val="center"/>
          </w:tcPr>
          <w:p>
            <w:pPr>
              <w:spacing w:line="240" w:lineRule="auto"/>
              <w:ind w:firstLine="0" w:firstLineChars="0"/>
              <w:jc w:val="center"/>
              <w:rPr>
                <w:color w:val="auto"/>
                <w:sz w:val="21"/>
                <w:szCs w:val="21"/>
              </w:rPr>
            </w:pPr>
          </w:p>
        </w:tc>
        <w:tc>
          <w:tcPr>
            <w:tcW w:w="830" w:type="pct"/>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3.30E-07</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7.00E-02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45" w:hRule="atLeast"/>
          <w:jc w:val="center"/>
        </w:trPr>
        <w:tc>
          <w:tcPr>
            <w:tcW w:w="1168" w:type="pct"/>
            <w:gridSpan w:val="2"/>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网格</w:t>
            </w: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8.07E-05</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19121515</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4.50E-01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0.02</w:t>
            </w:r>
          </w:p>
        </w:tc>
        <w:tc>
          <w:tcPr>
            <w:tcW w:w="53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87" w:hRule="atLeast"/>
          <w:jc w:val="center"/>
        </w:trPr>
        <w:tc>
          <w:tcPr>
            <w:tcW w:w="1168" w:type="pct"/>
            <w:gridSpan w:val="2"/>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6.73E-06</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190115</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1.50E-01</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4" w:hRule="atLeast"/>
          <w:jc w:val="center"/>
        </w:trPr>
        <w:tc>
          <w:tcPr>
            <w:tcW w:w="1168" w:type="pct"/>
            <w:gridSpan w:val="2"/>
            <w:vMerge w:val="continue"/>
            <w:tcBorders>
              <w:tl2br w:val="nil"/>
              <w:tr2bl w:val="nil"/>
            </w:tcBorders>
            <w:vAlign w:val="center"/>
          </w:tcPr>
          <w:p>
            <w:pPr>
              <w:spacing w:line="240" w:lineRule="auto"/>
              <w:ind w:firstLine="0" w:firstLineChars="0"/>
              <w:jc w:val="center"/>
              <w:rPr>
                <w:color w:val="auto"/>
                <w:sz w:val="21"/>
                <w:szCs w:val="21"/>
              </w:rPr>
            </w:pPr>
          </w:p>
        </w:tc>
        <w:tc>
          <w:tcPr>
            <w:tcW w:w="6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1112"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8.70E-07</w:t>
            </w:r>
          </w:p>
        </w:tc>
        <w:tc>
          <w:tcPr>
            <w:tcW w:w="143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915"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7.00E-02</w:t>
            </w:r>
          </w:p>
        </w:tc>
        <w:tc>
          <w:tcPr>
            <w:tcW w:w="11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33"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bl>
    <w:p>
      <w:pPr>
        <w:spacing w:before="156" w:beforeLines="50" w:after="156" w:afterLines="50" w:line="240" w:lineRule="auto"/>
        <w:ind w:firstLine="0" w:firstLineChars="0"/>
        <w:jc w:val="center"/>
        <w:rPr>
          <w:b/>
          <w:color w:val="auto"/>
          <w:szCs w:val="21"/>
        </w:rPr>
      </w:pPr>
      <w:r>
        <w:rPr>
          <w:color w:val="auto"/>
        </w:rPr>
        <w:drawing>
          <wp:inline distT="0" distB="0" distL="114300" distR="114300">
            <wp:extent cx="5534025" cy="3482340"/>
            <wp:effectExtent l="0" t="0" r="9525" b="3810"/>
            <wp:docPr id="2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9"/>
                    <pic:cNvPicPr>
                      <a:picLocks noChangeAspect="1"/>
                    </pic:cNvPicPr>
                  </pic:nvPicPr>
                  <pic:blipFill>
                    <a:blip r:embed="rId56"/>
                    <a:stretch>
                      <a:fillRect/>
                    </a:stretch>
                  </pic:blipFill>
                  <pic:spPr>
                    <a:xfrm>
                      <a:off x="0" y="0"/>
                      <a:ext cx="5534025" cy="3482340"/>
                    </a:xfrm>
                    <a:prstGeom prst="rect">
                      <a:avLst/>
                    </a:prstGeom>
                    <a:noFill/>
                    <a:ln>
                      <a:noFill/>
                    </a:ln>
                  </pic:spPr>
                </pic:pic>
              </a:graphicData>
            </a:graphic>
          </wp:inline>
        </w:drawing>
      </w:r>
      <w:r>
        <w:rPr>
          <w:b/>
          <w:color w:val="auto"/>
          <w:szCs w:val="21"/>
        </w:rPr>
        <w:t>PM</w:t>
      </w:r>
      <w:r>
        <w:rPr>
          <w:b/>
          <w:color w:val="auto"/>
          <w:szCs w:val="21"/>
          <w:vertAlign w:val="subscript"/>
        </w:rPr>
        <w:t>10</w:t>
      </w:r>
      <w:r>
        <w:rPr>
          <w:b/>
          <w:color w:val="auto"/>
          <w:szCs w:val="21"/>
        </w:rPr>
        <w:t>小时浓度贡献值分布图</w:t>
      </w:r>
    </w:p>
    <w:p>
      <w:pPr>
        <w:spacing w:before="156" w:beforeLines="50" w:after="156" w:afterLines="50" w:line="240" w:lineRule="auto"/>
        <w:ind w:firstLine="0" w:firstLineChars="0"/>
        <w:jc w:val="left"/>
        <w:rPr>
          <w:b/>
          <w:color w:val="auto"/>
          <w:szCs w:val="21"/>
        </w:rPr>
      </w:pPr>
      <w:r>
        <w:rPr>
          <w:color w:val="auto"/>
        </w:rPr>
        <w:drawing>
          <wp:inline distT="0" distB="0" distL="114300" distR="114300">
            <wp:extent cx="5532755" cy="3455670"/>
            <wp:effectExtent l="0" t="0" r="10795" b="11430"/>
            <wp:docPr id="2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0"/>
                    <pic:cNvPicPr>
                      <a:picLocks noChangeAspect="1"/>
                    </pic:cNvPicPr>
                  </pic:nvPicPr>
                  <pic:blipFill>
                    <a:blip r:embed="rId57"/>
                    <a:stretch>
                      <a:fillRect/>
                    </a:stretch>
                  </pic:blipFill>
                  <pic:spPr>
                    <a:xfrm>
                      <a:off x="0" y="0"/>
                      <a:ext cx="5532755" cy="3455670"/>
                    </a:xfrm>
                    <a:prstGeom prst="rect">
                      <a:avLst/>
                    </a:prstGeom>
                    <a:noFill/>
                    <a:ln>
                      <a:noFill/>
                    </a:ln>
                  </pic:spPr>
                </pic:pic>
              </a:graphicData>
            </a:graphic>
          </wp:inline>
        </w:drawing>
      </w:r>
    </w:p>
    <w:p>
      <w:pPr>
        <w:spacing w:before="156" w:beforeLines="50" w:after="156" w:afterLines="50" w:line="240" w:lineRule="auto"/>
        <w:ind w:firstLine="0" w:firstLineChars="0"/>
        <w:jc w:val="center"/>
        <w:rPr>
          <w:color w:val="auto"/>
        </w:rPr>
      </w:pPr>
      <w:r>
        <w:rPr>
          <w:b/>
          <w:color w:val="auto"/>
          <w:szCs w:val="21"/>
        </w:rPr>
        <w:t>PM</w:t>
      </w:r>
      <w:r>
        <w:rPr>
          <w:b/>
          <w:color w:val="auto"/>
          <w:szCs w:val="21"/>
          <w:vertAlign w:val="subscript"/>
        </w:rPr>
        <w:t>10</w:t>
      </w:r>
      <w:r>
        <w:rPr>
          <w:rFonts w:hint="eastAsia"/>
          <w:b/>
          <w:color w:val="auto"/>
          <w:szCs w:val="21"/>
        </w:rPr>
        <w:t>日均</w:t>
      </w:r>
      <w:r>
        <w:rPr>
          <w:b/>
          <w:color w:val="auto"/>
          <w:szCs w:val="21"/>
        </w:rPr>
        <w:t>浓度贡献值分布图</w:t>
      </w:r>
    </w:p>
    <w:p>
      <w:pPr>
        <w:spacing w:before="156" w:beforeLines="50" w:after="156" w:afterLines="50" w:line="240" w:lineRule="auto"/>
        <w:ind w:firstLine="0" w:firstLineChars="0"/>
        <w:jc w:val="left"/>
        <w:rPr>
          <w:b/>
          <w:color w:val="auto"/>
          <w:szCs w:val="21"/>
        </w:rPr>
      </w:pPr>
      <w:r>
        <w:rPr>
          <w:color w:val="auto"/>
        </w:rPr>
        <w:drawing>
          <wp:inline distT="0" distB="0" distL="114300" distR="114300">
            <wp:extent cx="5532755" cy="3455670"/>
            <wp:effectExtent l="0" t="0" r="10795" b="11430"/>
            <wp:docPr id="2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1"/>
                    <pic:cNvPicPr>
                      <a:picLocks noChangeAspect="1"/>
                    </pic:cNvPicPr>
                  </pic:nvPicPr>
                  <pic:blipFill>
                    <a:blip r:embed="rId58"/>
                    <a:stretch>
                      <a:fillRect/>
                    </a:stretch>
                  </pic:blipFill>
                  <pic:spPr>
                    <a:xfrm>
                      <a:off x="0" y="0"/>
                      <a:ext cx="5532755" cy="3455670"/>
                    </a:xfrm>
                    <a:prstGeom prst="rect">
                      <a:avLst/>
                    </a:prstGeom>
                    <a:noFill/>
                    <a:ln>
                      <a:noFill/>
                    </a:ln>
                  </pic:spPr>
                </pic:pic>
              </a:graphicData>
            </a:graphic>
          </wp:inline>
        </w:drawing>
      </w:r>
    </w:p>
    <w:p>
      <w:pPr>
        <w:spacing w:before="156" w:beforeLines="50" w:after="156" w:afterLines="50" w:line="240" w:lineRule="auto"/>
        <w:ind w:left="480" w:leftChars="200" w:firstLine="0" w:firstLineChars="0"/>
        <w:jc w:val="center"/>
        <w:rPr>
          <w:b/>
          <w:color w:val="auto"/>
          <w:szCs w:val="21"/>
        </w:rPr>
      </w:pPr>
      <w:r>
        <w:rPr>
          <w:b/>
          <w:color w:val="auto"/>
          <w:szCs w:val="21"/>
        </w:rPr>
        <w:t>PM</w:t>
      </w:r>
      <w:r>
        <w:rPr>
          <w:b/>
          <w:color w:val="auto"/>
          <w:szCs w:val="21"/>
          <w:vertAlign w:val="subscript"/>
        </w:rPr>
        <w:t>10</w:t>
      </w:r>
      <w:r>
        <w:rPr>
          <w:rFonts w:hint="eastAsia"/>
          <w:b/>
          <w:color w:val="auto"/>
          <w:szCs w:val="21"/>
        </w:rPr>
        <w:t>年均</w:t>
      </w:r>
      <w:r>
        <w:rPr>
          <w:b/>
          <w:color w:val="auto"/>
          <w:szCs w:val="21"/>
        </w:rPr>
        <w:t>浓度贡献值分布图</w:t>
      </w:r>
    </w:p>
    <w:p>
      <w:pPr>
        <w:spacing w:before="156" w:beforeLines="50" w:after="156" w:afterLines="50" w:line="240" w:lineRule="auto"/>
        <w:ind w:left="480" w:leftChars="200" w:firstLine="0" w:firstLineChars="0"/>
        <w:jc w:val="left"/>
        <w:rPr>
          <w:b/>
          <w:color w:val="auto"/>
          <w:szCs w:val="21"/>
        </w:rPr>
      </w:pPr>
    </w:p>
    <w:p>
      <w:pPr>
        <w:spacing w:before="156" w:beforeLines="50" w:after="156" w:afterLines="50" w:line="240" w:lineRule="auto"/>
        <w:ind w:left="480" w:leftChars="200" w:firstLine="0" w:firstLineChars="0"/>
        <w:jc w:val="left"/>
        <w:rPr>
          <w:b/>
          <w:color w:val="auto"/>
          <w:szCs w:val="21"/>
        </w:rPr>
      </w:pPr>
    </w:p>
    <w:p>
      <w:pPr>
        <w:spacing w:before="156" w:beforeLines="50" w:after="156" w:afterLines="50" w:line="240" w:lineRule="auto"/>
        <w:ind w:left="480" w:leftChars="200" w:firstLine="0" w:firstLineChars="0"/>
        <w:jc w:val="left"/>
        <w:rPr>
          <w:b/>
          <w:color w:val="auto"/>
          <w:szCs w:val="21"/>
        </w:rPr>
      </w:pPr>
      <w:r>
        <w:rPr>
          <w:b/>
          <w:color w:val="auto"/>
          <w:szCs w:val="21"/>
        </w:rPr>
        <w:t>5.2-24拟建工程NH</w:t>
      </w:r>
      <w:r>
        <w:rPr>
          <w:b/>
          <w:color w:val="auto"/>
          <w:szCs w:val="21"/>
          <w:vertAlign w:val="subscript"/>
        </w:rPr>
        <w:t>3</w:t>
      </w:r>
      <w:r>
        <w:rPr>
          <w:b/>
          <w:color w:val="auto"/>
          <w:szCs w:val="21"/>
        </w:rPr>
        <w:t>小时浓度贡献预测结果一览表       单位：mg/m</w:t>
      </w:r>
      <w:r>
        <w:rPr>
          <w:b/>
          <w:color w:val="auto"/>
          <w:szCs w:val="21"/>
          <w:vertAlign w:val="superscript"/>
        </w:rPr>
        <w:t>3</w:t>
      </w:r>
    </w:p>
    <w:tbl>
      <w:tblPr>
        <w:tblStyle w:val="27"/>
        <w:tblW w:w="4997"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596"/>
        <w:gridCol w:w="1444"/>
        <w:gridCol w:w="1114"/>
        <w:gridCol w:w="1114"/>
        <w:gridCol w:w="1114"/>
        <w:gridCol w:w="859"/>
        <w:gridCol w:w="1373"/>
        <w:gridCol w:w="1111"/>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41" w:type="pct"/>
            <w:vAlign w:val="center"/>
          </w:tcPr>
          <w:p>
            <w:pPr>
              <w:kinsoku w:val="0"/>
              <w:overflowPunct w:val="0"/>
              <w:autoSpaceDE w:val="0"/>
              <w:autoSpaceDN w:val="0"/>
              <w:spacing w:line="240" w:lineRule="auto"/>
              <w:ind w:firstLine="0" w:firstLineChars="0"/>
              <w:jc w:val="center"/>
              <w:rPr>
                <w:b/>
                <w:color w:val="auto"/>
                <w:kern w:val="0"/>
                <w:sz w:val="21"/>
                <w:szCs w:val="21"/>
              </w:rPr>
            </w:pPr>
            <w:r>
              <w:rPr>
                <w:b/>
                <w:color w:val="auto"/>
                <w:kern w:val="0"/>
                <w:sz w:val="21"/>
                <w:szCs w:val="21"/>
              </w:rPr>
              <w:t>序号</w:t>
            </w:r>
          </w:p>
        </w:tc>
        <w:tc>
          <w:tcPr>
            <w:tcW w:w="826" w:type="pct"/>
            <w:vAlign w:val="center"/>
          </w:tcPr>
          <w:p>
            <w:pPr>
              <w:kinsoku w:val="0"/>
              <w:overflowPunct w:val="0"/>
              <w:autoSpaceDE w:val="0"/>
              <w:autoSpaceDN w:val="0"/>
              <w:spacing w:line="240" w:lineRule="auto"/>
              <w:ind w:firstLine="0" w:firstLineChars="0"/>
              <w:jc w:val="center"/>
              <w:rPr>
                <w:b/>
                <w:color w:val="auto"/>
                <w:kern w:val="0"/>
                <w:sz w:val="21"/>
                <w:szCs w:val="21"/>
              </w:rPr>
            </w:pPr>
            <w:r>
              <w:rPr>
                <w:b/>
                <w:color w:val="auto"/>
                <w:kern w:val="0"/>
                <w:sz w:val="21"/>
                <w:szCs w:val="21"/>
              </w:rPr>
              <w:t>名称</w:t>
            </w:r>
          </w:p>
        </w:tc>
        <w:tc>
          <w:tcPr>
            <w:tcW w:w="638" w:type="pct"/>
            <w:vAlign w:val="center"/>
          </w:tcPr>
          <w:p>
            <w:pPr>
              <w:kinsoku w:val="0"/>
              <w:overflowPunct w:val="0"/>
              <w:autoSpaceDE w:val="0"/>
              <w:autoSpaceDN w:val="0"/>
              <w:spacing w:line="240" w:lineRule="auto"/>
              <w:ind w:firstLine="0" w:firstLineChars="0"/>
              <w:jc w:val="center"/>
              <w:rPr>
                <w:b/>
                <w:color w:val="auto"/>
                <w:kern w:val="0"/>
                <w:sz w:val="21"/>
                <w:szCs w:val="21"/>
              </w:rPr>
            </w:pPr>
            <w:r>
              <w:rPr>
                <w:b/>
                <w:color w:val="auto"/>
                <w:kern w:val="0"/>
                <w:sz w:val="21"/>
                <w:szCs w:val="21"/>
              </w:rPr>
              <w:t>平均时间</w:t>
            </w:r>
          </w:p>
        </w:tc>
        <w:tc>
          <w:tcPr>
            <w:tcW w:w="638" w:type="pct"/>
            <w:vAlign w:val="center"/>
          </w:tcPr>
          <w:p>
            <w:pPr>
              <w:kinsoku w:val="0"/>
              <w:overflowPunct w:val="0"/>
              <w:autoSpaceDE w:val="0"/>
              <w:autoSpaceDN w:val="0"/>
              <w:spacing w:line="240" w:lineRule="auto"/>
              <w:ind w:firstLine="0" w:firstLineChars="0"/>
              <w:jc w:val="center"/>
              <w:rPr>
                <w:b/>
                <w:color w:val="auto"/>
                <w:kern w:val="0"/>
                <w:sz w:val="21"/>
                <w:szCs w:val="21"/>
              </w:rPr>
            </w:pPr>
            <w:r>
              <w:rPr>
                <w:b/>
                <w:color w:val="auto"/>
                <w:kern w:val="0"/>
                <w:sz w:val="21"/>
                <w:szCs w:val="21"/>
              </w:rPr>
              <w:t>出现时刻</w:t>
            </w:r>
          </w:p>
        </w:tc>
        <w:tc>
          <w:tcPr>
            <w:tcW w:w="638" w:type="pct"/>
            <w:vAlign w:val="center"/>
          </w:tcPr>
          <w:p>
            <w:pPr>
              <w:kinsoku w:val="0"/>
              <w:overflowPunct w:val="0"/>
              <w:autoSpaceDE w:val="0"/>
              <w:autoSpaceDN w:val="0"/>
              <w:spacing w:line="240" w:lineRule="auto"/>
              <w:ind w:firstLine="0" w:firstLineChars="0"/>
              <w:jc w:val="center"/>
              <w:rPr>
                <w:b/>
                <w:color w:val="auto"/>
                <w:kern w:val="0"/>
                <w:sz w:val="21"/>
                <w:szCs w:val="21"/>
              </w:rPr>
            </w:pPr>
            <w:r>
              <w:rPr>
                <w:b/>
                <w:color w:val="auto"/>
                <w:kern w:val="0"/>
                <w:sz w:val="21"/>
                <w:szCs w:val="21"/>
              </w:rPr>
              <w:t>最大贡献值</w:t>
            </w:r>
          </w:p>
        </w:tc>
        <w:tc>
          <w:tcPr>
            <w:tcW w:w="492" w:type="pct"/>
            <w:vAlign w:val="center"/>
          </w:tcPr>
          <w:p>
            <w:pPr>
              <w:kinsoku w:val="0"/>
              <w:overflowPunct w:val="0"/>
              <w:autoSpaceDE w:val="0"/>
              <w:autoSpaceDN w:val="0"/>
              <w:spacing w:line="240" w:lineRule="auto"/>
              <w:ind w:firstLine="0" w:firstLineChars="0"/>
              <w:jc w:val="center"/>
              <w:rPr>
                <w:b/>
                <w:color w:val="auto"/>
                <w:kern w:val="0"/>
                <w:sz w:val="21"/>
                <w:szCs w:val="21"/>
              </w:rPr>
            </w:pPr>
            <w:r>
              <w:rPr>
                <w:b/>
                <w:color w:val="auto"/>
                <w:kern w:val="0"/>
                <w:sz w:val="21"/>
                <w:szCs w:val="21"/>
              </w:rPr>
              <w:t>标准值</w:t>
            </w:r>
          </w:p>
        </w:tc>
        <w:tc>
          <w:tcPr>
            <w:tcW w:w="786" w:type="pct"/>
            <w:vAlign w:val="center"/>
          </w:tcPr>
          <w:p>
            <w:pPr>
              <w:kinsoku w:val="0"/>
              <w:overflowPunct w:val="0"/>
              <w:autoSpaceDE w:val="0"/>
              <w:autoSpaceDN w:val="0"/>
              <w:spacing w:line="240" w:lineRule="auto"/>
              <w:ind w:firstLine="0" w:firstLineChars="0"/>
              <w:jc w:val="center"/>
              <w:rPr>
                <w:b/>
                <w:color w:val="auto"/>
                <w:kern w:val="0"/>
                <w:sz w:val="21"/>
                <w:szCs w:val="21"/>
              </w:rPr>
            </w:pPr>
            <w:r>
              <w:rPr>
                <w:b/>
                <w:color w:val="auto"/>
                <w:kern w:val="0"/>
                <w:sz w:val="21"/>
                <w:szCs w:val="21"/>
              </w:rPr>
              <w:t>占标率（%）</w:t>
            </w:r>
          </w:p>
        </w:tc>
        <w:tc>
          <w:tcPr>
            <w:tcW w:w="636" w:type="pct"/>
            <w:vAlign w:val="center"/>
          </w:tcPr>
          <w:p>
            <w:pPr>
              <w:kinsoku w:val="0"/>
              <w:overflowPunct w:val="0"/>
              <w:autoSpaceDE w:val="0"/>
              <w:autoSpaceDN w:val="0"/>
              <w:spacing w:line="240" w:lineRule="auto"/>
              <w:ind w:firstLine="0" w:firstLineChars="0"/>
              <w:jc w:val="center"/>
              <w:rPr>
                <w:b/>
                <w:color w:val="auto"/>
                <w:kern w:val="0"/>
                <w:sz w:val="21"/>
                <w:szCs w:val="21"/>
              </w:rPr>
            </w:pPr>
            <w:r>
              <w:rPr>
                <w:b/>
                <w:color w:val="auto"/>
                <w:kern w:val="0"/>
                <w:sz w:val="21"/>
                <w:szCs w:val="21"/>
              </w:rPr>
              <w:t>达标情况</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41"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1</w:t>
            </w:r>
          </w:p>
        </w:tc>
        <w:tc>
          <w:tcPr>
            <w:tcW w:w="82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lang w:val="zh-CN"/>
              </w:rPr>
            </w:pPr>
            <w:r>
              <w:rPr>
                <w:rFonts w:hint="eastAsia"/>
                <w:color w:val="auto"/>
                <w:sz w:val="21"/>
                <w:szCs w:val="21"/>
              </w:rPr>
              <w:t>七王庙村</w:t>
            </w:r>
          </w:p>
        </w:tc>
        <w:tc>
          <w:tcPr>
            <w:tcW w:w="638"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1小时</w:t>
            </w:r>
          </w:p>
        </w:tc>
        <w:tc>
          <w:tcPr>
            <w:tcW w:w="1114"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19111021</w:t>
            </w:r>
          </w:p>
        </w:tc>
        <w:tc>
          <w:tcPr>
            <w:tcW w:w="1114"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1.44E-02</w:t>
            </w:r>
          </w:p>
        </w:tc>
        <w:tc>
          <w:tcPr>
            <w:tcW w:w="859"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2.00E-01</w:t>
            </w:r>
          </w:p>
        </w:tc>
        <w:tc>
          <w:tcPr>
            <w:tcW w:w="1373"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7.18</w:t>
            </w:r>
          </w:p>
        </w:tc>
        <w:tc>
          <w:tcPr>
            <w:tcW w:w="636" w:type="pct"/>
            <w:vAlign w:val="center"/>
          </w:tcPr>
          <w:p>
            <w:pPr>
              <w:spacing w:line="240" w:lineRule="auto"/>
              <w:ind w:firstLine="0" w:firstLineChars="0"/>
              <w:jc w:val="center"/>
              <w:rPr>
                <w:rFonts w:hint="eastAsia"/>
                <w:color w:val="auto"/>
                <w:sz w:val="21"/>
                <w:szCs w:val="21"/>
              </w:rPr>
            </w:pPr>
            <w:r>
              <w:rPr>
                <w:rFonts w:hint="eastAsia"/>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41"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2</w:t>
            </w:r>
          </w:p>
        </w:tc>
        <w:tc>
          <w:tcPr>
            <w:tcW w:w="82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lang w:val="zh-CN"/>
              </w:rPr>
            </w:pPr>
            <w:r>
              <w:rPr>
                <w:rFonts w:hint="eastAsia"/>
                <w:color w:val="auto"/>
                <w:sz w:val="21"/>
                <w:szCs w:val="21"/>
              </w:rPr>
              <w:t>于屯村</w:t>
            </w:r>
          </w:p>
        </w:tc>
        <w:tc>
          <w:tcPr>
            <w:tcW w:w="638" w:type="pct"/>
            <w:vAlign w:val="center"/>
          </w:tcPr>
          <w:p>
            <w:pPr>
              <w:spacing w:line="240" w:lineRule="auto"/>
              <w:ind w:firstLine="0" w:firstLineChars="0"/>
              <w:jc w:val="center"/>
              <w:rPr>
                <w:color w:val="auto"/>
                <w:sz w:val="21"/>
                <w:szCs w:val="21"/>
              </w:rPr>
            </w:pPr>
            <w:r>
              <w:rPr>
                <w:color w:val="auto"/>
                <w:sz w:val="21"/>
                <w:szCs w:val="21"/>
              </w:rPr>
              <w:t>1小时</w:t>
            </w:r>
          </w:p>
        </w:tc>
        <w:tc>
          <w:tcPr>
            <w:tcW w:w="1114"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19120509</w:t>
            </w:r>
          </w:p>
        </w:tc>
        <w:tc>
          <w:tcPr>
            <w:tcW w:w="1114"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1.33E-02</w:t>
            </w:r>
          </w:p>
        </w:tc>
        <w:tc>
          <w:tcPr>
            <w:tcW w:w="859"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2.00E-01</w:t>
            </w:r>
          </w:p>
        </w:tc>
        <w:tc>
          <w:tcPr>
            <w:tcW w:w="1373"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6.67</w:t>
            </w:r>
          </w:p>
        </w:tc>
        <w:tc>
          <w:tcPr>
            <w:tcW w:w="636" w:type="pct"/>
            <w:vAlign w:val="center"/>
          </w:tcPr>
          <w:p>
            <w:pPr>
              <w:spacing w:line="240" w:lineRule="auto"/>
              <w:ind w:firstLine="0" w:firstLineChars="0"/>
              <w:jc w:val="center"/>
              <w:rPr>
                <w:rFonts w:hint="eastAsia"/>
                <w:color w:val="auto"/>
                <w:sz w:val="21"/>
                <w:szCs w:val="21"/>
              </w:rPr>
            </w:pPr>
            <w:r>
              <w:rPr>
                <w:rFonts w:hint="eastAsia"/>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41"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3</w:t>
            </w:r>
          </w:p>
        </w:tc>
        <w:tc>
          <w:tcPr>
            <w:tcW w:w="82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lang w:val="zh-CN"/>
              </w:rPr>
            </w:pPr>
            <w:r>
              <w:rPr>
                <w:rFonts w:hint="eastAsia"/>
                <w:color w:val="auto"/>
                <w:sz w:val="21"/>
                <w:szCs w:val="21"/>
              </w:rPr>
              <w:t>东高城村</w:t>
            </w:r>
          </w:p>
        </w:tc>
        <w:tc>
          <w:tcPr>
            <w:tcW w:w="638" w:type="pct"/>
            <w:vAlign w:val="center"/>
          </w:tcPr>
          <w:p>
            <w:pPr>
              <w:spacing w:line="240" w:lineRule="auto"/>
              <w:ind w:firstLine="0" w:firstLineChars="0"/>
              <w:jc w:val="center"/>
              <w:rPr>
                <w:color w:val="auto"/>
                <w:sz w:val="21"/>
                <w:szCs w:val="21"/>
              </w:rPr>
            </w:pPr>
            <w:r>
              <w:rPr>
                <w:color w:val="auto"/>
                <w:sz w:val="21"/>
                <w:szCs w:val="21"/>
              </w:rPr>
              <w:t>1小时</w:t>
            </w:r>
          </w:p>
        </w:tc>
        <w:tc>
          <w:tcPr>
            <w:tcW w:w="1114"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19121824</w:t>
            </w:r>
          </w:p>
        </w:tc>
        <w:tc>
          <w:tcPr>
            <w:tcW w:w="1114"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1.24E-02</w:t>
            </w:r>
          </w:p>
        </w:tc>
        <w:tc>
          <w:tcPr>
            <w:tcW w:w="859"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2.00E-01</w:t>
            </w:r>
          </w:p>
        </w:tc>
        <w:tc>
          <w:tcPr>
            <w:tcW w:w="1373"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6.2</w:t>
            </w:r>
          </w:p>
        </w:tc>
        <w:tc>
          <w:tcPr>
            <w:tcW w:w="636" w:type="pct"/>
            <w:vAlign w:val="center"/>
          </w:tcPr>
          <w:p>
            <w:pPr>
              <w:spacing w:line="240" w:lineRule="auto"/>
              <w:ind w:firstLine="0" w:firstLineChars="0"/>
              <w:jc w:val="center"/>
              <w:rPr>
                <w:rFonts w:hint="eastAsia"/>
                <w:color w:val="auto"/>
                <w:sz w:val="21"/>
                <w:szCs w:val="21"/>
              </w:rPr>
            </w:pPr>
            <w:r>
              <w:rPr>
                <w:rFonts w:hint="eastAsia"/>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41"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4</w:t>
            </w:r>
          </w:p>
        </w:tc>
        <w:tc>
          <w:tcPr>
            <w:tcW w:w="82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lang w:val="zh-CN"/>
              </w:rPr>
            </w:pPr>
            <w:r>
              <w:rPr>
                <w:rFonts w:hint="eastAsia"/>
                <w:color w:val="auto"/>
                <w:sz w:val="21"/>
                <w:szCs w:val="21"/>
              </w:rPr>
              <w:t>前吕寨村</w:t>
            </w:r>
          </w:p>
        </w:tc>
        <w:tc>
          <w:tcPr>
            <w:tcW w:w="638" w:type="pct"/>
            <w:vAlign w:val="center"/>
          </w:tcPr>
          <w:p>
            <w:pPr>
              <w:spacing w:line="240" w:lineRule="auto"/>
              <w:ind w:firstLine="0" w:firstLineChars="0"/>
              <w:jc w:val="center"/>
              <w:rPr>
                <w:color w:val="auto"/>
                <w:sz w:val="21"/>
                <w:szCs w:val="21"/>
              </w:rPr>
            </w:pPr>
            <w:r>
              <w:rPr>
                <w:color w:val="auto"/>
                <w:sz w:val="21"/>
                <w:szCs w:val="21"/>
              </w:rPr>
              <w:t>1小时</w:t>
            </w:r>
          </w:p>
        </w:tc>
        <w:tc>
          <w:tcPr>
            <w:tcW w:w="1114"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19121218</w:t>
            </w:r>
          </w:p>
        </w:tc>
        <w:tc>
          <w:tcPr>
            <w:tcW w:w="1114"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9.19E-03</w:t>
            </w:r>
          </w:p>
        </w:tc>
        <w:tc>
          <w:tcPr>
            <w:tcW w:w="859"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2.00E-01</w:t>
            </w:r>
          </w:p>
        </w:tc>
        <w:tc>
          <w:tcPr>
            <w:tcW w:w="1373"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4.59</w:t>
            </w:r>
          </w:p>
        </w:tc>
        <w:tc>
          <w:tcPr>
            <w:tcW w:w="636" w:type="pct"/>
            <w:vAlign w:val="center"/>
          </w:tcPr>
          <w:p>
            <w:pPr>
              <w:spacing w:line="240" w:lineRule="auto"/>
              <w:ind w:firstLine="0" w:firstLineChars="0"/>
              <w:jc w:val="center"/>
              <w:rPr>
                <w:rFonts w:hint="eastAsia"/>
                <w:color w:val="auto"/>
                <w:sz w:val="21"/>
                <w:szCs w:val="21"/>
              </w:rPr>
            </w:pPr>
            <w:r>
              <w:rPr>
                <w:rFonts w:hint="eastAsia"/>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41"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5</w:t>
            </w:r>
          </w:p>
        </w:tc>
        <w:tc>
          <w:tcPr>
            <w:tcW w:w="82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lang w:val="zh-CN"/>
              </w:rPr>
            </w:pPr>
            <w:r>
              <w:rPr>
                <w:rFonts w:hint="eastAsia"/>
                <w:color w:val="auto"/>
                <w:sz w:val="21"/>
                <w:szCs w:val="21"/>
              </w:rPr>
              <w:t>后吕寨村</w:t>
            </w:r>
          </w:p>
        </w:tc>
        <w:tc>
          <w:tcPr>
            <w:tcW w:w="638" w:type="pct"/>
            <w:vAlign w:val="center"/>
          </w:tcPr>
          <w:p>
            <w:pPr>
              <w:spacing w:line="240" w:lineRule="auto"/>
              <w:ind w:firstLine="0" w:firstLineChars="0"/>
              <w:jc w:val="center"/>
              <w:rPr>
                <w:color w:val="auto"/>
                <w:sz w:val="21"/>
                <w:szCs w:val="21"/>
              </w:rPr>
            </w:pPr>
            <w:r>
              <w:rPr>
                <w:color w:val="auto"/>
                <w:sz w:val="21"/>
                <w:szCs w:val="21"/>
              </w:rPr>
              <w:t>1小时</w:t>
            </w:r>
          </w:p>
        </w:tc>
        <w:tc>
          <w:tcPr>
            <w:tcW w:w="1114"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19021721</w:t>
            </w:r>
          </w:p>
        </w:tc>
        <w:tc>
          <w:tcPr>
            <w:tcW w:w="1114"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1.04E-02</w:t>
            </w:r>
          </w:p>
        </w:tc>
        <w:tc>
          <w:tcPr>
            <w:tcW w:w="859"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2.00E-01</w:t>
            </w:r>
          </w:p>
        </w:tc>
        <w:tc>
          <w:tcPr>
            <w:tcW w:w="1373"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5.21</w:t>
            </w:r>
          </w:p>
        </w:tc>
        <w:tc>
          <w:tcPr>
            <w:tcW w:w="636" w:type="pct"/>
            <w:vAlign w:val="center"/>
          </w:tcPr>
          <w:p>
            <w:pPr>
              <w:spacing w:line="240" w:lineRule="auto"/>
              <w:ind w:firstLine="0" w:firstLineChars="0"/>
              <w:jc w:val="center"/>
              <w:rPr>
                <w:rFonts w:hint="eastAsia"/>
                <w:color w:val="auto"/>
                <w:sz w:val="21"/>
                <w:szCs w:val="21"/>
              </w:rPr>
            </w:pPr>
            <w:r>
              <w:rPr>
                <w:rFonts w:hint="eastAsia"/>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41"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6</w:t>
            </w:r>
          </w:p>
        </w:tc>
        <w:tc>
          <w:tcPr>
            <w:tcW w:w="82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梨园村</w:t>
            </w:r>
          </w:p>
        </w:tc>
        <w:tc>
          <w:tcPr>
            <w:tcW w:w="638" w:type="pct"/>
            <w:vAlign w:val="center"/>
          </w:tcPr>
          <w:p>
            <w:pPr>
              <w:spacing w:line="240" w:lineRule="auto"/>
              <w:ind w:firstLine="0" w:firstLineChars="0"/>
              <w:jc w:val="center"/>
              <w:rPr>
                <w:color w:val="auto"/>
                <w:sz w:val="21"/>
                <w:szCs w:val="21"/>
              </w:rPr>
            </w:pPr>
            <w:r>
              <w:rPr>
                <w:color w:val="auto"/>
                <w:sz w:val="21"/>
                <w:szCs w:val="21"/>
              </w:rPr>
              <w:t>1小时</w:t>
            </w:r>
          </w:p>
        </w:tc>
        <w:tc>
          <w:tcPr>
            <w:tcW w:w="1114"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19122802</w:t>
            </w:r>
          </w:p>
        </w:tc>
        <w:tc>
          <w:tcPr>
            <w:tcW w:w="1114"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1.09E-02</w:t>
            </w:r>
          </w:p>
        </w:tc>
        <w:tc>
          <w:tcPr>
            <w:tcW w:w="859"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2.00E-01</w:t>
            </w:r>
          </w:p>
        </w:tc>
        <w:tc>
          <w:tcPr>
            <w:tcW w:w="1373"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5.43</w:t>
            </w:r>
          </w:p>
        </w:tc>
        <w:tc>
          <w:tcPr>
            <w:tcW w:w="636" w:type="pct"/>
            <w:vAlign w:val="center"/>
          </w:tcPr>
          <w:p>
            <w:pPr>
              <w:spacing w:line="240" w:lineRule="auto"/>
              <w:ind w:firstLine="0" w:firstLineChars="0"/>
              <w:jc w:val="center"/>
              <w:rPr>
                <w:rFonts w:hint="eastAsia"/>
                <w:color w:val="auto"/>
                <w:sz w:val="21"/>
                <w:szCs w:val="21"/>
              </w:rPr>
            </w:pPr>
            <w:r>
              <w:rPr>
                <w:rFonts w:hint="eastAsia"/>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41"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7</w:t>
            </w:r>
          </w:p>
        </w:tc>
        <w:tc>
          <w:tcPr>
            <w:tcW w:w="82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后坡村</w:t>
            </w:r>
          </w:p>
        </w:tc>
        <w:tc>
          <w:tcPr>
            <w:tcW w:w="638" w:type="pct"/>
            <w:vAlign w:val="center"/>
          </w:tcPr>
          <w:p>
            <w:pPr>
              <w:spacing w:line="240" w:lineRule="auto"/>
              <w:ind w:firstLine="0" w:firstLineChars="0"/>
              <w:jc w:val="center"/>
              <w:rPr>
                <w:color w:val="auto"/>
                <w:sz w:val="21"/>
                <w:szCs w:val="21"/>
              </w:rPr>
            </w:pPr>
            <w:r>
              <w:rPr>
                <w:color w:val="auto"/>
                <w:sz w:val="21"/>
                <w:szCs w:val="21"/>
              </w:rPr>
              <w:t>1小时</w:t>
            </w:r>
          </w:p>
        </w:tc>
        <w:tc>
          <w:tcPr>
            <w:tcW w:w="1114"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19100120</w:t>
            </w:r>
          </w:p>
        </w:tc>
        <w:tc>
          <w:tcPr>
            <w:tcW w:w="1114"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1.12E-02</w:t>
            </w:r>
          </w:p>
        </w:tc>
        <w:tc>
          <w:tcPr>
            <w:tcW w:w="859"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2.00E-01</w:t>
            </w:r>
          </w:p>
        </w:tc>
        <w:tc>
          <w:tcPr>
            <w:tcW w:w="1373"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5.58</w:t>
            </w:r>
          </w:p>
        </w:tc>
        <w:tc>
          <w:tcPr>
            <w:tcW w:w="636" w:type="pct"/>
            <w:vAlign w:val="center"/>
          </w:tcPr>
          <w:p>
            <w:pPr>
              <w:spacing w:line="240" w:lineRule="auto"/>
              <w:ind w:firstLine="0" w:firstLineChars="0"/>
              <w:jc w:val="center"/>
              <w:rPr>
                <w:rFonts w:hint="eastAsia"/>
                <w:color w:val="auto"/>
                <w:sz w:val="21"/>
                <w:szCs w:val="21"/>
              </w:rPr>
            </w:pPr>
            <w:r>
              <w:rPr>
                <w:rFonts w:hint="eastAsia"/>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41"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8</w:t>
            </w:r>
          </w:p>
        </w:tc>
        <w:tc>
          <w:tcPr>
            <w:tcW w:w="82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中坡村</w:t>
            </w:r>
          </w:p>
        </w:tc>
        <w:tc>
          <w:tcPr>
            <w:tcW w:w="638" w:type="pct"/>
            <w:vAlign w:val="center"/>
          </w:tcPr>
          <w:p>
            <w:pPr>
              <w:spacing w:line="240" w:lineRule="auto"/>
              <w:ind w:firstLine="0" w:firstLineChars="0"/>
              <w:jc w:val="center"/>
              <w:rPr>
                <w:color w:val="auto"/>
                <w:sz w:val="21"/>
                <w:szCs w:val="21"/>
              </w:rPr>
            </w:pPr>
            <w:r>
              <w:rPr>
                <w:color w:val="auto"/>
                <w:sz w:val="21"/>
                <w:szCs w:val="21"/>
              </w:rPr>
              <w:t>1小时</w:t>
            </w:r>
          </w:p>
        </w:tc>
        <w:tc>
          <w:tcPr>
            <w:tcW w:w="1114"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19092323</w:t>
            </w:r>
          </w:p>
        </w:tc>
        <w:tc>
          <w:tcPr>
            <w:tcW w:w="1114"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9.10E-03</w:t>
            </w:r>
          </w:p>
        </w:tc>
        <w:tc>
          <w:tcPr>
            <w:tcW w:w="859"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2.00E-01</w:t>
            </w:r>
          </w:p>
        </w:tc>
        <w:tc>
          <w:tcPr>
            <w:tcW w:w="1373"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4.55</w:t>
            </w:r>
          </w:p>
        </w:tc>
        <w:tc>
          <w:tcPr>
            <w:tcW w:w="636" w:type="pct"/>
            <w:vAlign w:val="center"/>
          </w:tcPr>
          <w:p>
            <w:pPr>
              <w:spacing w:line="240" w:lineRule="auto"/>
              <w:ind w:firstLine="0" w:firstLineChars="0"/>
              <w:jc w:val="center"/>
              <w:rPr>
                <w:rFonts w:hint="eastAsia"/>
                <w:color w:val="auto"/>
                <w:sz w:val="21"/>
                <w:szCs w:val="21"/>
              </w:rPr>
            </w:pPr>
            <w:r>
              <w:rPr>
                <w:rFonts w:hint="eastAsia"/>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41"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9</w:t>
            </w:r>
          </w:p>
        </w:tc>
        <w:tc>
          <w:tcPr>
            <w:tcW w:w="82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李楼村</w:t>
            </w:r>
          </w:p>
        </w:tc>
        <w:tc>
          <w:tcPr>
            <w:tcW w:w="638" w:type="pct"/>
            <w:vAlign w:val="center"/>
          </w:tcPr>
          <w:p>
            <w:pPr>
              <w:spacing w:line="240" w:lineRule="auto"/>
              <w:ind w:firstLine="0" w:firstLineChars="0"/>
              <w:jc w:val="center"/>
              <w:rPr>
                <w:color w:val="auto"/>
                <w:sz w:val="21"/>
                <w:szCs w:val="21"/>
              </w:rPr>
            </w:pPr>
            <w:r>
              <w:rPr>
                <w:color w:val="auto"/>
                <w:sz w:val="21"/>
                <w:szCs w:val="21"/>
              </w:rPr>
              <w:t>1小时</w:t>
            </w:r>
          </w:p>
        </w:tc>
        <w:tc>
          <w:tcPr>
            <w:tcW w:w="1114"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19090621</w:t>
            </w:r>
          </w:p>
        </w:tc>
        <w:tc>
          <w:tcPr>
            <w:tcW w:w="1114"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9.02E-03</w:t>
            </w:r>
          </w:p>
        </w:tc>
        <w:tc>
          <w:tcPr>
            <w:tcW w:w="859"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2.00E-01</w:t>
            </w:r>
          </w:p>
        </w:tc>
        <w:tc>
          <w:tcPr>
            <w:tcW w:w="1373"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4.51</w:t>
            </w:r>
          </w:p>
        </w:tc>
        <w:tc>
          <w:tcPr>
            <w:tcW w:w="636" w:type="pct"/>
            <w:vAlign w:val="center"/>
          </w:tcPr>
          <w:p>
            <w:pPr>
              <w:spacing w:line="240" w:lineRule="auto"/>
              <w:ind w:firstLine="0" w:firstLineChars="0"/>
              <w:jc w:val="center"/>
              <w:rPr>
                <w:rFonts w:hint="eastAsia"/>
                <w:color w:val="auto"/>
                <w:sz w:val="21"/>
                <w:szCs w:val="21"/>
              </w:rPr>
            </w:pPr>
            <w:r>
              <w:rPr>
                <w:rFonts w:hint="eastAsia"/>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0" w:hRule="atLeast"/>
          <w:jc w:val="center"/>
        </w:trPr>
        <w:tc>
          <w:tcPr>
            <w:tcW w:w="341" w:type="pct"/>
            <w:tcBorders>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10</w:t>
            </w:r>
          </w:p>
        </w:tc>
        <w:tc>
          <w:tcPr>
            <w:tcW w:w="82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桑园村</w:t>
            </w:r>
          </w:p>
        </w:tc>
        <w:tc>
          <w:tcPr>
            <w:tcW w:w="638" w:type="pct"/>
            <w:tcBorders>
              <w:bottom w:val="single" w:color="auto" w:sz="4" w:space="0"/>
            </w:tcBorders>
            <w:vAlign w:val="center"/>
          </w:tcPr>
          <w:p>
            <w:pPr>
              <w:spacing w:line="240" w:lineRule="auto"/>
              <w:ind w:firstLine="0" w:firstLineChars="0"/>
              <w:jc w:val="center"/>
              <w:rPr>
                <w:color w:val="auto"/>
                <w:sz w:val="21"/>
                <w:szCs w:val="21"/>
              </w:rPr>
            </w:pPr>
            <w:r>
              <w:rPr>
                <w:color w:val="auto"/>
                <w:sz w:val="21"/>
                <w:szCs w:val="21"/>
              </w:rPr>
              <w:t>1小时</w:t>
            </w:r>
          </w:p>
        </w:tc>
        <w:tc>
          <w:tcPr>
            <w:tcW w:w="1114" w:type="dxa"/>
            <w:tcBorders>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19100622</w:t>
            </w:r>
          </w:p>
        </w:tc>
        <w:tc>
          <w:tcPr>
            <w:tcW w:w="1114" w:type="dxa"/>
            <w:tcBorders>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1.02E-02</w:t>
            </w:r>
          </w:p>
        </w:tc>
        <w:tc>
          <w:tcPr>
            <w:tcW w:w="859" w:type="dxa"/>
            <w:tcBorders>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2.00E-01</w:t>
            </w:r>
          </w:p>
        </w:tc>
        <w:tc>
          <w:tcPr>
            <w:tcW w:w="1373" w:type="dxa"/>
            <w:tcBorders>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5.09</w:t>
            </w:r>
          </w:p>
        </w:tc>
        <w:tc>
          <w:tcPr>
            <w:tcW w:w="636" w:type="pct"/>
            <w:tcBorders>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40" w:hRule="atLeast"/>
          <w:jc w:val="center"/>
        </w:trPr>
        <w:tc>
          <w:tcPr>
            <w:tcW w:w="341"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rPr>
              <w:t>11</w:t>
            </w:r>
          </w:p>
        </w:tc>
        <w:tc>
          <w:tcPr>
            <w:tcW w:w="82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老王庄村</w:t>
            </w:r>
          </w:p>
        </w:tc>
        <w:tc>
          <w:tcPr>
            <w:tcW w:w="638" w:type="pct"/>
            <w:tcBorders>
              <w:top w:val="single" w:color="auto" w:sz="4" w:space="0"/>
              <w:bottom w:val="single" w:color="auto" w:sz="4" w:space="0"/>
            </w:tcBorders>
            <w:vAlign w:val="center"/>
          </w:tcPr>
          <w:p>
            <w:pPr>
              <w:spacing w:line="240" w:lineRule="auto"/>
              <w:ind w:firstLine="0" w:firstLineChars="0"/>
              <w:jc w:val="center"/>
              <w:rPr>
                <w:color w:val="auto"/>
                <w:sz w:val="21"/>
                <w:szCs w:val="21"/>
              </w:rPr>
            </w:pPr>
            <w:r>
              <w:rPr>
                <w:color w:val="auto"/>
                <w:sz w:val="21"/>
                <w:szCs w:val="21"/>
              </w:rPr>
              <w:t>1小时</w:t>
            </w:r>
          </w:p>
        </w:tc>
        <w:tc>
          <w:tcPr>
            <w:tcW w:w="1114"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19022309</w:t>
            </w:r>
          </w:p>
        </w:tc>
        <w:tc>
          <w:tcPr>
            <w:tcW w:w="1114"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1.53E-02</w:t>
            </w:r>
          </w:p>
        </w:tc>
        <w:tc>
          <w:tcPr>
            <w:tcW w:w="859"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2.00E-01</w:t>
            </w:r>
          </w:p>
        </w:tc>
        <w:tc>
          <w:tcPr>
            <w:tcW w:w="1373"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7.66</w:t>
            </w:r>
          </w:p>
        </w:tc>
        <w:tc>
          <w:tcPr>
            <w:tcW w:w="636" w:type="pct"/>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51" w:hRule="atLeast"/>
          <w:jc w:val="center"/>
        </w:trPr>
        <w:tc>
          <w:tcPr>
            <w:tcW w:w="341"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rPr>
              <w:t>12</w:t>
            </w:r>
          </w:p>
        </w:tc>
        <w:tc>
          <w:tcPr>
            <w:tcW w:w="82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冯寨村</w:t>
            </w:r>
          </w:p>
        </w:tc>
        <w:tc>
          <w:tcPr>
            <w:tcW w:w="638" w:type="pct"/>
            <w:tcBorders>
              <w:top w:val="single" w:color="auto" w:sz="4" w:space="0"/>
              <w:bottom w:val="single" w:color="auto" w:sz="4" w:space="0"/>
            </w:tcBorders>
            <w:vAlign w:val="center"/>
          </w:tcPr>
          <w:p>
            <w:pPr>
              <w:spacing w:line="240" w:lineRule="auto"/>
              <w:ind w:firstLine="0" w:firstLineChars="0"/>
              <w:jc w:val="center"/>
              <w:rPr>
                <w:color w:val="auto"/>
                <w:sz w:val="21"/>
                <w:szCs w:val="21"/>
              </w:rPr>
            </w:pPr>
            <w:r>
              <w:rPr>
                <w:color w:val="auto"/>
                <w:sz w:val="21"/>
                <w:szCs w:val="21"/>
              </w:rPr>
              <w:t>1小时</w:t>
            </w:r>
          </w:p>
        </w:tc>
        <w:tc>
          <w:tcPr>
            <w:tcW w:w="1114"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19122021</w:t>
            </w:r>
          </w:p>
        </w:tc>
        <w:tc>
          <w:tcPr>
            <w:tcW w:w="1114"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1.09E-02</w:t>
            </w:r>
          </w:p>
        </w:tc>
        <w:tc>
          <w:tcPr>
            <w:tcW w:w="859"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2.00E-01</w:t>
            </w:r>
          </w:p>
        </w:tc>
        <w:tc>
          <w:tcPr>
            <w:tcW w:w="1373"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5.44</w:t>
            </w:r>
          </w:p>
        </w:tc>
        <w:tc>
          <w:tcPr>
            <w:tcW w:w="636" w:type="pct"/>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37" w:hRule="atLeast"/>
          <w:jc w:val="center"/>
        </w:trPr>
        <w:tc>
          <w:tcPr>
            <w:tcW w:w="341"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rPr>
              <w:t>13</w:t>
            </w:r>
          </w:p>
        </w:tc>
        <w:tc>
          <w:tcPr>
            <w:tcW w:w="82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东郭集村</w:t>
            </w:r>
          </w:p>
        </w:tc>
        <w:tc>
          <w:tcPr>
            <w:tcW w:w="638" w:type="pct"/>
            <w:tcBorders>
              <w:top w:val="single" w:color="auto" w:sz="4" w:space="0"/>
              <w:bottom w:val="single" w:color="auto" w:sz="4" w:space="0"/>
            </w:tcBorders>
            <w:vAlign w:val="center"/>
          </w:tcPr>
          <w:p>
            <w:pPr>
              <w:spacing w:line="240" w:lineRule="auto"/>
              <w:ind w:firstLine="0" w:firstLineChars="0"/>
              <w:jc w:val="center"/>
              <w:rPr>
                <w:color w:val="auto"/>
                <w:sz w:val="21"/>
                <w:szCs w:val="21"/>
              </w:rPr>
            </w:pPr>
            <w:r>
              <w:rPr>
                <w:color w:val="auto"/>
                <w:sz w:val="21"/>
                <w:szCs w:val="21"/>
              </w:rPr>
              <w:t>1小时</w:t>
            </w:r>
          </w:p>
        </w:tc>
        <w:tc>
          <w:tcPr>
            <w:tcW w:w="1114"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19112020</w:t>
            </w:r>
          </w:p>
        </w:tc>
        <w:tc>
          <w:tcPr>
            <w:tcW w:w="1114"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1.02E-02</w:t>
            </w:r>
          </w:p>
        </w:tc>
        <w:tc>
          <w:tcPr>
            <w:tcW w:w="859"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2.00E-01</w:t>
            </w:r>
          </w:p>
        </w:tc>
        <w:tc>
          <w:tcPr>
            <w:tcW w:w="1373"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5.11</w:t>
            </w:r>
          </w:p>
        </w:tc>
        <w:tc>
          <w:tcPr>
            <w:tcW w:w="636" w:type="pct"/>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73" w:hRule="atLeast"/>
          <w:jc w:val="center"/>
        </w:trPr>
        <w:tc>
          <w:tcPr>
            <w:tcW w:w="341"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rPr>
              <w:t>14</w:t>
            </w:r>
          </w:p>
        </w:tc>
        <w:tc>
          <w:tcPr>
            <w:tcW w:w="82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柳寨村</w:t>
            </w:r>
          </w:p>
        </w:tc>
        <w:tc>
          <w:tcPr>
            <w:tcW w:w="638" w:type="pct"/>
            <w:tcBorders>
              <w:top w:val="single" w:color="auto" w:sz="4" w:space="0"/>
              <w:bottom w:val="single" w:color="auto" w:sz="4" w:space="0"/>
            </w:tcBorders>
            <w:vAlign w:val="center"/>
          </w:tcPr>
          <w:p>
            <w:pPr>
              <w:spacing w:line="240" w:lineRule="auto"/>
              <w:ind w:firstLine="0" w:firstLineChars="0"/>
              <w:jc w:val="center"/>
              <w:rPr>
                <w:color w:val="auto"/>
                <w:sz w:val="21"/>
                <w:szCs w:val="21"/>
              </w:rPr>
            </w:pPr>
            <w:r>
              <w:rPr>
                <w:color w:val="auto"/>
                <w:sz w:val="21"/>
                <w:szCs w:val="21"/>
              </w:rPr>
              <w:t>1小时</w:t>
            </w:r>
          </w:p>
        </w:tc>
        <w:tc>
          <w:tcPr>
            <w:tcW w:w="1114"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19103122</w:t>
            </w:r>
          </w:p>
        </w:tc>
        <w:tc>
          <w:tcPr>
            <w:tcW w:w="1114"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8.72E-03</w:t>
            </w:r>
          </w:p>
        </w:tc>
        <w:tc>
          <w:tcPr>
            <w:tcW w:w="859"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2.00E-01</w:t>
            </w:r>
          </w:p>
        </w:tc>
        <w:tc>
          <w:tcPr>
            <w:tcW w:w="1373"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4.36</w:t>
            </w:r>
          </w:p>
        </w:tc>
        <w:tc>
          <w:tcPr>
            <w:tcW w:w="636" w:type="pct"/>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59" w:hRule="atLeast"/>
          <w:jc w:val="center"/>
        </w:trPr>
        <w:tc>
          <w:tcPr>
            <w:tcW w:w="341"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rPr>
              <w:t>15</w:t>
            </w:r>
          </w:p>
        </w:tc>
        <w:tc>
          <w:tcPr>
            <w:tcW w:w="82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安寨村</w:t>
            </w:r>
          </w:p>
        </w:tc>
        <w:tc>
          <w:tcPr>
            <w:tcW w:w="638" w:type="pct"/>
            <w:tcBorders>
              <w:top w:val="single" w:color="auto" w:sz="4" w:space="0"/>
              <w:bottom w:val="single" w:color="auto" w:sz="4" w:space="0"/>
            </w:tcBorders>
            <w:vAlign w:val="center"/>
          </w:tcPr>
          <w:p>
            <w:pPr>
              <w:spacing w:line="240" w:lineRule="auto"/>
              <w:ind w:firstLine="0" w:firstLineChars="0"/>
              <w:jc w:val="center"/>
              <w:rPr>
                <w:color w:val="auto"/>
                <w:sz w:val="21"/>
                <w:szCs w:val="21"/>
              </w:rPr>
            </w:pPr>
            <w:r>
              <w:rPr>
                <w:color w:val="auto"/>
                <w:sz w:val="21"/>
                <w:szCs w:val="21"/>
              </w:rPr>
              <w:t>1小时</w:t>
            </w:r>
          </w:p>
        </w:tc>
        <w:tc>
          <w:tcPr>
            <w:tcW w:w="1114"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19012109</w:t>
            </w:r>
          </w:p>
        </w:tc>
        <w:tc>
          <w:tcPr>
            <w:tcW w:w="1114"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1.13E-02</w:t>
            </w:r>
          </w:p>
        </w:tc>
        <w:tc>
          <w:tcPr>
            <w:tcW w:w="859"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2.00E-01</w:t>
            </w:r>
          </w:p>
        </w:tc>
        <w:tc>
          <w:tcPr>
            <w:tcW w:w="1373"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5.65</w:t>
            </w:r>
          </w:p>
        </w:tc>
        <w:tc>
          <w:tcPr>
            <w:tcW w:w="636" w:type="pct"/>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1" w:hRule="atLeast"/>
          <w:jc w:val="center"/>
        </w:trPr>
        <w:tc>
          <w:tcPr>
            <w:tcW w:w="341"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rPr>
              <w:t>16</w:t>
            </w:r>
          </w:p>
        </w:tc>
        <w:tc>
          <w:tcPr>
            <w:tcW w:w="82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东草庙村</w:t>
            </w:r>
          </w:p>
        </w:tc>
        <w:tc>
          <w:tcPr>
            <w:tcW w:w="638" w:type="pct"/>
            <w:tcBorders>
              <w:top w:val="single" w:color="auto" w:sz="4" w:space="0"/>
              <w:bottom w:val="single" w:color="auto" w:sz="4" w:space="0"/>
            </w:tcBorders>
            <w:vAlign w:val="center"/>
          </w:tcPr>
          <w:p>
            <w:pPr>
              <w:spacing w:line="240" w:lineRule="auto"/>
              <w:ind w:firstLine="0" w:firstLineChars="0"/>
              <w:jc w:val="center"/>
              <w:rPr>
                <w:color w:val="auto"/>
                <w:sz w:val="21"/>
                <w:szCs w:val="21"/>
              </w:rPr>
            </w:pPr>
            <w:r>
              <w:rPr>
                <w:color w:val="auto"/>
                <w:sz w:val="21"/>
                <w:szCs w:val="21"/>
              </w:rPr>
              <w:t>1小时</w:t>
            </w:r>
          </w:p>
        </w:tc>
        <w:tc>
          <w:tcPr>
            <w:tcW w:w="1114"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19012109</w:t>
            </w:r>
          </w:p>
        </w:tc>
        <w:tc>
          <w:tcPr>
            <w:tcW w:w="1114"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9.03E-03</w:t>
            </w:r>
          </w:p>
        </w:tc>
        <w:tc>
          <w:tcPr>
            <w:tcW w:w="859"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2.00E-01</w:t>
            </w:r>
          </w:p>
        </w:tc>
        <w:tc>
          <w:tcPr>
            <w:tcW w:w="1373"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4.51</w:t>
            </w:r>
          </w:p>
        </w:tc>
        <w:tc>
          <w:tcPr>
            <w:tcW w:w="636" w:type="pct"/>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31" w:hRule="atLeast"/>
          <w:jc w:val="center"/>
        </w:trPr>
        <w:tc>
          <w:tcPr>
            <w:tcW w:w="341"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rPr>
              <w:t>17</w:t>
            </w:r>
          </w:p>
        </w:tc>
        <w:tc>
          <w:tcPr>
            <w:tcW w:w="82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中草庙村</w:t>
            </w:r>
          </w:p>
        </w:tc>
        <w:tc>
          <w:tcPr>
            <w:tcW w:w="638" w:type="pct"/>
            <w:tcBorders>
              <w:top w:val="single" w:color="auto" w:sz="4" w:space="0"/>
              <w:bottom w:val="single" w:color="auto" w:sz="4" w:space="0"/>
            </w:tcBorders>
            <w:vAlign w:val="center"/>
          </w:tcPr>
          <w:p>
            <w:pPr>
              <w:spacing w:line="240" w:lineRule="auto"/>
              <w:ind w:firstLine="0" w:firstLineChars="0"/>
              <w:jc w:val="center"/>
              <w:rPr>
                <w:color w:val="auto"/>
                <w:sz w:val="21"/>
                <w:szCs w:val="21"/>
              </w:rPr>
            </w:pPr>
            <w:r>
              <w:rPr>
                <w:color w:val="auto"/>
                <w:sz w:val="21"/>
                <w:szCs w:val="21"/>
              </w:rPr>
              <w:t>1小时</w:t>
            </w:r>
          </w:p>
        </w:tc>
        <w:tc>
          <w:tcPr>
            <w:tcW w:w="1114"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19013123</w:t>
            </w:r>
          </w:p>
        </w:tc>
        <w:tc>
          <w:tcPr>
            <w:tcW w:w="1114"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1.31E-02</w:t>
            </w:r>
          </w:p>
        </w:tc>
        <w:tc>
          <w:tcPr>
            <w:tcW w:w="859"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2.00E-01</w:t>
            </w:r>
          </w:p>
        </w:tc>
        <w:tc>
          <w:tcPr>
            <w:tcW w:w="1373"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6.54</w:t>
            </w:r>
          </w:p>
        </w:tc>
        <w:tc>
          <w:tcPr>
            <w:tcW w:w="636" w:type="pct"/>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68" w:type="pct"/>
            <w:gridSpan w:val="2"/>
            <w:tcBorders>
              <w:top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网格点</w:t>
            </w:r>
          </w:p>
        </w:tc>
        <w:tc>
          <w:tcPr>
            <w:tcW w:w="638" w:type="pct"/>
            <w:tcBorders>
              <w:top w:val="single" w:color="auto" w:sz="4" w:space="0"/>
            </w:tcBorders>
            <w:vAlign w:val="center"/>
          </w:tcPr>
          <w:p>
            <w:pPr>
              <w:spacing w:line="240" w:lineRule="auto"/>
              <w:ind w:firstLine="0" w:firstLineChars="0"/>
              <w:jc w:val="center"/>
              <w:rPr>
                <w:color w:val="auto"/>
                <w:sz w:val="21"/>
                <w:szCs w:val="21"/>
              </w:rPr>
            </w:pPr>
            <w:r>
              <w:rPr>
                <w:color w:val="auto"/>
                <w:sz w:val="21"/>
                <w:szCs w:val="21"/>
              </w:rPr>
              <w:t>1小时</w:t>
            </w:r>
          </w:p>
        </w:tc>
        <w:tc>
          <w:tcPr>
            <w:tcW w:w="1114" w:type="dxa"/>
            <w:tcBorders>
              <w:top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19120320</w:t>
            </w:r>
          </w:p>
        </w:tc>
        <w:tc>
          <w:tcPr>
            <w:tcW w:w="1114" w:type="dxa"/>
            <w:tcBorders>
              <w:top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1.97E-02</w:t>
            </w:r>
          </w:p>
        </w:tc>
        <w:tc>
          <w:tcPr>
            <w:tcW w:w="859" w:type="dxa"/>
            <w:tcBorders>
              <w:top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2.00E-01</w:t>
            </w:r>
          </w:p>
        </w:tc>
        <w:tc>
          <w:tcPr>
            <w:tcW w:w="1373" w:type="dxa"/>
            <w:tcBorders>
              <w:top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9.84</w:t>
            </w:r>
          </w:p>
        </w:tc>
        <w:tc>
          <w:tcPr>
            <w:tcW w:w="636" w:type="pct"/>
            <w:tcBorders>
              <w:top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rPr>
              <w:t>达标</w:t>
            </w:r>
          </w:p>
        </w:tc>
      </w:tr>
    </w:tbl>
    <w:p>
      <w:pPr>
        <w:spacing w:before="156" w:beforeLines="50" w:after="156" w:afterLines="50" w:line="240" w:lineRule="auto"/>
        <w:ind w:firstLine="0" w:firstLineChars="0"/>
        <w:jc w:val="center"/>
        <w:rPr>
          <w:b/>
          <w:color w:val="auto"/>
          <w:szCs w:val="21"/>
        </w:rPr>
      </w:pPr>
      <w:r>
        <w:rPr>
          <w:color w:val="auto"/>
        </w:rPr>
        <w:drawing>
          <wp:inline distT="0" distB="0" distL="114300" distR="114300">
            <wp:extent cx="5541645" cy="3615690"/>
            <wp:effectExtent l="0" t="0" r="1905" b="3810"/>
            <wp:docPr id="2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2"/>
                    <pic:cNvPicPr>
                      <a:picLocks noChangeAspect="1"/>
                    </pic:cNvPicPr>
                  </pic:nvPicPr>
                  <pic:blipFill>
                    <a:blip r:embed="rId59"/>
                    <a:stretch>
                      <a:fillRect/>
                    </a:stretch>
                  </pic:blipFill>
                  <pic:spPr>
                    <a:xfrm>
                      <a:off x="0" y="0"/>
                      <a:ext cx="5541645" cy="3615690"/>
                    </a:xfrm>
                    <a:prstGeom prst="rect">
                      <a:avLst/>
                    </a:prstGeom>
                    <a:noFill/>
                    <a:ln>
                      <a:noFill/>
                    </a:ln>
                  </pic:spPr>
                </pic:pic>
              </a:graphicData>
            </a:graphic>
          </wp:inline>
        </w:drawing>
      </w:r>
    </w:p>
    <w:p>
      <w:pPr>
        <w:ind w:firstLine="482"/>
        <w:jc w:val="center"/>
        <w:rPr>
          <w:color w:val="auto"/>
        </w:rPr>
      </w:pPr>
      <w:r>
        <w:rPr>
          <w:rFonts w:hint="eastAsia"/>
          <w:b/>
          <w:color w:val="auto"/>
          <w:szCs w:val="21"/>
        </w:rPr>
        <w:t>NH</w:t>
      </w:r>
      <w:r>
        <w:rPr>
          <w:rFonts w:hint="eastAsia"/>
          <w:b/>
          <w:color w:val="auto"/>
          <w:szCs w:val="21"/>
          <w:vertAlign w:val="subscript"/>
        </w:rPr>
        <w:t>3</w:t>
      </w:r>
      <w:r>
        <w:rPr>
          <w:b/>
          <w:color w:val="auto"/>
          <w:szCs w:val="21"/>
        </w:rPr>
        <w:t>小时浓度预测结果</w:t>
      </w:r>
    </w:p>
    <w:p>
      <w:pPr>
        <w:spacing w:before="156" w:beforeLines="50" w:after="156" w:afterLines="50" w:line="240" w:lineRule="auto"/>
        <w:ind w:left="480" w:leftChars="200" w:firstLine="0" w:firstLineChars="0"/>
        <w:jc w:val="left"/>
        <w:rPr>
          <w:b/>
          <w:color w:val="auto"/>
          <w:szCs w:val="21"/>
        </w:rPr>
      </w:pPr>
      <w:r>
        <w:rPr>
          <w:b/>
          <w:color w:val="auto"/>
          <w:szCs w:val="21"/>
        </w:rPr>
        <w:t>5.2-25拟建工程H</w:t>
      </w:r>
      <w:r>
        <w:rPr>
          <w:b/>
          <w:color w:val="auto"/>
          <w:szCs w:val="21"/>
          <w:vertAlign w:val="subscript"/>
        </w:rPr>
        <w:t>2</w:t>
      </w:r>
      <w:r>
        <w:rPr>
          <w:b/>
          <w:color w:val="auto"/>
          <w:szCs w:val="21"/>
        </w:rPr>
        <w:t>S小时浓度贡献预测结果一览表      单位：mg/m</w:t>
      </w:r>
      <w:r>
        <w:rPr>
          <w:b/>
          <w:color w:val="auto"/>
          <w:szCs w:val="21"/>
          <w:vertAlign w:val="superscript"/>
        </w:rPr>
        <w:t>3</w:t>
      </w:r>
    </w:p>
    <w:tbl>
      <w:tblPr>
        <w:tblStyle w:val="27"/>
        <w:tblW w:w="8340" w:type="dxa"/>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570"/>
        <w:gridCol w:w="1379"/>
        <w:gridCol w:w="1066"/>
        <w:gridCol w:w="1066"/>
        <w:gridCol w:w="1066"/>
        <w:gridCol w:w="821"/>
        <w:gridCol w:w="1311"/>
        <w:gridCol w:w="1061"/>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70" w:type="dxa"/>
            <w:vAlign w:val="center"/>
          </w:tcPr>
          <w:p>
            <w:pPr>
              <w:kinsoku w:val="0"/>
              <w:overflowPunct w:val="0"/>
              <w:autoSpaceDE w:val="0"/>
              <w:autoSpaceDN w:val="0"/>
              <w:spacing w:line="240" w:lineRule="auto"/>
              <w:ind w:firstLine="0" w:firstLineChars="0"/>
              <w:jc w:val="center"/>
              <w:rPr>
                <w:b/>
                <w:color w:val="auto"/>
                <w:kern w:val="0"/>
                <w:sz w:val="21"/>
                <w:szCs w:val="21"/>
              </w:rPr>
            </w:pPr>
            <w:r>
              <w:rPr>
                <w:b/>
                <w:color w:val="auto"/>
                <w:kern w:val="0"/>
                <w:sz w:val="21"/>
                <w:szCs w:val="21"/>
              </w:rPr>
              <w:t>序号</w:t>
            </w:r>
          </w:p>
        </w:tc>
        <w:tc>
          <w:tcPr>
            <w:tcW w:w="1379" w:type="dxa"/>
            <w:vAlign w:val="center"/>
          </w:tcPr>
          <w:p>
            <w:pPr>
              <w:kinsoku w:val="0"/>
              <w:overflowPunct w:val="0"/>
              <w:autoSpaceDE w:val="0"/>
              <w:autoSpaceDN w:val="0"/>
              <w:spacing w:line="240" w:lineRule="auto"/>
              <w:ind w:firstLine="0" w:firstLineChars="0"/>
              <w:jc w:val="center"/>
              <w:rPr>
                <w:b/>
                <w:color w:val="auto"/>
                <w:kern w:val="0"/>
                <w:sz w:val="21"/>
                <w:szCs w:val="21"/>
              </w:rPr>
            </w:pPr>
            <w:r>
              <w:rPr>
                <w:b/>
                <w:color w:val="auto"/>
                <w:kern w:val="0"/>
                <w:sz w:val="21"/>
                <w:szCs w:val="21"/>
              </w:rPr>
              <w:t>名称</w:t>
            </w:r>
          </w:p>
        </w:tc>
        <w:tc>
          <w:tcPr>
            <w:tcW w:w="1066" w:type="dxa"/>
            <w:vAlign w:val="center"/>
          </w:tcPr>
          <w:p>
            <w:pPr>
              <w:kinsoku w:val="0"/>
              <w:overflowPunct w:val="0"/>
              <w:autoSpaceDE w:val="0"/>
              <w:autoSpaceDN w:val="0"/>
              <w:spacing w:line="240" w:lineRule="auto"/>
              <w:ind w:firstLine="0" w:firstLineChars="0"/>
              <w:jc w:val="center"/>
              <w:rPr>
                <w:b/>
                <w:color w:val="auto"/>
                <w:kern w:val="0"/>
                <w:sz w:val="21"/>
                <w:szCs w:val="21"/>
              </w:rPr>
            </w:pPr>
            <w:r>
              <w:rPr>
                <w:b/>
                <w:color w:val="auto"/>
                <w:kern w:val="0"/>
                <w:sz w:val="21"/>
                <w:szCs w:val="21"/>
              </w:rPr>
              <w:t>平均时间</w:t>
            </w:r>
          </w:p>
        </w:tc>
        <w:tc>
          <w:tcPr>
            <w:tcW w:w="1066" w:type="dxa"/>
            <w:vAlign w:val="center"/>
          </w:tcPr>
          <w:p>
            <w:pPr>
              <w:kinsoku w:val="0"/>
              <w:overflowPunct w:val="0"/>
              <w:autoSpaceDE w:val="0"/>
              <w:autoSpaceDN w:val="0"/>
              <w:spacing w:line="240" w:lineRule="auto"/>
              <w:ind w:firstLine="0" w:firstLineChars="0"/>
              <w:jc w:val="center"/>
              <w:rPr>
                <w:b/>
                <w:color w:val="auto"/>
                <w:kern w:val="0"/>
                <w:sz w:val="21"/>
                <w:szCs w:val="21"/>
              </w:rPr>
            </w:pPr>
            <w:r>
              <w:rPr>
                <w:b/>
                <w:color w:val="auto"/>
                <w:kern w:val="0"/>
                <w:sz w:val="21"/>
                <w:szCs w:val="21"/>
              </w:rPr>
              <w:t>出现时刻</w:t>
            </w:r>
          </w:p>
        </w:tc>
        <w:tc>
          <w:tcPr>
            <w:tcW w:w="1066" w:type="dxa"/>
            <w:vAlign w:val="center"/>
          </w:tcPr>
          <w:p>
            <w:pPr>
              <w:kinsoku w:val="0"/>
              <w:overflowPunct w:val="0"/>
              <w:autoSpaceDE w:val="0"/>
              <w:autoSpaceDN w:val="0"/>
              <w:spacing w:line="240" w:lineRule="auto"/>
              <w:ind w:firstLine="0" w:firstLineChars="0"/>
              <w:jc w:val="center"/>
              <w:rPr>
                <w:b/>
                <w:color w:val="auto"/>
                <w:kern w:val="0"/>
                <w:sz w:val="21"/>
                <w:szCs w:val="21"/>
              </w:rPr>
            </w:pPr>
            <w:r>
              <w:rPr>
                <w:b/>
                <w:color w:val="auto"/>
                <w:kern w:val="0"/>
                <w:sz w:val="21"/>
                <w:szCs w:val="21"/>
              </w:rPr>
              <w:t>最大贡献值</w:t>
            </w:r>
          </w:p>
        </w:tc>
        <w:tc>
          <w:tcPr>
            <w:tcW w:w="821" w:type="dxa"/>
            <w:vAlign w:val="center"/>
          </w:tcPr>
          <w:p>
            <w:pPr>
              <w:kinsoku w:val="0"/>
              <w:overflowPunct w:val="0"/>
              <w:autoSpaceDE w:val="0"/>
              <w:autoSpaceDN w:val="0"/>
              <w:spacing w:line="240" w:lineRule="auto"/>
              <w:ind w:firstLine="0" w:firstLineChars="0"/>
              <w:jc w:val="center"/>
              <w:rPr>
                <w:b/>
                <w:color w:val="auto"/>
                <w:kern w:val="0"/>
                <w:sz w:val="21"/>
                <w:szCs w:val="21"/>
              </w:rPr>
            </w:pPr>
            <w:r>
              <w:rPr>
                <w:b/>
                <w:color w:val="auto"/>
                <w:kern w:val="0"/>
                <w:sz w:val="21"/>
                <w:szCs w:val="21"/>
              </w:rPr>
              <w:t>标准值</w:t>
            </w:r>
          </w:p>
        </w:tc>
        <w:tc>
          <w:tcPr>
            <w:tcW w:w="1311" w:type="dxa"/>
            <w:vAlign w:val="center"/>
          </w:tcPr>
          <w:p>
            <w:pPr>
              <w:kinsoku w:val="0"/>
              <w:overflowPunct w:val="0"/>
              <w:autoSpaceDE w:val="0"/>
              <w:autoSpaceDN w:val="0"/>
              <w:spacing w:line="240" w:lineRule="auto"/>
              <w:ind w:firstLine="0" w:firstLineChars="0"/>
              <w:jc w:val="center"/>
              <w:rPr>
                <w:b/>
                <w:color w:val="auto"/>
                <w:kern w:val="0"/>
                <w:sz w:val="21"/>
                <w:szCs w:val="21"/>
              </w:rPr>
            </w:pPr>
            <w:r>
              <w:rPr>
                <w:b/>
                <w:color w:val="auto"/>
                <w:kern w:val="0"/>
                <w:sz w:val="21"/>
                <w:szCs w:val="21"/>
              </w:rPr>
              <w:t>占标率（%）</w:t>
            </w:r>
          </w:p>
        </w:tc>
        <w:tc>
          <w:tcPr>
            <w:tcW w:w="1061" w:type="dxa"/>
            <w:vAlign w:val="center"/>
          </w:tcPr>
          <w:p>
            <w:pPr>
              <w:kinsoku w:val="0"/>
              <w:overflowPunct w:val="0"/>
              <w:autoSpaceDE w:val="0"/>
              <w:autoSpaceDN w:val="0"/>
              <w:spacing w:line="240" w:lineRule="auto"/>
              <w:ind w:firstLine="0" w:firstLineChars="0"/>
              <w:jc w:val="center"/>
              <w:rPr>
                <w:b/>
                <w:color w:val="auto"/>
                <w:kern w:val="0"/>
                <w:sz w:val="21"/>
                <w:szCs w:val="21"/>
              </w:rPr>
            </w:pPr>
            <w:r>
              <w:rPr>
                <w:b/>
                <w:color w:val="auto"/>
                <w:kern w:val="0"/>
                <w:sz w:val="21"/>
                <w:szCs w:val="21"/>
              </w:rPr>
              <w:t>达标情况</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70" w:type="dxa"/>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1</w:t>
            </w:r>
          </w:p>
        </w:tc>
        <w:tc>
          <w:tcPr>
            <w:tcW w:w="1379" w:type="dxa"/>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lang w:val="zh-CN"/>
              </w:rPr>
            </w:pPr>
            <w:r>
              <w:rPr>
                <w:rFonts w:hint="eastAsia"/>
                <w:color w:val="auto"/>
                <w:sz w:val="21"/>
                <w:szCs w:val="21"/>
              </w:rPr>
              <w:t>七王庙村</w:t>
            </w:r>
          </w:p>
        </w:tc>
        <w:tc>
          <w:tcPr>
            <w:tcW w:w="1066" w:type="dxa"/>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1小时</w:t>
            </w:r>
          </w:p>
        </w:tc>
        <w:tc>
          <w:tcPr>
            <w:tcW w:w="1066"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19111021</w:t>
            </w:r>
          </w:p>
        </w:tc>
        <w:tc>
          <w:tcPr>
            <w:tcW w:w="1066"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9.13E-04</w:t>
            </w:r>
          </w:p>
        </w:tc>
        <w:tc>
          <w:tcPr>
            <w:tcW w:w="821"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1.00E-02</w:t>
            </w:r>
          </w:p>
        </w:tc>
        <w:tc>
          <w:tcPr>
            <w:tcW w:w="1311"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9.13</w:t>
            </w:r>
          </w:p>
        </w:tc>
        <w:tc>
          <w:tcPr>
            <w:tcW w:w="1061" w:type="dxa"/>
            <w:vAlign w:val="center"/>
          </w:tcPr>
          <w:p>
            <w:pPr>
              <w:spacing w:line="240" w:lineRule="auto"/>
              <w:ind w:firstLine="0" w:firstLineChars="0"/>
              <w:jc w:val="center"/>
              <w:rPr>
                <w:rFonts w:hint="eastAsia"/>
                <w:color w:val="auto"/>
                <w:sz w:val="21"/>
                <w:szCs w:val="21"/>
              </w:rPr>
            </w:pPr>
            <w:r>
              <w:rPr>
                <w:rFonts w:hint="eastAsia"/>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70" w:type="dxa"/>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2</w:t>
            </w:r>
          </w:p>
        </w:tc>
        <w:tc>
          <w:tcPr>
            <w:tcW w:w="1379" w:type="dxa"/>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lang w:val="zh-CN"/>
              </w:rPr>
            </w:pPr>
            <w:r>
              <w:rPr>
                <w:rFonts w:hint="eastAsia"/>
                <w:color w:val="auto"/>
                <w:sz w:val="21"/>
                <w:szCs w:val="21"/>
              </w:rPr>
              <w:t>于屯村</w:t>
            </w:r>
          </w:p>
        </w:tc>
        <w:tc>
          <w:tcPr>
            <w:tcW w:w="1066" w:type="dxa"/>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1小时</w:t>
            </w:r>
          </w:p>
        </w:tc>
        <w:tc>
          <w:tcPr>
            <w:tcW w:w="1066"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19120509</w:t>
            </w:r>
          </w:p>
        </w:tc>
        <w:tc>
          <w:tcPr>
            <w:tcW w:w="1066"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8.48E-04</w:t>
            </w:r>
          </w:p>
        </w:tc>
        <w:tc>
          <w:tcPr>
            <w:tcW w:w="821"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1.00E-02</w:t>
            </w:r>
          </w:p>
        </w:tc>
        <w:tc>
          <w:tcPr>
            <w:tcW w:w="1311"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8.48</w:t>
            </w:r>
          </w:p>
        </w:tc>
        <w:tc>
          <w:tcPr>
            <w:tcW w:w="1061" w:type="dxa"/>
            <w:vAlign w:val="center"/>
          </w:tcPr>
          <w:p>
            <w:pPr>
              <w:spacing w:line="240" w:lineRule="auto"/>
              <w:ind w:firstLine="0" w:firstLineChars="0"/>
              <w:jc w:val="center"/>
              <w:rPr>
                <w:rFonts w:hint="eastAsia"/>
                <w:color w:val="auto"/>
                <w:sz w:val="21"/>
                <w:szCs w:val="21"/>
              </w:rPr>
            </w:pPr>
            <w:r>
              <w:rPr>
                <w:rFonts w:hint="eastAsia"/>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70" w:type="dxa"/>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3</w:t>
            </w:r>
          </w:p>
        </w:tc>
        <w:tc>
          <w:tcPr>
            <w:tcW w:w="1379" w:type="dxa"/>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lang w:val="zh-CN"/>
              </w:rPr>
            </w:pPr>
            <w:r>
              <w:rPr>
                <w:rFonts w:hint="eastAsia"/>
                <w:color w:val="auto"/>
                <w:sz w:val="21"/>
                <w:szCs w:val="21"/>
              </w:rPr>
              <w:t>东高城村</w:t>
            </w:r>
          </w:p>
        </w:tc>
        <w:tc>
          <w:tcPr>
            <w:tcW w:w="1066" w:type="dxa"/>
            <w:vAlign w:val="center"/>
          </w:tcPr>
          <w:p>
            <w:pPr>
              <w:spacing w:line="240" w:lineRule="auto"/>
              <w:ind w:firstLine="0" w:firstLineChars="0"/>
              <w:jc w:val="center"/>
              <w:rPr>
                <w:color w:val="auto"/>
                <w:sz w:val="21"/>
                <w:szCs w:val="21"/>
              </w:rPr>
            </w:pPr>
            <w:r>
              <w:rPr>
                <w:color w:val="auto"/>
                <w:sz w:val="21"/>
                <w:szCs w:val="21"/>
              </w:rPr>
              <w:t>1小时</w:t>
            </w:r>
          </w:p>
        </w:tc>
        <w:tc>
          <w:tcPr>
            <w:tcW w:w="1066"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19121824</w:t>
            </w:r>
          </w:p>
        </w:tc>
        <w:tc>
          <w:tcPr>
            <w:tcW w:w="1066"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7.88E-04</w:t>
            </w:r>
          </w:p>
        </w:tc>
        <w:tc>
          <w:tcPr>
            <w:tcW w:w="821"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1.00E-02</w:t>
            </w:r>
          </w:p>
        </w:tc>
        <w:tc>
          <w:tcPr>
            <w:tcW w:w="1311"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7.88</w:t>
            </w:r>
          </w:p>
        </w:tc>
        <w:tc>
          <w:tcPr>
            <w:tcW w:w="1061" w:type="dxa"/>
            <w:vAlign w:val="center"/>
          </w:tcPr>
          <w:p>
            <w:pPr>
              <w:spacing w:line="240" w:lineRule="auto"/>
              <w:ind w:firstLine="0" w:firstLineChars="0"/>
              <w:jc w:val="center"/>
              <w:rPr>
                <w:rFonts w:hint="eastAsia"/>
                <w:color w:val="auto"/>
                <w:sz w:val="21"/>
                <w:szCs w:val="21"/>
              </w:rPr>
            </w:pPr>
            <w:r>
              <w:rPr>
                <w:rFonts w:hint="eastAsia"/>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70" w:type="dxa"/>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4</w:t>
            </w:r>
          </w:p>
        </w:tc>
        <w:tc>
          <w:tcPr>
            <w:tcW w:w="1379" w:type="dxa"/>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lang w:val="zh-CN"/>
              </w:rPr>
            </w:pPr>
            <w:r>
              <w:rPr>
                <w:rFonts w:hint="eastAsia"/>
                <w:color w:val="auto"/>
                <w:sz w:val="21"/>
                <w:szCs w:val="21"/>
              </w:rPr>
              <w:t>前吕寨村</w:t>
            </w:r>
          </w:p>
        </w:tc>
        <w:tc>
          <w:tcPr>
            <w:tcW w:w="1066" w:type="dxa"/>
            <w:vAlign w:val="center"/>
          </w:tcPr>
          <w:p>
            <w:pPr>
              <w:spacing w:line="240" w:lineRule="auto"/>
              <w:ind w:firstLine="0" w:firstLineChars="0"/>
              <w:jc w:val="center"/>
              <w:rPr>
                <w:color w:val="auto"/>
                <w:sz w:val="21"/>
                <w:szCs w:val="21"/>
              </w:rPr>
            </w:pPr>
            <w:r>
              <w:rPr>
                <w:color w:val="auto"/>
                <w:sz w:val="21"/>
                <w:szCs w:val="21"/>
              </w:rPr>
              <w:t>1小时</w:t>
            </w:r>
          </w:p>
        </w:tc>
        <w:tc>
          <w:tcPr>
            <w:tcW w:w="1066"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19121218</w:t>
            </w:r>
          </w:p>
        </w:tc>
        <w:tc>
          <w:tcPr>
            <w:tcW w:w="1066"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5.84E-04</w:t>
            </w:r>
          </w:p>
        </w:tc>
        <w:tc>
          <w:tcPr>
            <w:tcW w:w="821"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1.00E-02</w:t>
            </w:r>
          </w:p>
        </w:tc>
        <w:tc>
          <w:tcPr>
            <w:tcW w:w="1311"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5.84</w:t>
            </w:r>
          </w:p>
        </w:tc>
        <w:tc>
          <w:tcPr>
            <w:tcW w:w="1061" w:type="dxa"/>
            <w:vAlign w:val="center"/>
          </w:tcPr>
          <w:p>
            <w:pPr>
              <w:spacing w:line="240" w:lineRule="auto"/>
              <w:ind w:firstLine="0" w:firstLineChars="0"/>
              <w:jc w:val="center"/>
              <w:rPr>
                <w:rFonts w:hint="eastAsia"/>
                <w:color w:val="auto"/>
                <w:sz w:val="21"/>
                <w:szCs w:val="21"/>
              </w:rPr>
            </w:pPr>
            <w:r>
              <w:rPr>
                <w:rFonts w:hint="eastAsia"/>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70" w:type="dxa"/>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5</w:t>
            </w:r>
          </w:p>
        </w:tc>
        <w:tc>
          <w:tcPr>
            <w:tcW w:w="1379" w:type="dxa"/>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lang w:val="zh-CN"/>
              </w:rPr>
            </w:pPr>
            <w:r>
              <w:rPr>
                <w:rFonts w:hint="eastAsia"/>
                <w:color w:val="auto"/>
                <w:sz w:val="21"/>
                <w:szCs w:val="21"/>
              </w:rPr>
              <w:t>后吕寨村</w:t>
            </w:r>
          </w:p>
        </w:tc>
        <w:tc>
          <w:tcPr>
            <w:tcW w:w="1066" w:type="dxa"/>
            <w:vAlign w:val="center"/>
          </w:tcPr>
          <w:p>
            <w:pPr>
              <w:spacing w:line="240" w:lineRule="auto"/>
              <w:ind w:firstLine="0" w:firstLineChars="0"/>
              <w:jc w:val="center"/>
              <w:rPr>
                <w:color w:val="auto"/>
                <w:sz w:val="21"/>
                <w:szCs w:val="21"/>
              </w:rPr>
            </w:pPr>
            <w:r>
              <w:rPr>
                <w:color w:val="auto"/>
                <w:sz w:val="21"/>
                <w:szCs w:val="21"/>
              </w:rPr>
              <w:t>1小时</w:t>
            </w:r>
          </w:p>
        </w:tc>
        <w:tc>
          <w:tcPr>
            <w:tcW w:w="1066"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19021721</w:t>
            </w:r>
          </w:p>
        </w:tc>
        <w:tc>
          <w:tcPr>
            <w:tcW w:w="1066"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6.63E-04</w:t>
            </w:r>
          </w:p>
        </w:tc>
        <w:tc>
          <w:tcPr>
            <w:tcW w:w="821"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1.00E-02</w:t>
            </w:r>
          </w:p>
        </w:tc>
        <w:tc>
          <w:tcPr>
            <w:tcW w:w="1311"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6.63</w:t>
            </w:r>
          </w:p>
        </w:tc>
        <w:tc>
          <w:tcPr>
            <w:tcW w:w="1061" w:type="dxa"/>
            <w:vAlign w:val="center"/>
          </w:tcPr>
          <w:p>
            <w:pPr>
              <w:spacing w:line="240" w:lineRule="auto"/>
              <w:ind w:firstLine="0" w:firstLineChars="0"/>
              <w:jc w:val="center"/>
              <w:rPr>
                <w:rFonts w:hint="eastAsia"/>
                <w:color w:val="auto"/>
                <w:sz w:val="21"/>
                <w:szCs w:val="21"/>
              </w:rPr>
            </w:pPr>
            <w:r>
              <w:rPr>
                <w:rFonts w:hint="eastAsia"/>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70" w:type="dxa"/>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6</w:t>
            </w:r>
          </w:p>
        </w:tc>
        <w:tc>
          <w:tcPr>
            <w:tcW w:w="1379" w:type="dxa"/>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梨园村</w:t>
            </w:r>
          </w:p>
        </w:tc>
        <w:tc>
          <w:tcPr>
            <w:tcW w:w="1066" w:type="dxa"/>
            <w:vAlign w:val="center"/>
          </w:tcPr>
          <w:p>
            <w:pPr>
              <w:spacing w:line="240" w:lineRule="auto"/>
              <w:ind w:firstLine="0" w:firstLineChars="0"/>
              <w:jc w:val="center"/>
              <w:rPr>
                <w:color w:val="auto"/>
                <w:sz w:val="21"/>
                <w:szCs w:val="21"/>
              </w:rPr>
            </w:pPr>
            <w:r>
              <w:rPr>
                <w:color w:val="auto"/>
                <w:sz w:val="21"/>
                <w:szCs w:val="21"/>
              </w:rPr>
              <w:t>1小时</w:t>
            </w:r>
          </w:p>
        </w:tc>
        <w:tc>
          <w:tcPr>
            <w:tcW w:w="1066"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19122802</w:t>
            </w:r>
          </w:p>
        </w:tc>
        <w:tc>
          <w:tcPr>
            <w:tcW w:w="1066"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6.91E-04</w:t>
            </w:r>
          </w:p>
        </w:tc>
        <w:tc>
          <w:tcPr>
            <w:tcW w:w="821"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1.00E-02</w:t>
            </w:r>
          </w:p>
        </w:tc>
        <w:tc>
          <w:tcPr>
            <w:tcW w:w="1311"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6.91</w:t>
            </w:r>
          </w:p>
        </w:tc>
        <w:tc>
          <w:tcPr>
            <w:tcW w:w="1061" w:type="dxa"/>
            <w:vAlign w:val="center"/>
          </w:tcPr>
          <w:p>
            <w:pPr>
              <w:spacing w:line="240" w:lineRule="auto"/>
              <w:ind w:firstLine="0" w:firstLineChars="0"/>
              <w:jc w:val="center"/>
              <w:rPr>
                <w:rFonts w:hint="eastAsia"/>
                <w:color w:val="auto"/>
                <w:sz w:val="21"/>
                <w:szCs w:val="21"/>
              </w:rPr>
            </w:pPr>
            <w:r>
              <w:rPr>
                <w:rFonts w:hint="eastAsia"/>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70" w:type="dxa"/>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7</w:t>
            </w:r>
          </w:p>
        </w:tc>
        <w:tc>
          <w:tcPr>
            <w:tcW w:w="1379" w:type="dxa"/>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后坡村</w:t>
            </w:r>
          </w:p>
        </w:tc>
        <w:tc>
          <w:tcPr>
            <w:tcW w:w="1066" w:type="dxa"/>
            <w:vAlign w:val="center"/>
          </w:tcPr>
          <w:p>
            <w:pPr>
              <w:spacing w:line="240" w:lineRule="auto"/>
              <w:ind w:firstLine="0" w:firstLineChars="0"/>
              <w:jc w:val="center"/>
              <w:rPr>
                <w:color w:val="auto"/>
                <w:sz w:val="21"/>
                <w:szCs w:val="21"/>
              </w:rPr>
            </w:pPr>
            <w:r>
              <w:rPr>
                <w:color w:val="auto"/>
                <w:sz w:val="21"/>
                <w:szCs w:val="21"/>
              </w:rPr>
              <w:t>1小时</w:t>
            </w:r>
          </w:p>
        </w:tc>
        <w:tc>
          <w:tcPr>
            <w:tcW w:w="1066"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19100120</w:t>
            </w:r>
          </w:p>
        </w:tc>
        <w:tc>
          <w:tcPr>
            <w:tcW w:w="1066"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7.09E-04</w:t>
            </w:r>
          </w:p>
        </w:tc>
        <w:tc>
          <w:tcPr>
            <w:tcW w:w="821"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1.00E-02</w:t>
            </w:r>
          </w:p>
        </w:tc>
        <w:tc>
          <w:tcPr>
            <w:tcW w:w="1311"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7.09</w:t>
            </w:r>
          </w:p>
        </w:tc>
        <w:tc>
          <w:tcPr>
            <w:tcW w:w="1061" w:type="dxa"/>
            <w:vAlign w:val="center"/>
          </w:tcPr>
          <w:p>
            <w:pPr>
              <w:spacing w:line="240" w:lineRule="auto"/>
              <w:ind w:firstLine="0" w:firstLineChars="0"/>
              <w:jc w:val="center"/>
              <w:rPr>
                <w:rFonts w:hint="eastAsia"/>
                <w:color w:val="auto"/>
                <w:sz w:val="21"/>
                <w:szCs w:val="21"/>
              </w:rPr>
            </w:pPr>
            <w:r>
              <w:rPr>
                <w:rFonts w:hint="eastAsia"/>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70" w:type="dxa"/>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8</w:t>
            </w:r>
          </w:p>
        </w:tc>
        <w:tc>
          <w:tcPr>
            <w:tcW w:w="1379" w:type="dxa"/>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中坡村</w:t>
            </w:r>
          </w:p>
        </w:tc>
        <w:tc>
          <w:tcPr>
            <w:tcW w:w="1066" w:type="dxa"/>
            <w:vAlign w:val="center"/>
          </w:tcPr>
          <w:p>
            <w:pPr>
              <w:spacing w:line="240" w:lineRule="auto"/>
              <w:ind w:firstLine="0" w:firstLineChars="0"/>
              <w:jc w:val="center"/>
              <w:rPr>
                <w:color w:val="auto"/>
                <w:sz w:val="21"/>
                <w:szCs w:val="21"/>
              </w:rPr>
            </w:pPr>
            <w:r>
              <w:rPr>
                <w:color w:val="auto"/>
                <w:sz w:val="21"/>
                <w:szCs w:val="21"/>
              </w:rPr>
              <w:t>1小时</w:t>
            </w:r>
          </w:p>
        </w:tc>
        <w:tc>
          <w:tcPr>
            <w:tcW w:w="1066"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19092323</w:t>
            </w:r>
          </w:p>
        </w:tc>
        <w:tc>
          <w:tcPr>
            <w:tcW w:w="1066"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5.79E-04</w:t>
            </w:r>
          </w:p>
        </w:tc>
        <w:tc>
          <w:tcPr>
            <w:tcW w:w="821"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1.00E-02</w:t>
            </w:r>
          </w:p>
        </w:tc>
        <w:tc>
          <w:tcPr>
            <w:tcW w:w="1311"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5.79</w:t>
            </w:r>
          </w:p>
        </w:tc>
        <w:tc>
          <w:tcPr>
            <w:tcW w:w="1061" w:type="dxa"/>
            <w:vAlign w:val="center"/>
          </w:tcPr>
          <w:p>
            <w:pPr>
              <w:spacing w:line="240" w:lineRule="auto"/>
              <w:ind w:firstLine="0" w:firstLineChars="0"/>
              <w:jc w:val="center"/>
              <w:rPr>
                <w:rFonts w:hint="eastAsia"/>
                <w:color w:val="auto"/>
                <w:sz w:val="21"/>
                <w:szCs w:val="21"/>
              </w:rPr>
            </w:pPr>
            <w:r>
              <w:rPr>
                <w:rFonts w:hint="eastAsia"/>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70" w:type="dxa"/>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9</w:t>
            </w:r>
          </w:p>
        </w:tc>
        <w:tc>
          <w:tcPr>
            <w:tcW w:w="1379" w:type="dxa"/>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李楼村</w:t>
            </w:r>
          </w:p>
        </w:tc>
        <w:tc>
          <w:tcPr>
            <w:tcW w:w="1066" w:type="dxa"/>
            <w:vAlign w:val="center"/>
          </w:tcPr>
          <w:p>
            <w:pPr>
              <w:spacing w:line="240" w:lineRule="auto"/>
              <w:ind w:firstLine="0" w:firstLineChars="0"/>
              <w:jc w:val="center"/>
              <w:rPr>
                <w:color w:val="auto"/>
                <w:sz w:val="21"/>
                <w:szCs w:val="21"/>
              </w:rPr>
            </w:pPr>
            <w:r>
              <w:rPr>
                <w:color w:val="auto"/>
                <w:sz w:val="21"/>
                <w:szCs w:val="21"/>
              </w:rPr>
              <w:t>1小时</w:t>
            </w:r>
          </w:p>
        </w:tc>
        <w:tc>
          <w:tcPr>
            <w:tcW w:w="1066"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19090621</w:t>
            </w:r>
          </w:p>
        </w:tc>
        <w:tc>
          <w:tcPr>
            <w:tcW w:w="1066"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5.73E-04</w:t>
            </w:r>
          </w:p>
        </w:tc>
        <w:tc>
          <w:tcPr>
            <w:tcW w:w="821"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1.00E-02</w:t>
            </w:r>
          </w:p>
        </w:tc>
        <w:tc>
          <w:tcPr>
            <w:tcW w:w="1311" w:type="dxa"/>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5.73</w:t>
            </w:r>
          </w:p>
        </w:tc>
        <w:tc>
          <w:tcPr>
            <w:tcW w:w="1061" w:type="dxa"/>
            <w:vAlign w:val="center"/>
          </w:tcPr>
          <w:p>
            <w:pPr>
              <w:spacing w:line="240" w:lineRule="auto"/>
              <w:ind w:firstLine="0" w:firstLineChars="0"/>
              <w:jc w:val="center"/>
              <w:rPr>
                <w:rFonts w:hint="eastAsia"/>
                <w:color w:val="auto"/>
                <w:sz w:val="21"/>
                <w:szCs w:val="21"/>
              </w:rPr>
            </w:pPr>
            <w:r>
              <w:rPr>
                <w:rFonts w:hint="eastAsia"/>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0" w:hRule="atLeast"/>
          <w:jc w:val="center"/>
        </w:trPr>
        <w:tc>
          <w:tcPr>
            <w:tcW w:w="570" w:type="dxa"/>
            <w:tcBorders>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10</w:t>
            </w:r>
          </w:p>
        </w:tc>
        <w:tc>
          <w:tcPr>
            <w:tcW w:w="1379" w:type="dxa"/>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桑园村</w:t>
            </w:r>
          </w:p>
        </w:tc>
        <w:tc>
          <w:tcPr>
            <w:tcW w:w="1066" w:type="dxa"/>
            <w:tcBorders>
              <w:bottom w:val="single" w:color="auto" w:sz="4" w:space="0"/>
            </w:tcBorders>
            <w:vAlign w:val="center"/>
          </w:tcPr>
          <w:p>
            <w:pPr>
              <w:spacing w:line="240" w:lineRule="auto"/>
              <w:ind w:firstLine="0" w:firstLineChars="0"/>
              <w:jc w:val="center"/>
              <w:rPr>
                <w:color w:val="auto"/>
                <w:sz w:val="21"/>
                <w:szCs w:val="21"/>
              </w:rPr>
            </w:pPr>
            <w:r>
              <w:rPr>
                <w:color w:val="auto"/>
                <w:sz w:val="21"/>
                <w:szCs w:val="21"/>
              </w:rPr>
              <w:t>1小时</w:t>
            </w:r>
          </w:p>
        </w:tc>
        <w:tc>
          <w:tcPr>
            <w:tcW w:w="1066" w:type="dxa"/>
            <w:tcBorders>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19100622</w:t>
            </w:r>
          </w:p>
        </w:tc>
        <w:tc>
          <w:tcPr>
            <w:tcW w:w="1066" w:type="dxa"/>
            <w:tcBorders>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6.47E-04</w:t>
            </w:r>
          </w:p>
        </w:tc>
        <w:tc>
          <w:tcPr>
            <w:tcW w:w="821" w:type="dxa"/>
            <w:tcBorders>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1.00E-02</w:t>
            </w:r>
          </w:p>
        </w:tc>
        <w:tc>
          <w:tcPr>
            <w:tcW w:w="1311" w:type="dxa"/>
            <w:tcBorders>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6.47</w:t>
            </w:r>
          </w:p>
        </w:tc>
        <w:tc>
          <w:tcPr>
            <w:tcW w:w="1061" w:type="dxa"/>
            <w:tcBorders>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40" w:hRule="atLeast"/>
          <w:jc w:val="center"/>
        </w:trPr>
        <w:tc>
          <w:tcPr>
            <w:tcW w:w="570"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rPr>
              <w:t>11</w:t>
            </w:r>
          </w:p>
        </w:tc>
        <w:tc>
          <w:tcPr>
            <w:tcW w:w="1379" w:type="dxa"/>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老王庄村</w:t>
            </w:r>
          </w:p>
        </w:tc>
        <w:tc>
          <w:tcPr>
            <w:tcW w:w="1066" w:type="dxa"/>
            <w:tcBorders>
              <w:top w:val="single" w:color="auto" w:sz="4" w:space="0"/>
              <w:bottom w:val="single" w:color="auto" w:sz="4" w:space="0"/>
            </w:tcBorders>
            <w:vAlign w:val="center"/>
          </w:tcPr>
          <w:p>
            <w:pPr>
              <w:spacing w:line="240" w:lineRule="auto"/>
              <w:ind w:firstLine="0" w:firstLineChars="0"/>
              <w:jc w:val="center"/>
              <w:rPr>
                <w:color w:val="auto"/>
                <w:sz w:val="21"/>
                <w:szCs w:val="21"/>
              </w:rPr>
            </w:pPr>
            <w:r>
              <w:rPr>
                <w:color w:val="auto"/>
                <w:sz w:val="21"/>
                <w:szCs w:val="21"/>
              </w:rPr>
              <w:t>1小时</w:t>
            </w:r>
          </w:p>
        </w:tc>
        <w:tc>
          <w:tcPr>
            <w:tcW w:w="1066"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19022309</w:t>
            </w:r>
          </w:p>
        </w:tc>
        <w:tc>
          <w:tcPr>
            <w:tcW w:w="1066"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9.74E-04</w:t>
            </w:r>
          </w:p>
        </w:tc>
        <w:tc>
          <w:tcPr>
            <w:tcW w:w="821"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1.00E-02</w:t>
            </w:r>
          </w:p>
        </w:tc>
        <w:tc>
          <w:tcPr>
            <w:tcW w:w="1311"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9.74</w:t>
            </w:r>
          </w:p>
        </w:tc>
        <w:tc>
          <w:tcPr>
            <w:tcW w:w="1061"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51" w:hRule="atLeast"/>
          <w:jc w:val="center"/>
        </w:trPr>
        <w:tc>
          <w:tcPr>
            <w:tcW w:w="570"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rPr>
              <w:t>12</w:t>
            </w:r>
          </w:p>
        </w:tc>
        <w:tc>
          <w:tcPr>
            <w:tcW w:w="1379" w:type="dxa"/>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冯寨村</w:t>
            </w:r>
          </w:p>
        </w:tc>
        <w:tc>
          <w:tcPr>
            <w:tcW w:w="1066" w:type="dxa"/>
            <w:tcBorders>
              <w:top w:val="single" w:color="auto" w:sz="4" w:space="0"/>
              <w:bottom w:val="single" w:color="auto" w:sz="4" w:space="0"/>
            </w:tcBorders>
            <w:vAlign w:val="center"/>
          </w:tcPr>
          <w:p>
            <w:pPr>
              <w:spacing w:line="240" w:lineRule="auto"/>
              <w:ind w:firstLine="0" w:firstLineChars="0"/>
              <w:jc w:val="center"/>
              <w:rPr>
                <w:color w:val="auto"/>
                <w:sz w:val="21"/>
                <w:szCs w:val="21"/>
              </w:rPr>
            </w:pPr>
            <w:r>
              <w:rPr>
                <w:color w:val="auto"/>
                <w:sz w:val="21"/>
                <w:szCs w:val="21"/>
              </w:rPr>
              <w:t>1小时</w:t>
            </w:r>
          </w:p>
        </w:tc>
        <w:tc>
          <w:tcPr>
            <w:tcW w:w="1066"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19122021</w:t>
            </w:r>
          </w:p>
        </w:tc>
        <w:tc>
          <w:tcPr>
            <w:tcW w:w="1066"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6.91E-04</w:t>
            </w:r>
          </w:p>
        </w:tc>
        <w:tc>
          <w:tcPr>
            <w:tcW w:w="821"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1.00E-02</w:t>
            </w:r>
          </w:p>
        </w:tc>
        <w:tc>
          <w:tcPr>
            <w:tcW w:w="1311"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6.91</w:t>
            </w:r>
          </w:p>
        </w:tc>
        <w:tc>
          <w:tcPr>
            <w:tcW w:w="1061"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37" w:hRule="atLeast"/>
          <w:jc w:val="center"/>
        </w:trPr>
        <w:tc>
          <w:tcPr>
            <w:tcW w:w="570"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rPr>
              <w:t>13</w:t>
            </w:r>
          </w:p>
        </w:tc>
        <w:tc>
          <w:tcPr>
            <w:tcW w:w="1379" w:type="dxa"/>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东郭集村</w:t>
            </w:r>
          </w:p>
        </w:tc>
        <w:tc>
          <w:tcPr>
            <w:tcW w:w="1066" w:type="dxa"/>
            <w:tcBorders>
              <w:top w:val="single" w:color="auto" w:sz="4" w:space="0"/>
              <w:bottom w:val="single" w:color="auto" w:sz="4" w:space="0"/>
            </w:tcBorders>
            <w:vAlign w:val="center"/>
          </w:tcPr>
          <w:p>
            <w:pPr>
              <w:spacing w:line="240" w:lineRule="auto"/>
              <w:ind w:firstLine="0" w:firstLineChars="0"/>
              <w:jc w:val="center"/>
              <w:rPr>
                <w:color w:val="auto"/>
                <w:sz w:val="21"/>
                <w:szCs w:val="21"/>
              </w:rPr>
            </w:pPr>
            <w:r>
              <w:rPr>
                <w:color w:val="auto"/>
                <w:sz w:val="21"/>
                <w:szCs w:val="21"/>
              </w:rPr>
              <w:t>1小时</w:t>
            </w:r>
          </w:p>
        </w:tc>
        <w:tc>
          <w:tcPr>
            <w:tcW w:w="1066"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19112020</w:t>
            </w:r>
          </w:p>
        </w:tc>
        <w:tc>
          <w:tcPr>
            <w:tcW w:w="1066"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6.49E-04</w:t>
            </w:r>
          </w:p>
        </w:tc>
        <w:tc>
          <w:tcPr>
            <w:tcW w:w="821"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1.00E-02</w:t>
            </w:r>
          </w:p>
        </w:tc>
        <w:tc>
          <w:tcPr>
            <w:tcW w:w="1311"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6.49</w:t>
            </w:r>
          </w:p>
        </w:tc>
        <w:tc>
          <w:tcPr>
            <w:tcW w:w="1061"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73" w:hRule="atLeast"/>
          <w:jc w:val="center"/>
        </w:trPr>
        <w:tc>
          <w:tcPr>
            <w:tcW w:w="570"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rPr>
              <w:t>14</w:t>
            </w:r>
          </w:p>
        </w:tc>
        <w:tc>
          <w:tcPr>
            <w:tcW w:w="1379" w:type="dxa"/>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柳寨村</w:t>
            </w:r>
          </w:p>
        </w:tc>
        <w:tc>
          <w:tcPr>
            <w:tcW w:w="1066" w:type="dxa"/>
            <w:tcBorders>
              <w:top w:val="single" w:color="auto" w:sz="4" w:space="0"/>
              <w:bottom w:val="single" w:color="auto" w:sz="4" w:space="0"/>
            </w:tcBorders>
            <w:vAlign w:val="center"/>
          </w:tcPr>
          <w:p>
            <w:pPr>
              <w:spacing w:line="240" w:lineRule="auto"/>
              <w:ind w:firstLine="0" w:firstLineChars="0"/>
              <w:jc w:val="center"/>
              <w:rPr>
                <w:color w:val="auto"/>
                <w:sz w:val="21"/>
                <w:szCs w:val="21"/>
              </w:rPr>
            </w:pPr>
            <w:r>
              <w:rPr>
                <w:color w:val="auto"/>
                <w:sz w:val="21"/>
                <w:szCs w:val="21"/>
              </w:rPr>
              <w:t>1小时</w:t>
            </w:r>
          </w:p>
        </w:tc>
        <w:tc>
          <w:tcPr>
            <w:tcW w:w="1066"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19103122</w:t>
            </w:r>
          </w:p>
        </w:tc>
        <w:tc>
          <w:tcPr>
            <w:tcW w:w="1066"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5.54E-04</w:t>
            </w:r>
          </w:p>
        </w:tc>
        <w:tc>
          <w:tcPr>
            <w:tcW w:w="821"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1.00E-02</w:t>
            </w:r>
          </w:p>
        </w:tc>
        <w:tc>
          <w:tcPr>
            <w:tcW w:w="1311"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5.54</w:t>
            </w:r>
          </w:p>
        </w:tc>
        <w:tc>
          <w:tcPr>
            <w:tcW w:w="1061"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59" w:hRule="atLeast"/>
          <w:jc w:val="center"/>
        </w:trPr>
        <w:tc>
          <w:tcPr>
            <w:tcW w:w="570"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rPr>
              <w:t>15</w:t>
            </w:r>
          </w:p>
        </w:tc>
        <w:tc>
          <w:tcPr>
            <w:tcW w:w="1379" w:type="dxa"/>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安寨村</w:t>
            </w:r>
          </w:p>
        </w:tc>
        <w:tc>
          <w:tcPr>
            <w:tcW w:w="1066" w:type="dxa"/>
            <w:tcBorders>
              <w:top w:val="single" w:color="auto" w:sz="4" w:space="0"/>
              <w:bottom w:val="single" w:color="auto" w:sz="4" w:space="0"/>
            </w:tcBorders>
            <w:vAlign w:val="center"/>
          </w:tcPr>
          <w:p>
            <w:pPr>
              <w:spacing w:line="240" w:lineRule="auto"/>
              <w:ind w:firstLine="0" w:firstLineChars="0"/>
              <w:jc w:val="center"/>
              <w:rPr>
                <w:color w:val="auto"/>
                <w:sz w:val="21"/>
                <w:szCs w:val="21"/>
              </w:rPr>
            </w:pPr>
            <w:r>
              <w:rPr>
                <w:color w:val="auto"/>
                <w:sz w:val="21"/>
                <w:szCs w:val="21"/>
              </w:rPr>
              <w:t>1小时</w:t>
            </w:r>
          </w:p>
        </w:tc>
        <w:tc>
          <w:tcPr>
            <w:tcW w:w="1066"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19012109</w:t>
            </w:r>
          </w:p>
        </w:tc>
        <w:tc>
          <w:tcPr>
            <w:tcW w:w="1066"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7.18E-04</w:t>
            </w:r>
          </w:p>
        </w:tc>
        <w:tc>
          <w:tcPr>
            <w:tcW w:w="821"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1.00E-02</w:t>
            </w:r>
          </w:p>
        </w:tc>
        <w:tc>
          <w:tcPr>
            <w:tcW w:w="1311"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7.18</w:t>
            </w:r>
          </w:p>
        </w:tc>
        <w:tc>
          <w:tcPr>
            <w:tcW w:w="1061"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1" w:hRule="atLeast"/>
          <w:jc w:val="center"/>
        </w:trPr>
        <w:tc>
          <w:tcPr>
            <w:tcW w:w="570"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rPr>
              <w:t>16</w:t>
            </w:r>
          </w:p>
        </w:tc>
        <w:tc>
          <w:tcPr>
            <w:tcW w:w="1379" w:type="dxa"/>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东草庙村</w:t>
            </w:r>
          </w:p>
        </w:tc>
        <w:tc>
          <w:tcPr>
            <w:tcW w:w="1066" w:type="dxa"/>
            <w:tcBorders>
              <w:top w:val="single" w:color="auto" w:sz="4" w:space="0"/>
              <w:bottom w:val="single" w:color="auto" w:sz="4" w:space="0"/>
            </w:tcBorders>
            <w:vAlign w:val="center"/>
          </w:tcPr>
          <w:p>
            <w:pPr>
              <w:spacing w:line="240" w:lineRule="auto"/>
              <w:ind w:firstLine="0" w:firstLineChars="0"/>
              <w:jc w:val="center"/>
              <w:rPr>
                <w:color w:val="auto"/>
                <w:sz w:val="21"/>
                <w:szCs w:val="21"/>
              </w:rPr>
            </w:pPr>
            <w:r>
              <w:rPr>
                <w:color w:val="auto"/>
                <w:sz w:val="21"/>
                <w:szCs w:val="21"/>
              </w:rPr>
              <w:t>1小时</w:t>
            </w:r>
          </w:p>
        </w:tc>
        <w:tc>
          <w:tcPr>
            <w:tcW w:w="1066"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19012109</w:t>
            </w:r>
          </w:p>
        </w:tc>
        <w:tc>
          <w:tcPr>
            <w:tcW w:w="1066"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5.74E-04</w:t>
            </w:r>
          </w:p>
        </w:tc>
        <w:tc>
          <w:tcPr>
            <w:tcW w:w="821"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1.00E-02</w:t>
            </w:r>
          </w:p>
        </w:tc>
        <w:tc>
          <w:tcPr>
            <w:tcW w:w="1311"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5.74</w:t>
            </w:r>
          </w:p>
        </w:tc>
        <w:tc>
          <w:tcPr>
            <w:tcW w:w="1061"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31" w:hRule="atLeast"/>
          <w:jc w:val="center"/>
        </w:trPr>
        <w:tc>
          <w:tcPr>
            <w:tcW w:w="570"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rPr>
              <w:t>17</w:t>
            </w:r>
          </w:p>
        </w:tc>
        <w:tc>
          <w:tcPr>
            <w:tcW w:w="1379" w:type="dxa"/>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中草庙村</w:t>
            </w:r>
          </w:p>
        </w:tc>
        <w:tc>
          <w:tcPr>
            <w:tcW w:w="1066" w:type="dxa"/>
            <w:tcBorders>
              <w:top w:val="single" w:color="auto" w:sz="4" w:space="0"/>
              <w:bottom w:val="single" w:color="auto" w:sz="4" w:space="0"/>
            </w:tcBorders>
            <w:vAlign w:val="center"/>
          </w:tcPr>
          <w:p>
            <w:pPr>
              <w:spacing w:line="240" w:lineRule="auto"/>
              <w:ind w:firstLine="0" w:firstLineChars="0"/>
              <w:jc w:val="center"/>
              <w:rPr>
                <w:color w:val="auto"/>
                <w:sz w:val="21"/>
                <w:szCs w:val="21"/>
              </w:rPr>
            </w:pPr>
            <w:r>
              <w:rPr>
                <w:color w:val="auto"/>
                <w:sz w:val="21"/>
                <w:szCs w:val="21"/>
              </w:rPr>
              <w:t>1小时</w:t>
            </w:r>
          </w:p>
        </w:tc>
        <w:tc>
          <w:tcPr>
            <w:tcW w:w="1066"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19013123</w:t>
            </w:r>
          </w:p>
        </w:tc>
        <w:tc>
          <w:tcPr>
            <w:tcW w:w="1066"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8.31E-04</w:t>
            </w:r>
          </w:p>
        </w:tc>
        <w:tc>
          <w:tcPr>
            <w:tcW w:w="821"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1.00E-02</w:t>
            </w:r>
          </w:p>
        </w:tc>
        <w:tc>
          <w:tcPr>
            <w:tcW w:w="1311"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8.31</w:t>
            </w:r>
          </w:p>
        </w:tc>
        <w:tc>
          <w:tcPr>
            <w:tcW w:w="1061"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949" w:type="dxa"/>
            <w:gridSpan w:val="2"/>
            <w:tcBorders>
              <w:top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网格点</w:t>
            </w:r>
          </w:p>
        </w:tc>
        <w:tc>
          <w:tcPr>
            <w:tcW w:w="1066" w:type="dxa"/>
            <w:tcBorders>
              <w:top w:val="single" w:color="auto" w:sz="4" w:space="0"/>
            </w:tcBorders>
            <w:vAlign w:val="center"/>
          </w:tcPr>
          <w:p>
            <w:pPr>
              <w:spacing w:line="240" w:lineRule="auto"/>
              <w:ind w:firstLine="0" w:firstLineChars="0"/>
              <w:jc w:val="center"/>
              <w:rPr>
                <w:color w:val="auto"/>
                <w:sz w:val="21"/>
                <w:szCs w:val="21"/>
              </w:rPr>
            </w:pPr>
            <w:r>
              <w:rPr>
                <w:color w:val="auto"/>
                <w:sz w:val="21"/>
                <w:szCs w:val="21"/>
              </w:rPr>
              <w:t>1小时</w:t>
            </w:r>
          </w:p>
        </w:tc>
        <w:tc>
          <w:tcPr>
            <w:tcW w:w="1066" w:type="dxa"/>
            <w:tcBorders>
              <w:top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19120320</w:t>
            </w:r>
          </w:p>
        </w:tc>
        <w:tc>
          <w:tcPr>
            <w:tcW w:w="1066" w:type="dxa"/>
            <w:tcBorders>
              <w:top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1.25E-03</w:t>
            </w:r>
          </w:p>
        </w:tc>
        <w:tc>
          <w:tcPr>
            <w:tcW w:w="821" w:type="dxa"/>
            <w:tcBorders>
              <w:top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1.00E-02</w:t>
            </w:r>
          </w:p>
        </w:tc>
        <w:tc>
          <w:tcPr>
            <w:tcW w:w="1311" w:type="dxa"/>
            <w:tcBorders>
              <w:top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lang w:val="en-US" w:eastAsia="zh-CN"/>
              </w:rPr>
              <w:t>12.52</w:t>
            </w:r>
          </w:p>
        </w:tc>
        <w:tc>
          <w:tcPr>
            <w:tcW w:w="1061" w:type="dxa"/>
            <w:tcBorders>
              <w:top w:val="single" w:color="auto" w:sz="4" w:space="0"/>
            </w:tcBorders>
            <w:vAlign w:val="center"/>
          </w:tcPr>
          <w:p>
            <w:pPr>
              <w:spacing w:line="240" w:lineRule="auto"/>
              <w:ind w:firstLine="0" w:firstLineChars="0"/>
              <w:jc w:val="center"/>
              <w:rPr>
                <w:rFonts w:hint="eastAsia"/>
                <w:color w:val="auto"/>
                <w:sz w:val="21"/>
                <w:szCs w:val="21"/>
              </w:rPr>
            </w:pPr>
            <w:r>
              <w:rPr>
                <w:rFonts w:hint="eastAsia"/>
                <w:color w:val="auto"/>
                <w:sz w:val="21"/>
                <w:szCs w:val="21"/>
              </w:rPr>
              <w:t>达标</w:t>
            </w:r>
          </w:p>
        </w:tc>
      </w:tr>
    </w:tbl>
    <w:p>
      <w:pPr>
        <w:spacing w:line="240" w:lineRule="auto"/>
        <w:ind w:firstLine="0" w:firstLineChars="0"/>
        <w:jc w:val="center"/>
        <w:rPr>
          <w:color w:val="auto"/>
        </w:rPr>
      </w:pPr>
      <w:r>
        <w:rPr>
          <w:color w:val="auto"/>
        </w:rPr>
        <w:drawing>
          <wp:inline distT="0" distB="0" distL="114300" distR="114300">
            <wp:extent cx="5539740" cy="3562350"/>
            <wp:effectExtent l="0" t="0" r="3810" b="0"/>
            <wp:docPr id="2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3"/>
                    <pic:cNvPicPr>
                      <a:picLocks noChangeAspect="1"/>
                    </pic:cNvPicPr>
                  </pic:nvPicPr>
                  <pic:blipFill>
                    <a:blip r:embed="rId60"/>
                    <a:stretch>
                      <a:fillRect/>
                    </a:stretch>
                  </pic:blipFill>
                  <pic:spPr>
                    <a:xfrm>
                      <a:off x="0" y="0"/>
                      <a:ext cx="5539740" cy="3562350"/>
                    </a:xfrm>
                    <a:prstGeom prst="rect">
                      <a:avLst/>
                    </a:prstGeom>
                    <a:noFill/>
                    <a:ln>
                      <a:noFill/>
                    </a:ln>
                  </pic:spPr>
                </pic:pic>
              </a:graphicData>
            </a:graphic>
          </wp:inline>
        </w:drawing>
      </w:r>
    </w:p>
    <w:p>
      <w:pPr>
        <w:ind w:firstLine="482"/>
        <w:jc w:val="center"/>
        <w:rPr>
          <w:color w:val="auto"/>
        </w:rPr>
      </w:pPr>
      <w:r>
        <w:rPr>
          <w:b/>
          <w:bCs/>
          <w:color w:val="auto"/>
        </w:rPr>
        <w:t>H</w:t>
      </w:r>
      <w:r>
        <w:rPr>
          <w:b/>
          <w:bCs/>
          <w:color w:val="auto"/>
          <w:vertAlign w:val="subscript"/>
        </w:rPr>
        <w:t>2</w:t>
      </w:r>
      <w:r>
        <w:rPr>
          <w:b/>
          <w:bCs/>
          <w:color w:val="auto"/>
        </w:rPr>
        <w:t>S</w:t>
      </w:r>
      <w:r>
        <w:rPr>
          <w:b/>
          <w:color w:val="auto"/>
          <w:szCs w:val="21"/>
        </w:rPr>
        <w:t>小时浓度预测结果</w:t>
      </w:r>
    </w:p>
    <w:p>
      <w:pPr>
        <w:ind w:firstLine="480"/>
        <w:rPr>
          <w:color w:val="auto"/>
        </w:rPr>
      </w:pPr>
      <w:r>
        <w:rPr>
          <w:color w:val="auto"/>
        </w:rPr>
        <w:t>从上表可以看出，SO</w:t>
      </w:r>
      <w:r>
        <w:rPr>
          <w:color w:val="auto"/>
          <w:vertAlign w:val="subscript"/>
        </w:rPr>
        <w:t>2</w:t>
      </w:r>
      <w:r>
        <w:rPr>
          <w:color w:val="auto"/>
        </w:rPr>
        <w:t>、PM</w:t>
      </w:r>
      <w:r>
        <w:rPr>
          <w:color w:val="auto"/>
          <w:vertAlign w:val="subscript"/>
        </w:rPr>
        <w:t>10</w:t>
      </w:r>
      <w:r>
        <w:rPr>
          <w:color w:val="auto"/>
        </w:rPr>
        <w:t>、NO</w:t>
      </w:r>
      <w:r>
        <w:rPr>
          <w:color w:val="auto"/>
          <w:vertAlign w:val="subscript"/>
        </w:rPr>
        <w:t>2</w:t>
      </w:r>
      <w:r>
        <w:rPr>
          <w:color w:val="auto"/>
        </w:rPr>
        <w:t>、NH</w:t>
      </w:r>
      <w:r>
        <w:rPr>
          <w:color w:val="auto"/>
          <w:vertAlign w:val="subscript"/>
        </w:rPr>
        <w:t>3</w:t>
      </w:r>
      <w:r>
        <w:rPr>
          <w:color w:val="auto"/>
        </w:rPr>
        <w:t>、H</w:t>
      </w:r>
      <w:r>
        <w:rPr>
          <w:color w:val="auto"/>
          <w:vertAlign w:val="subscript"/>
        </w:rPr>
        <w:t>2</w:t>
      </w:r>
      <w:r>
        <w:rPr>
          <w:color w:val="auto"/>
        </w:rPr>
        <w:t>S小时、日均和年均值在各敏感点最大贡献值均满足《环境空气质量标准》（GB3095-2012）中二级标准要求和《环境影响评价技术导则大气环境》（HJ2.2-2018）附录D其他污染物空气质量浓度参考限值中要求。拟建工程正常排放下污染物短期浓度贡献值的最大浓度占标率≤100%，年均浓度贡献值的最大浓度占标率≤30%。</w:t>
      </w:r>
    </w:p>
    <w:p>
      <w:pPr>
        <w:ind w:firstLine="480"/>
        <w:rPr>
          <w:color w:val="auto"/>
        </w:rPr>
      </w:pPr>
      <w:r>
        <w:rPr>
          <w:color w:val="auto"/>
        </w:rPr>
        <w:t>（2）叠加现状环境质量浓度及其他污染源影响后预测结果</w:t>
      </w:r>
    </w:p>
    <w:p>
      <w:pPr>
        <w:ind w:firstLine="480"/>
        <w:rPr>
          <w:color w:val="auto"/>
        </w:rPr>
      </w:pPr>
      <w:r>
        <w:rPr>
          <w:rFonts w:hint="eastAsia"/>
          <w:color w:val="auto"/>
        </w:rPr>
        <w:t>根据现场踏勘，本项目大气评价范围内无在建、拟建区域污染源。</w:t>
      </w:r>
    </w:p>
    <w:p>
      <w:pPr>
        <w:ind w:firstLine="480"/>
        <w:rPr>
          <w:color w:val="auto"/>
        </w:rPr>
      </w:pPr>
      <w:r>
        <w:rPr>
          <w:color w:val="auto"/>
        </w:rPr>
        <w:t>根据预测结果拟建工程贡献值叠加现状环境质量浓度及其他污染源影响后预测结果见表5.2-26~5.1-31。</w:t>
      </w:r>
    </w:p>
    <w:p>
      <w:pPr>
        <w:ind w:firstLine="0" w:firstLineChars="0"/>
        <w:jc w:val="center"/>
        <w:rPr>
          <w:b/>
          <w:color w:val="auto"/>
          <w:szCs w:val="21"/>
        </w:rPr>
      </w:pPr>
      <w:r>
        <w:rPr>
          <w:b/>
          <w:color w:val="auto"/>
          <w:szCs w:val="21"/>
        </w:rPr>
        <w:t>5.2-26</w:t>
      </w:r>
      <w:r>
        <w:rPr>
          <w:rFonts w:hint="eastAsia"/>
          <w:b/>
          <w:color w:val="auto"/>
          <w:szCs w:val="21"/>
        </w:rPr>
        <w:t xml:space="preserve">  </w:t>
      </w:r>
      <w:r>
        <w:rPr>
          <w:b/>
          <w:color w:val="auto"/>
          <w:szCs w:val="21"/>
        </w:rPr>
        <w:t>叠加后SO</w:t>
      </w:r>
      <w:r>
        <w:rPr>
          <w:b/>
          <w:color w:val="auto"/>
          <w:szCs w:val="21"/>
          <w:vertAlign w:val="subscript"/>
        </w:rPr>
        <w:t>2</w:t>
      </w:r>
      <w:r>
        <w:rPr>
          <w:b/>
          <w:color w:val="auto"/>
          <w:szCs w:val="21"/>
        </w:rPr>
        <w:t>浓度预测结果一览表    单位：mg/m</w:t>
      </w:r>
      <w:r>
        <w:rPr>
          <w:b/>
          <w:color w:val="auto"/>
          <w:szCs w:val="21"/>
          <w:vertAlign w:val="superscript"/>
        </w:rPr>
        <w:t>3</w:t>
      </w:r>
    </w:p>
    <w:tbl>
      <w:tblPr>
        <w:tblStyle w:val="27"/>
        <w:tblW w:w="4997"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497"/>
        <w:gridCol w:w="1289"/>
        <w:gridCol w:w="973"/>
        <w:gridCol w:w="979"/>
        <w:gridCol w:w="864"/>
        <w:gridCol w:w="1199"/>
        <w:gridCol w:w="963"/>
        <w:gridCol w:w="989"/>
        <w:gridCol w:w="972"/>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84"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序号</w:t>
            </w:r>
          </w:p>
        </w:tc>
        <w:tc>
          <w:tcPr>
            <w:tcW w:w="7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名称</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平均时间</w:t>
            </w:r>
          </w:p>
        </w:tc>
        <w:tc>
          <w:tcPr>
            <w:tcW w:w="561"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浓度增量</w:t>
            </w:r>
          </w:p>
          <w:p>
            <w:pPr>
              <w:spacing w:line="240" w:lineRule="auto"/>
              <w:ind w:firstLine="0" w:firstLineChars="0"/>
              <w:jc w:val="center"/>
              <w:rPr>
                <w:color w:val="auto"/>
                <w:sz w:val="21"/>
                <w:szCs w:val="21"/>
              </w:rPr>
            </w:pPr>
            <w:r>
              <w:rPr>
                <w:color w:val="auto"/>
                <w:sz w:val="21"/>
                <w:szCs w:val="21"/>
              </w:rPr>
              <w:t>(mg/m3)</w:t>
            </w:r>
          </w:p>
        </w:tc>
        <w:tc>
          <w:tcPr>
            <w:tcW w:w="495"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出现时间(YYMMDDHH)</w:t>
            </w:r>
          </w:p>
        </w:tc>
        <w:tc>
          <w:tcPr>
            <w:tcW w:w="686"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叠加背景后的浓度(mg/m3)</w:t>
            </w:r>
          </w:p>
        </w:tc>
        <w:tc>
          <w:tcPr>
            <w:tcW w:w="552"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评价标准(mg/m3)</w:t>
            </w:r>
          </w:p>
        </w:tc>
        <w:tc>
          <w:tcPr>
            <w:tcW w:w="56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占标率%</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是否超标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87" w:hRule="atLeast"/>
          <w:jc w:val="center"/>
        </w:trPr>
        <w:tc>
          <w:tcPr>
            <w:tcW w:w="284"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1</w:t>
            </w:r>
          </w:p>
        </w:tc>
        <w:tc>
          <w:tcPr>
            <w:tcW w:w="1363" w:type="dxa"/>
            <w:vMerge w:val="restart"/>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rPr>
              <w:t>七王庙村</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1.34E-05</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19022709</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1.34E-05</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5.00E-01</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54"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lang w:val="zh-CN"/>
              </w:rPr>
            </w:pP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9.00E-07</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190113</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1.60E-02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1.50E-01</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10.67</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7"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lang w:val="zh-CN"/>
              </w:rPr>
            </w:pP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9.00E-08</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1.10E-02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6.00E-02</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18.33</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76" w:hRule="atLeast"/>
          <w:jc w:val="center"/>
        </w:trPr>
        <w:tc>
          <w:tcPr>
            <w:tcW w:w="284"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2</w:t>
            </w:r>
          </w:p>
        </w:tc>
        <w:tc>
          <w:tcPr>
            <w:tcW w:w="1363" w:type="dxa"/>
            <w:vMerge w:val="restart"/>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rPr>
              <w:t>于屯村</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8.72E-06</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19032003</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8.72E-06</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5.00E-01</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4"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lang w:val="zh-CN"/>
              </w:rPr>
            </w:pP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4.30E-07</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190126</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1.60E-02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1.50E-01</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10.67</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57"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lang w:val="zh-CN"/>
              </w:rPr>
            </w:pP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5.00E-08</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1.10E-02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6.00E-02</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18.33</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91" w:hRule="atLeast"/>
          <w:jc w:val="center"/>
        </w:trPr>
        <w:tc>
          <w:tcPr>
            <w:tcW w:w="284"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3</w:t>
            </w:r>
          </w:p>
        </w:tc>
        <w:tc>
          <w:tcPr>
            <w:tcW w:w="1363" w:type="dxa"/>
            <w:vMerge w:val="restart"/>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rPr>
              <w:t>东高城村</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1.25E-05</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19052922</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1.25E-05</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5.00E-01</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34"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lang w:val="zh-CN"/>
              </w:rPr>
            </w:pP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8.30E-07</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191024</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1.60E-02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1.50E-01</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10.67</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7"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lang w:val="zh-CN"/>
              </w:rPr>
            </w:pP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1.40E-07</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1.10E-02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6.00E-02</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18.33</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6" w:hRule="atLeast"/>
          <w:jc w:val="center"/>
        </w:trPr>
        <w:tc>
          <w:tcPr>
            <w:tcW w:w="284"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4</w:t>
            </w:r>
          </w:p>
        </w:tc>
        <w:tc>
          <w:tcPr>
            <w:tcW w:w="1363" w:type="dxa"/>
            <w:vMerge w:val="restart"/>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rPr>
              <w:t>前吕寨村</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6.98E-06</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19120916</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6.98E-06</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5.00E-01</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85"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lang w:val="zh-CN"/>
              </w:rPr>
            </w:pP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4.10E-07</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190106</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1.60E-02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1.50E-01</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10.67</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6"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lang w:val="zh-CN"/>
              </w:rPr>
            </w:pP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4.00E-08</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1.10E-02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6.00E-02</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18.33</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45" w:hRule="atLeast"/>
          <w:jc w:val="center"/>
        </w:trPr>
        <w:tc>
          <w:tcPr>
            <w:tcW w:w="284"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5</w:t>
            </w:r>
          </w:p>
        </w:tc>
        <w:tc>
          <w:tcPr>
            <w:tcW w:w="1363" w:type="dxa"/>
            <w:vMerge w:val="restart"/>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rPr>
              <w:t>后吕寨村</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9.16E-06</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19011315</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9.16E-06</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5.00E-01</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00"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lang w:val="zh-CN"/>
              </w:rPr>
            </w:pP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5.30E-07</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190517</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1.60E-02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1.50E-01</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10.67</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51"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lang w:val="zh-CN"/>
              </w:rPr>
            </w:pP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5.00E-08</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1.10E-02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6.00E-02</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18.33</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85" w:hRule="atLeast"/>
          <w:jc w:val="center"/>
        </w:trPr>
        <w:tc>
          <w:tcPr>
            <w:tcW w:w="284"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6</w:t>
            </w:r>
          </w:p>
        </w:tc>
        <w:tc>
          <w:tcPr>
            <w:tcW w:w="1363" w:type="dxa"/>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梨园村</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8.64E-06</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19050907</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8.64E-06</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5.00E-01</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40"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rPr>
            </w:pP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6.40E-07</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190517</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1.60E-02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1.50E-01</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10.67</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1"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rPr>
            </w:pP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8.00E-08</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1.10E-02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6.00E-02</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18.33</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21" w:hRule="atLeast"/>
          <w:jc w:val="center"/>
        </w:trPr>
        <w:tc>
          <w:tcPr>
            <w:tcW w:w="284"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7</w:t>
            </w:r>
          </w:p>
        </w:tc>
        <w:tc>
          <w:tcPr>
            <w:tcW w:w="1363" w:type="dxa"/>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后坡村</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6.54E-06</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19083102</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6.54E-06</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5.00E-01</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25"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rPr>
            </w:pP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3.70E-07</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190831</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1.60E-02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1.50E-01</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10.67</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26"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rPr>
            </w:pP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3.00E-08</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1.10E-02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6.00E-02</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18.33</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86" w:hRule="atLeast"/>
          <w:jc w:val="center"/>
        </w:trPr>
        <w:tc>
          <w:tcPr>
            <w:tcW w:w="284"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8</w:t>
            </w:r>
          </w:p>
        </w:tc>
        <w:tc>
          <w:tcPr>
            <w:tcW w:w="1363" w:type="dxa"/>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中坡村</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6.39E-06</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19042520</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6.39E-06</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5.00E-01</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40"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rPr>
            </w:pP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4.10E-07</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190919</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1.60E-02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1.50E-01</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10.67</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1"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rPr>
            </w:pP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4.00E-08</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1.10E-02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6.00E-02</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18.33</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87" w:hRule="atLeast"/>
          <w:jc w:val="center"/>
        </w:trPr>
        <w:tc>
          <w:tcPr>
            <w:tcW w:w="284"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9</w:t>
            </w:r>
          </w:p>
        </w:tc>
        <w:tc>
          <w:tcPr>
            <w:tcW w:w="1363" w:type="dxa"/>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李楼村</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9.84E-06</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19091823</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9.84E-06</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5.00E-01</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43"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rPr>
            </w:pP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6.00E-07</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191209</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1.60E-02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1.50E-01</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10.67</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08"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rPr>
            </w:pP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6.00E-08</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1.10E-02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6.00E-02</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18.33</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0" w:hRule="atLeast"/>
          <w:jc w:val="center"/>
        </w:trPr>
        <w:tc>
          <w:tcPr>
            <w:tcW w:w="284"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10</w:t>
            </w:r>
          </w:p>
        </w:tc>
        <w:tc>
          <w:tcPr>
            <w:tcW w:w="1363" w:type="dxa"/>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桑园村</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1.28E-05</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19032901</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1.28E-05</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5.00E-01</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8"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rPr>
            </w:pP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9.60E-07</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191124</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1.60E-02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1.50E-01</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10.67</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83"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rPr>
            </w:pP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1.00E-07</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1.10E-02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6.00E-02</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18.33</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3" w:hRule="atLeast"/>
          <w:jc w:val="center"/>
        </w:trPr>
        <w:tc>
          <w:tcPr>
            <w:tcW w:w="284"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11</w:t>
            </w:r>
          </w:p>
        </w:tc>
        <w:tc>
          <w:tcPr>
            <w:tcW w:w="1363" w:type="dxa"/>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老王庄村</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3.11E-05</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19020908</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3.11E-05</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5.00E-01</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0.01</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45"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rPr>
            </w:pP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1.98E-06</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191014</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1.60E-02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1.50E-01</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10.67</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06"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rPr>
            </w:pP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2.60E-07</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1.10E-02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6.00E-02</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18.33</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79" w:hRule="atLeast"/>
          <w:jc w:val="center"/>
        </w:trPr>
        <w:tc>
          <w:tcPr>
            <w:tcW w:w="284"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12</w:t>
            </w:r>
          </w:p>
        </w:tc>
        <w:tc>
          <w:tcPr>
            <w:tcW w:w="1363" w:type="dxa"/>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冯寨村</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1.17E-05</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19122411</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1.17E-05</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5.00E-01</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35"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rPr>
            </w:pP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6.10E-07</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190113</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1.60E-02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1.50E-01</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10.67</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6"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rPr>
            </w:pP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6.00E-08</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1.10E-02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6.00E-02</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18.33</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57" w:hRule="atLeast"/>
          <w:jc w:val="center"/>
        </w:trPr>
        <w:tc>
          <w:tcPr>
            <w:tcW w:w="284"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13</w:t>
            </w:r>
          </w:p>
        </w:tc>
        <w:tc>
          <w:tcPr>
            <w:tcW w:w="1363" w:type="dxa"/>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东郭集村</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9.66E-06</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19020511</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9.66E-06</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5.00E-01</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87"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rPr>
            </w:pP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5.20E-07</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191204</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1.60E-02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1.50E-01</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10.67</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39"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rPr>
            </w:pP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5.00E-08</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1.10E-02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6.00E-02</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18.33</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7" w:hRule="atLeast"/>
          <w:jc w:val="center"/>
        </w:trPr>
        <w:tc>
          <w:tcPr>
            <w:tcW w:w="284"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14</w:t>
            </w:r>
          </w:p>
        </w:tc>
        <w:tc>
          <w:tcPr>
            <w:tcW w:w="1363" w:type="dxa"/>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柳寨村</w:t>
            </w:r>
          </w:p>
        </w:tc>
        <w:tc>
          <w:tcPr>
            <w:tcW w:w="973"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8.11E-06</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19031022</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8.11E-06</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5.00E-01</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45"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rPr>
            </w:pPr>
          </w:p>
        </w:tc>
        <w:tc>
          <w:tcPr>
            <w:tcW w:w="973"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3.30E-07</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190101</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1.60E-02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1.50E-01</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10.67</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10"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rPr>
            </w:pPr>
          </w:p>
        </w:tc>
        <w:tc>
          <w:tcPr>
            <w:tcW w:w="973"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3.00E-08</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1.10E-02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6.00E-02</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18.33</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38" w:hRule="atLeast"/>
          <w:jc w:val="center"/>
        </w:trPr>
        <w:tc>
          <w:tcPr>
            <w:tcW w:w="284"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15</w:t>
            </w:r>
          </w:p>
        </w:tc>
        <w:tc>
          <w:tcPr>
            <w:tcW w:w="1363" w:type="dxa"/>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安寨村</w:t>
            </w:r>
          </w:p>
        </w:tc>
        <w:tc>
          <w:tcPr>
            <w:tcW w:w="973"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2.98E-05</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19122011</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2.98E-05</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5.00E-01</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0.01</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54"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rPr>
            </w:pPr>
          </w:p>
        </w:tc>
        <w:tc>
          <w:tcPr>
            <w:tcW w:w="973"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1.86E-06</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190324</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1.60E-02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1.50E-01</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10.67</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7"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rPr>
            </w:pPr>
          </w:p>
        </w:tc>
        <w:tc>
          <w:tcPr>
            <w:tcW w:w="973"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2.70E-07</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1.10E-02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6.00E-02</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18.33</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35" w:hRule="atLeast"/>
          <w:jc w:val="center"/>
        </w:trPr>
        <w:tc>
          <w:tcPr>
            <w:tcW w:w="284"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16</w:t>
            </w:r>
          </w:p>
        </w:tc>
        <w:tc>
          <w:tcPr>
            <w:tcW w:w="1363" w:type="dxa"/>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东草庙村</w:t>
            </w:r>
          </w:p>
        </w:tc>
        <w:tc>
          <w:tcPr>
            <w:tcW w:w="973"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1.43E-05</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19050724</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1.43E-05</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5.00E-01</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88"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rPr>
            </w:pPr>
          </w:p>
        </w:tc>
        <w:tc>
          <w:tcPr>
            <w:tcW w:w="973"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1.01E-06</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190219</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1.60E-02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1.50E-01</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10.67</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97"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rPr>
            </w:pPr>
          </w:p>
        </w:tc>
        <w:tc>
          <w:tcPr>
            <w:tcW w:w="973"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1.50E-07</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1.10E-02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6.00E-02</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18.33</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3" w:hRule="atLeast"/>
          <w:jc w:val="center"/>
        </w:trPr>
        <w:tc>
          <w:tcPr>
            <w:tcW w:w="284"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17</w:t>
            </w:r>
          </w:p>
        </w:tc>
        <w:tc>
          <w:tcPr>
            <w:tcW w:w="1363" w:type="dxa"/>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中草庙村</w:t>
            </w:r>
          </w:p>
        </w:tc>
        <w:tc>
          <w:tcPr>
            <w:tcW w:w="973"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1.71E-05</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19110922</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1.71E-05</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5.00E-01</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91"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rPr>
            </w:pPr>
          </w:p>
        </w:tc>
        <w:tc>
          <w:tcPr>
            <w:tcW w:w="973"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1.50E-06</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190404</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1.60E-02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1.50E-01</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10.67</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31"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rPr>
            </w:pPr>
          </w:p>
        </w:tc>
        <w:tc>
          <w:tcPr>
            <w:tcW w:w="973"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1.80E-07</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1.10E-02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6.00E-02</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18.33</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45" w:hRule="atLeast"/>
          <w:jc w:val="center"/>
        </w:trPr>
        <w:tc>
          <w:tcPr>
            <w:tcW w:w="1021" w:type="pct"/>
            <w:gridSpan w:val="2"/>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网格</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4.57E-05</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19121515</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4.57E-05</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5.00E-01</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0.01</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87" w:hRule="atLeast"/>
          <w:jc w:val="center"/>
        </w:trPr>
        <w:tc>
          <w:tcPr>
            <w:tcW w:w="1021" w:type="pct"/>
            <w:gridSpan w:val="2"/>
            <w:vMerge w:val="continue"/>
            <w:tcBorders>
              <w:tl2br w:val="nil"/>
              <w:tr2bl w:val="nil"/>
            </w:tcBorders>
            <w:vAlign w:val="center"/>
          </w:tcPr>
          <w:p>
            <w:pPr>
              <w:spacing w:line="240" w:lineRule="auto"/>
              <w:ind w:firstLine="0" w:firstLineChars="0"/>
              <w:jc w:val="center"/>
              <w:rPr>
                <w:color w:val="auto"/>
                <w:sz w:val="21"/>
                <w:szCs w:val="21"/>
              </w:rPr>
            </w:pP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3.82E-06</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190115</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1.60E-02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1.50E-01</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10.67</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4" w:hRule="atLeast"/>
          <w:jc w:val="center"/>
        </w:trPr>
        <w:tc>
          <w:tcPr>
            <w:tcW w:w="1021" w:type="pct"/>
            <w:gridSpan w:val="2"/>
            <w:vMerge w:val="continue"/>
            <w:tcBorders>
              <w:tl2br w:val="nil"/>
              <w:tr2bl w:val="nil"/>
            </w:tcBorders>
            <w:vAlign w:val="center"/>
          </w:tcPr>
          <w:p>
            <w:pPr>
              <w:spacing w:line="240" w:lineRule="auto"/>
              <w:ind w:firstLine="0" w:firstLineChars="0"/>
              <w:jc w:val="center"/>
              <w:rPr>
                <w:color w:val="auto"/>
                <w:sz w:val="21"/>
                <w:szCs w:val="21"/>
              </w:rPr>
            </w:pP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5.00E-07</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1.10E-02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6.00E-02</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18.33</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达标</w:t>
            </w:r>
          </w:p>
        </w:tc>
      </w:tr>
    </w:tbl>
    <w:p>
      <w:pPr>
        <w:spacing w:before="156" w:beforeLines="50" w:after="156" w:afterLines="50" w:line="240" w:lineRule="auto"/>
        <w:ind w:left="480" w:leftChars="200" w:firstLine="0" w:firstLineChars="0"/>
        <w:jc w:val="center"/>
        <w:rPr>
          <w:b/>
          <w:color w:val="auto"/>
          <w:szCs w:val="21"/>
        </w:rPr>
      </w:pPr>
      <w:r>
        <w:rPr>
          <w:b/>
          <w:color w:val="auto"/>
          <w:szCs w:val="21"/>
        </w:rPr>
        <w:t>5.2-28  叠加后NO</w:t>
      </w:r>
      <w:r>
        <w:rPr>
          <w:b/>
          <w:color w:val="auto"/>
          <w:szCs w:val="21"/>
          <w:vertAlign w:val="subscript"/>
        </w:rPr>
        <w:t>2</w:t>
      </w:r>
      <w:r>
        <w:rPr>
          <w:b/>
          <w:color w:val="auto"/>
          <w:szCs w:val="21"/>
        </w:rPr>
        <w:t>浓度预测结果一览表    单位：mg/m</w:t>
      </w:r>
      <w:r>
        <w:rPr>
          <w:b/>
          <w:color w:val="auto"/>
          <w:szCs w:val="21"/>
          <w:vertAlign w:val="superscript"/>
        </w:rPr>
        <w:t>3</w:t>
      </w:r>
    </w:p>
    <w:tbl>
      <w:tblPr>
        <w:tblStyle w:val="27"/>
        <w:tblW w:w="4997"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497"/>
        <w:gridCol w:w="1289"/>
        <w:gridCol w:w="973"/>
        <w:gridCol w:w="979"/>
        <w:gridCol w:w="864"/>
        <w:gridCol w:w="1199"/>
        <w:gridCol w:w="963"/>
        <w:gridCol w:w="989"/>
        <w:gridCol w:w="972"/>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84"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序号</w:t>
            </w:r>
          </w:p>
        </w:tc>
        <w:tc>
          <w:tcPr>
            <w:tcW w:w="73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名称</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平均时间</w:t>
            </w:r>
          </w:p>
        </w:tc>
        <w:tc>
          <w:tcPr>
            <w:tcW w:w="561"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浓度增量</w:t>
            </w:r>
          </w:p>
          <w:p>
            <w:pPr>
              <w:spacing w:line="240" w:lineRule="auto"/>
              <w:ind w:firstLine="0" w:firstLineChars="0"/>
              <w:jc w:val="center"/>
              <w:rPr>
                <w:color w:val="auto"/>
                <w:sz w:val="21"/>
                <w:szCs w:val="21"/>
              </w:rPr>
            </w:pPr>
            <w:r>
              <w:rPr>
                <w:color w:val="auto"/>
                <w:sz w:val="21"/>
                <w:szCs w:val="21"/>
              </w:rPr>
              <w:t>(mg/m3)</w:t>
            </w:r>
          </w:p>
        </w:tc>
        <w:tc>
          <w:tcPr>
            <w:tcW w:w="495"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出现时间(YYMMDDHH)</w:t>
            </w:r>
          </w:p>
        </w:tc>
        <w:tc>
          <w:tcPr>
            <w:tcW w:w="686"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叠加背景后的浓度(mg/m3)</w:t>
            </w:r>
          </w:p>
        </w:tc>
        <w:tc>
          <w:tcPr>
            <w:tcW w:w="552"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评价标准(mg/m3)</w:t>
            </w:r>
          </w:p>
        </w:tc>
        <w:tc>
          <w:tcPr>
            <w:tcW w:w="56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占标率%</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是否超标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87" w:hRule="atLeast"/>
          <w:jc w:val="center"/>
        </w:trPr>
        <w:tc>
          <w:tcPr>
            <w:tcW w:w="284"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1</w:t>
            </w:r>
          </w:p>
        </w:tc>
        <w:tc>
          <w:tcPr>
            <w:tcW w:w="1363" w:type="dxa"/>
            <w:vMerge w:val="restart"/>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rPr>
              <w:t>七王庙村</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4.97E-05</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19022709</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4.97E-05</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2.00E-01</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0.02</w:t>
            </w:r>
          </w:p>
        </w:tc>
        <w:tc>
          <w:tcPr>
            <w:tcW w:w="557"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54"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lang w:val="zh-CN"/>
              </w:rPr>
            </w:pP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3.32E-06</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190113</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3.60E-02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8.00E-02</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45</w:t>
            </w:r>
          </w:p>
        </w:tc>
        <w:tc>
          <w:tcPr>
            <w:tcW w:w="557"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7"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lang w:val="zh-CN"/>
              </w:rPr>
            </w:pP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3.30E-07</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3.30E-02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4.00E-02</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82.5</w:t>
            </w:r>
          </w:p>
        </w:tc>
        <w:tc>
          <w:tcPr>
            <w:tcW w:w="557"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76" w:hRule="atLeast"/>
          <w:jc w:val="center"/>
        </w:trPr>
        <w:tc>
          <w:tcPr>
            <w:tcW w:w="284"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2</w:t>
            </w:r>
          </w:p>
        </w:tc>
        <w:tc>
          <w:tcPr>
            <w:tcW w:w="1363" w:type="dxa"/>
            <w:vMerge w:val="restart"/>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rPr>
              <w:t>于屯村</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3.23E-05</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19032003</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3.23E-05</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2.00E-01</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0.02</w:t>
            </w:r>
          </w:p>
        </w:tc>
        <w:tc>
          <w:tcPr>
            <w:tcW w:w="557"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4"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lang w:val="zh-CN"/>
              </w:rPr>
            </w:pP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1.60E-06</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190126</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3.60E-02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8.00E-02</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45</w:t>
            </w:r>
          </w:p>
        </w:tc>
        <w:tc>
          <w:tcPr>
            <w:tcW w:w="557"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57"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lang w:val="zh-CN"/>
              </w:rPr>
            </w:pP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1.80E-07</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3.30E-02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4.00E-02</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82.5</w:t>
            </w:r>
          </w:p>
        </w:tc>
        <w:tc>
          <w:tcPr>
            <w:tcW w:w="557"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91" w:hRule="atLeast"/>
          <w:jc w:val="center"/>
        </w:trPr>
        <w:tc>
          <w:tcPr>
            <w:tcW w:w="284"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3</w:t>
            </w:r>
          </w:p>
        </w:tc>
        <w:tc>
          <w:tcPr>
            <w:tcW w:w="1363" w:type="dxa"/>
            <w:vMerge w:val="restart"/>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rPr>
              <w:t>东高城村</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4.65E-05</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19052922</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4.65E-05</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2.00E-01</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0.02</w:t>
            </w:r>
          </w:p>
        </w:tc>
        <w:tc>
          <w:tcPr>
            <w:tcW w:w="557"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34"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lang w:val="zh-CN"/>
              </w:rPr>
            </w:pP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3.08E-06</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191024</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3.60E-02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8.00E-02</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45</w:t>
            </w:r>
          </w:p>
        </w:tc>
        <w:tc>
          <w:tcPr>
            <w:tcW w:w="557"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7"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lang w:val="zh-CN"/>
              </w:rPr>
            </w:pP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5.10E-07</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3.30E-02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4.00E-02</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82.5</w:t>
            </w:r>
          </w:p>
        </w:tc>
        <w:tc>
          <w:tcPr>
            <w:tcW w:w="557"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6" w:hRule="atLeast"/>
          <w:jc w:val="center"/>
        </w:trPr>
        <w:tc>
          <w:tcPr>
            <w:tcW w:w="284"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4</w:t>
            </w:r>
          </w:p>
        </w:tc>
        <w:tc>
          <w:tcPr>
            <w:tcW w:w="1363" w:type="dxa"/>
            <w:vMerge w:val="restart"/>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rPr>
              <w:t>前吕寨村</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2.59E-05</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19120916</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2.59E-05</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2.00E-01</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0.01</w:t>
            </w:r>
          </w:p>
        </w:tc>
        <w:tc>
          <w:tcPr>
            <w:tcW w:w="557"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85"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lang w:val="zh-CN"/>
              </w:rPr>
            </w:pP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1.54E-06</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190106</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3.60E-02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8.00E-02</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45</w:t>
            </w:r>
          </w:p>
        </w:tc>
        <w:tc>
          <w:tcPr>
            <w:tcW w:w="557"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6"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lang w:val="zh-CN"/>
              </w:rPr>
            </w:pP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1.40E-07</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3.30E-02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4.00E-02</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82.5</w:t>
            </w:r>
          </w:p>
        </w:tc>
        <w:tc>
          <w:tcPr>
            <w:tcW w:w="557"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45" w:hRule="atLeast"/>
          <w:jc w:val="center"/>
        </w:trPr>
        <w:tc>
          <w:tcPr>
            <w:tcW w:w="284"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5</w:t>
            </w:r>
          </w:p>
        </w:tc>
        <w:tc>
          <w:tcPr>
            <w:tcW w:w="1363" w:type="dxa"/>
            <w:vMerge w:val="restart"/>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rPr>
              <w:t>后吕寨村</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3.39E-05</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19011315</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3.39E-05</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2.00E-01</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0.02</w:t>
            </w:r>
          </w:p>
        </w:tc>
        <w:tc>
          <w:tcPr>
            <w:tcW w:w="557"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00"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lang w:val="zh-CN"/>
              </w:rPr>
            </w:pP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1.97E-06</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190517</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3.60E-02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8.00E-02</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45</w:t>
            </w:r>
          </w:p>
        </w:tc>
        <w:tc>
          <w:tcPr>
            <w:tcW w:w="557"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51"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lang w:val="zh-CN"/>
              </w:rPr>
            </w:pP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1.90E-07</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3.30E-02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4.00E-02</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82.5</w:t>
            </w:r>
          </w:p>
        </w:tc>
        <w:tc>
          <w:tcPr>
            <w:tcW w:w="557"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85" w:hRule="atLeast"/>
          <w:jc w:val="center"/>
        </w:trPr>
        <w:tc>
          <w:tcPr>
            <w:tcW w:w="284"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6</w:t>
            </w:r>
          </w:p>
        </w:tc>
        <w:tc>
          <w:tcPr>
            <w:tcW w:w="1363" w:type="dxa"/>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梨园村</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3.20E-05</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19050907</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3.20E-05</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2.00E-01</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0.02</w:t>
            </w:r>
          </w:p>
        </w:tc>
        <w:tc>
          <w:tcPr>
            <w:tcW w:w="557"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40"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rPr>
            </w:pP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2.37E-06</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190517</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3.60E-02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8.00E-02</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45</w:t>
            </w:r>
          </w:p>
        </w:tc>
        <w:tc>
          <w:tcPr>
            <w:tcW w:w="557"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1"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rPr>
            </w:pP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3.00E-07</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3.30E-02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4.00E-02</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82.5</w:t>
            </w:r>
          </w:p>
        </w:tc>
        <w:tc>
          <w:tcPr>
            <w:tcW w:w="557"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21" w:hRule="atLeast"/>
          <w:jc w:val="center"/>
        </w:trPr>
        <w:tc>
          <w:tcPr>
            <w:tcW w:w="284"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7</w:t>
            </w:r>
          </w:p>
        </w:tc>
        <w:tc>
          <w:tcPr>
            <w:tcW w:w="1363" w:type="dxa"/>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后坡村</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2.43E-05</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19083102</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2.43E-05</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2.00E-01</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0.01</w:t>
            </w:r>
          </w:p>
        </w:tc>
        <w:tc>
          <w:tcPr>
            <w:tcW w:w="557"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25"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rPr>
            </w:pP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1.36E-06</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190831</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3.60E-02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8.00E-02</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45</w:t>
            </w:r>
          </w:p>
        </w:tc>
        <w:tc>
          <w:tcPr>
            <w:tcW w:w="557"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26"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rPr>
            </w:pP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1.20E-07</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3.30E-02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4.00E-02</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82.5</w:t>
            </w:r>
          </w:p>
        </w:tc>
        <w:tc>
          <w:tcPr>
            <w:tcW w:w="557"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86" w:hRule="atLeast"/>
          <w:jc w:val="center"/>
        </w:trPr>
        <w:tc>
          <w:tcPr>
            <w:tcW w:w="284"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8</w:t>
            </w:r>
          </w:p>
        </w:tc>
        <w:tc>
          <w:tcPr>
            <w:tcW w:w="1363" w:type="dxa"/>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中坡村</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2.37E-05</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19042520</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2.37E-05</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2.00E-01</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0.01</w:t>
            </w:r>
          </w:p>
        </w:tc>
        <w:tc>
          <w:tcPr>
            <w:tcW w:w="557"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40"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rPr>
            </w:pP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1.52E-06</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190919</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3.60E-02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8.00E-02</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45</w:t>
            </w:r>
          </w:p>
        </w:tc>
        <w:tc>
          <w:tcPr>
            <w:tcW w:w="557"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1"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rPr>
            </w:pP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1.50E-07</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3.30E-02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4.00E-02</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82.5</w:t>
            </w:r>
          </w:p>
        </w:tc>
        <w:tc>
          <w:tcPr>
            <w:tcW w:w="557"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87" w:hRule="atLeast"/>
          <w:jc w:val="center"/>
        </w:trPr>
        <w:tc>
          <w:tcPr>
            <w:tcW w:w="284"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9</w:t>
            </w:r>
          </w:p>
        </w:tc>
        <w:tc>
          <w:tcPr>
            <w:tcW w:w="1363" w:type="dxa"/>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李楼村</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3.65E-05</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19091823</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3.65E-05</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2.00E-01</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0.02</w:t>
            </w:r>
          </w:p>
        </w:tc>
        <w:tc>
          <w:tcPr>
            <w:tcW w:w="557"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43"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rPr>
            </w:pP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2.21E-06</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191209</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3.60E-02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8.00E-02</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45</w:t>
            </w:r>
          </w:p>
        </w:tc>
        <w:tc>
          <w:tcPr>
            <w:tcW w:w="557"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08"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rPr>
            </w:pP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2.10E-07</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3.30E-02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4.00E-02</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82.5</w:t>
            </w:r>
          </w:p>
        </w:tc>
        <w:tc>
          <w:tcPr>
            <w:tcW w:w="557"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0" w:hRule="atLeast"/>
          <w:jc w:val="center"/>
        </w:trPr>
        <w:tc>
          <w:tcPr>
            <w:tcW w:w="284"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10</w:t>
            </w:r>
          </w:p>
        </w:tc>
        <w:tc>
          <w:tcPr>
            <w:tcW w:w="1363" w:type="dxa"/>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桑园村</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4.74E-05</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19032901</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4.74E-05</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2.00E-01</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0.02</w:t>
            </w:r>
          </w:p>
        </w:tc>
        <w:tc>
          <w:tcPr>
            <w:tcW w:w="557"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8"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rPr>
            </w:pP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3.57E-06</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191124</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3.60E-02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8.00E-02</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45</w:t>
            </w:r>
          </w:p>
        </w:tc>
        <w:tc>
          <w:tcPr>
            <w:tcW w:w="557"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83"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rPr>
            </w:pP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3.60E-07</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3.30E-02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4.00E-02</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82.5</w:t>
            </w:r>
          </w:p>
        </w:tc>
        <w:tc>
          <w:tcPr>
            <w:tcW w:w="557"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3" w:hRule="atLeast"/>
          <w:jc w:val="center"/>
        </w:trPr>
        <w:tc>
          <w:tcPr>
            <w:tcW w:w="284"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11</w:t>
            </w:r>
          </w:p>
        </w:tc>
        <w:tc>
          <w:tcPr>
            <w:tcW w:w="1363" w:type="dxa"/>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老王庄村</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1.15E-04</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19020908</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1.15E-04</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2.00E-01</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0.06</w:t>
            </w:r>
          </w:p>
        </w:tc>
        <w:tc>
          <w:tcPr>
            <w:tcW w:w="557"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45"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rPr>
            </w:pP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7.35E-06</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191014</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3.60E-02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8.00E-02</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45.01</w:t>
            </w:r>
          </w:p>
        </w:tc>
        <w:tc>
          <w:tcPr>
            <w:tcW w:w="557"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06"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rPr>
            </w:pP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9.60E-07</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3.30E-02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4.00E-02</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82.5</w:t>
            </w:r>
          </w:p>
        </w:tc>
        <w:tc>
          <w:tcPr>
            <w:tcW w:w="557"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79" w:hRule="atLeast"/>
          <w:jc w:val="center"/>
        </w:trPr>
        <w:tc>
          <w:tcPr>
            <w:tcW w:w="284"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12</w:t>
            </w:r>
          </w:p>
        </w:tc>
        <w:tc>
          <w:tcPr>
            <w:tcW w:w="1363" w:type="dxa"/>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冯寨村</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4.32E-05</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19122411</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4.32E-05</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2.00E-01</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0.02</w:t>
            </w:r>
          </w:p>
        </w:tc>
        <w:tc>
          <w:tcPr>
            <w:tcW w:w="557"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35"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rPr>
            </w:pP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2.28E-06</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190113</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3.60E-02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8.00E-02</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45</w:t>
            </w:r>
          </w:p>
        </w:tc>
        <w:tc>
          <w:tcPr>
            <w:tcW w:w="557"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6"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rPr>
            </w:pP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2.10E-07</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3.30E-02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4.00E-02</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82.5</w:t>
            </w:r>
          </w:p>
        </w:tc>
        <w:tc>
          <w:tcPr>
            <w:tcW w:w="557"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57" w:hRule="atLeast"/>
          <w:jc w:val="center"/>
        </w:trPr>
        <w:tc>
          <w:tcPr>
            <w:tcW w:w="284" w:type="pct"/>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13</w:t>
            </w:r>
          </w:p>
        </w:tc>
        <w:tc>
          <w:tcPr>
            <w:tcW w:w="1363" w:type="dxa"/>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东郭集村</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3.58E-05</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19020511</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3.58E-05</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2.00E-01</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0.02</w:t>
            </w:r>
          </w:p>
        </w:tc>
        <w:tc>
          <w:tcPr>
            <w:tcW w:w="557"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87"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rPr>
            </w:pP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1.94E-06</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191204</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3.60E-02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8.00E-02</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45</w:t>
            </w:r>
          </w:p>
        </w:tc>
        <w:tc>
          <w:tcPr>
            <w:tcW w:w="557"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39"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rPr>
            </w:pP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1.70E-07</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3.30E-02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4.00E-02</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82.5</w:t>
            </w:r>
          </w:p>
        </w:tc>
        <w:tc>
          <w:tcPr>
            <w:tcW w:w="557"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7" w:hRule="atLeast"/>
          <w:jc w:val="center"/>
        </w:trPr>
        <w:tc>
          <w:tcPr>
            <w:tcW w:w="284"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14</w:t>
            </w:r>
          </w:p>
        </w:tc>
        <w:tc>
          <w:tcPr>
            <w:tcW w:w="1363" w:type="dxa"/>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柳寨村</w:t>
            </w:r>
          </w:p>
        </w:tc>
        <w:tc>
          <w:tcPr>
            <w:tcW w:w="973"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3.01E-05</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19031022</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3.01E-05</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2.00E-01</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0.02</w:t>
            </w:r>
          </w:p>
        </w:tc>
        <w:tc>
          <w:tcPr>
            <w:tcW w:w="557"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45"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rPr>
            </w:pPr>
          </w:p>
        </w:tc>
        <w:tc>
          <w:tcPr>
            <w:tcW w:w="973"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1.23E-06</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190101</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3.60E-02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8.00E-02</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45</w:t>
            </w:r>
          </w:p>
        </w:tc>
        <w:tc>
          <w:tcPr>
            <w:tcW w:w="557"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10"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rPr>
            </w:pPr>
          </w:p>
        </w:tc>
        <w:tc>
          <w:tcPr>
            <w:tcW w:w="973"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1.10E-07</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3.30E-02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4.00E-02</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82.5</w:t>
            </w:r>
          </w:p>
        </w:tc>
        <w:tc>
          <w:tcPr>
            <w:tcW w:w="557"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38" w:hRule="atLeast"/>
          <w:jc w:val="center"/>
        </w:trPr>
        <w:tc>
          <w:tcPr>
            <w:tcW w:w="284"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15</w:t>
            </w:r>
          </w:p>
        </w:tc>
        <w:tc>
          <w:tcPr>
            <w:tcW w:w="1363" w:type="dxa"/>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安寨村</w:t>
            </w:r>
          </w:p>
        </w:tc>
        <w:tc>
          <w:tcPr>
            <w:tcW w:w="973"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1.10E-04</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19122011</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1.10E-04</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2.00E-01</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0.06</w:t>
            </w:r>
          </w:p>
        </w:tc>
        <w:tc>
          <w:tcPr>
            <w:tcW w:w="557"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54"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rPr>
            </w:pPr>
          </w:p>
        </w:tc>
        <w:tc>
          <w:tcPr>
            <w:tcW w:w="973"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6.90E-06</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190324</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3.60E-02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8.00E-02</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45.01</w:t>
            </w:r>
          </w:p>
        </w:tc>
        <w:tc>
          <w:tcPr>
            <w:tcW w:w="557"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7"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rPr>
            </w:pPr>
          </w:p>
        </w:tc>
        <w:tc>
          <w:tcPr>
            <w:tcW w:w="973"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9.90E-07</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3.30E-02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4.00E-02</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82.5</w:t>
            </w:r>
          </w:p>
        </w:tc>
        <w:tc>
          <w:tcPr>
            <w:tcW w:w="557"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35" w:hRule="atLeast"/>
          <w:jc w:val="center"/>
        </w:trPr>
        <w:tc>
          <w:tcPr>
            <w:tcW w:w="284"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16</w:t>
            </w:r>
          </w:p>
        </w:tc>
        <w:tc>
          <w:tcPr>
            <w:tcW w:w="1363" w:type="dxa"/>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东草庙村</w:t>
            </w:r>
          </w:p>
        </w:tc>
        <w:tc>
          <w:tcPr>
            <w:tcW w:w="973"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5.31E-05</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19050724</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5.31E-05</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2.00E-01</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0.03</w:t>
            </w:r>
          </w:p>
        </w:tc>
        <w:tc>
          <w:tcPr>
            <w:tcW w:w="557"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88"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rPr>
            </w:pPr>
          </w:p>
        </w:tc>
        <w:tc>
          <w:tcPr>
            <w:tcW w:w="973"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3.75E-06</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190219</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3.60E-02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8.00E-02</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45</w:t>
            </w:r>
          </w:p>
        </w:tc>
        <w:tc>
          <w:tcPr>
            <w:tcW w:w="557"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97"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rPr>
            </w:pPr>
          </w:p>
        </w:tc>
        <w:tc>
          <w:tcPr>
            <w:tcW w:w="973"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5.60E-07</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3.30E-02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4.00E-02</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82.5</w:t>
            </w:r>
          </w:p>
        </w:tc>
        <w:tc>
          <w:tcPr>
            <w:tcW w:w="557"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3" w:hRule="atLeast"/>
          <w:jc w:val="center"/>
        </w:trPr>
        <w:tc>
          <w:tcPr>
            <w:tcW w:w="284"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17</w:t>
            </w:r>
          </w:p>
        </w:tc>
        <w:tc>
          <w:tcPr>
            <w:tcW w:w="1363" w:type="dxa"/>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中草庙村</w:t>
            </w:r>
          </w:p>
        </w:tc>
        <w:tc>
          <w:tcPr>
            <w:tcW w:w="973"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6.34E-05</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19110922</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6.34E-05</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2.00E-01</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0.03</w:t>
            </w:r>
          </w:p>
        </w:tc>
        <w:tc>
          <w:tcPr>
            <w:tcW w:w="557"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91"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rPr>
            </w:pPr>
          </w:p>
        </w:tc>
        <w:tc>
          <w:tcPr>
            <w:tcW w:w="973"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5.54E-06</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190404</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3.60E-02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8.00E-02</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45.01</w:t>
            </w:r>
          </w:p>
        </w:tc>
        <w:tc>
          <w:tcPr>
            <w:tcW w:w="557"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31" w:hRule="atLeast"/>
          <w:jc w:val="center"/>
        </w:trPr>
        <w:tc>
          <w:tcPr>
            <w:tcW w:w="284" w:type="pct"/>
            <w:vMerge w:val="continue"/>
            <w:tcBorders>
              <w:tl2br w:val="nil"/>
              <w:tr2bl w:val="nil"/>
            </w:tcBorders>
            <w:vAlign w:val="center"/>
          </w:tcPr>
          <w:p>
            <w:pPr>
              <w:spacing w:line="240" w:lineRule="auto"/>
              <w:ind w:firstLine="0" w:firstLineChars="0"/>
              <w:jc w:val="center"/>
              <w:rPr>
                <w:color w:val="auto"/>
                <w:sz w:val="21"/>
                <w:szCs w:val="21"/>
              </w:rPr>
            </w:pPr>
          </w:p>
        </w:tc>
        <w:tc>
          <w:tcPr>
            <w:tcW w:w="737" w:type="pct"/>
            <w:vMerge w:val="continue"/>
            <w:tcBorders>
              <w:tl2br w:val="nil"/>
              <w:tr2bl w:val="nil"/>
            </w:tcBorders>
            <w:vAlign w:val="center"/>
          </w:tcPr>
          <w:p>
            <w:pPr>
              <w:spacing w:line="240" w:lineRule="auto"/>
              <w:ind w:firstLine="0" w:firstLineChars="0"/>
              <w:jc w:val="center"/>
              <w:rPr>
                <w:color w:val="auto"/>
                <w:sz w:val="21"/>
                <w:szCs w:val="21"/>
              </w:rPr>
            </w:pPr>
          </w:p>
        </w:tc>
        <w:tc>
          <w:tcPr>
            <w:tcW w:w="973"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6.80E-07</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3.30E-02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4.00E-02</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82.5</w:t>
            </w:r>
          </w:p>
        </w:tc>
        <w:tc>
          <w:tcPr>
            <w:tcW w:w="557"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45" w:hRule="atLeast"/>
          <w:jc w:val="center"/>
        </w:trPr>
        <w:tc>
          <w:tcPr>
            <w:tcW w:w="1021" w:type="pct"/>
            <w:gridSpan w:val="2"/>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网格</w:t>
            </w: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1小时</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1.70E-04</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19121515</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1.70E-04</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2.00E-01</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0.08</w:t>
            </w:r>
          </w:p>
        </w:tc>
        <w:tc>
          <w:tcPr>
            <w:tcW w:w="557"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87" w:hRule="atLeast"/>
          <w:jc w:val="center"/>
        </w:trPr>
        <w:tc>
          <w:tcPr>
            <w:tcW w:w="1021" w:type="pct"/>
            <w:gridSpan w:val="2"/>
            <w:vMerge w:val="continue"/>
            <w:tcBorders>
              <w:tl2br w:val="nil"/>
              <w:tr2bl w:val="nil"/>
            </w:tcBorders>
            <w:vAlign w:val="center"/>
          </w:tcPr>
          <w:p>
            <w:pPr>
              <w:spacing w:line="240" w:lineRule="auto"/>
              <w:ind w:firstLine="0" w:firstLineChars="0"/>
              <w:jc w:val="center"/>
              <w:rPr>
                <w:color w:val="auto"/>
                <w:sz w:val="21"/>
                <w:szCs w:val="21"/>
              </w:rPr>
            </w:pP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日平均</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1.41E-05</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190115</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3.60E-02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8.00E-02</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45.02</w:t>
            </w:r>
          </w:p>
        </w:tc>
        <w:tc>
          <w:tcPr>
            <w:tcW w:w="557"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4" w:hRule="atLeast"/>
          <w:jc w:val="center"/>
        </w:trPr>
        <w:tc>
          <w:tcPr>
            <w:tcW w:w="1021" w:type="pct"/>
            <w:gridSpan w:val="2"/>
            <w:vMerge w:val="continue"/>
            <w:tcBorders>
              <w:tl2br w:val="nil"/>
              <w:tr2bl w:val="nil"/>
            </w:tcBorders>
            <w:vAlign w:val="center"/>
          </w:tcPr>
          <w:p>
            <w:pPr>
              <w:spacing w:line="240" w:lineRule="auto"/>
              <w:ind w:firstLine="0" w:firstLineChars="0"/>
              <w:jc w:val="center"/>
              <w:rPr>
                <w:color w:val="auto"/>
                <w:sz w:val="21"/>
                <w:szCs w:val="21"/>
              </w:rPr>
            </w:pPr>
          </w:p>
        </w:tc>
        <w:tc>
          <w:tcPr>
            <w:tcW w:w="557"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全时段</w:t>
            </w:r>
          </w:p>
        </w:tc>
        <w:tc>
          <w:tcPr>
            <w:tcW w:w="980"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1.84E-06</w:t>
            </w:r>
          </w:p>
        </w:tc>
        <w:tc>
          <w:tcPr>
            <w:tcW w:w="864"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平均值</w:t>
            </w:r>
          </w:p>
        </w:tc>
        <w:tc>
          <w:tcPr>
            <w:tcW w:w="119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3.30E-02</w:t>
            </w:r>
          </w:p>
        </w:tc>
        <w:tc>
          <w:tcPr>
            <w:tcW w:w="963"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4.00E-02</w:t>
            </w:r>
          </w:p>
        </w:tc>
        <w:tc>
          <w:tcPr>
            <w:tcW w:w="989" w:type="dxa"/>
            <w:tcBorders>
              <w:tl2br w:val="nil"/>
              <w:tr2bl w:val="nil"/>
            </w:tcBorders>
            <w:vAlign w:val="center"/>
          </w:tcPr>
          <w:p>
            <w:pPr>
              <w:spacing w:line="240" w:lineRule="auto"/>
              <w:ind w:firstLine="0" w:firstLineChars="0"/>
              <w:jc w:val="center"/>
              <w:rPr>
                <w:color w:val="auto"/>
                <w:sz w:val="21"/>
                <w:szCs w:val="21"/>
                <w:lang w:val="zh-CN"/>
              </w:rPr>
            </w:pPr>
            <w:r>
              <w:rPr>
                <w:rFonts w:hint="eastAsia"/>
                <w:color w:val="auto"/>
                <w:sz w:val="21"/>
                <w:szCs w:val="21"/>
                <w:lang w:val="en-US" w:eastAsia="zh-CN"/>
              </w:rPr>
              <w:t>82.5</w:t>
            </w:r>
          </w:p>
        </w:tc>
        <w:tc>
          <w:tcPr>
            <w:tcW w:w="557" w:type="pct"/>
            <w:tcBorders>
              <w:tl2br w:val="nil"/>
              <w:tr2bl w:val="nil"/>
            </w:tcBorders>
            <w:vAlign w:val="center"/>
          </w:tcPr>
          <w:p>
            <w:pPr>
              <w:spacing w:line="240" w:lineRule="auto"/>
              <w:ind w:firstLine="0" w:firstLineChars="0"/>
              <w:jc w:val="center"/>
              <w:rPr>
                <w:color w:val="auto"/>
                <w:sz w:val="21"/>
                <w:szCs w:val="21"/>
                <w:lang w:val="zh-CN"/>
              </w:rPr>
            </w:pPr>
            <w:r>
              <w:rPr>
                <w:color w:val="auto"/>
                <w:sz w:val="21"/>
                <w:szCs w:val="21"/>
                <w:lang w:val="zh-CN"/>
              </w:rPr>
              <w:t>达标</w:t>
            </w:r>
          </w:p>
        </w:tc>
      </w:tr>
    </w:tbl>
    <w:p>
      <w:pPr>
        <w:spacing w:before="156" w:beforeLines="50" w:after="156" w:afterLines="50" w:line="240" w:lineRule="auto"/>
        <w:ind w:left="480" w:leftChars="200" w:firstLine="0" w:firstLineChars="0"/>
        <w:jc w:val="center"/>
        <w:rPr>
          <w:b/>
          <w:color w:val="auto"/>
          <w:szCs w:val="21"/>
        </w:rPr>
      </w:pPr>
      <w:r>
        <w:rPr>
          <w:b/>
          <w:color w:val="auto"/>
          <w:szCs w:val="21"/>
        </w:rPr>
        <w:t>5.2-30</w:t>
      </w:r>
      <w:r>
        <w:rPr>
          <w:rFonts w:hint="eastAsia"/>
          <w:b/>
          <w:color w:val="auto"/>
          <w:szCs w:val="21"/>
        </w:rPr>
        <w:t xml:space="preserve">  </w:t>
      </w:r>
      <w:r>
        <w:rPr>
          <w:b/>
          <w:color w:val="auto"/>
          <w:szCs w:val="21"/>
        </w:rPr>
        <w:t>叠加后NH</w:t>
      </w:r>
      <w:r>
        <w:rPr>
          <w:b/>
          <w:color w:val="auto"/>
          <w:szCs w:val="21"/>
          <w:vertAlign w:val="subscript"/>
        </w:rPr>
        <w:t>3</w:t>
      </w:r>
      <w:r>
        <w:rPr>
          <w:b/>
          <w:color w:val="auto"/>
          <w:szCs w:val="21"/>
        </w:rPr>
        <w:t>小时浓度预测结果一览表       单位：mg/m</w:t>
      </w:r>
      <w:r>
        <w:rPr>
          <w:b/>
          <w:color w:val="auto"/>
          <w:szCs w:val="21"/>
          <w:vertAlign w:val="superscript"/>
        </w:rPr>
        <w:t>3</w:t>
      </w:r>
    </w:p>
    <w:tbl>
      <w:tblPr>
        <w:tblStyle w:val="27"/>
        <w:tblW w:w="5000"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470"/>
        <w:gridCol w:w="1224"/>
        <w:gridCol w:w="933"/>
        <w:gridCol w:w="934"/>
        <w:gridCol w:w="934"/>
        <w:gridCol w:w="1361"/>
        <w:gridCol w:w="786"/>
        <w:gridCol w:w="1161"/>
        <w:gridCol w:w="927"/>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74" w:type="pct"/>
            <w:vAlign w:val="center"/>
          </w:tcPr>
          <w:p>
            <w:pPr>
              <w:kinsoku w:val="0"/>
              <w:overflowPunct w:val="0"/>
              <w:autoSpaceDE w:val="0"/>
              <w:autoSpaceDN w:val="0"/>
              <w:spacing w:line="240" w:lineRule="auto"/>
              <w:ind w:firstLine="0" w:firstLineChars="0"/>
              <w:jc w:val="center"/>
              <w:rPr>
                <w:b/>
                <w:color w:val="auto"/>
                <w:kern w:val="0"/>
                <w:sz w:val="21"/>
                <w:szCs w:val="21"/>
              </w:rPr>
            </w:pPr>
            <w:r>
              <w:rPr>
                <w:b/>
                <w:color w:val="auto"/>
                <w:kern w:val="0"/>
                <w:sz w:val="21"/>
                <w:szCs w:val="21"/>
              </w:rPr>
              <w:t>序号</w:t>
            </w:r>
          </w:p>
        </w:tc>
        <w:tc>
          <w:tcPr>
            <w:tcW w:w="706" w:type="pct"/>
            <w:vAlign w:val="center"/>
          </w:tcPr>
          <w:p>
            <w:pPr>
              <w:kinsoku w:val="0"/>
              <w:overflowPunct w:val="0"/>
              <w:autoSpaceDE w:val="0"/>
              <w:autoSpaceDN w:val="0"/>
              <w:spacing w:line="240" w:lineRule="auto"/>
              <w:ind w:firstLine="0" w:firstLineChars="0"/>
              <w:jc w:val="center"/>
              <w:rPr>
                <w:b/>
                <w:color w:val="auto"/>
                <w:kern w:val="0"/>
                <w:sz w:val="21"/>
                <w:szCs w:val="21"/>
              </w:rPr>
            </w:pPr>
            <w:r>
              <w:rPr>
                <w:b/>
                <w:color w:val="auto"/>
                <w:kern w:val="0"/>
                <w:sz w:val="21"/>
                <w:szCs w:val="21"/>
              </w:rPr>
              <w:t>名称</w:t>
            </w:r>
          </w:p>
        </w:tc>
        <w:tc>
          <w:tcPr>
            <w:tcW w:w="539" w:type="pct"/>
            <w:vAlign w:val="center"/>
          </w:tcPr>
          <w:p>
            <w:pPr>
              <w:kinsoku w:val="0"/>
              <w:overflowPunct w:val="0"/>
              <w:autoSpaceDE w:val="0"/>
              <w:autoSpaceDN w:val="0"/>
              <w:spacing w:line="240" w:lineRule="auto"/>
              <w:ind w:firstLine="0" w:firstLineChars="0"/>
              <w:jc w:val="center"/>
              <w:rPr>
                <w:b/>
                <w:color w:val="auto"/>
                <w:kern w:val="0"/>
                <w:sz w:val="21"/>
                <w:szCs w:val="21"/>
              </w:rPr>
            </w:pPr>
            <w:r>
              <w:rPr>
                <w:b/>
                <w:color w:val="auto"/>
                <w:kern w:val="0"/>
                <w:sz w:val="21"/>
                <w:szCs w:val="21"/>
              </w:rPr>
              <w:t>平均时间</w:t>
            </w:r>
          </w:p>
        </w:tc>
        <w:tc>
          <w:tcPr>
            <w:tcW w:w="540" w:type="pct"/>
            <w:vAlign w:val="center"/>
          </w:tcPr>
          <w:p>
            <w:pPr>
              <w:kinsoku w:val="0"/>
              <w:overflowPunct w:val="0"/>
              <w:autoSpaceDE w:val="0"/>
              <w:autoSpaceDN w:val="0"/>
              <w:spacing w:line="240" w:lineRule="auto"/>
              <w:ind w:firstLine="0" w:firstLineChars="0"/>
              <w:jc w:val="center"/>
              <w:rPr>
                <w:b/>
                <w:color w:val="auto"/>
                <w:kern w:val="0"/>
                <w:sz w:val="21"/>
                <w:szCs w:val="21"/>
              </w:rPr>
            </w:pPr>
            <w:r>
              <w:rPr>
                <w:b/>
                <w:color w:val="auto"/>
                <w:kern w:val="0"/>
                <w:sz w:val="21"/>
                <w:szCs w:val="21"/>
              </w:rPr>
              <w:t>排序</w:t>
            </w:r>
          </w:p>
        </w:tc>
        <w:tc>
          <w:tcPr>
            <w:tcW w:w="540" w:type="pct"/>
            <w:vAlign w:val="center"/>
          </w:tcPr>
          <w:p>
            <w:pPr>
              <w:kinsoku w:val="0"/>
              <w:overflowPunct w:val="0"/>
              <w:autoSpaceDE w:val="0"/>
              <w:autoSpaceDN w:val="0"/>
              <w:spacing w:line="240" w:lineRule="auto"/>
              <w:ind w:firstLine="0" w:firstLineChars="0"/>
              <w:jc w:val="center"/>
              <w:rPr>
                <w:b/>
                <w:color w:val="auto"/>
                <w:kern w:val="0"/>
                <w:sz w:val="21"/>
                <w:szCs w:val="21"/>
              </w:rPr>
            </w:pPr>
            <w:r>
              <w:rPr>
                <w:b/>
                <w:color w:val="auto"/>
                <w:kern w:val="0"/>
                <w:sz w:val="21"/>
                <w:szCs w:val="21"/>
              </w:rPr>
              <w:t>背景值</w:t>
            </w:r>
          </w:p>
        </w:tc>
        <w:tc>
          <w:tcPr>
            <w:tcW w:w="784" w:type="pct"/>
            <w:vAlign w:val="center"/>
          </w:tcPr>
          <w:p>
            <w:pPr>
              <w:kinsoku w:val="0"/>
              <w:overflowPunct w:val="0"/>
              <w:autoSpaceDE w:val="0"/>
              <w:autoSpaceDN w:val="0"/>
              <w:spacing w:line="240" w:lineRule="auto"/>
              <w:ind w:firstLine="0" w:firstLineChars="0"/>
              <w:jc w:val="center"/>
              <w:rPr>
                <w:b/>
                <w:color w:val="auto"/>
                <w:kern w:val="0"/>
                <w:sz w:val="21"/>
                <w:szCs w:val="21"/>
              </w:rPr>
            </w:pPr>
            <w:r>
              <w:rPr>
                <w:b/>
                <w:color w:val="auto"/>
                <w:kern w:val="0"/>
                <w:sz w:val="21"/>
                <w:szCs w:val="21"/>
              </w:rPr>
              <w:t>叠加值</w:t>
            </w:r>
          </w:p>
        </w:tc>
        <w:tc>
          <w:tcPr>
            <w:tcW w:w="408" w:type="pct"/>
            <w:vAlign w:val="center"/>
          </w:tcPr>
          <w:p>
            <w:pPr>
              <w:kinsoku w:val="0"/>
              <w:overflowPunct w:val="0"/>
              <w:autoSpaceDE w:val="0"/>
              <w:autoSpaceDN w:val="0"/>
              <w:spacing w:line="240" w:lineRule="auto"/>
              <w:ind w:firstLine="0" w:firstLineChars="0"/>
              <w:jc w:val="center"/>
              <w:rPr>
                <w:b/>
                <w:color w:val="auto"/>
                <w:kern w:val="0"/>
                <w:sz w:val="21"/>
                <w:szCs w:val="21"/>
              </w:rPr>
            </w:pPr>
            <w:r>
              <w:rPr>
                <w:b/>
                <w:color w:val="auto"/>
                <w:kern w:val="0"/>
                <w:sz w:val="21"/>
                <w:szCs w:val="21"/>
              </w:rPr>
              <w:t>标准值</w:t>
            </w:r>
          </w:p>
        </w:tc>
        <w:tc>
          <w:tcPr>
            <w:tcW w:w="670" w:type="pct"/>
            <w:vAlign w:val="center"/>
          </w:tcPr>
          <w:p>
            <w:pPr>
              <w:kinsoku w:val="0"/>
              <w:overflowPunct w:val="0"/>
              <w:autoSpaceDE w:val="0"/>
              <w:autoSpaceDN w:val="0"/>
              <w:spacing w:line="240" w:lineRule="auto"/>
              <w:ind w:firstLine="0" w:firstLineChars="0"/>
              <w:jc w:val="center"/>
              <w:rPr>
                <w:b/>
                <w:color w:val="auto"/>
                <w:kern w:val="0"/>
                <w:sz w:val="21"/>
                <w:szCs w:val="21"/>
              </w:rPr>
            </w:pPr>
            <w:r>
              <w:rPr>
                <w:b/>
                <w:color w:val="auto"/>
                <w:kern w:val="0"/>
                <w:sz w:val="21"/>
                <w:szCs w:val="21"/>
              </w:rPr>
              <w:t>占标率（%）</w:t>
            </w:r>
          </w:p>
        </w:tc>
        <w:tc>
          <w:tcPr>
            <w:tcW w:w="536" w:type="pct"/>
            <w:vAlign w:val="center"/>
          </w:tcPr>
          <w:p>
            <w:pPr>
              <w:kinsoku w:val="0"/>
              <w:overflowPunct w:val="0"/>
              <w:autoSpaceDE w:val="0"/>
              <w:autoSpaceDN w:val="0"/>
              <w:spacing w:line="240" w:lineRule="auto"/>
              <w:ind w:firstLine="0" w:firstLineChars="0"/>
              <w:jc w:val="center"/>
              <w:rPr>
                <w:b/>
                <w:color w:val="auto"/>
                <w:kern w:val="0"/>
                <w:sz w:val="21"/>
                <w:szCs w:val="21"/>
              </w:rPr>
            </w:pPr>
            <w:r>
              <w:rPr>
                <w:b/>
                <w:color w:val="auto"/>
                <w:kern w:val="0"/>
                <w:sz w:val="21"/>
                <w:szCs w:val="21"/>
              </w:rPr>
              <w:t>达标情况</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74"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1</w:t>
            </w:r>
          </w:p>
        </w:tc>
        <w:tc>
          <w:tcPr>
            <w:tcW w:w="70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lang w:val="zh-CN"/>
              </w:rPr>
            </w:pPr>
            <w:r>
              <w:rPr>
                <w:rFonts w:hint="eastAsia"/>
                <w:color w:val="auto"/>
                <w:sz w:val="21"/>
                <w:szCs w:val="21"/>
              </w:rPr>
              <w:t>七王庙村</w:t>
            </w:r>
          </w:p>
        </w:tc>
        <w:tc>
          <w:tcPr>
            <w:tcW w:w="539"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1小时</w:t>
            </w:r>
          </w:p>
        </w:tc>
        <w:tc>
          <w:tcPr>
            <w:tcW w:w="540"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第1大</w:t>
            </w:r>
          </w:p>
        </w:tc>
        <w:tc>
          <w:tcPr>
            <w:tcW w:w="943"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1.11E-01</w:t>
            </w:r>
          </w:p>
        </w:tc>
        <w:tc>
          <w:tcPr>
            <w:tcW w:w="1370"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1.25E-01</w:t>
            </w:r>
          </w:p>
        </w:tc>
        <w:tc>
          <w:tcPr>
            <w:tcW w:w="713"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2.00E-01</w:t>
            </w:r>
          </w:p>
        </w:tc>
        <w:tc>
          <w:tcPr>
            <w:tcW w:w="1170"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62.43</w:t>
            </w:r>
          </w:p>
        </w:tc>
        <w:tc>
          <w:tcPr>
            <w:tcW w:w="536"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74"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2</w:t>
            </w:r>
          </w:p>
        </w:tc>
        <w:tc>
          <w:tcPr>
            <w:tcW w:w="70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lang w:val="zh-CN"/>
              </w:rPr>
            </w:pPr>
            <w:r>
              <w:rPr>
                <w:rFonts w:hint="eastAsia"/>
                <w:color w:val="auto"/>
                <w:sz w:val="21"/>
                <w:szCs w:val="21"/>
              </w:rPr>
              <w:t>于屯村</w:t>
            </w:r>
          </w:p>
        </w:tc>
        <w:tc>
          <w:tcPr>
            <w:tcW w:w="539"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1小时</w:t>
            </w:r>
          </w:p>
        </w:tc>
        <w:tc>
          <w:tcPr>
            <w:tcW w:w="540"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第1大</w:t>
            </w:r>
          </w:p>
        </w:tc>
        <w:tc>
          <w:tcPr>
            <w:tcW w:w="943"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1.11E-01</w:t>
            </w:r>
          </w:p>
        </w:tc>
        <w:tc>
          <w:tcPr>
            <w:tcW w:w="1370"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1.24E-01</w:t>
            </w:r>
          </w:p>
        </w:tc>
        <w:tc>
          <w:tcPr>
            <w:tcW w:w="713"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2.00E-01</w:t>
            </w:r>
          </w:p>
        </w:tc>
        <w:tc>
          <w:tcPr>
            <w:tcW w:w="1170"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61.92</w:t>
            </w:r>
          </w:p>
        </w:tc>
        <w:tc>
          <w:tcPr>
            <w:tcW w:w="536"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74"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3</w:t>
            </w:r>
          </w:p>
        </w:tc>
        <w:tc>
          <w:tcPr>
            <w:tcW w:w="70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lang w:val="zh-CN"/>
              </w:rPr>
            </w:pPr>
            <w:r>
              <w:rPr>
                <w:rFonts w:hint="eastAsia"/>
                <w:color w:val="auto"/>
                <w:sz w:val="21"/>
                <w:szCs w:val="21"/>
              </w:rPr>
              <w:t>东高城村</w:t>
            </w:r>
          </w:p>
        </w:tc>
        <w:tc>
          <w:tcPr>
            <w:tcW w:w="539"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1小时</w:t>
            </w:r>
          </w:p>
        </w:tc>
        <w:tc>
          <w:tcPr>
            <w:tcW w:w="540"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第1大</w:t>
            </w:r>
          </w:p>
        </w:tc>
        <w:tc>
          <w:tcPr>
            <w:tcW w:w="943"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1.11E-01</w:t>
            </w:r>
          </w:p>
        </w:tc>
        <w:tc>
          <w:tcPr>
            <w:tcW w:w="1370"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1.23E-01</w:t>
            </w:r>
          </w:p>
        </w:tc>
        <w:tc>
          <w:tcPr>
            <w:tcW w:w="713"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2.00E-01</w:t>
            </w:r>
          </w:p>
        </w:tc>
        <w:tc>
          <w:tcPr>
            <w:tcW w:w="1170"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61.45</w:t>
            </w:r>
          </w:p>
        </w:tc>
        <w:tc>
          <w:tcPr>
            <w:tcW w:w="536"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74"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4</w:t>
            </w:r>
          </w:p>
        </w:tc>
        <w:tc>
          <w:tcPr>
            <w:tcW w:w="70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lang w:val="zh-CN"/>
              </w:rPr>
            </w:pPr>
            <w:r>
              <w:rPr>
                <w:rFonts w:hint="eastAsia"/>
                <w:color w:val="auto"/>
                <w:sz w:val="21"/>
                <w:szCs w:val="21"/>
              </w:rPr>
              <w:t>前吕寨村</w:t>
            </w:r>
          </w:p>
        </w:tc>
        <w:tc>
          <w:tcPr>
            <w:tcW w:w="539"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1小时</w:t>
            </w:r>
          </w:p>
        </w:tc>
        <w:tc>
          <w:tcPr>
            <w:tcW w:w="540"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第1大</w:t>
            </w:r>
          </w:p>
        </w:tc>
        <w:tc>
          <w:tcPr>
            <w:tcW w:w="943"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1.11E-01</w:t>
            </w:r>
          </w:p>
        </w:tc>
        <w:tc>
          <w:tcPr>
            <w:tcW w:w="1370"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1.20E-01</w:t>
            </w:r>
          </w:p>
        </w:tc>
        <w:tc>
          <w:tcPr>
            <w:tcW w:w="713"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2.00E-01</w:t>
            </w:r>
          </w:p>
        </w:tc>
        <w:tc>
          <w:tcPr>
            <w:tcW w:w="1170"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59.84</w:t>
            </w:r>
          </w:p>
        </w:tc>
        <w:tc>
          <w:tcPr>
            <w:tcW w:w="536"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74"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5</w:t>
            </w:r>
          </w:p>
        </w:tc>
        <w:tc>
          <w:tcPr>
            <w:tcW w:w="70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lang w:val="zh-CN"/>
              </w:rPr>
            </w:pPr>
            <w:r>
              <w:rPr>
                <w:rFonts w:hint="eastAsia"/>
                <w:color w:val="auto"/>
                <w:sz w:val="21"/>
                <w:szCs w:val="21"/>
              </w:rPr>
              <w:t>后吕寨村</w:t>
            </w:r>
          </w:p>
        </w:tc>
        <w:tc>
          <w:tcPr>
            <w:tcW w:w="539"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1小时</w:t>
            </w:r>
          </w:p>
        </w:tc>
        <w:tc>
          <w:tcPr>
            <w:tcW w:w="540"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第1大</w:t>
            </w:r>
          </w:p>
        </w:tc>
        <w:tc>
          <w:tcPr>
            <w:tcW w:w="943"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1.11E-01</w:t>
            </w:r>
          </w:p>
        </w:tc>
        <w:tc>
          <w:tcPr>
            <w:tcW w:w="1370"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1.21E-01</w:t>
            </w:r>
          </w:p>
        </w:tc>
        <w:tc>
          <w:tcPr>
            <w:tcW w:w="713"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2.00E-01</w:t>
            </w:r>
          </w:p>
        </w:tc>
        <w:tc>
          <w:tcPr>
            <w:tcW w:w="1170"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60.46</w:t>
            </w:r>
          </w:p>
        </w:tc>
        <w:tc>
          <w:tcPr>
            <w:tcW w:w="536"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74"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6</w:t>
            </w:r>
          </w:p>
        </w:tc>
        <w:tc>
          <w:tcPr>
            <w:tcW w:w="70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梨园村</w:t>
            </w:r>
          </w:p>
        </w:tc>
        <w:tc>
          <w:tcPr>
            <w:tcW w:w="539"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1小时</w:t>
            </w:r>
          </w:p>
        </w:tc>
        <w:tc>
          <w:tcPr>
            <w:tcW w:w="540"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第1大</w:t>
            </w:r>
          </w:p>
        </w:tc>
        <w:tc>
          <w:tcPr>
            <w:tcW w:w="943"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1.11E-01</w:t>
            </w:r>
          </w:p>
        </w:tc>
        <w:tc>
          <w:tcPr>
            <w:tcW w:w="1370"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1.21E-01</w:t>
            </w:r>
          </w:p>
        </w:tc>
        <w:tc>
          <w:tcPr>
            <w:tcW w:w="713"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2.00E-01</w:t>
            </w:r>
          </w:p>
        </w:tc>
        <w:tc>
          <w:tcPr>
            <w:tcW w:w="1170"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60.68</w:t>
            </w:r>
          </w:p>
        </w:tc>
        <w:tc>
          <w:tcPr>
            <w:tcW w:w="536"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74"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7</w:t>
            </w:r>
          </w:p>
        </w:tc>
        <w:tc>
          <w:tcPr>
            <w:tcW w:w="70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后坡村</w:t>
            </w:r>
          </w:p>
        </w:tc>
        <w:tc>
          <w:tcPr>
            <w:tcW w:w="539"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1小时</w:t>
            </w:r>
          </w:p>
        </w:tc>
        <w:tc>
          <w:tcPr>
            <w:tcW w:w="540"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第1大</w:t>
            </w:r>
          </w:p>
        </w:tc>
        <w:tc>
          <w:tcPr>
            <w:tcW w:w="943"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1.11E-01</w:t>
            </w:r>
          </w:p>
        </w:tc>
        <w:tc>
          <w:tcPr>
            <w:tcW w:w="1370"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1.22E-01</w:t>
            </w:r>
          </w:p>
        </w:tc>
        <w:tc>
          <w:tcPr>
            <w:tcW w:w="713"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2.00E-01</w:t>
            </w:r>
          </w:p>
        </w:tc>
        <w:tc>
          <w:tcPr>
            <w:tcW w:w="1170"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60.83</w:t>
            </w:r>
          </w:p>
        </w:tc>
        <w:tc>
          <w:tcPr>
            <w:tcW w:w="536"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74"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8</w:t>
            </w:r>
          </w:p>
        </w:tc>
        <w:tc>
          <w:tcPr>
            <w:tcW w:w="70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中坡村</w:t>
            </w:r>
          </w:p>
        </w:tc>
        <w:tc>
          <w:tcPr>
            <w:tcW w:w="539"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1小时</w:t>
            </w:r>
          </w:p>
        </w:tc>
        <w:tc>
          <w:tcPr>
            <w:tcW w:w="540"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第1大</w:t>
            </w:r>
          </w:p>
        </w:tc>
        <w:tc>
          <w:tcPr>
            <w:tcW w:w="943"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1.11E-01</w:t>
            </w:r>
          </w:p>
        </w:tc>
        <w:tc>
          <w:tcPr>
            <w:tcW w:w="1370"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1.20E-01</w:t>
            </w:r>
          </w:p>
        </w:tc>
        <w:tc>
          <w:tcPr>
            <w:tcW w:w="713"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2.00E-01</w:t>
            </w:r>
          </w:p>
        </w:tc>
        <w:tc>
          <w:tcPr>
            <w:tcW w:w="1170"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59.8</w:t>
            </w:r>
          </w:p>
        </w:tc>
        <w:tc>
          <w:tcPr>
            <w:tcW w:w="536"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74"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9</w:t>
            </w:r>
          </w:p>
        </w:tc>
        <w:tc>
          <w:tcPr>
            <w:tcW w:w="70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李楼村</w:t>
            </w:r>
          </w:p>
        </w:tc>
        <w:tc>
          <w:tcPr>
            <w:tcW w:w="539"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1小时</w:t>
            </w:r>
          </w:p>
        </w:tc>
        <w:tc>
          <w:tcPr>
            <w:tcW w:w="540"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第1大</w:t>
            </w:r>
          </w:p>
        </w:tc>
        <w:tc>
          <w:tcPr>
            <w:tcW w:w="943"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1.11E-01</w:t>
            </w:r>
          </w:p>
        </w:tc>
        <w:tc>
          <w:tcPr>
            <w:tcW w:w="1370"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1.20E-01</w:t>
            </w:r>
          </w:p>
        </w:tc>
        <w:tc>
          <w:tcPr>
            <w:tcW w:w="713"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2.00E-01</w:t>
            </w:r>
          </w:p>
        </w:tc>
        <w:tc>
          <w:tcPr>
            <w:tcW w:w="1170"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59.76</w:t>
            </w:r>
          </w:p>
        </w:tc>
        <w:tc>
          <w:tcPr>
            <w:tcW w:w="536"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53" w:hRule="atLeast"/>
          <w:jc w:val="center"/>
        </w:trPr>
        <w:tc>
          <w:tcPr>
            <w:tcW w:w="274" w:type="pct"/>
            <w:tcBorders>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10</w:t>
            </w:r>
          </w:p>
        </w:tc>
        <w:tc>
          <w:tcPr>
            <w:tcW w:w="70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桑园村</w:t>
            </w:r>
          </w:p>
        </w:tc>
        <w:tc>
          <w:tcPr>
            <w:tcW w:w="539" w:type="pct"/>
            <w:tcBorders>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1小时</w:t>
            </w:r>
          </w:p>
        </w:tc>
        <w:tc>
          <w:tcPr>
            <w:tcW w:w="540" w:type="pct"/>
            <w:tcBorders>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第1大</w:t>
            </w:r>
          </w:p>
        </w:tc>
        <w:tc>
          <w:tcPr>
            <w:tcW w:w="943" w:type="dxa"/>
            <w:tcBorders>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1.11E-01</w:t>
            </w:r>
          </w:p>
        </w:tc>
        <w:tc>
          <w:tcPr>
            <w:tcW w:w="1370" w:type="dxa"/>
            <w:tcBorders>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1.21E-01</w:t>
            </w:r>
          </w:p>
        </w:tc>
        <w:tc>
          <w:tcPr>
            <w:tcW w:w="713" w:type="dxa"/>
            <w:tcBorders>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2.00E-01</w:t>
            </w:r>
          </w:p>
        </w:tc>
        <w:tc>
          <w:tcPr>
            <w:tcW w:w="1170" w:type="dxa"/>
            <w:tcBorders>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60.34</w:t>
            </w:r>
          </w:p>
        </w:tc>
        <w:tc>
          <w:tcPr>
            <w:tcW w:w="536" w:type="pct"/>
            <w:tcBorders>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46" w:hRule="atLeast"/>
          <w:jc w:val="center"/>
        </w:trPr>
        <w:tc>
          <w:tcPr>
            <w:tcW w:w="274"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rPr>
              <w:t>11</w:t>
            </w:r>
          </w:p>
        </w:tc>
        <w:tc>
          <w:tcPr>
            <w:tcW w:w="70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老王庄村</w:t>
            </w:r>
          </w:p>
        </w:tc>
        <w:tc>
          <w:tcPr>
            <w:tcW w:w="539"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1小时</w:t>
            </w:r>
          </w:p>
        </w:tc>
        <w:tc>
          <w:tcPr>
            <w:tcW w:w="540"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第1大</w:t>
            </w:r>
          </w:p>
        </w:tc>
        <w:tc>
          <w:tcPr>
            <w:tcW w:w="943"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1.11E-01</w:t>
            </w:r>
          </w:p>
        </w:tc>
        <w:tc>
          <w:tcPr>
            <w:tcW w:w="1370"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1.26E-01</w:t>
            </w:r>
          </w:p>
        </w:tc>
        <w:tc>
          <w:tcPr>
            <w:tcW w:w="713"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2.00E-01</w:t>
            </w:r>
          </w:p>
        </w:tc>
        <w:tc>
          <w:tcPr>
            <w:tcW w:w="1170"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62.91</w:t>
            </w:r>
          </w:p>
        </w:tc>
        <w:tc>
          <w:tcPr>
            <w:tcW w:w="536"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07" w:hRule="atLeast"/>
          <w:jc w:val="center"/>
        </w:trPr>
        <w:tc>
          <w:tcPr>
            <w:tcW w:w="274"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rPr>
              <w:t>12</w:t>
            </w:r>
          </w:p>
        </w:tc>
        <w:tc>
          <w:tcPr>
            <w:tcW w:w="70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冯寨村</w:t>
            </w:r>
          </w:p>
        </w:tc>
        <w:tc>
          <w:tcPr>
            <w:tcW w:w="539"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1小时</w:t>
            </w:r>
          </w:p>
        </w:tc>
        <w:tc>
          <w:tcPr>
            <w:tcW w:w="540"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第1大</w:t>
            </w:r>
          </w:p>
        </w:tc>
        <w:tc>
          <w:tcPr>
            <w:tcW w:w="943"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1.11E-01</w:t>
            </w:r>
          </w:p>
        </w:tc>
        <w:tc>
          <w:tcPr>
            <w:tcW w:w="1370"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1.21E-01</w:t>
            </w:r>
          </w:p>
        </w:tc>
        <w:tc>
          <w:tcPr>
            <w:tcW w:w="713"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2.00E-01</w:t>
            </w:r>
          </w:p>
        </w:tc>
        <w:tc>
          <w:tcPr>
            <w:tcW w:w="1170"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60.69</w:t>
            </w:r>
          </w:p>
        </w:tc>
        <w:tc>
          <w:tcPr>
            <w:tcW w:w="536"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8" w:hRule="atLeast"/>
          <w:jc w:val="center"/>
        </w:trPr>
        <w:tc>
          <w:tcPr>
            <w:tcW w:w="274"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rPr>
              <w:t>13</w:t>
            </w:r>
          </w:p>
        </w:tc>
        <w:tc>
          <w:tcPr>
            <w:tcW w:w="70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东郭集村</w:t>
            </w:r>
          </w:p>
        </w:tc>
        <w:tc>
          <w:tcPr>
            <w:tcW w:w="539"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1小时</w:t>
            </w:r>
          </w:p>
        </w:tc>
        <w:tc>
          <w:tcPr>
            <w:tcW w:w="540"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第1大</w:t>
            </w:r>
          </w:p>
        </w:tc>
        <w:tc>
          <w:tcPr>
            <w:tcW w:w="943"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1.11E-01</w:t>
            </w:r>
          </w:p>
        </w:tc>
        <w:tc>
          <w:tcPr>
            <w:tcW w:w="1370"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1.21E-01</w:t>
            </w:r>
          </w:p>
        </w:tc>
        <w:tc>
          <w:tcPr>
            <w:tcW w:w="713"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2.00E-01</w:t>
            </w:r>
          </w:p>
        </w:tc>
        <w:tc>
          <w:tcPr>
            <w:tcW w:w="1170"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60.36</w:t>
            </w:r>
          </w:p>
        </w:tc>
        <w:tc>
          <w:tcPr>
            <w:tcW w:w="536"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42" w:hRule="atLeast"/>
          <w:jc w:val="center"/>
        </w:trPr>
        <w:tc>
          <w:tcPr>
            <w:tcW w:w="274"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rPr>
              <w:t>14</w:t>
            </w:r>
          </w:p>
        </w:tc>
        <w:tc>
          <w:tcPr>
            <w:tcW w:w="70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柳寨村</w:t>
            </w:r>
          </w:p>
        </w:tc>
        <w:tc>
          <w:tcPr>
            <w:tcW w:w="539"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1小时</w:t>
            </w:r>
          </w:p>
        </w:tc>
        <w:tc>
          <w:tcPr>
            <w:tcW w:w="540"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第1大</w:t>
            </w:r>
          </w:p>
        </w:tc>
        <w:tc>
          <w:tcPr>
            <w:tcW w:w="943"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1.11E-01</w:t>
            </w:r>
          </w:p>
        </w:tc>
        <w:tc>
          <w:tcPr>
            <w:tcW w:w="1370"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1.19E-01</w:t>
            </w:r>
          </w:p>
        </w:tc>
        <w:tc>
          <w:tcPr>
            <w:tcW w:w="713"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2.00E-01</w:t>
            </w:r>
          </w:p>
        </w:tc>
        <w:tc>
          <w:tcPr>
            <w:tcW w:w="1170"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59.61</w:t>
            </w:r>
          </w:p>
        </w:tc>
        <w:tc>
          <w:tcPr>
            <w:tcW w:w="536"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5" w:hRule="atLeast"/>
          <w:jc w:val="center"/>
        </w:trPr>
        <w:tc>
          <w:tcPr>
            <w:tcW w:w="274"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rPr>
              <w:t>15</w:t>
            </w:r>
          </w:p>
        </w:tc>
        <w:tc>
          <w:tcPr>
            <w:tcW w:w="70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安寨村</w:t>
            </w:r>
          </w:p>
        </w:tc>
        <w:tc>
          <w:tcPr>
            <w:tcW w:w="539"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1小时</w:t>
            </w:r>
          </w:p>
        </w:tc>
        <w:tc>
          <w:tcPr>
            <w:tcW w:w="540"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第1大</w:t>
            </w:r>
          </w:p>
        </w:tc>
        <w:tc>
          <w:tcPr>
            <w:tcW w:w="943"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1.11E-01</w:t>
            </w:r>
          </w:p>
        </w:tc>
        <w:tc>
          <w:tcPr>
            <w:tcW w:w="1370"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1.22E-01</w:t>
            </w:r>
          </w:p>
        </w:tc>
        <w:tc>
          <w:tcPr>
            <w:tcW w:w="713"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2.00E-01</w:t>
            </w:r>
          </w:p>
        </w:tc>
        <w:tc>
          <w:tcPr>
            <w:tcW w:w="1170"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60.9</w:t>
            </w:r>
          </w:p>
        </w:tc>
        <w:tc>
          <w:tcPr>
            <w:tcW w:w="536"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39" w:hRule="atLeast"/>
          <w:jc w:val="center"/>
        </w:trPr>
        <w:tc>
          <w:tcPr>
            <w:tcW w:w="274"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rPr>
              <w:t>16</w:t>
            </w:r>
          </w:p>
        </w:tc>
        <w:tc>
          <w:tcPr>
            <w:tcW w:w="70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东草庙村</w:t>
            </w:r>
          </w:p>
        </w:tc>
        <w:tc>
          <w:tcPr>
            <w:tcW w:w="539"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1小时</w:t>
            </w:r>
          </w:p>
        </w:tc>
        <w:tc>
          <w:tcPr>
            <w:tcW w:w="540"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第1大</w:t>
            </w:r>
          </w:p>
        </w:tc>
        <w:tc>
          <w:tcPr>
            <w:tcW w:w="943"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1.11E-01</w:t>
            </w:r>
          </w:p>
        </w:tc>
        <w:tc>
          <w:tcPr>
            <w:tcW w:w="1370"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1.20E-01</w:t>
            </w:r>
          </w:p>
        </w:tc>
        <w:tc>
          <w:tcPr>
            <w:tcW w:w="713"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2.00E-01</w:t>
            </w:r>
          </w:p>
        </w:tc>
        <w:tc>
          <w:tcPr>
            <w:tcW w:w="1170"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59.76</w:t>
            </w:r>
          </w:p>
        </w:tc>
        <w:tc>
          <w:tcPr>
            <w:tcW w:w="536"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87" w:hRule="atLeast"/>
          <w:jc w:val="center"/>
        </w:trPr>
        <w:tc>
          <w:tcPr>
            <w:tcW w:w="274"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rPr>
              <w:t>17</w:t>
            </w:r>
          </w:p>
        </w:tc>
        <w:tc>
          <w:tcPr>
            <w:tcW w:w="70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中草庙村</w:t>
            </w:r>
          </w:p>
        </w:tc>
        <w:tc>
          <w:tcPr>
            <w:tcW w:w="539"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1小时</w:t>
            </w:r>
          </w:p>
        </w:tc>
        <w:tc>
          <w:tcPr>
            <w:tcW w:w="540"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第1大</w:t>
            </w:r>
          </w:p>
        </w:tc>
        <w:tc>
          <w:tcPr>
            <w:tcW w:w="943"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1.11E-01</w:t>
            </w:r>
          </w:p>
        </w:tc>
        <w:tc>
          <w:tcPr>
            <w:tcW w:w="1370"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1.24E-01</w:t>
            </w:r>
          </w:p>
        </w:tc>
        <w:tc>
          <w:tcPr>
            <w:tcW w:w="713"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2.00E-01</w:t>
            </w:r>
          </w:p>
        </w:tc>
        <w:tc>
          <w:tcPr>
            <w:tcW w:w="1170"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61.79</w:t>
            </w:r>
          </w:p>
        </w:tc>
        <w:tc>
          <w:tcPr>
            <w:tcW w:w="536"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80" w:type="pct"/>
            <w:gridSpan w:val="2"/>
            <w:vAlign w:val="center"/>
          </w:tcPr>
          <w:p>
            <w:pPr>
              <w:spacing w:line="240" w:lineRule="auto"/>
              <w:ind w:firstLine="0" w:firstLineChars="0"/>
              <w:jc w:val="center"/>
              <w:rPr>
                <w:color w:val="auto"/>
                <w:sz w:val="21"/>
                <w:szCs w:val="21"/>
              </w:rPr>
            </w:pPr>
            <w:r>
              <w:rPr>
                <w:rFonts w:hint="eastAsia"/>
                <w:color w:val="auto"/>
                <w:sz w:val="21"/>
                <w:szCs w:val="21"/>
              </w:rPr>
              <w:t>网格点</w:t>
            </w:r>
          </w:p>
        </w:tc>
        <w:tc>
          <w:tcPr>
            <w:tcW w:w="539"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1小时</w:t>
            </w:r>
          </w:p>
        </w:tc>
        <w:tc>
          <w:tcPr>
            <w:tcW w:w="540"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第1大</w:t>
            </w:r>
          </w:p>
        </w:tc>
        <w:tc>
          <w:tcPr>
            <w:tcW w:w="943"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1.11E-01</w:t>
            </w:r>
          </w:p>
        </w:tc>
        <w:tc>
          <w:tcPr>
            <w:tcW w:w="1370"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1.30E-01</w:t>
            </w:r>
          </w:p>
        </w:tc>
        <w:tc>
          <w:tcPr>
            <w:tcW w:w="713"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2.00E-01</w:t>
            </w:r>
          </w:p>
        </w:tc>
        <w:tc>
          <w:tcPr>
            <w:tcW w:w="1170"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65.09</w:t>
            </w:r>
          </w:p>
        </w:tc>
        <w:tc>
          <w:tcPr>
            <w:tcW w:w="536"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达标</w:t>
            </w:r>
          </w:p>
        </w:tc>
      </w:tr>
    </w:tbl>
    <w:p>
      <w:pPr>
        <w:spacing w:before="156" w:beforeLines="50" w:after="156" w:afterLines="50" w:line="240" w:lineRule="auto"/>
        <w:ind w:firstLine="0" w:firstLineChars="0"/>
        <w:jc w:val="left"/>
        <w:rPr>
          <w:b/>
          <w:color w:val="auto"/>
          <w:szCs w:val="21"/>
        </w:rPr>
      </w:pPr>
      <w:r>
        <w:rPr>
          <w:color w:val="auto"/>
        </w:rPr>
        <w:drawing>
          <wp:inline distT="0" distB="0" distL="114300" distR="114300">
            <wp:extent cx="5539105" cy="3589020"/>
            <wp:effectExtent l="0" t="0" r="4445" b="11430"/>
            <wp:docPr id="3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4"/>
                    <pic:cNvPicPr>
                      <a:picLocks noChangeAspect="1"/>
                    </pic:cNvPicPr>
                  </pic:nvPicPr>
                  <pic:blipFill>
                    <a:blip r:embed="rId61"/>
                    <a:stretch>
                      <a:fillRect/>
                    </a:stretch>
                  </pic:blipFill>
                  <pic:spPr>
                    <a:xfrm>
                      <a:off x="0" y="0"/>
                      <a:ext cx="5539105" cy="3589020"/>
                    </a:xfrm>
                    <a:prstGeom prst="rect">
                      <a:avLst/>
                    </a:prstGeom>
                    <a:noFill/>
                    <a:ln>
                      <a:noFill/>
                    </a:ln>
                  </pic:spPr>
                </pic:pic>
              </a:graphicData>
            </a:graphic>
          </wp:inline>
        </w:drawing>
      </w:r>
    </w:p>
    <w:p>
      <w:pPr>
        <w:spacing w:before="156" w:beforeLines="50" w:after="156" w:afterLines="50" w:line="240" w:lineRule="auto"/>
        <w:ind w:left="480" w:leftChars="200" w:firstLine="0" w:firstLineChars="0"/>
        <w:jc w:val="left"/>
        <w:rPr>
          <w:b/>
          <w:color w:val="auto"/>
          <w:szCs w:val="21"/>
        </w:rPr>
      </w:pPr>
      <w:r>
        <w:rPr>
          <w:b/>
          <w:color w:val="auto"/>
          <w:szCs w:val="21"/>
        </w:rPr>
        <w:t>5.2-31叠加后H</w:t>
      </w:r>
      <w:r>
        <w:rPr>
          <w:b/>
          <w:color w:val="auto"/>
          <w:szCs w:val="21"/>
          <w:vertAlign w:val="subscript"/>
        </w:rPr>
        <w:t>2</w:t>
      </w:r>
      <w:r>
        <w:rPr>
          <w:b/>
          <w:color w:val="auto"/>
          <w:szCs w:val="21"/>
        </w:rPr>
        <w:t>S小时浓度贡献预测结果一览表      单位：mg/m</w:t>
      </w:r>
      <w:r>
        <w:rPr>
          <w:b/>
          <w:color w:val="auto"/>
          <w:szCs w:val="21"/>
          <w:vertAlign w:val="superscript"/>
        </w:rPr>
        <w:t>3</w:t>
      </w:r>
    </w:p>
    <w:tbl>
      <w:tblPr>
        <w:tblStyle w:val="27"/>
        <w:tblW w:w="5000"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470"/>
        <w:gridCol w:w="1224"/>
        <w:gridCol w:w="933"/>
        <w:gridCol w:w="934"/>
        <w:gridCol w:w="934"/>
        <w:gridCol w:w="1361"/>
        <w:gridCol w:w="786"/>
        <w:gridCol w:w="1161"/>
        <w:gridCol w:w="927"/>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74" w:type="pct"/>
            <w:vAlign w:val="center"/>
          </w:tcPr>
          <w:p>
            <w:pPr>
              <w:kinsoku w:val="0"/>
              <w:overflowPunct w:val="0"/>
              <w:autoSpaceDE w:val="0"/>
              <w:autoSpaceDN w:val="0"/>
              <w:spacing w:line="240" w:lineRule="auto"/>
              <w:ind w:firstLine="0" w:firstLineChars="0"/>
              <w:jc w:val="center"/>
              <w:rPr>
                <w:b/>
                <w:color w:val="auto"/>
                <w:kern w:val="0"/>
                <w:sz w:val="21"/>
                <w:szCs w:val="21"/>
              </w:rPr>
            </w:pPr>
            <w:r>
              <w:rPr>
                <w:b/>
                <w:color w:val="auto"/>
                <w:kern w:val="0"/>
                <w:sz w:val="21"/>
                <w:szCs w:val="21"/>
              </w:rPr>
              <w:t>序号</w:t>
            </w:r>
          </w:p>
        </w:tc>
        <w:tc>
          <w:tcPr>
            <w:tcW w:w="706" w:type="pct"/>
            <w:vAlign w:val="center"/>
          </w:tcPr>
          <w:p>
            <w:pPr>
              <w:kinsoku w:val="0"/>
              <w:overflowPunct w:val="0"/>
              <w:autoSpaceDE w:val="0"/>
              <w:autoSpaceDN w:val="0"/>
              <w:spacing w:line="240" w:lineRule="auto"/>
              <w:ind w:firstLine="0" w:firstLineChars="0"/>
              <w:jc w:val="center"/>
              <w:rPr>
                <w:b/>
                <w:color w:val="auto"/>
                <w:kern w:val="0"/>
                <w:sz w:val="21"/>
                <w:szCs w:val="21"/>
              </w:rPr>
            </w:pPr>
            <w:r>
              <w:rPr>
                <w:b/>
                <w:color w:val="auto"/>
                <w:kern w:val="0"/>
                <w:sz w:val="21"/>
                <w:szCs w:val="21"/>
              </w:rPr>
              <w:t>名称</w:t>
            </w:r>
          </w:p>
        </w:tc>
        <w:tc>
          <w:tcPr>
            <w:tcW w:w="539" w:type="pct"/>
            <w:vAlign w:val="center"/>
          </w:tcPr>
          <w:p>
            <w:pPr>
              <w:kinsoku w:val="0"/>
              <w:overflowPunct w:val="0"/>
              <w:autoSpaceDE w:val="0"/>
              <w:autoSpaceDN w:val="0"/>
              <w:spacing w:line="240" w:lineRule="auto"/>
              <w:ind w:firstLine="0" w:firstLineChars="0"/>
              <w:jc w:val="center"/>
              <w:rPr>
                <w:b/>
                <w:color w:val="auto"/>
                <w:kern w:val="0"/>
                <w:sz w:val="21"/>
                <w:szCs w:val="21"/>
              </w:rPr>
            </w:pPr>
            <w:r>
              <w:rPr>
                <w:b/>
                <w:color w:val="auto"/>
                <w:kern w:val="0"/>
                <w:sz w:val="21"/>
                <w:szCs w:val="21"/>
              </w:rPr>
              <w:t>平均时间</w:t>
            </w:r>
          </w:p>
        </w:tc>
        <w:tc>
          <w:tcPr>
            <w:tcW w:w="540" w:type="pct"/>
            <w:vAlign w:val="center"/>
          </w:tcPr>
          <w:p>
            <w:pPr>
              <w:kinsoku w:val="0"/>
              <w:overflowPunct w:val="0"/>
              <w:autoSpaceDE w:val="0"/>
              <w:autoSpaceDN w:val="0"/>
              <w:spacing w:line="240" w:lineRule="auto"/>
              <w:ind w:firstLine="0" w:firstLineChars="0"/>
              <w:jc w:val="center"/>
              <w:rPr>
                <w:b/>
                <w:color w:val="auto"/>
                <w:kern w:val="0"/>
                <w:sz w:val="21"/>
                <w:szCs w:val="21"/>
              </w:rPr>
            </w:pPr>
            <w:r>
              <w:rPr>
                <w:b/>
                <w:color w:val="auto"/>
                <w:kern w:val="0"/>
                <w:sz w:val="21"/>
                <w:szCs w:val="21"/>
              </w:rPr>
              <w:t>排序</w:t>
            </w:r>
          </w:p>
        </w:tc>
        <w:tc>
          <w:tcPr>
            <w:tcW w:w="540" w:type="pct"/>
            <w:vAlign w:val="center"/>
          </w:tcPr>
          <w:p>
            <w:pPr>
              <w:kinsoku w:val="0"/>
              <w:overflowPunct w:val="0"/>
              <w:autoSpaceDE w:val="0"/>
              <w:autoSpaceDN w:val="0"/>
              <w:spacing w:line="240" w:lineRule="auto"/>
              <w:ind w:firstLine="0" w:firstLineChars="0"/>
              <w:jc w:val="center"/>
              <w:rPr>
                <w:b/>
                <w:color w:val="auto"/>
                <w:kern w:val="0"/>
                <w:sz w:val="21"/>
                <w:szCs w:val="21"/>
              </w:rPr>
            </w:pPr>
            <w:r>
              <w:rPr>
                <w:b/>
                <w:color w:val="auto"/>
                <w:kern w:val="0"/>
                <w:sz w:val="21"/>
                <w:szCs w:val="21"/>
              </w:rPr>
              <w:t>背景值</w:t>
            </w:r>
          </w:p>
        </w:tc>
        <w:tc>
          <w:tcPr>
            <w:tcW w:w="784" w:type="pct"/>
            <w:vAlign w:val="center"/>
          </w:tcPr>
          <w:p>
            <w:pPr>
              <w:kinsoku w:val="0"/>
              <w:overflowPunct w:val="0"/>
              <w:autoSpaceDE w:val="0"/>
              <w:autoSpaceDN w:val="0"/>
              <w:spacing w:line="240" w:lineRule="auto"/>
              <w:ind w:firstLine="0" w:firstLineChars="0"/>
              <w:jc w:val="center"/>
              <w:rPr>
                <w:b/>
                <w:color w:val="auto"/>
                <w:kern w:val="0"/>
                <w:sz w:val="21"/>
                <w:szCs w:val="21"/>
              </w:rPr>
            </w:pPr>
            <w:r>
              <w:rPr>
                <w:b/>
                <w:color w:val="auto"/>
                <w:kern w:val="0"/>
                <w:sz w:val="21"/>
                <w:szCs w:val="21"/>
              </w:rPr>
              <w:t>叠加值</w:t>
            </w:r>
          </w:p>
        </w:tc>
        <w:tc>
          <w:tcPr>
            <w:tcW w:w="408" w:type="pct"/>
            <w:vAlign w:val="center"/>
          </w:tcPr>
          <w:p>
            <w:pPr>
              <w:kinsoku w:val="0"/>
              <w:overflowPunct w:val="0"/>
              <w:autoSpaceDE w:val="0"/>
              <w:autoSpaceDN w:val="0"/>
              <w:spacing w:line="240" w:lineRule="auto"/>
              <w:ind w:firstLine="0" w:firstLineChars="0"/>
              <w:jc w:val="center"/>
              <w:rPr>
                <w:b/>
                <w:color w:val="auto"/>
                <w:kern w:val="0"/>
                <w:sz w:val="21"/>
                <w:szCs w:val="21"/>
              </w:rPr>
            </w:pPr>
            <w:r>
              <w:rPr>
                <w:b/>
                <w:color w:val="auto"/>
                <w:kern w:val="0"/>
                <w:sz w:val="21"/>
                <w:szCs w:val="21"/>
              </w:rPr>
              <w:t>标准值</w:t>
            </w:r>
          </w:p>
        </w:tc>
        <w:tc>
          <w:tcPr>
            <w:tcW w:w="670" w:type="pct"/>
            <w:vAlign w:val="center"/>
          </w:tcPr>
          <w:p>
            <w:pPr>
              <w:kinsoku w:val="0"/>
              <w:overflowPunct w:val="0"/>
              <w:autoSpaceDE w:val="0"/>
              <w:autoSpaceDN w:val="0"/>
              <w:spacing w:line="240" w:lineRule="auto"/>
              <w:ind w:firstLine="0" w:firstLineChars="0"/>
              <w:jc w:val="center"/>
              <w:rPr>
                <w:b/>
                <w:color w:val="auto"/>
                <w:kern w:val="0"/>
                <w:sz w:val="21"/>
                <w:szCs w:val="21"/>
              </w:rPr>
            </w:pPr>
            <w:r>
              <w:rPr>
                <w:b/>
                <w:color w:val="auto"/>
                <w:kern w:val="0"/>
                <w:sz w:val="21"/>
                <w:szCs w:val="21"/>
              </w:rPr>
              <w:t>占标率（%）</w:t>
            </w:r>
          </w:p>
        </w:tc>
        <w:tc>
          <w:tcPr>
            <w:tcW w:w="536" w:type="pct"/>
            <w:vAlign w:val="center"/>
          </w:tcPr>
          <w:p>
            <w:pPr>
              <w:kinsoku w:val="0"/>
              <w:overflowPunct w:val="0"/>
              <w:autoSpaceDE w:val="0"/>
              <w:autoSpaceDN w:val="0"/>
              <w:spacing w:line="240" w:lineRule="auto"/>
              <w:ind w:firstLine="0" w:firstLineChars="0"/>
              <w:jc w:val="center"/>
              <w:rPr>
                <w:b/>
                <w:color w:val="auto"/>
                <w:kern w:val="0"/>
                <w:sz w:val="21"/>
                <w:szCs w:val="21"/>
              </w:rPr>
            </w:pPr>
            <w:r>
              <w:rPr>
                <w:b/>
                <w:color w:val="auto"/>
                <w:kern w:val="0"/>
                <w:sz w:val="21"/>
                <w:szCs w:val="21"/>
              </w:rPr>
              <w:t>达标情况</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74"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1</w:t>
            </w:r>
          </w:p>
        </w:tc>
        <w:tc>
          <w:tcPr>
            <w:tcW w:w="70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lang w:val="zh-CN"/>
              </w:rPr>
            </w:pPr>
            <w:r>
              <w:rPr>
                <w:rFonts w:hint="eastAsia"/>
                <w:color w:val="auto"/>
                <w:sz w:val="21"/>
                <w:szCs w:val="21"/>
              </w:rPr>
              <w:t>七王庙村</w:t>
            </w:r>
          </w:p>
        </w:tc>
        <w:tc>
          <w:tcPr>
            <w:tcW w:w="539"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1小时</w:t>
            </w:r>
          </w:p>
        </w:tc>
        <w:tc>
          <w:tcPr>
            <w:tcW w:w="540"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第1大</w:t>
            </w:r>
          </w:p>
        </w:tc>
        <w:tc>
          <w:tcPr>
            <w:tcW w:w="943"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2.50E-03</w:t>
            </w:r>
          </w:p>
        </w:tc>
        <w:tc>
          <w:tcPr>
            <w:tcW w:w="1370"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3.41E-03</w:t>
            </w:r>
          </w:p>
        </w:tc>
        <w:tc>
          <w:tcPr>
            <w:tcW w:w="713"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1.00E-02</w:t>
            </w:r>
          </w:p>
        </w:tc>
        <w:tc>
          <w:tcPr>
            <w:tcW w:w="1170"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34.13</w:t>
            </w:r>
          </w:p>
        </w:tc>
        <w:tc>
          <w:tcPr>
            <w:tcW w:w="536"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74"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2</w:t>
            </w:r>
          </w:p>
        </w:tc>
        <w:tc>
          <w:tcPr>
            <w:tcW w:w="70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lang w:val="zh-CN"/>
              </w:rPr>
            </w:pPr>
            <w:r>
              <w:rPr>
                <w:rFonts w:hint="eastAsia"/>
                <w:color w:val="auto"/>
                <w:sz w:val="21"/>
                <w:szCs w:val="21"/>
              </w:rPr>
              <w:t>于屯村</w:t>
            </w:r>
          </w:p>
        </w:tc>
        <w:tc>
          <w:tcPr>
            <w:tcW w:w="539"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1小时</w:t>
            </w:r>
          </w:p>
        </w:tc>
        <w:tc>
          <w:tcPr>
            <w:tcW w:w="540"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第1大</w:t>
            </w:r>
          </w:p>
        </w:tc>
        <w:tc>
          <w:tcPr>
            <w:tcW w:w="943"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2.50E-03</w:t>
            </w:r>
          </w:p>
        </w:tc>
        <w:tc>
          <w:tcPr>
            <w:tcW w:w="1370"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3.35E-03</w:t>
            </w:r>
          </w:p>
        </w:tc>
        <w:tc>
          <w:tcPr>
            <w:tcW w:w="713"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1.00E-02</w:t>
            </w:r>
          </w:p>
        </w:tc>
        <w:tc>
          <w:tcPr>
            <w:tcW w:w="1170"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33.48</w:t>
            </w:r>
          </w:p>
        </w:tc>
        <w:tc>
          <w:tcPr>
            <w:tcW w:w="536"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74"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3</w:t>
            </w:r>
          </w:p>
        </w:tc>
        <w:tc>
          <w:tcPr>
            <w:tcW w:w="70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lang w:val="zh-CN"/>
              </w:rPr>
            </w:pPr>
            <w:r>
              <w:rPr>
                <w:rFonts w:hint="eastAsia"/>
                <w:color w:val="auto"/>
                <w:sz w:val="21"/>
                <w:szCs w:val="21"/>
              </w:rPr>
              <w:t>东高城村</w:t>
            </w:r>
          </w:p>
        </w:tc>
        <w:tc>
          <w:tcPr>
            <w:tcW w:w="539"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1小时</w:t>
            </w:r>
          </w:p>
        </w:tc>
        <w:tc>
          <w:tcPr>
            <w:tcW w:w="540"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第1大</w:t>
            </w:r>
          </w:p>
        </w:tc>
        <w:tc>
          <w:tcPr>
            <w:tcW w:w="943"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2.50E-03</w:t>
            </w:r>
          </w:p>
        </w:tc>
        <w:tc>
          <w:tcPr>
            <w:tcW w:w="1370"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3.29E-03</w:t>
            </w:r>
          </w:p>
        </w:tc>
        <w:tc>
          <w:tcPr>
            <w:tcW w:w="713"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1.00E-02</w:t>
            </w:r>
          </w:p>
        </w:tc>
        <w:tc>
          <w:tcPr>
            <w:tcW w:w="1170"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32.88</w:t>
            </w:r>
          </w:p>
        </w:tc>
        <w:tc>
          <w:tcPr>
            <w:tcW w:w="536"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74"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4</w:t>
            </w:r>
          </w:p>
        </w:tc>
        <w:tc>
          <w:tcPr>
            <w:tcW w:w="70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lang w:val="zh-CN"/>
              </w:rPr>
            </w:pPr>
            <w:r>
              <w:rPr>
                <w:rFonts w:hint="eastAsia"/>
                <w:color w:val="auto"/>
                <w:sz w:val="21"/>
                <w:szCs w:val="21"/>
              </w:rPr>
              <w:t>前吕寨村</w:t>
            </w:r>
          </w:p>
        </w:tc>
        <w:tc>
          <w:tcPr>
            <w:tcW w:w="539"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1小时</w:t>
            </w:r>
          </w:p>
        </w:tc>
        <w:tc>
          <w:tcPr>
            <w:tcW w:w="540"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第1大</w:t>
            </w:r>
          </w:p>
        </w:tc>
        <w:tc>
          <w:tcPr>
            <w:tcW w:w="943"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2.50E-03</w:t>
            </w:r>
          </w:p>
        </w:tc>
        <w:tc>
          <w:tcPr>
            <w:tcW w:w="1370"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3.08E-03</w:t>
            </w:r>
          </w:p>
        </w:tc>
        <w:tc>
          <w:tcPr>
            <w:tcW w:w="713"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1.00E-02</w:t>
            </w:r>
          </w:p>
        </w:tc>
        <w:tc>
          <w:tcPr>
            <w:tcW w:w="1170"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30.84</w:t>
            </w:r>
          </w:p>
        </w:tc>
        <w:tc>
          <w:tcPr>
            <w:tcW w:w="536"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74"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5</w:t>
            </w:r>
          </w:p>
        </w:tc>
        <w:tc>
          <w:tcPr>
            <w:tcW w:w="70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lang w:val="zh-CN"/>
              </w:rPr>
            </w:pPr>
            <w:r>
              <w:rPr>
                <w:rFonts w:hint="eastAsia"/>
                <w:color w:val="auto"/>
                <w:sz w:val="21"/>
                <w:szCs w:val="21"/>
              </w:rPr>
              <w:t>后吕寨村</w:t>
            </w:r>
          </w:p>
        </w:tc>
        <w:tc>
          <w:tcPr>
            <w:tcW w:w="539"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1小时</w:t>
            </w:r>
          </w:p>
        </w:tc>
        <w:tc>
          <w:tcPr>
            <w:tcW w:w="540"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第1大</w:t>
            </w:r>
          </w:p>
        </w:tc>
        <w:tc>
          <w:tcPr>
            <w:tcW w:w="943"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2.50E-03</w:t>
            </w:r>
          </w:p>
        </w:tc>
        <w:tc>
          <w:tcPr>
            <w:tcW w:w="1370"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3.16E-03</w:t>
            </w:r>
          </w:p>
        </w:tc>
        <w:tc>
          <w:tcPr>
            <w:tcW w:w="713"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1.00E-02</w:t>
            </w:r>
          </w:p>
        </w:tc>
        <w:tc>
          <w:tcPr>
            <w:tcW w:w="1170"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31.63</w:t>
            </w:r>
          </w:p>
        </w:tc>
        <w:tc>
          <w:tcPr>
            <w:tcW w:w="536"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74"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6</w:t>
            </w:r>
          </w:p>
        </w:tc>
        <w:tc>
          <w:tcPr>
            <w:tcW w:w="70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梨园村</w:t>
            </w:r>
          </w:p>
        </w:tc>
        <w:tc>
          <w:tcPr>
            <w:tcW w:w="539"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1小时</w:t>
            </w:r>
          </w:p>
        </w:tc>
        <w:tc>
          <w:tcPr>
            <w:tcW w:w="540"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第1大</w:t>
            </w:r>
          </w:p>
        </w:tc>
        <w:tc>
          <w:tcPr>
            <w:tcW w:w="943"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2.50E-03</w:t>
            </w:r>
          </w:p>
        </w:tc>
        <w:tc>
          <w:tcPr>
            <w:tcW w:w="1370"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3.19E-03</w:t>
            </w:r>
          </w:p>
        </w:tc>
        <w:tc>
          <w:tcPr>
            <w:tcW w:w="713"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1.00E-02</w:t>
            </w:r>
          </w:p>
        </w:tc>
        <w:tc>
          <w:tcPr>
            <w:tcW w:w="1170"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31.91</w:t>
            </w:r>
          </w:p>
        </w:tc>
        <w:tc>
          <w:tcPr>
            <w:tcW w:w="536"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74"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7</w:t>
            </w:r>
          </w:p>
        </w:tc>
        <w:tc>
          <w:tcPr>
            <w:tcW w:w="70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后坡村</w:t>
            </w:r>
          </w:p>
        </w:tc>
        <w:tc>
          <w:tcPr>
            <w:tcW w:w="539"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1小时</w:t>
            </w:r>
          </w:p>
        </w:tc>
        <w:tc>
          <w:tcPr>
            <w:tcW w:w="540"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第1大</w:t>
            </w:r>
          </w:p>
        </w:tc>
        <w:tc>
          <w:tcPr>
            <w:tcW w:w="943"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2.50E-03</w:t>
            </w:r>
          </w:p>
        </w:tc>
        <w:tc>
          <w:tcPr>
            <w:tcW w:w="1370"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3.21E-03</w:t>
            </w:r>
          </w:p>
        </w:tc>
        <w:tc>
          <w:tcPr>
            <w:tcW w:w="713"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1.00E-02</w:t>
            </w:r>
          </w:p>
        </w:tc>
        <w:tc>
          <w:tcPr>
            <w:tcW w:w="1170"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32.09</w:t>
            </w:r>
          </w:p>
        </w:tc>
        <w:tc>
          <w:tcPr>
            <w:tcW w:w="536"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74"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8</w:t>
            </w:r>
          </w:p>
        </w:tc>
        <w:tc>
          <w:tcPr>
            <w:tcW w:w="70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中坡村</w:t>
            </w:r>
          </w:p>
        </w:tc>
        <w:tc>
          <w:tcPr>
            <w:tcW w:w="539"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1小时</w:t>
            </w:r>
          </w:p>
        </w:tc>
        <w:tc>
          <w:tcPr>
            <w:tcW w:w="540"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第1大</w:t>
            </w:r>
          </w:p>
        </w:tc>
        <w:tc>
          <w:tcPr>
            <w:tcW w:w="943"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2.50E-03</w:t>
            </w:r>
          </w:p>
        </w:tc>
        <w:tc>
          <w:tcPr>
            <w:tcW w:w="1370"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3.08E-03</w:t>
            </w:r>
          </w:p>
        </w:tc>
        <w:tc>
          <w:tcPr>
            <w:tcW w:w="713"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1.00E-02</w:t>
            </w:r>
          </w:p>
        </w:tc>
        <w:tc>
          <w:tcPr>
            <w:tcW w:w="1170"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30.79</w:t>
            </w:r>
          </w:p>
        </w:tc>
        <w:tc>
          <w:tcPr>
            <w:tcW w:w="536"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74"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9</w:t>
            </w:r>
          </w:p>
        </w:tc>
        <w:tc>
          <w:tcPr>
            <w:tcW w:w="70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李楼村</w:t>
            </w:r>
          </w:p>
        </w:tc>
        <w:tc>
          <w:tcPr>
            <w:tcW w:w="539"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1小时</w:t>
            </w:r>
          </w:p>
        </w:tc>
        <w:tc>
          <w:tcPr>
            <w:tcW w:w="540"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第1大</w:t>
            </w:r>
          </w:p>
        </w:tc>
        <w:tc>
          <w:tcPr>
            <w:tcW w:w="943"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2.50E-03</w:t>
            </w:r>
          </w:p>
        </w:tc>
        <w:tc>
          <w:tcPr>
            <w:tcW w:w="1370"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3.07E-03</w:t>
            </w:r>
          </w:p>
        </w:tc>
        <w:tc>
          <w:tcPr>
            <w:tcW w:w="713"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1.00E-02</w:t>
            </w:r>
          </w:p>
        </w:tc>
        <w:tc>
          <w:tcPr>
            <w:tcW w:w="1170"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30.73</w:t>
            </w:r>
          </w:p>
        </w:tc>
        <w:tc>
          <w:tcPr>
            <w:tcW w:w="536"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53" w:hRule="atLeast"/>
          <w:jc w:val="center"/>
        </w:trPr>
        <w:tc>
          <w:tcPr>
            <w:tcW w:w="274" w:type="pct"/>
            <w:tcBorders>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10</w:t>
            </w:r>
          </w:p>
        </w:tc>
        <w:tc>
          <w:tcPr>
            <w:tcW w:w="70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桑园村</w:t>
            </w:r>
          </w:p>
        </w:tc>
        <w:tc>
          <w:tcPr>
            <w:tcW w:w="539" w:type="pct"/>
            <w:tcBorders>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1小时</w:t>
            </w:r>
          </w:p>
        </w:tc>
        <w:tc>
          <w:tcPr>
            <w:tcW w:w="540" w:type="pct"/>
            <w:tcBorders>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第1大</w:t>
            </w:r>
          </w:p>
        </w:tc>
        <w:tc>
          <w:tcPr>
            <w:tcW w:w="943" w:type="dxa"/>
            <w:tcBorders>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2.50E-03</w:t>
            </w:r>
          </w:p>
        </w:tc>
        <w:tc>
          <w:tcPr>
            <w:tcW w:w="1370" w:type="dxa"/>
            <w:tcBorders>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3.15E-03</w:t>
            </w:r>
          </w:p>
        </w:tc>
        <w:tc>
          <w:tcPr>
            <w:tcW w:w="713" w:type="dxa"/>
            <w:tcBorders>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1.00E-02</w:t>
            </w:r>
          </w:p>
        </w:tc>
        <w:tc>
          <w:tcPr>
            <w:tcW w:w="1170" w:type="dxa"/>
            <w:tcBorders>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31.47</w:t>
            </w:r>
          </w:p>
        </w:tc>
        <w:tc>
          <w:tcPr>
            <w:tcW w:w="536" w:type="pct"/>
            <w:tcBorders>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46" w:hRule="atLeast"/>
          <w:jc w:val="center"/>
        </w:trPr>
        <w:tc>
          <w:tcPr>
            <w:tcW w:w="274"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rPr>
              <w:t>11</w:t>
            </w:r>
          </w:p>
        </w:tc>
        <w:tc>
          <w:tcPr>
            <w:tcW w:w="70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老王庄村</w:t>
            </w:r>
          </w:p>
        </w:tc>
        <w:tc>
          <w:tcPr>
            <w:tcW w:w="539"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1小时</w:t>
            </w:r>
          </w:p>
        </w:tc>
        <w:tc>
          <w:tcPr>
            <w:tcW w:w="540"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第1大</w:t>
            </w:r>
          </w:p>
        </w:tc>
        <w:tc>
          <w:tcPr>
            <w:tcW w:w="943"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2.50E-03</w:t>
            </w:r>
          </w:p>
        </w:tc>
        <w:tc>
          <w:tcPr>
            <w:tcW w:w="1370"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3.47E-03</w:t>
            </w:r>
          </w:p>
        </w:tc>
        <w:tc>
          <w:tcPr>
            <w:tcW w:w="713"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1.00E-02</w:t>
            </w:r>
          </w:p>
        </w:tc>
        <w:tc>
          <w:tcPr>
            <w:tcW w:w="1170"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34.74</w:t>
            </w:r>
          </w:p>
        </w:tc>
        <w:tc>
          <w:tcPr>
            <w:tcW w:w="536"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07" w:hRule="atLeast"/>
          <w:jc w:val="center"/>
        </w:trPr>
        <w:tc>
          <w:tcPr>
            <w:tcW w:w="274"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rPr>
              <w:t>12</w:t>
            </w:r>
          </w:p>
        </w:tc>
        <w:tc>
          <w:tcPr>
            <w:tcW w:w="70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冯寨村</w:t>
            </w:r>
          </w:p>
        </w:tc>
        <w:tc>
          <w:tcPr>
            <w:tcW w:w="539"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1小时</w:t>
            </w:r>
          </w:p>
        </w:tc>
        <w:tc>
          <w:tcPr>
            <w:tcW w:w="540"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第1大</w:t>
            </w:r>
          </w:p>
        </w:tc>
        <w:tc>
          <w:tcPr>
            <w:tcW w:w="943"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2.50E-03</w:t>
            </w:r>
          </w:p>
        </w:tc>
        <w:tc>
          <w:tcPr>
            <w:tcW w:w="1370"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3.19E-03</w:t>
            </w:r>
          </w:p>
        </w:tc>
        <w:tc>
          <w:tcPr>
            <w:tcW w:w="713"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1.00E-02</w:t>
            </w:r>
          </w:p>
        </w:tc>
        <w:tc>
          <w:tcPr>
            <w:tcW w:w="1170"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31.91</w:t>
            </w:r>
          </w:p>
        </w:tc>
        <w:tc>
          <w:tcPr>
            <w:tcW w:w="536"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8" w:hRule="atLeast"/>
          <w:jc w:val="center"/>
        </w:trPr>
        <w:tc>
          <w:tcPr>
            <w:tcW w:w="274"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rPr>
              <w:t>13</w:t>
            </w:r>
          </w:p>
        </w:tc>
        <w:tc>
          <w:tcPr>
            <w:tcW w:w="70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东郭集村</w:t>
            </w:r>
          </w:p>
        </w:tc>
        <w:tc>
          <w:tcPr>
            <w:tcW w:w="539"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1小时</w:t>
            </w:r>
          </w:p>
        </w:tc>
        <w:tc>
          <w:tcPr>
            <w:tcW w:w="540"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第1大</w:t>
            </w:r>
          </w:p>
        </w:tc>
        <w:tc>
          <w:tcPr>
            <w:tcW w:w="943"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2.50E-03</w:t>
            </w:r>
          </w:p>
        </w:tc>
        <w:tc>
          <w:tcPr>
            <w:tcW w:w="1370"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3.15E-03</w:t>
            </w:r>
          </w:p>
        </w:tc>
        <w:tc>
          <w:tcPr>
            <w:tcW w:w="713"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1.00E-02</w:t>
            </w:r>
          </w:p>
        </w:tc>
        <w:tc>
          <w:tcPr>
            <w:tcW w:w="1170"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31.49</w:t>
            </w:r>
          </w:p>
        </w:tc>
        <w:tc>
          <w:tcPr>
            <w:tcW w:w="536"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42" w:hRule="atLeast"/>
          <w:jc w:val="center"/>
        </w:trPr>
        <w:tc>
          <w:tcPr>
            <w:tcW w:w="274"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rPr>
              <w:t>14</w:t>
            </w:r>
          </w:p>
        </w:tc>
        <w:tc>
          <w:tcPr>
            <w:tcW w:w="70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柳寨村</w:t>
            </w:r>
          </w:p>
        </w:tc>
        <w:tc>
          <w:tcPr>
            <w:tcW w:w="539"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1小时</w:t>
            </w:r>
          </w:p>
        </w:tc>
        <w:tc>
          <w:tcPr>
            <w:tcW w:w="540"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第1大</w:t>
            </w:r>
          </w:p>
        </w:tc>
        <w:tc>
          <w:tcPr>
            <w:tcW w:w="943"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2.50E-03</w:t>
            </w:r>
          </w:p>
        </w:tc>
        <w:tc>
          <w:tcPr>
            <w:tcW w:w="1370"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3.05E-03</w:t>
            </w:r>
          </w:p>
        </w:tc>
        <w:tc>
          <w:tcPr>
            <w:tcW w:w="713"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1.00E-02</w:t>
            </w:r>
          </w:p>
        </w:tc>
        <w:tc>
          <w:tcPr>
            <w:tcW w:w="1170"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30.54</w:t>
            </w:r>
          </w:p>
        </w:tc>
        <w:tc>
          <w:tcPr>
            <w:tcW w:w="536"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5" w:hRule="atLeast"/>
          <w:jc w:val="center"/>
        </w:trPr>
        <w:tc>
          <w:tcPr>
            <w:tcW w:w="274"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rPr>
              <w:t>15</w:t>
            </w:r>
          </w:p>
        </w:tc>
        <w:tc>
          <w:tcPr>
            <w:tcW w:w="70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安寨村</w:t>
            </w:r>
          </w:p>
        </w:tc>
        <w:tc>
          <w:tcPr>
            <w:tcW w:w="539"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1小时</w:t>
            </w:r>
          </w:p>
        </w:tc>
        <w:tc>
          <w:tcPr>
            <w:tcW w:w="540"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第1大</w:t>
            </w:r>
          </w:p>
        </w:tc>
        <w:tc>
          <w:tcPr>
            <w:tcW w:w="943"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2.50E-03</w:t>
            </w:r>
          </w:p>
        </w:tc>
        <w:tc>
          <w:tcPr>
            <w:tcW w:w="1370"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3.22E-03</w:t>
            </w:r>
          </w:p>
        </w:tc>
        <w:tc>
          <w:tcPr>
            <w:tcW w:w="713"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1.00E-02</w:t>
            </w:r>
          </w:p>
        </w:tc>
        <w:tc>
          <w:tcPr>
            <w:tcW w:w="1170"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32.18</w:t>
            </w:r>
          </w:p>
        </w:tc>
        <w:tc>
          <w:tcPr>
            <w:tcW w:w="536"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39" w:hRule="atLeast"/>
          <w:jc w:val="center"/>
        </w:trPr>
        <w:tc>
          <w:tcPr>
            <w:tcW w:w="274"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rPr>
              <w:t>16</w:t>
            </w:r>
          </w:p>
        </w:tc>
        <w:tc>
          <w:tcPr>
            <w:tcW w:w="70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东草庙村</w:t>
            </w:r>
          </w:p>
        </w:tc>
        <w:tc>
          <w:tcPr>
            <w:tcW w:w="539"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1小时</w:t>
            </w:r>
          </w:p>
        </w:tc>
        <w:tc>
          <w:tcPr>
            <w:tcW w:w="540"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第1大</w:t>
            </w:r>
          </w:p>
        </w:tc>
        <w:tc>
          <w:tcPr>
            <w:tcW w:w="943"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2.50E-03</w:t>
            </w:r>
          </w:p>
        </w:tc>
        <w:tc>
          <w:tcPr>
            <w:tcW w:w="1370"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3.07E-03</w:t>
            </w:r>
          </w:p>
        </w:tc>
        <w:tc>
          <w:tcPr>
            <w:tcW w:w="713"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1.00E-02</w:t>
            </w:r>
          </w:p>
        </w:tc>
        <w:tc>
          <w:tcPr>
            <w:tcW w:w="1170"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30.74</w:t>
            </w:r>
          </w:p>
        </w:tc>
        <w:tc>
          <w:tcPr>
            <w:tcW w:w="536"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87" w:hRule="atLeast"/>
          <w:jc w:val="center"/>
        </w:trPr>
        <w:tc>
          <w:tcPr>
            <w:tcW w:w="274"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rPr>
              <w:t>17</w:t>
            </w:r>
          </w:p>
        </w:tc>
        <w:tc>
          <w:tcPr>
            <w:tcW w:w="706"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color w:val="auto"/>
                <w:sz w:val="21"/>
                <w:szCs w:val="21"/>
              </w:rPr>
            </w:pPr>
            <w:r>
              <w:rPr>
                <w:rFonts w:hint="eastAsia"/>
                <w:color w:val="auto"/>
                <w:sz w:val="21"/>
                <w:szCs w:val="21"/>
              </w:rPr>
              <w:t>中草庙村</w:t>
            </w:r>
          </w:p>
        </w:tc>
        <w:tc>
          <w:tcPr>
            <w:tcW w:w="539"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1小时</w:t>
            </w:r>
          </w:p>
        </w:tc>
        <w:tc>
          <w:tcPr>
            <w:tcW w:w="540"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第1大</w:t>
            </w:r>
          </w:p>
        </w:tc>
        <w:tc>
          <w:tcPr>
            <w:tcW w:w="943"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2.50E-03</w:t>
            </w:r>
          </w:p>
        </w:tc>
        <w:tc>
          <w:tcPr>
            <w:tcW w:w="1370"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3.33E-03</w:t>
            </w:r>
          </w:p>
        </w:tc>
        <w:tc>
          <w:tcPr>
            <w:tcW w:w="713"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1.00E-02</w:t>
            </w:r>
          </w:p>
        </w:tc>
        <w:tc>
          <w:tcPr>
            <w:tcW w:w="1170" w:type="dxa"/>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33.31</w:t>
            </w:r>
          </w:p>
        </w:tc>
        <w:tc>
          <w:tcPr>
            <w:tcW w:w="536" w:type="pct"/>
            <w:tcBorders>
              <w:top w:val="single" w:color="auto" w:sz="4" w:space="0"/>
              <w:bottom w:val="single" w:color="auto" w:sz="4" w:space="0"/>
            </w:tcBorders>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达标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80" w:type="pct"/>
            <w:gridSpan w:val="2"/>
            <w:vAlign w:val="center"/>
          </w:tcPr>
          <w:p>
            <w:pPr>
              <w:spacing w:line="240" w:lineRule="auto"/>
              <w:ind w:firstLine="0" w:firstLineChars="0"/>
              <w:jc w:val="center"/>
              <w:rPr>
                <w:color w:val="auto"/>
                <w:sz w:val="21"/>
                <w:szCs w:val="21"/>
              </w:rPr>
            </w:pPr>
            <w:r>
              <w:rPr>
                <w:rFonts w:hint="eastAsia"/>
                <w:color w:val="auto"/>
                <w:sz w:val="21"/>
                <w:szCs w:val="21"/>
              </w:rPr>
              <w:t>网格点</w:t>
            </w:r>
          </w:p>
        </w:tc>
        <w:tc>
          <w:tcPr>
            <w:tcW w:w="539"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1小时</w:t>
            </w:r>
          </w:p>
        </w:tc>
        <w:tc>
          <w:tcPr>
            <w:tcW w:w="540"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第1大</w:t>
            </w:r>
          </w:p>
        </w:tc>
        <w:tc>
          <w:tcPr>
            <w:tcW w:w="943"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2.50E-03</w:t>
            </w:r>
          </w:p>
        </w:tc>
        <w:tc>
          <w:tcPr>
            <w:tcW w:w="1370"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3.75E-03</w:t>
            </w:r>
          </w:p>
        </w:tc>
        <w:tc>
          <w:tcPr>
            <w:tcW w:w="713"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1.00E-02</w:t>
            </w:r>
          </w:p>
        </w:tc>
        <w:tc>
          <w:tcPr>
            <w:tcW w:w="1170" w:type="dxa"/>
            <w:vAlign w:val="center"/>
          </w:tcPr>
          <w:p>
            <w:pPr>
              <w:kinsoku w:val="0"/>
              <w:overflowPunct w:val="0"/>
              <w:autoSpaceDE w:val="0"/>
              <w:autoSpaceDN w:val="0"/>
              <w:spacing w:line="240" w:lineRule="auto"/>
              <w:ind w:firstLine="0" w:firstLineChars="0"/>
              <w:jc w:val="center"/>
              <w:rPr>
                <w:color w:val="auto"/>
                <w:kern w:val="0"/>
                <w:sz w:val="21"/>
                <w:szCs w:val="21"/>
              </w:rPr>
            </w:pPr>
            <w:r>
              <w:rPr>
                <w:rFonts w:hint="eastAsia"/>
                <w:color w:val="auto"/>
                <w:kern w:val="0"/>
                <w:sz w:val="21"/>
                <w:szCs w:val="21"/>
                <w:lang w:val="en-US" w:eastAsia="zh-CN"/>
              </w:rPr>
              <w:t>37.52</w:t>
            </w:r>
          </w:p>
        </w:tc>
        <w:tc>
          <w:tcPr>
            <w:tcW w:w="536" w:type="pct"/>
            <w:vAlign w:val="center"/>
          </w:tcPr>
          <w:p>
            <w:pPr>
              <w:kinsoku w:val="0"/>
              <w:overflowPunct w:val="0"/>
              <w:autoSpaceDE w:val="0"/>
              <w:autoSpaceDN w:val="0"/>
              <w:spacing w:line="240" w:lineRule="auto"/>
              <w:ind w:firstLine="0" w:firstLineChars="0"/>
              <w:jc w:val="center"/>
              <w:rPr>
                <w:color w:val="auto"/>
                <w:kern w:val="0"/>
                <w:sz w:val="21"/>
                <w:szCs w:val="21"/>
              </w:rPr>
            </w:pPr>
            <w:r>
              <w:rPr>
                <w:color w:val="auto"/>
                <w:kern w:val="0"/>
                <w:sz w:val="21"/>
                <w:szCs w:val="21"/>
              </w:rPr>
              <w:t>达标</w:t>
            </w:r>
          </w:p>
        </w:tc>
      </w:tr>
    </w:tbl>
    <w:p>
      <w:pPr>
        <w:ind w:firstLine="0" w:firstLineChars="0"/>
        <w:rPr>
          <w:color w:val="auto"/>
        </w:rPr>
      </w:pPr>
      <w:r>
        <w:rPr>
          <w:color w:val="auto"/>
        </w:rPr>
        <w:drawing>
          <wp:inline distT="0" distB="0" distL="114300" distR="114300">
            <wp:extent cx="5539740" cy="3562350"/>
            <wp:effectExtent l="0" t="0" r="3810" b="0"/>
            <wp:docPr id="3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5"/>
                    <pic:cNvPicPr>
                      <a:picLocks noChangeAspect="1"/>
                    </pic:cNvPicPr>
                  </pic:nvPicPr>
                  <pic:blipFill>
                    <a:blip r:embed="rId62"/>
                    <a:stretch>
                      <a:fillRect/>
                    </a:stretch>
                  </pic:blipFill>
                  <pic:spPr>
                    <a:xfrm>
                      <a:off x="0" y="0"/>
                      <a:ext cx="5539740" cy="3562350"/>
                    </a:xfrm>
                    <a:prstGeom prst="rect">
                      <a:avLst/>
                    </a:prstGeom>
                    <a:noFill/>
                    <a:ln>
                      <a:noFill/>
                    </a:ln>
                  </pic:spPr>
                </pic:pic>
              </a:graphicData>
            </a:graphic>
          </wp:inline>
        </w:drawing>
      </w:r>
    </w:p>
    <w:p>
      <w:pPr>
        <w:ind w:firstLine="480"/>
        <w:rPr>
          <w:color w:val="auto"/>
        </w:rPr>
      </w:pPr>
      <w:r>
        <w:rPr>
          <w:color w:val="auto"/>
        </w:rPr>
        <w:t>从上表可以看出，叠加现状值后，各污染物小时、保证率日均和年均值在各敏感点及网格点浓度最大预测值均满足《环境空气质量标准》（GB3095-2012）中二级标准要求和《环境影响评价技术导则大气环境》（HJ2.2-2018）附录D其他污染物空气质量浓度参考限值的要求。</w:t>
      </w:r>
    </w:p>
    <w:p>
      <w:pPr>
        <w:ind w:firstLine="480"/>
        <w:rPr>
          <w:color w:val="auto"/>
        </w:rPr>
      </w:pPr>
      <w:r>
        <w:rPr>
          <w:color w:val="auto"/>
        </w:rPr>
        <w:t>（3）区域环境质量变化预测</w:t>
      </w:r>
    </w:p>
    <w:p>
      <w:pPr>
        <w:ind w:firstLine="480"/>
        <w:rPr>
          <w:color w:val="auto"/>
        </w:rPr>
      </w:pPr>
      <w:r>
        <w:rPr>
          <w:color w:val="auto"/>
        </w:rPr>
        <w:t>根据濮阳市</w:t>
      </w:r>
      <w:r>
        <w:rPr>
          <w:rFonts w:hint="eastAsia"/>
          <w:color w:val="auto"/>
        </w:rPr>
        <w:t>生态环境局</w:t>
      </w:r>
      <w:r>
        <w:rPr>
          <w:color w:val="auto"/>
        </w:rPr>
        <w:t>发布的市环保局环境质量现状数据可知，本项目所在区域属于环境空气质量不达标区，其中PM</w:t>
      </w:r>
      <w:r>
        <w:rPr>
          <w:color w:val="auto"/>
          <w:vertAlign w:val="subscript"/>
        </w:rPr>
        <w:t>10</w:t>
      </w:r>
      <w:r>
        <w:rPr>
          <w:color w:val="auto"/>
        </w:rPr>
        <w:t>的年平均质量浓度为1</w:t>
      </w:r>
      <w:r>
        <w:rPr>
          <w:rFonts w:hint="eastAsia"/>
          <w:color w:val="auto"/>
        </w:rPr>
        <w:t>00</w:t>
      </w:r>
      <w:r>
        <w:rPr>
          <w:color w:val="auto"/>
        </w:rPr>
        <w:t>μg/m</w:t>
      </w:r>
      <w:r>
        <w:rPr>
          <w:color w:val="auto"/>
          <w:vertAlign w:val="superscript"/>
        </w:rPr>
        <w:t>3</w:t>
      </w:r>
      <w:r>
        <w:rPr>
          <w:color w:val="auto"/>
        </w:rPr>
        <w:t>，2020年濮阳市PM</w:t>
      </w:r>
      <w:r>
        <w:rPr>
          <w:color w:val="auto"/>
          <w:vertAlign w:val="subscript"/>
        </w:rPr>
        <w:t>10</w:t>
      </w:r>
      <w:r>
        <w:rPr>
          <w:color w:val="auto"/>
        </w:rPr>
        <w:t>的规划的目标浓度为98μg/m</w:t>
      </w:r>
      <w:r>
        <w:rPr>
          <w:color w:val="auto"/>
          <w:vertAlign w:val="superscript"/>
        </w:rPr>
        <w:t>3</w:t>
      </w:r>
      <w:r>
        <w:rPr>
          <w:color w:val="auto"/>
        </w:rPr>
        <w:t>。本次评价选取2020年濮阳市PM</w:t>
      </w:r>
      <w:r>
        <w:rPr>
          <w:color w:val="auto"/>
          <w:vertAlign w:val="subscript"/>
        </w:rPr>
        <w:t>10</w:t>
      </w:r>
      <w:r>
        <w:rPr>
          <w:color w:val="auto"/>
        </w:rPr>
        <w:t>的规划的目标浓度作为本项目的达标浓度，因此区域削减量为</w:t>
      </w:r>
      <w:r>
        <w:rPr>
          <w:rFonts w:hint="eastAsia"/>
          <w:color w:val="auto"/>
        </w:rPr>
        <w:t>2</w:t>
      </w:r>
      <w:r>
        <w:rPr>
          <w:color w:val="auto"/>
        </w:rPr>
        <w:t>μg/m</w:t>
      </w:r>
      <w:r>
        <w:rPr>
          <w:color w:val="auto"/>
          <w:vertAlign w:val="superscript"/>
        </w:rPr>
        <w:t>3</w:t>
      </w:r>
      <w:r>
        <w:rPr>
          <w:color w:val="auto"/>
        </w:rPr>
        <w:t>。根据预测结果可知，本项目对所有网格点的年平均质量浓度贡献值的算数平均值为0.00</w:t>
      </w:r>
      <w:r>
        <w:rPr>
          <w:rFonts w:hint="eastAsia"/>
          <w:color w:val="auto"/>
        </w:rPr>
        <w:t>053</w:t>
      </w:r>
      <w:r>
        <w:rPr>
          <w:color w:val="auto"/>
        </w:rPr>
        <w:t>μg/m</w:t>
      </w:r>
      <w:r>
        <w:rPr>
          <w:color w:val="auto"/>
          <w:vertAlign w:val="superscript"/>
        </w:rPr>
        <w:t>3</w:t>
      </w:r>
      <w:r>
        <w:rPr>
          <w:color w:val="auto"/>
        </w:rPr>
        <w:t>。</w:t>
      </w:r>
    </w:p>
    <w:p>
      <w:pPr>
        <w:spacing w:before="1" w:after="120" w:line="364" w:lineRule="auto"/>
        <w:ind w:right="1471" w:firstLine="480"/>
        <w:rPr>
          <w:color w:val="auto"/>
        </w:rPr>
      </w:pPr>
      <w:r>
        <w:rPr>
          <w:color w:val="auto"/>
        </w:rPr>
        <w:t>根据《环境影响评价技术导则 大气环境》（HJ2.2-2018）中要求，区域环境质量变化情况采用下式计算：</w:t>
      </w:r>
    </w:p>
    <w:p>
      <w:pPr>
        <w:spacing w:before="166" w:after="120"/>
        <w:ind w:firstLine="0" w:firstLineChars="0"/>
        <w:rPr>
          <w:color w:val="auto"/>
        </w:rPr>
      </w:pPr>
      <w:r>
        <w:rPr>
          <w:color w:val="auto"/>
        </w:rPr>
        <w:drawing>
          <wp:inline distT="0" distB="0" distL="114300" distR="114300">
            <wp:extent cx="5540375" cy="1860550"/>
            <wp:effectExtent l="0" t="0" r="3175" b="6350"/>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pic:cNvPicPr>
                  </pic:nvPicPr>
                  <pic:blipFill>
                    <a:blip r:embed="rId63"/>
                    <a:stretch>
                      <a:fillRect/>
                    </a:stretch>
                  </pic:blipFill>
                  <pic:spPr>
                    <a:xfrm>
                      <a:off x="0" y="0"/>
                      <a:ext cx="5540375" cy="1860550"/>
                    </a:xfrm>
                    <a:prstGeom prst="rect">
                      <a:avLst/>
                    </a:prstGeom>
                    <a:noFill/>
                    <a:ln>
                      <a:noFill/>
                    </a:ln>
                  </pic:spPr>
                </pic:pic>
              </a:graphicData>
            </a:graphic>
          </wp:inline>
        </w:drawing>
      </w:r>
    </w:p>
    <w:p>
      <w:pPr>
        <w:ind w:firstLine="480"/>
        <w:rPr>
          <w:color w:val="auto"/>
        </w:rPr>
      </w:pPr>
      <w:r>
        <w:rPr>
          <w:color w:val="auto"/>
        </w:rPr>
        <w:t>经计算可知，本项目k值为-99.9</w:t>
      </w:r>
      <w:r>
        <w:rPr>
          <w:rFonts w:hint="eastAsia"/>
          <w:color w:val="auto"/>
        </w:rPr>
        <w:t>9</w:t>
      </w:r>
      <w:r>
        <w:rPr>
          <w:color w:val="auto"/>
        </w:rPr>
        <w:t>%，即满足k≤-20%的要求，可判定项目建成后区域环境质量得到整体改善。</w:t>
      </w:r>
    </w:p>
    <w:p>
      <w:pPr>
        <w:ind w:firstLine="480"/>
        <w:rPr>
          <w:color w:val="auto"/>
        </w:rPr>
      </w:pPr>
      <w:r>
        <w:rPr>
          <w:color w:val="auto"/>
        </w:rPr>
        <w:t>（</w:t>
      </w:r>
      <w:r>
        <w:rPr>
          <w:rFonts w:hint="eastAsia"/>
          <w:color w:val="auto"/>
        </w:rPr>
        <w:t>4</w:t>
      </w:r>
      <w:r>
        <w:rPr>
          <w:color w:val="auto"/>
        </w:rPr>
        <w:t>）特征污染物厂界浓度达标情况分析</w:t>
      </w:r>
    </w:p>
    <w:p>
      <w:pPr>
        <w:ind w:firstLine="480"/>
        <w:rPr>
          <w:color w:val="auto"/>
        </w:rPr>
      </w:pPr>
      <w:r>
        <w:rPr>
          <w:color w:val="auto"/>
        </w:rPr>
        <w:t>厂界浓度最大贡献值见表5.2-32。</w:t>
      </w:r>
    </w:p>
    <w:p>
      <w:pPr>
        <w:spacing w:before="156" w:beforeLines="50" w:after="156" w:afterLines="50" w:line="240" w:lineRule="auto"/>
        <w:ind w:left="480" w:leftChars="200" w:firstLine="0" w:firstLineChars="0"/>
        <w:jc w:val="left"/>
        <w:rPr>
          <w:b/>
          <w:bCs/>
          <w:color w:val="auto"/>
          <w:szCs w:val="21"/>
        </w:rPr>
      </w:pPr>
      <w:r>
        <w:rPr>
          <w:b/>
          <w:bCs/>
          <w:color w:val="auto"/>
          <w:szCs w:val="21"/>
        </w:rPr>
        <w:t>表5.2-32       厂界浓度最大贡献值一览表        单位：mg/m</w:t>
      </w:r>
      <w:r>
        <w:rPr>
          <w:b/>
          <w:bCs/>
          <w:color w:val="auto"/>
          <w:szCs w:val="21"/>
          <w:vertAlign w:val="superscript"/>
        </w:rPr>
        <w:t>3</w:t>
      </w:r>
    </w:p>
    <w:tbl>
      <w:tblPr>
        <w:tblStyle w:val="27"/>
        <w:tblW w:w="4999"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2511"/>
        <w:gridCol w:w="3113"/>
        <w:gridCol w:w="3104"/>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438" w:type="pct"/>
            <w:vAlign w:val="center"/>
          </w:tcPr>
          <w:p>
            <w:pPr>
              <w:kinsoku w:val="0"/>
              <w:overflowPunct w:val="0"/>
              <w:autoSpaceDE w:val="0"/>
              <w:autoSpaceDN w:val="0"/>
              <w:spacing w:line="240" w:lineRule="auto"/>
              <w:ind w:firstLine="420"/>
              <w:jc w:val="center"/>
              <w:rPr>
                <w:color w:val="auto"/>
                <w:kern w:val="0"/>
                <w:sz w:val="21"/>
                <w:szCs w:val="21"/>
              </w:rPr>
            </w:pPr>
            <w:r>
              <w:rPr>
                <w:color w:val="auto"/>
                <w:kern w:val="0"/>
                <w:sz w:val="21"/>
                <w:szCs w:val="21"/>
              </w:rPr>
              <w:t>污染物</w:t>
            </w:r>
          </w:p>
        </w:tc>
        <w:tc>
          <w:tcPr>
            <w:tcW w:w="1783" w:type="pct"/>
            <w:vAlign w:val="center"/>
          </w:tcPr>
          <w:p>
            <w:pPr>
              <w:kinsoku w:val="0"/>
              <w:overflowPunct w:val="0"/>
              <w:autoSpaceDE w:val="0"/>
              <w:autoSpaceDN w:val="0"/>
              <w:spacing w:line="240" w:lineRule="auto"/>
              <w:ind w:firstLine="420"/>
              <w:jc w:val="center"/>
              <w:rPr>
                <w:color w:val="auto"/>
                <w:kern w:val="0"/>
                <w:sz w:val="21"/>
                <w:szCs w:val="21"/>
              </w:rPr>
            </w:pPr>
            <w:r>
              <w:rPr>
                <w:color w:val="auto"/>
                <w:kern w:val="0"/>
                <w:sz w:val="21"/>
                <w:szCs w:val="21"/>
              </w:rPr>
              <w:t>NH</w:t>
            </w:r>
            <w:r>
              <w:rPr>
                <w:color w:val="auto"/>
                <w:kern w:val="0"/>
                <w:sz w:val="21"/>
                <w:szCs w:val="21"/>
                <w:vertAlign w:val="subscript"/>
              </w:rPr>
              <w:t>3</w:t>
            </w:r>
          </w:p>
        </w:tc>
        <w:tc>
          <w:tcPr>
            <w:tcW w:w="1778" w:type="pct"/>
            <w:vAlign w:val="center"/>
          </w:tcPr>
          <w:p>
            <w:pPr>
              <w:kinsoku w:val="0"/>
              <w:overflowPunct w:val="0"/>
              <w:autoSpaceDE w:val="0"/>
              <w:autoSpaceDN w:val="0"/>
              <w:spacing w:line="240" w:lineRule="auto"/>
              <w:ind w:firstLine="420"/>
              <w:jc w:val="center"/>
              <w:rPr>
                <w:color w:val="auto"/>
                <w:kern w:val="0"/>
                <w:sz w:val="21"/>
                <w:szCs w:val="21"/>
              </w:rPr>
            </w:pPr>
            <w:r>
              <w:rPr>
                <w:color w:val="auto"/>
                <w:kern w:val="0"/>
                <w:sz w:val="21"/>
                <w:szCs w:val="21"/>
              </w:rPr>
              <w:t>H</w:t>
            </w:r>
            <w:r>
              <w:rPr>
                <w:color w:val="auto"/>
                <w:kern w:val="0"/>
                <w:sz w:val="21"/>
                <w:szCs w:val="21"/>
                <w:vertAlign w:val="subscript"/>
              </w:rPr>
              <w:t>2</w:t>
            </w:r>
            <w:r>
              <w:rPr>
                <w:color w:val="auto"/>
                <w:kern w:val="0"/>
                <w:sz w:val="21"/>
                <w:szCs w:val="21"/>
              </w:rPr>
              <w:t>S</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438" w:type="pct"/>
            <w:vAlign w:val="center"/>
          </w:tcPr>
          <w:p>
            <w:pPr>
              <w:kinsoku w:val="0"/>
              <w:overflowPunct w:val="0"/>
              <w:autoSpaceDE w:val="0"/>
              <w:autoSpaceDN w:val="0"/>
              <w:spacing w:line="240" w:lineRule="auto"/>
              <w:ind w:firstLine="420"/>
              <w:jc w:val="center"/>
              <w:rPr>
                <w:color w:val="auto"/>
                <w:kern w:val="0"/>
                <w:sz w:val="21"/>
                <w:szCs w:val="21"/>
              </w:rPr>
            </w:pPr>
            <w:r>
              <w:rPr>
                <w:color w:val="auto"/>
                <w:kern w:val="0"/>
                <w:sz w:val="21"/>
                <w:szCs w:val="21"/>
              </w:rPr>
              <w:t>最大值</w:t>
            </w:r>
          </w:p>
        </w:tc>
        <w:tc>
          <w:tcPr>
            <w:tcW w:w="1783" w:type="pct"/>
            <w:vAlign w:val="center"/>
          </w:tcPr>
          <w:p>
            <w:pPr>
              <w:spacing w:line="240" w:lineRule="auto"/>
              <w:ind w:firstLine="420"/>
              <w:jc w:val="center"/>
              <w:rPr>
                <w:color w:val="auto"/>
                <w:kern w:val="0"/>
                <w:sz w:val="21"/>
                <w:szCs w:val="21"/>
              </w:rPr>
            </w:pPr>
            <w:r>
              <w:rPr>
                <w:rFonts w:hint="eastAsia"/>
                <w:color w:val="auto"/>
                <w:kern w:val="0"/>
                <w:sz w:val="21"/>
                <w:szCs w:val="21"/>
              </w:rPr>
              <w:t>1.03E-02</w:t>
            </w:r>
          </w:p>
        </w:tc>
        <w:tc>
          <w:tcPr>
            <w:tcW w:w="1778" w:type="pct"/>
            <w:vAlign w:val="center"/>
          </w:tcPr>
          <w:p>
            <w:pPr>
              <w:spacing w:line="240" w:lineRule="auto"/>
              <w:ind w:firstLine="420"/>
              <w:jc w:val="center"/>
              <w:rPr>
                <w:color w:val="auto"/>
                <w:kern w:val="0"/>
                <w:sz w:val="21"/>
                <w:szCs w:val="21"/>
              </w:rPr>
            </w:pPr>
            <w:r>
              <w:rPr>
                <w:rFonts w:hint="eastAsia"/>
                <w:color w:val="auto"/>
                <w:kern w:val="0"/>
                <w:sz w:val="21"/>
                <w:szCs w:val="21"/>
              </w:rPr>
              <w:t>5.16E-04</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438" w:type="pct"/>
            <w:vAlign w:val="center"/>
          </w:tcPr>
          <w:p>
            <w:pPr>
              <w:kinsoku w:val="0"/>
              <w:overflowPunct w:val="0"/>
              <w:autoSpaceDE w:val="0"/>
              <w:autoSpaceDN w:val="0"/>
              <w:spacing w:line="240" w:lineRule="auto"/>
              <w:ind w:firstLine="420"/>
              <w:jc w:val="center"/>
              <w:rPr>
                <w:color w:val="auto"/>
                <w:kern w:val="0"/>
                <w:sz w:val="21"/>
                <w:szCs w:val="21"/>
              </w:rPr>
            </w:pPr>
            <w:r>
              <w:rPr>
                <w:color w:val="auto"/>
                <w:kern w:val="0"/>
                <w:sz w:val="21"/>
                <w:szCs w:val="21"/>
              </w:rPr>
              <w:t>厂界标准</w:t>
            </w:r>
          </w:p>
        </w:tc>
        <w:tc>
          <w:tcPr>
            <w:tcW w:w="1783" w:type="pct"/>
            <w:vAlign w:val="center"/>
          </w:tcPr>
          <w:p>
            <w:pPr>
              <w:spacing w:line="240" w:lineRule="auto"/>
              <w:ind w:firstLine="420"/>
              <w:jc w:val="center"/>
              <w:rPr>
                <w:color w:val="auto"/>
                <w:kern w:val="0"/>
                <w:sz w:val="21"/>
                <w:szCs w:val="21"/>
              </w:rPr>
            </w:pPr>
            <w:r>
              <w:rPr>
                <w:color w:val="auto"/>
                <w:kern w:val="0"/>
                <w:sz w:val="21"/>
                <w:szCs w:val="21"/>
              </w:rPr>
              <w:t>1.5</w:t>
            </w:r>
          </w:p>
        </w:tc>
        <w:tc>
          <w:tcPr>
            <w:tcW w:w="1778" w:type="pct"/>
            <w:vAlign w:val="center"/>
          </w:tcPr>
          <w:p>
            <w:pPr>
              <w:spacing w:line="240" w:lineRule="auto"/>
              <w:ind w:firstLine="420"/>
              <w:jc w:val="center"/>
              <w:rPr>
                <w:color w:val="auto"/>
                <w:kern w:val="0"/>
                <w:sz w:val="21"/>
                <w:szCs w:val="21"/>
              </w:rPr>
            </w:pPr>
            <w:r>
              <w:rPr>
                <w:color w:val="auto"/>
                <w:kern w:val="0"/>
                <w:sz w:val="21"/>
                <w:szCs w:val="21"/>
              </w:rPr>
              <w:t>0.06</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438" w:type="pct"/>
            <w:vAlign w:val="center"/>
          </w:tcPr>
          <w:p>
            <w:pPr>
              <w:kinsoku w:val="0"/>
              <w:overflowPunct w:val="0"/>
              <w:autoSpaceDE w:val="0"/>
              <w:autoSpaceDN w:val="0"/>
              <w:spacing w:line="240" w:lineRule="auto"/>
              <w:ind w:firstLine="420"/>
              <w:jc w:val="center"/>
              <w:rPr>
                <w:color w:val="auto"/>
                <w:kern w:val="0"/>
                <w:sz w:val="21"/>
                <w:szCs w:val="21"/>
              </w:rPr>
            </w:pPr>
            <w:r>
              <w:rPr>
                <w:color w:val="auto"/>
                <w:kern w:val="0"/>
                <w:sz w:val="21"/>
                <w:szCs w:val="21"/>
              </w:rPr>
              <w:t>达标分析</w:t>
            </w:r>
          </w:p>
        </w:tc>
        <w:tc>
          <w:tcPr>
            <w:tcW w:w="1783" w:type="pct"/>
            <w:vAlign w:val="center"/>
          </w:tcPr>
          <w:p>
            <w:pPr>
              <w:kinsoku w:val="0"/>
              <w:overflowPunct w:val="0"/>
              <w:autoSpaceDE w:val="0"/>
              <w:autoSpaceDN w:val="0"/>
              <w:spacing w:line="240" w:lineRule="auto"/>
              <w:ind w:firstLine="420"/>
              <w:jc w:val="center"/>
              <w:rPr>
                <w:color w:val="auto"/>
                <w:kern w:val="0"/>
                <w:sz w:val="21"/>
                <w:szCs w:val="21"/>
              </w:rPr>
            </w:pPr>
            <w:r>
              <w:rPr>
                <w:color w:val="auto"/>
                <w:kern w:val="0"/>
                <w:sz w:val="21"/>
                <w:szCs w:val="21"/>
              </w:rPr>
              <w:t>达标</w:t>
            </w:r>
          </w:p>
        </w:tc>
        <w:tc>
          <w:tcPr>
            <w:tcW w:w="1778" w:type="pct"/>
            <w:vAlign w:val="center"/>
          </w:tcPr>
          <w:p>
            <w:pPr>
              <w:kinsoku w:val="0"/>
              <w:overflowPunct w:val="0"/>
              <w:autoSpaceDE w:val="0"/>
              <w:autoSpaceDN w:val="0"/>
              <w:spacing w:line="240" w:lineRule="auto"/>
              <w:ind w:firstLine="420"/>
              <w:jc w:val="center"/>
              <w:rPr>
                <w:color w:val="auto"/>
                <w:kern w:val="0"/>
                <w:sz w:val="21"/>
                <w:szCs w:val="21"/>
              </w:rPr>
            </w:pPr>
            <w:r>
              <w:rPr>
                <w:color w:val="auto"/>
                <w:kern w:val="0"/>
                <w:sz w:val="21"/>
                <w:szCs w:val="21"/>
              </w:rPr>
              <w:t>达标</w:t>
            </w:r>
          </w:p>
        </w:tc>
      </w:tr>
    </w:tbl>
    <w:p>
      <w:pPr>
        <w:adjustRightInd/>
        <w:snapToGrid/>
        <w:spacing w:line="520" w:lineRule="exact"/>
        <w:ind w:firstLine="480"/>
        <w:rPr>
          <w:color w:val="auto"/>
        </w:rPr>
      </w:pPr>
      <w:r>
        <w:rPr>
          <w:color w:val="auto"/>
        </w:rPr>
        <w:t>由上表可知：NH</w:t>
      </w:r>
      <w:r>
        <w:rPr>
          <w:color w:val="auto"/>
          <w:vertAlign w:val="subscript"/>
        </w:rPr>
        <w:t>3</w:t>
      </w:r>
      <w:r>
        <w:rPr>
          <w:color w:val="auto"/>
        </w:rPr>
        <w:t>、H</w:t>
      </w:r>
      <w:r>
        <w:rPr>
          <w:color w:val="auto"/>
          <w:vertAlign w:val="subscript"/>
        </w:rPr>
        <w:t>2</w:t>
      </w:r>
      <w:r>
        <w:rPr>
          <w:color w:val="auto"/>
        </w:rPr>
        <w:t>S小于《恶臭污染物排放标准》（GB14554-1993）二级新改扩建厂界浓度限值的规定，厂界浓度达标。</w:t>
      </w:r>
    </w:p>
    <w:bookmarkEnd w:id="528"/>
    <w:p>
      <w:pPr>
        <w:adjustRightInd/>
        <w:snapToGrid/>
        <w:spacing w:line="520" w:lineRule="exact"/>
        <w:ind w:firstLine="480"/>
        <w:rPr>
          <w:color w:val="auto"/>
        </w:rPr>
      </w:pPr>
      <w:bookmarkStart w:id="535" w:name="_Toc354421685"/>
      <w:bookmarkStart w:id="536" w:name="_Toc477187434"/>
      <w:bookmarkStart w:id="537" w:name="_Toc477357249"/>
      <w:bookmarkStart w:id="538" w:name="_Toc476923286"/>
      <w:bookmarkStart w:id="539" w:name="_Toc476921968"/>
      <w:bookmarkStart w:id="540" w:name="_Toc366760262"/>
      <w:r>
        <w:rPr>
          <w:rFonts w:hint="eastAsia"/>
          <w:color w:val="auto"/>
        </w:rPr>
        <w:t>（5）物料运输环节环境影响分析</w:t>
      </w:r>
    </w:p>
    <w:p>
      <w:pPr>
        <w:adjustRightInd/>
        <w:snapToGrid/>
        <w:spacing w:line="520" w:lineRule="exact"/>
        <w:ind w:firstLine="480"/>
        <w:rPr>
          <w:color w:val="auto"/>
        </w:rPr>
      </w:pPr>
      <w:r>
        <w:rPr>
          <w:color w:val="auto"/>
        </w:rPr>
        <w:t>本项目主要原料为</w:t>
      </w:r>
      <w:r>
        <w:rPr>
          <w:rFonts w:hint="eastAsia"/>
          <w:color w:val="auto"/>
        </w:rPr>
        <w:t>猪饲料，主要来自牧原食品股份有限公司清丰五场配套饲料项目，位于清丰县阳邵镇陈庄村。</w:t>
      </w:r>
      <w:r>
        <w:rPr>
          <w:color w:val="auto"/>
        </w:rPr>
        <w:t>项目原料消耗量约为</w:t>
      </w:r>
      <w:r>
        <w:rPr>
          <w:rFonts w:hint="eastAsia"/>
          <w:color w:val="auto"/>
        </w:rPr>
        <w:t>10950</w:t>
      </w:r>
      <w:r>
        <w:rPr>
          <w:color w:val="auto"/>
        </w:rPr>
        <w:t>t/a，按载重</w:t>
      </w:r>
      <w:r>
        <w:rPr>
          <w:rFonts w:hint="eastAsia"/>
          <w:color w:val="auto"/>
        </w:rPr>
        <w:t>30</w:t>
      </w:r>
      <w:r>
        <w:rPr>
          <w:color w:val="auto"/>
        </w:rPr>
        <w:t>t/车来算，每天运输</w:t>
      </w:r>
      <w:r>
        <w:rPr>
          <w:rFonts w:hint="eastAsia"/>
          <w:color w:val="auto"/>
        </w:rPr>
        <w:t>2.5</w:t>
      </w:r>
      <w:r>
        <w:rPr>
          <w:color w:val="auto"/>
        </w:rPr>
        <w:t>h，运输车辆流量为</w:t>
      </w:r>
      <w:r>
        <w:rPr>
          <w:rFonts w:hint="eastAsia"/>
          <w:color w:val="auto"/>
        </w:rPr>
        <w:t>2</w:t>
      </w:r>
      <w:r>
        <w:rPr>
          <w:color w:val="auto"/>
        </w:rPr>
        <w:t>辆/h，对交通运输情况影响不大。</w:t>
      </w:r>
    </w:p>
    <w:p>
      <w:pPr>
        <w:adjustRightInd/>
        <w:snapToGrid/>
        <w:spacing w:line="520" w:lineRule="exact"/>
        <w:ind w:firstLine="480"/>
        <w:rPr>
          <w:color w:val="auto"/>
        </w:rPr>
      </w:pPr>
      <w:r>
        <w:rPr>
          <w:color w:val="auto"/>
        </w:rPr>
        <w:t>但因运输过程路线途径村庄较多，为避免运输过程中对周边敏感点造成环境影响，建议运输路线经</w:t>
      </w:r>
      <w:r>
        <w:rPr>
          <w:rFonts w:hint="eastAsia"/>
          <w:color w:val="auto"/>
        </w:rPr>
        <w:t>S302转至S212</w:t>
      </w:r>
      <w:r>
        <w:rPr>
          <w:color w:val="auto"/>
        </w:rPr>
        <w:t>直接运至</w:t>
      </w:r>
      <w:r>
        <w:rPr>
          <w:rFonts w:hint="eastAsia"/>
          <w:color w:val="auto"/>
        </w:rPr>
        <w:t>厂区</w:t>
      </w:r>
      <w:r>
        <w:rPr>
          <w:color w:val="auto"/>
        </w:rPr>
        <w:t>。</w:t>
      </w:r>
    </w:p>
    <w:p>
      <w:pPr>
        <w:adjustRightInd/>
        <w:snapToGrid/>
        <w:spacing w:line="520" w:lineRule="exact"/>
        <w:ind w:firstLine="480"/>
        <w:rPr>
          <w:color w:val="auto"/>
        </w:rPr>
      </w:pPr>
      <w:r>
        <w:rPr>
          <w:rFonts w:hint="eastAsia"/>
          <w:color w:val="auto"/>
        </w:rPr>
        <w:t>本项目物料运输</w:t>
      </w:r>
      <w:r>
        <w:rPr>
          <w:color w:val="auto"/>
        </w:rPr>
        <w:t>主要为</w:t>
      </w:r>
      <w:r>
        <w:rPr>
          <w:rFonts w:hint="eastAsia"/>
          <w:color w:val="auto"/>
        </w:rPr>
        <w:t>省道</w:t>
      </w:r>
      <w:r>
        <w:rPr>
          <w:color w:val="auto"/>
        </w:rPr>
        <w:t>运输，</w:t>
      </w:r>
      <w:r>
        <w:rPr>
          <w:rFonts w:hint="eastAsia"/>
          <w:color w:val="auto"/>
        </w:rPr>
        <w:t>道路路面大多为沥青混凝土，较为平坦，且针对高速公路两侧较近敏感点均已采取相应隔声和绿化措施，运输路线涉及乡镇道路较少，对所经线路的交通量增加很小，不会对周边敏感点产生显著影响</w:t>
      </w:r>
      <w:r>
        <w:rPr>
          <w:color w:val="auto"/>
        </w:rPr>
        <w:t>。</w:t>
      </w:r>
    </w:p>
    <w:p>
      <w:pPr>
        <w:adjustRightInd/>
        <w:snapToGrid/>
        <w:spacing w:line="520" w:lineRule="exact"/>
        <w:ind w:firstLine="480"/>
        <w:rPr>
          <w:color w:val="auto"/>
        </w:rPr>
      </w:pPr>
      <w:r>
        <w:rPr>
          <w:rFonts w:hint="eastAsia"/>
          <w:color w:val="auto"/>
        </w:rPr>
        <w:t>运输过程产生的汽车尾气，</w:t>
      </w:r>
      <w:r>
        <w:rPr>
          <w:color w:val="auto"/>
          <w:szCs w:val="20"/>
        </w:rPr>
        <w:t>排放的主要污染物为CO、HC、NO</w:t>
      </w:r>
      <w:r>
        <w:rPr>
          <w:color w:val="auto"/>
          <w:szCs w:val="20"/>
          <w:vertAlign w:val="subscript"/>
        </w:rPr>
        <w:t>2</w:t>
      </w:r>
      <w:r>
        <w:rPr>
          <w:color w:val="auto"/>
          <w:szCs w:val="20"/>
        </w:rPr>
        <w:t>等</w:t>
      </w:r>
      <w:r>
        <w:rPr>
          <w:rFonts w:hint="eastAsia"/>
          <w:color w:val="auto"/>
          <w:szCs w:val="20"/>
        </w:rPr>
        <w:t>，由于高速公路周围是农村地带，</w:t>
      </w:r>
      <w:r>
        <w:rPr>
          <w:color w:val="auto"/>
        </w:rPr>
        <w:t>经扩散后各污染物浓度较小，</w:t>
      </w:r>
      <w:r>
        <w:rPr>
          <w:rFonts w:hint="eastAsia"/>
          <w:color w:val="auto"/>
        </w:rPr>
        <w:t>经过</w:t>
      </w:r>
      <w:r>
        <w:rPr>
          <w:color w:val="auto"/>
        </w:rPr>
        <w:t>污染物的稀释、扩散和沉降等大气自净过程，</w:t>
      </w:r>
      <w:r>
        <w:rPr>
          <w:rFonts w:hint="eastAsia"/>
          <w:color w:val="auto"/>
        </w:rPr>
        <w:t>本项目物料运输</w:t>
      </w:r>
      <w:r>
        <w:rPr>
          <w:color w:val="auto"/>
        </w:rPr>
        <w:t>汽车尾气</w:t>
      </w:r>
      <w:r>
        <w:rPr>
          <w:rFonts w:hint="eastAsia"/>
          <w:color w:val="auto"/>
        </w:rPr>
        <w:t>不会</w:t>
      </w:r>
      <w:r>
        <w:rPr>
          <w:color w:val="auto"/>
        </w:rPr>
        <w:t>对</w:t>
      </w:r>
      <w:r>
        <w:rPr>
          <w:rFonts w:hint="eastAsia"/>
          <w:color w:val="auto"/>
        </w:rPr>
        <w:t>大气</w:t>
      </w:r>
      <w:r>
        <w:rPr>
          <w:color w:val="auto"/>
        </w:rPr>
        <w:t>环境影响</w:t>
      </w:r>
      <w:r>
        <w:rPr>
          <w:rFonts w:hint="eastAsia"/>
          <w:color w:val="auto"/>
        </w:rPr>
        <w:t>产生显著影响。</w:t>
      </w:r>
    </w:p>
    <w:p>
      <w:pPr>
        <w:adjustRightInd/>
        <w:snapToGrid/>
        <w:spacing w:line="520" w:lineRule="exact"/>
        <w:ind w:firstLine="480"/>
        <w:rPr>
          <w:color w:val="auto"/>
        </w:rPr>
      </w:pPr>
      <w:r>
        <w:rPr>
          <w:rFonts w:hint="eastAsia"/>
          <w:color w:val="auto"/>
        </w:rPr>
        <w:t>为防止运输过程中的污染问题，将主要采取以下措施：（1）严禁汽车超载，运输车辆采用密闭厢式车或采用密实的毡布覆盖、绳索固定，防止沿路抛洒，以免引起二次扬尘；（2）上路行驶的运货车辆为尾气排放符合环保要求的车辆，保持良好车况，按交通规定的速度行驶。在满足相关要求的情况下，原料尽可能安排在白天进行运输。</w:t>
      </w:r>
    </w:p>
    <w:p>
      <w:pPr>
        <w:ind w:firstLine="480"/>
        <w:rPr>
          <w:color w:val="auto"/>
        </w:rPr>
      </w:pPr>
      <w:r>
        <w:rPr>
          <w:rFonts w:hint="eastAsia"/>
          <w:color w:val="auto"/>
        </w:rPr>
        <w:t>（6）</w:t>
      </w:r>
      <w:r>
        <w:rPr>
          <w:color w:val="auto"/>
        </w:rPr>
        <w:t>污染物排放核算结果</w:t>
      </w:r>
    </w:p>
    <w:p>
      <w:pPr>
        <w:ind w:firstLine="480"/>
        <w:rPr>
          <w:color w:val="auto"/>
        </w:rPr>
      </w:pPr>
      <w:r>
        <w:rPr>
          <w:color w:val="auto"/>
        </w:rPr>
        <w:t>根据《环境影响评价技术导则大气环境》（HJ2.2-2018）要求，按照环评审批要求和排污许可证申请和核发要求，给出污染物核算结果，见下表。</w:t>
      </w:r>
    </w:p>
    <w:p>
      <w:pPr>
        <w:ind w:firstLine="482"/>
        <w:jc w:val="center"/>
        <w:rPr>
          <w:b/>
          <w:bCs/>
          <w:color w:val="auto"/>
        </w:rPr>
      </w:pPr>
      <w:r>
        <w:rPr>
          <w:b/>
          <w:bCs/>
          <w:color w:val="auto"/>
        </w:rPr>
        <w:t>表</w:t>
      </w:r>
      <w:r>
        <w:rPr>
          <w:rFonts w:hint="eastAsia"/>
          <w:b/>
          <w:bCs/>
          <w:color w:val="auto"/>
        </w:rPr>
        <w:t xml:space="preserve">5.2-15 </w:t>
      </w:r>
      <w:r>
        <w:rPr>
          <w:b/>
          <w:bCs/>
          <w:color w:val="auto"/>
        </w:rPr>
        <w:t xml:space="preserve"> 大气污染物</w:t>
      </w:r>
      <w:r>
        <w:rPr>
          <w:rFonts w:hint="eastAsia"/>
          <w:b/>
          <w:bCs/>
          <w:color w:val="auto"/>
        </w:rPr>
        <w:t>无</w:t>
      </w:r>
      <w:r>
        <w:rPr>
          <w:b/>
          <w:bCs/>
          <w:color w:val="auto"/>
        </w:rPr>
        <w:t>组织排放核算表</w:t>
      </w:r>
    </w:p>
    <w:tbl>
      <w:tblPr>
        <w:tblStyle w:val="28"/>
        <w:tblW w:w="9394"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01"/>
        <w:gridCol w:w="719"/>
        <w:gridCol w:w="1818"/>
        <w:gridCol w:w="879"/>
        <w:gridCol w:w="1358"/>
        <w:gridCol w:w="1767"/>
        <w:gridCol w:w="1135"/>
        <w:gridCol w:w="131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01" w:type="dxa"/>
            <w:vMerge w:val="restart"/>
            <w:tcBorders>
              <w:tl2br w:val="nil"/>
              <w:tr2bl w:val="nil"/>
            </w:tcBorders>
            <w:vAlign w:val="center"/>
          </w:tcPr>
          <w:p>
            <w:pPr>
              <w:spacing w:line="320" w:lineRule="exact"/>
              <w:ind w:firstLine="0" w:firstLineChars="0"/>
              <w:jc w:val="center"/>
              <w:rPr>
                <w:color w:val="auto"/>
                <w:kern w:val="10"/>
                <w:sz w:val="21"/>
                <w:szCs w:val="21"/>
              </w:rPr>
            </w:pPr>
            <w:bookmarkStart w:id="541" w:name="_Ref488964738"/>
            <w:r>
              <w:rPr>
                <w:color w:val="auto"/>
                <w:kern w:val="10"/>
                <w:sz w:val="21"/>
                <w:szCs w:val="21"/>
              </w:rPr>
              <w:t>序号</w:t>
            </w:r>
          </w:p>
        </w:tc>
        <w:tc>
          <w:tcPr>
            <w:tcW w:w="719" w:type="dxa"/>
            <w:vMerge w:val="restart"/>
            <w:tcBorders>
              <w:tl2br w:val="nil"/>
              <w:tr2bl w:val="nil"/>
            </w:tcBorders>
            <w:vAlign w:val="center"/>
          </w:tcPr>
          <w:p>
            <w:pPr>
              <w:spacing w:line="320" w:lineRule="exact"/>
              <w:ind w:firstLine="0" w:firstLineChars="0"/>
              <w:jc w:val="center"/>
              <w:rPr>
                <w:color w:val="auto"/>
                <w:kern w:val="10"/>
                <w:sz w:val="21"/>
                <w:szCs w:val="21"/>
              </w:rPr>
            </w:pPr>
            <w:r>
              <w:rPr>
                <w:color w:val="auto"/>
                <w:kern w:val="10"/>
                <w:sz w:val="21"/>
                <w:szCs w:val="21"/>
              </w:rPr>
              <w:t>排放口编号</w:t>
            </w:r>
          </w:p>
        </w:tc>
        <w:tc>
          <w:tcPr>
            <w:tcW w:w="1818" w:type="dxa"/>
            <w:vMerge w:val="restart"/>
            <w:tcBorders>
              <w:tl2br w:val="nil"/>
              <w:tr2bl w:val="nil"/>
            </w:tcBorders>
            <w:vAlign w:val="center"/>
          </w:tcPr>
          <w:p>
            <w:pPr>
              <w:spacing w:line="320" w:lineRule="exact"/>
              <w:ind w:firstLine="0" w:firstLineChars="0"/>
              <w:jc w:val="center"/>
              <w:rPr>
                <w:color w:val="auto"/>
                <w:kern w:val="10"/>
                <w:sz w:val="21"/>
                <w:szCs w:val="21"/>
              </w:rPr>
            </w:pPr>
            <w:r>
              <w:rPr>
                <w:color w:val="auto"/>
                <w:kern w:val="10"/>
                <w:sz w:val="21"/>
                <w:szCs w:val="21"/>
              </w:rPr>
              <w:t>产污环节</w:t>
            </w:r>
          </w:p>
        </w:tc>
        <w:tc>
          <w:tcPr>
            <w:tcW w:w="879" w:type="dxa"/>
            <w:vMerge w:val="restart"/>
            <w:tcBorders>
              <w:tl2br w:val="nil"/>
              <w:tr2bl w:val="nil"/>
            </w:tcBorders>
            <w:vAlign w:val="center"/>
          </w:tcPr>
          <w:p>
            <w:pPr>
              <w:spacing w:line="320" w:lineRule="exact"/>
              <w:ind w:firstLine="0" w:firstLineChars="0"/>
              <w:jc w:val="center"/>
              <w:rPr>
                <w:color w:val="auto"/>
                <w:kern w:val="10"/>
                <w:sz w:val="21"/>
                <w:szCs w:val="21"/>
              </w:rPr>
            </w:pPr>
            <w:r>
              <w:rPr>
                <w:color w:val="auto"/>
                <w:kern w:val="10"/>
                <w:sz w:val="21"/>
                <w:szCs w:val="21"/>
              </w:rPr>
              <w:t>污染物</w:t>
            </w:r>
          </w:p>
        </w:tc>
        <w:tc>
          <w:tcPr>
            <w:tcW w:w="1358" w:type="dxa"/>
            <w:vMerge w:val="restart"/>
            <w:tcBorders>
              <w:tl2br w:val="nil"/>
              <w:tr2bl w:val="nil"/>
            </w:tcBorders>
            <w:vAlign w:val="center"/>
          </w:tcPr>
          <w:p>
            <w:pPr>
              <w:spacing w:line="320" w:lineRule="exact"/>
              <w:ind w:firstLine="0" w:firstLineChars="0"/>
              <w:jc w:val="center"/>
              <w:rPr>
                <w:color w:val="auto"/>
                <w:kern w:val="10"/>
                <w:sz w:val="21"/>
                <w:szCs w:val="21"/>
              </w:rPr>
            </w:pPr>
            <w:r>
              <w:rPr>
                <w:color w:val="auto"/>
                <w:kern w:val="10"/>
                <w:sz w:val="21"/>
                <w:szCs w:val="21"/>
              </w:rPr>
              <w:t>主要污染防治措施</w:t>
            </w:r>
          </w:p>
        </w:tc>
        <w:tc>
          <w:tcPr>
            <w:tcW w:w="2902" w:type="dxa"/>
            <w:gridSpan w:val="2"/>
            <w:tcBorders>
              <w:tl2br w:val="nil"/>
              <w:tr2bl w:val="nil"/>
            </w:tcBorders>
            <w:vAlign w:val="center"/>
          </w:tcPr>
          <w:p>
            <w:pPr>
              <w:spacing w:line="320" w:lineRule="exact"/>
              <w:ind w:firstLine="0" w:firstLineChars="0"/>
              <w:jc w:val="center"/>
              <w:rPr>
                <w:color w:val="auto"/>
                <w:kern w:val="10"/>
                <w:sz w:val="21"/>
                <w:szCs w:val="21"/>
              </w:rPr>
            </w:pPr>
            <w:r>
              <w:rPr>
                <w:color w:val="auto"/>
                <w:kern w:val="10"/>
                <w:sz w:val="21"/>
                <w:szCs w:val="21"/>
              </w:rPr>
              <w:t>国家或地方污染物排放标准</w:t>
            </w:r>
          </w:p>
        </w:tc>
        <w:tc>
          <w:tcPr>
            <w:tcW w:w="1317" w:type="dxa"/>
            <w:vMerge w:val="restart"/>
            <w:tcBorders>
              <w:tl2br w:val="nil"/>
              <w:tr2bl w:val="nil"/>
            </w:tcBorders>
            <w:vAlign w:val="center"/>
          </w:tcPr>
          <w:p>
            <w:pPr>
              <w:spacing w:line="320" w:lineRule="exact"/>
              <w:ind w:firstLine="0" w:firstLineChars="0"/>
              <w:jc w:val="center"/>
              <w:rPr>
                <w:color w:val="auto"/>
                <w:kern w:val="10"/>
                <w:sz w:val="21"/>
                <w:szCs w:val="21"/>
              </w:rPr>
            </w:pPr>
            <w:r>
              <w:rPr>
                <w:color w:val="auto"/>
                <w:kern w:val="10"/>
                <w:sz w:val="21"/>
                <w:szCs w:val="21"/>
              </w:rPr>
              <w:t>年排放量</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01" w:type="dxa"/>
            <w:vMerge w:val="continue"/>
            <w:tcBorders>
              <w:tl2br w:val="nil"/>
              <w:tr2bl w:val="nil"/>
            </w:tcBorders>
            <w:vAlign w:val="center"/>
          </w:tcPr>
          <w:p>
            <w:pPr>
              <w:spacing w:line="320" w:lineRule="exact"/>
              <w:ind w:firstLine="0" w:firstLineChars="0"/>
              <w:jc w:val="center"/>
              <w:rPr>
                <w:color w:val="auto"/>
                <w:kern w:val="10"/>
                <w:sz w:val="21"/>
                <w:szCs w:val="21"/>
              </w:rPr>
            </w:pPr>
          </w:p>
        </w:tc>
        <w:tc>
          <w:tcPr>
            <w:tcW w:w="719" w:type="dxa"/>
            <w:vMerge w:val="continue"/>
            <w:tcBorders>
              <w:tl2br w:val="nil"/>
              <w:tr2bl w:val="nil"/>
            </w:tcBorders>
            <w:vAlign w:val="center"/>
          </w:tcPr>
          <w:p>
            <w:pPr>
              <w:spacing w:line="320" w:lineRule="exact"/>
              <w:ind w:firstLine="0" w:firstLineChars="0"/>
              <w:jc w:val="center"/>
              <w:rPr>
                <w:color w:val="auto"/>
                <w:kern w:val="10"/>
                <w:sz w:val="21"/>
                <w:szCs w:val="21"/>
              </w:rPr>
            </w:pPr>
          </w:p>
        </w:tc>
        <w:tc>
          <w:tcPr>
            <w:tcW w:w="1818" w:type="dxa"/>
            <w:vMerge w:val="continue"/>
            <w:tcBorders>
              <w:tl2br w:val="nil"/>
              <w:tr2bl w:val="nil"/>
            </w:tcBorders>
            <w:vAlign w:val="center"/>
          </w:tcPr>
          <w:p>
            <w:pPr>
              <w:spacing w:line="320" w:lineRule="exact"/>
              <w:ind w:firstLine="0" w:firstLineChars="0"/>
              <w:jc w:val="center"/>
              <w:rPr>
                <w:color w:val="auto"/>
                <w:kern w:val="10"/>
                <w:sz w:val="21"/>
                <w:szCs w:val="21"/>
              </w:rPr>
            </w:pPr>
          </w:p>
        </w:tc>
        <w:tc>
          <w:tcPr>
            <w:tcW w:w="879" w:type="dxa"/>
            <w:vMerge w:val="continue"/>
            <w:tcBorders>
              <w:tl2br w:val="nil"/>
              <w:tr2bl w:val="nil"/>
            </w:tcBorders>
            <w:vAlign w:val="center"/>
          </w:tcPr>
          <w:p>
            <w:pPr>
              <w:spacing w:line="320" w:lineRule="exact"/>
              <w:ind w:firstLine="0" w:firstLineChars="0"/>
              <w:jc w:val="center"/>
              <w:rPr>
                <w:color w:val="auto"/>
                <w:kern w:val="10"/>
                <w:sz w:val="21"/>
                <w:szCs w:val="21"/>
              </w:rPr>
            </w:pPr>
          </w:p>
        </w:tc>
        <w:tc>
          <w:tcPr>
            <w:tcW w:w="1358" w:type="dxa"/>
            <w:vMerge w:val="continue"/>
            <w:tcBorders>
              <w:tl2br w:val="nil"/>
              <w:tr2bl w:val="nil"/>
            </w:tcBorders>
            <w:vAlign w:val="center"/>
          </w:tcPr>
          <w:p>
            <w:pPr>
              <w:spacing w:line="320" w:lineRule="exact"/>
              <w:ind w:firstLine="0" w:firstLineChars="0"/>
              <w:jc w:val="center"/>
              <w:rPr>
                <w:color w:val="auto"/>
                <w:kern w:val="10"/>
                <w:sz w:val="21"/>
                <w:szCs w:val="21"/>
              </w:rPr>
            </w:pPr>
          </w:p>
        </w:tc>
        <w:tc>
          <w:tcPr>
            <w:tcW w:w="1767" w:type="dxa"/>
            <w:tcBorders>
              <w:tl2br w:val="nil"/>
              <w:tr2bl w:val="nil"/>
            </w:tcBorders>
            <w:vAlign w:val="center"/>
          </w:tcPr>
          <w:p>
            <w:pPr>
              <w:spacing w:line="320" w:lineRule="exact"/>
              <w:ind w:firstLine="0" w:firstLineChars="0"/>
              <w:jc w:val="center"/>
              <w:rPr>
                <w:color w:val="auto"/>
                <w:kern w:val="10"/>
                <w:sz w:val="21"/>
                <w:szCs w:val="21"/>
              </w:rPr>
            </w:pPr>
            <w:r>
              <w:rPr>
                <w:color w:val="auto"/>
                <w:kern w:val="10"/>
                <w:sz w:val="21"/>
                <w:szCs w:val="21"/>
              </w:rPr>
              <w:t>标准名称</w:t>
            </w:r>
          </w:p>
        </w:tc>
        <w:tc>
          <w:tcPr>
            <w:tcW w:w="1135" w:type="dxa"/>
            <w:tcBorders>
              <w:tl2br w:val="nil"/>
              <w:tr2bl w:val="nil"/>
            </w:tcBorders>
            <w:vAlign w:val="center"/>
          </w:tcPr>
          <w:p>
            <w:pPr>
              <w:spacing w:line="320" w:lineRule="exact"/>
              <w:ind w:firstLine="0" w:firstLineChars="0"/>
              <w:jc w:val="center"/>
              <w:rPr>
                <w:color w:val="auto"/>
                <w:kern w:val="10"/>
                <w:sz w:val="21"/>
                <w:szCs w:val="21"/>
              </w:rPr>
            </w:pPr>
            <w:r>
              <w:rPr>
                <w:color w:val="auto"/>
                <w:kern w:val="10"/>
                <w:sz w:val="21"/>
                <w:szCs w:val="21"/>
              </w:rPr>
              <w:t>浓度限值（μg/m</w:t>
            </w:r>
            <w:r>
              <w:rPr>
                <w:color w:val="auto"/>
                <w:kern w:val="10"/>
                <w:sz w:val="21"/>
                <w:szCs w:val="21"/>
                <w:vertAlign w:val="superscript"/>
              </w:rPr>
              <w:t>3</w:t>
            </w:r>
            <w:r>
              <w:rPr>
                <w:color w:val="auto"/>
                <w:kern w:val="10"/>
                <w:sz w:val="21"/>
                <w:szCs w:val="21"/>
              </w:rPr>
              <w:t>）</w:t>
            </w:r>
          </w:p>
        </w:tc>
        <w:tc>
          <w:tcPr>
            <w:tcW w:w="1317" w:type="dxa"/>
            <w:vMerge w:val="continue"/>
            <w:tcBorders>
              <w:tl2br w:val="nil"/>
              <w:tr2bl w:val="nil"/>
            </w:tcBorders>
            <w:vAlign w:val="center"/>
          </w:tcPr>
          <w:p>
            <w:pPr>
              <w:adjustRightInd/>
              <w:snapToGrid/>
              <w:spacing w:line="240" w:lineRule="auto"/>
              <w:ind w:firstLine="400"/>
              <w:jc w:val="center"/>
              <w:rPr>
                <w:color w:val="auto"/>
                <w:sz w:val="20"/>
                <w:szCs w:val="20"/>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01" w:type="dxa"/>
            <w:vMerge w:val="restart"/>
            <w:tcBorders>
              <w:tl2br w:val="nil"/>
              <w:tr2bl w:val="nil"/>
            </w:tcBorders>
            <w:vAlign w:val="center"/>
          </w:tcPr>
          <w:p>
            <w:pPr>
              <w:spacing w:line="320" w:lineRule="exact"/>
              <w:ind w:firstLine="0" w:firstLineChars="0"/>
              <w:jc w:val="center"/>
              <w:rPr>
                <w:color w:val="auto"/>
                <w:kern w:val="10"/>
                <w:sz w:val="21"/>
                <w:szCs w:val="21"/>
              </w:rPr>
            </w:pPr>
            <w:r>
              <w:rPr>
                <w:color w:val="auto"/>
                <w:kern w:val="10"/>
                <w:sz w:val="21"/>
                <w:szCs w:val="21"/>
              </w:rPr>
              <w:t>1</w:t>
            </w:r>
          </w:p>
        </w:tc>
        <w:tc>
          <w:tcPr>
            <w:tcW w:w="719" w:type="dxa"/>
            <w:vMerge w:val="restart"/>
            <w:tcBorders>
              <w:tl2br w:val="nil"/>
              <w:tr2bl w:val="nil"/>
            </w:tcBorders>
            <w:vAlign w:val="center"/>
          </w:tcPr>
          <w:p>
            <w:pPr>
              <w:spacing w:line="320" w:lineRule="exact"/>
              <w:ind w:firstLine="0" w:firstLineChars="0"/>
              <w:jc w:val="center"/>
              <w:rPr>
                <w:color w:val="auto"/>
                <w:kern w:val="10"/>
                <w:sz w:val="21"/>
                <w:szCs w:val="21"/>
              </w:rPr>
            </w:pPr>
            <w:r>
              <w:rPr>
                <w:color w:val="auto"/>
                <w:kern w:val="10"/>
                <w:sz w:val="21"/>
                <w:szCs w:val="21"/>
              </w:rPr>
              <w:t>a</w:t>
            </w:r>
          </w:p>
        </w:tc>
        <w:tc>
          <w:tcPr>
            <w:tcW w:w="1818" w:type="dxa"/>
            <w:vMerge w:val="restart"/>
            <w:tcBorders>
              <w:tl2br w:val="nil"/>
              <w:tr2bl w:val="nil"/>
            </w:tcBorders>
            <w:vAlign w:val="center"/>
          </w:tcPr>
          <w:p>
            <w:pPr>
              <w:spacing w:line="320" w:lineRule="exact"/>
              <w:ind w:firstLine="0" w:firstLineChars="0"/>
              <w:jc w:val="center"/>
              <w:rPr>
                <w:color w:val="auto"/>
                <w:kern w:val="10"/>
                <w:sz w:val="21"/>
                <w:szCs w:val="21"/>
              </w:rPr>
            </w:pPr>
            <w:r>
              <w:rPr>
                <w:rFonts w:hint="eastAsia"/>
                <w:color w:val="auto"/>
                <w:kern w:val="10"/>
                <w:sz w:val="21"/>
                <w:szCs w:val="21"/>
              </w:rPr>
              <w:t>猪舍</w:t>
            </w:r>
          </w:p>
        </w:tc>
        <w:tc>
          <w:tcPr>
            <w:tcW w:w="879" w:type="dxa"/>
            <w:tcBorders>
              <w:tl2br w:val="nil"/>
              <w:tr2bl w:val="nil"/>
            </w:tcBorders>
            <w:vAlign w:val="center"/>
          </w:tcPr>
          <w:p>
            <w:pPr>
              <w:spacing w:line="320" w:lineRule="exact"/>
              <w:ind w:firstLine="0" w:firstLineChars="0"/>
              <w:jc w:val="center"/>
              <w:rPr>
                <w:color w:val="auto"/>
                <w:kern w:val="10"/>
                <w:sz w:val="21"/>
                <w:szCs w:val="21"/>
              </w:rPr>
            </w:pPr>
            <w:r>
              <w:rPr>
                <w:color w:val="auto"/>
                <w:kern w:val="10"/>
                <w:sz w:val="21"/>
                <w:szCs w:val="21"/>
              </w:rPr>
              <w:t>NH</w:t>
            </w:r>
            <w:r>
              <w:rPr>
                <w:color w:val="auto"/>
                <w:kern w:val="10"/>
                <w:sz w:val="21"/>
                <w:szCs w:val="21"/>
                <w:vertAlign w:val="subscript"/>
              </w:rPr>
              <w:t>3</w:t>
            </w:r>
          </w:p>
        </w:tc>
        <w:tc>
          <w:tcPr>
            <w:tcW w:w="1358" w:type="dxa"/>
            <w:vMerge w:val="restart"/>
            <w:tcBorders>
              <w:tl2br w:val="nil"/>
              <w:tr2bl w:val="nil"/>
            </w:tcBorders>
            <w:vAlign w:val="center"/>
          </w:tcPr>
          <w:p>
            <w:pPr>
              <w:spacing w:line="320" w:lineRule="exact"/>
              <w:ind w:firstLine="0" w:firstLineChars="0"/>
              <w:jc w:val="center"/>
              <w:rPr>
                <w:color w:val="auto"/>
                <w:kern w:val="10"/>
                <w:sz w:val="21"/>
                <w:szCs w:val="21"/>
              </w:rPr>
            </w:pPr>
            <w:r>
              <w:rPr>
                <w:color w:val="auto"/>
                <w:kern w:val="10"/>
                <w:sz w:val="21"/>
                <w:szCs w:val="21"/>
              </w:rPr>
              <w:t>喷洒除臭剂、厂区绿化</w:t>
            </w:r>
            <w:r>
              <w:rPr>
                <w:rFonts w:hint="eastAsia"/>
                <w:color w:val="auto"/>
                <w:kern w:val="10"/>
                <w:sz w:val="21"/>
                <w:szCs w:val="21"/>
              </w:rPr>
              <w:t>、改善饲料配方等</w:t>
            </w:r>
          </w:p>
        </w:tc>
        <w:tc>
          <w:tcPr>
            <w:tcW w:w="1767" w:type="dxa"/>
            <w:vMerge w:val="restart"/>
            <w:tcBorders>
              <w:tl2br w:val="nil"/>
              <w:tr2bl w:val="nil"/>
            </w:tcBorders>
            <w:vAlign w:val="center"/>
          </w:tcPr>
          <w:p>
            <w:pPr>
              <w:spacing w:line="320" w:lineRule="exact"/>
              <w:ind w:firstLine="0" w:firstLineChars="0"/>
              <w:jc w:val="center"/>
              <w:rPr>
                <w:color w:val="auto"/>
                <w:kern w:val="10"/>
                <w:sz w:val="21"/>
                <w:szCs w:val="21"/>
              </w:rPr>
            </w:pPr>
            <w:r>
              <w:rPr>
                <w:color w:val="auto"/>
                <w:kern w:val="10"/>
                <w:sz w:val="21"/>
                <w:szCs w:val="21"/>
              </w:rPr>
              <w:t>《恶臭污染物排放标准》（GB14554-93）</w:t>
            </w:r>
          </w:p>
        </w:tc>
        <w:tc>
          <w:tcPr>
            <w:tcW w:w="1135" w:type="dxa"/>
            <w:tcBorders>
              <w:tl2br w:val="nil"/>
              <w:tr2bl w:val="nil"/>
            </w:tcBorders>
            <w:vAlign w:val="center"/>
          </w:tcPr>
          <w:p>
            <w:pPr>
              <w:spacing w:line="320" w:lineRule="exact"/>
              <w:ind w:firstLine="0" w:firstLineChars="0"/>
              <w:jc w:val="center"/>
              <w:rPr>
                <w:color w:val="auto"/>
                <w:kern w:val="10"/>
                <w:sz w:val="21"/>
                <w:szCs w:val="21"/>
              </w:rPr>
            </w:pPr>
            <w:r>
              <w:rPr>
                <w:color w:val="auto"/>
                <w:kern w:val="10"/>
                <w:sz w:val="21"/>
                <w:szCs w:val="21"/>
              </w:rPr>
              <w:t>1500</w:t>
            </w:r>
          </w:p>
        </w:tc>
        <w:tc>
          <w:tcPr>
            <w:tcW w:w="1317" w:type="dxa"/>
            <w:tcBorders>
              <w:tl2br w:val="nil"/>
              <w:tr2bl w:val="nil"/>
            </w:tcBorders>
            <w:vAlign w:val="center"/>
          </w:tcPr>
          <w:p>
            <w:pPr>
              <w:spacing w:line="240" w:lineRule="auto"/>
              <w:ind w:firstLine="0" w:firstLineChars="0"/>
              <w:jc w:val="center"/>
              <w:rPr>
                <w:color w:val="auto"/>
                <w:kern w:val="10"/>
                <w:sz w:val="21"/>
                <w:szCs w:val="21"/>
              </w:rPr>
            </w:pPr>
            <w:r>
              <w:rPr>
                <w:rFonts w:hint="eastAsia"/>
                <w:color w:val="auto"/>
                <w:sz w:val="21"/>
                <w:szCs w:val="21"/>
              </w:rPr>
              <w:t>0.164</w:t>
            </w:r>
            <w:r>
              <w:rPr>
                <w:color w:val="auto"/>
                <w:sz w:val="21"/>
                <w:szCs w:val="21"/>
              </w:rPr>
              <w:t>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401" w:type="dxa"/>
            <w:vMerge w:val="continue"/>
            <w:tcBorders>
              <w:tl2br w:val="nil"/>
              <w:tr2bl w:val="nil"/>
            </w:tcBorders>
            <w:vAlign w:val="center"/>
          </w:tcPr>
          <w:p>
            <w:pPr>
              <w:spacing w:line="320" w:lineRule="exact"/>
              <w:ind w:firstLine="0" w:firstLineChars="0"/>
              <w:jc w:val="center"/>
              <w:rPr>
                <w:color w:val="auto"/>
                <w:kern w:val="10"/>
                <w:sz w:val="21"/>
                <w:szCs w:val="21"/>
              </w:rPr>
            </w:pPr>
          </w:p>
        </w:tc>
        <w:tc>
          <w:tcPr>
            <w:tcW w:w="719" w:type="dxa"/>
            <w:vMerge w:val="continue"/>
            <w:tcBorders>
              <w:tl2br w:val="nil"/>
              <w:tr2bl w:val="nil"/>
            </w:tcBorders>
            <w:vAlign w:val="center"/>
          </w:tcPr>
          <w:p>
            <w:pPr>
              <w:spacing w:line="320" w:lineRule="exact"/>
              <w:ind w:firstLine="0" w:firstLineChars="0"/>
              <w:jc w:val="center"/>
              <w:rPr>
                <w:color w:val="auto"/>
                <w:kern w:val="10"/>
                <w:sz w:val="21"/>
                <w:szCs w:val="21"/>
              </w:rPr>
            </w:pPr>
          </w:p>
        </w:tc>
        <w:tc>
          <w:tcPr>
            <w:tcW w:w="1818" w:type="dxa"/>
            <w:vMerge w:val="continue"/>
            <w:tcBorders>
              <w:tl2br w:val="nil"/>
              <w:tr2bl w:val="nil"/>
            </w:tcBorders>
            <w:vAlign w:val="center"/>
          </w:tcPr>
          <w:p>
            <w:pPr>
              <w:spacing w:line="320" w:lineRule="exact"/>
              <w:ind w:firstLine="0" w:firstLineChars="0"/>
              <w:jc w:val="center"/>
              <w:rPr>
                <w:color w:val="auto"/>
                <w:kern w:val="10"/>
                <w:sz w:val="21"/>
                <w:szCs w:val="21"/>
              </w:rPr>
            </w:pPr>
          </w:p>
        </w:tc>
        <w:tc>
          <w:tcPr>
            <w:tcW w:w="879" w:type="dxa"/>
            <w:tcBorders>
              <w:tl2br w:val="nil"/>
              <w:tr2bl w:val="nil"/>
            </w:tcBorders>
            <w:vAlign w:val="center"/>
          </w:tcPr>
          <w:p>
            <w:pPr>
              <w:spacing w:line="320" w:lineRule="exact"/>
              <w:ind w:firstLine="0" w:firstLineChars="0"/>
              <w:jc w:val="center"/>
              <w:rPr>
                <w:color w:val="auto"/>
                <w:kern w:val="10"/>
                <w:sz w:val="21"/>
                <w:szCs w:val="21"/>
              </w:rPr>
            </w:pPr>
            <w:r>
              <w:rPr>
                <w:color w:val="auto"/>
                <w:kern w:val="10"/>
                <w:sz w:val="21"/>
                <w:szCs w:val="21"/>
              </w:rPr>
              <w:t>H</w:t>
            </w:r>
            <w:r>
              <w:rPr>
                <w:color w:val="auto"/>
                <w:kern w:val="10"/>
                <w:sz w:val="21"/>
                <w:szCs w:val="21"/>
                <w:vertAlign w:val="subscript"/>
              </w:rPr>
              <w:t>2</w:t>
            </w:r>
            <w:r>
              <w:rPr>
                <w:color w:val="auto"/>
                <w:kern w:val="10"/>
                <w:sz w:val="21"/>
                <w:szCs w:val="21"/>
              </w:rPr>
              <w:t>S</w:t>
            </w:r>
          </w:p>
        </w:tc>
        <w:tc>
          <w:tcPr>
            <w:tcW w:w="1358" w:type="dxa"/>
            <w:vMerge w:val="continue"/>
            <w:tcBorders>
              <w:tl2br w:val="nil"/>
              <w:tr2bl w:val="nil"/>
            </w:tcBorders>
            <w:vAlign w:val="center"/>
          </w:tcPr>
          <w:p>
            <w:pPr>
              <w:spacing w:line="320" w:lineRule="exact"/>
              <w:ind w:firstLine="0" w:firstLineChars="0"/>
              <w:jc w:val="center"/>
              <w:rPr>
                <w:color w:val="auto"/>
                <w:kern w:val="10"/>
                <w:sz w:val="21"/>
                <w:szCs w:val="21"/>
              </w:rPr>
            </w:pPr>
          </w:p>
        </w:tc>
        <w:tc>
          <w:tcPr>
            <w:tcW w:w="1767" w:type="dxa"/>
            <w:vMerge w:val="continue"/>
            <w:tcBorders>
              <w:tl2br w:val="nil"/>
              <w:tr2bl w:val="nil"/>
            </w:tcBorders>
            <w:vAlign w:val="center"/>
          </w:tcPr>
          <w:p>
            <w:pPr>
              <w:spacing w:line="320" w:lineRule="exact"/>
              <w:ind w:firstLine="0" w:firstLineChars="0"/>
              <w:jc w:val="center"/>
              <w:rPr>
                <w:color w:val="auto"/>
                <w:kern w:val="10"/>
                <w:sz w:val="21"/>
                <w:szCs w:val="21"/>
              </w:rPr>
            </w:pPr>
          </w:p>
        </w:tc>
        <w:tc>
          <w:tcPr>
            <w:tcW w:w="1135" w:type="dxa"/>
            <w:tcBorders>
              <w:tl2br w:val="nil"/>
              <w:tr2bl w:val="nil"/>
            </w:tcBorders>
            <w:vAlign w:val="center"/>
          </w:tcPr>
          <w:p>
            <w:pPr>
              <w:spacing w:line="320" w:lineRule="exact"/>
              <w:ind w:firstLine="0" w:firstLineChars="0"/>
              <w:jc w:val="center"/>
              <w:rPr>
                <w:color w:val="auto"/>
                <w:kern w:val="10"/>
                <w:sz w:val="21"/>
                <w:szCs w:val="21"/>
              </w:rPr>
            </w:pPr>
            <w:r>
              <w:rPr>
                <w:color w:val="auto"/>
                <w:kern w:val="10"/>
                <w:sz w:val="21"/>
                <w:szCs w:val="21"/>
              </w:rPr>
              <w:t>60</w:t>
            </w:r>
          </w:p>
        </w:tc>
        <w:tc>
          <w:tcPr>
            <w:tcW w:w="1317" w:type="dxa"/>
            <w:tcBorders>
              <w:tl2br w:val="nil"/>
              <w:tr2bl w:val="nil"/>
            </w:tcBorders>
            <w:vAlign w:val="center"/>
          </w:tcPr>
          <w:p>
            <w:pPr>
              <w:spacing w:line="240" w:lineRule="auto"/>
              <w:ind w:firstLine="0" w:firstLineChars="0"/>
              <w:jc w:val="center"/>
              <w:rPr>
                <w:color w:val="auto"/>
                <w:kern w:val="10"/>
                <w:sz w:val="21"/>
                <w:szCs w:val="21"/>
              </w:rPr>
            </w:pPr>
            <w:r>
              <w:rPr>
                <w:rFonts w:hint="eastAsia"/>
                <w:color w:val="auto"/>
                <w:sz w:val="21"/>
                <w:szCs w:val="21"/>
              </w:rPr>
              <w:t>0.014</w:t>
            </w:r>
            <w:r>
              <w:rPr>
                <w:color w:val="auto"/>
                <w:sz w:val="21"/>
                <w:szCs w:val="21"/>
              </w:rPr>
              <w:t>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401" w:type="dxa"/>
            <w:vMerge w:val="restart"/>
            <w:tcBorders>
              <w:tl2br w:val="nil"/>
              <w:tr2bl w:val="nil"/>
            </w:tcBorders>
            <w:vAlign w:val="center"/>
          </w:tcPr>
          <w:p>
            <w:pPr>
              <w:spacing w:line="320" w:lineRule="exact"/>
              <w:ind w:firstLine="0" w:firstLineChars="0"/>
              <w:jc w:val="center"/>
              <w:rPr>
                <w:color w:val="auto"/>
                <w:kern w:val="10"/>
                <w:sz w:val="21"/>
                <w:szCs w:val="21"/>
              </w:rPr>
            </w:pPr>
            <w:r>
              <w:rPr>
                <w:rFonts w:hint="eastAsia"/>
                <w:color w:val="auto"/>
                <w:kern w:val="10"/>
                <w:sz w:val="21"/>
                <w:szCs w:val="21"/>
              </w:rPr>
              <w:t>2</w:t>
            </w:r>
          </w:p>
        </w:tc>
        <w:tc>
          <w:tcPr>
            <w:tcW w:w="719" w:type="dxa"/>
            <w:vMerge w:val="restart"/>
            <w:tcBorders>
              <w:tl2br w:val="nil"/>
              <w:tr2bl w:val="nil"/>
            </w:tcBorders>
            <w:vAlign w:val="center"/>
          </w:tcPr>
          <w:p>
            <w:pPr>
              <w:spacing w:line="320" w:lineRule="exact"/>
              <w:ind w:firstLine="0" w:firstLineChars="0"/>
              <w:jc w:val="center"/>
              <w:rPr>
                <w:color w:val="auto"/>
                <w:kern w:val="10"/>
                <w:sz w:val="21"/>
                <w:szCs w:val="21"/>
              </w:rPr>
            </w:pPr>
            <w:r>
              <w:rPr>
                <w:rFonts w:hint="eastAsia"/>
                <w:color w:val="auto"/>
                <w:kern w:val="10"/>
                <w:sz w:val="21"/>
                <w:szCs w:val="21"/>
              </w:rPr>
              <w:t>b</w:t>
            </w:r>
          </w:p>
        </w:tc>
        <w:tc>
          <w:tcPr>
            <w:tcW w:w="1818" w:type="dxa"/>
            <w:vMerge w:val="restart"/>
            <w:tcBorders>
              <w:tl2br w:val="nil"/>
              <w:tr2bl w:val="nil"/>
            </w:tcBorders>
            <w:vAlign w:val="center"/>
          </w:tcPr>
          <w:p>
            <w:pPr>
              <w:spacing w:line="320" w:lineRule="exact"/>
              <w:ind w:firstLine="0" w:firstLineChars="0"/>
              <w:jc w:val="center"/>
              <w:rPr>
                <w:color w:val="auto"/>
                <w:kern w:val="10"/>
                <w:sz w:val="21"/>
                <w:szCs w:val="21"/>
              </w:rPr>
            </w:pPr>
            <w:r>
              <w:rPr>
                <w:rFonts w:ascii="宋体" w:hAnsi="宋体" w:cs="宋体"/>
                <w:color w:val="auto"/>
                <w:sz w:val="21"/>
                <w:szCs w:val="21"/>
              </w:rPr>
              <w:t>污水处理系统</w:t>
            </w:r>
          </w:p>
        </w:tc>
        <w:tc>
          <w:tcPr>
            <w:tcW w:w="879" w:type="dxa"/>
            <w:tcBorders>
              <w:tl2br w:val="nil"/>
              <w:tr2bl w:val="nil"/>
            </w:tcBorders>
            <w:vAlign w:val="center"/>
          </w:tcPr>
          <w:p>
            <w:pPr>
              <w:spacing w:line="320" w:lineRule="exact"/>
              <w:ind w:firstLine="0" w:firstLineChars="0"/>
              <w:jc w:val="center"/>
              <w:rPr>
                <w:color w:val="auto"/>
                <w:kern w:val="10"/>
                <w:sz w:val="21"/>
                <w:szCs w:val="21"/>
              </w:rPr>
            </w:pPr>
            <w:r>
              <w:rPr>
                <w:color w:val="auto"/>
                <w:kern w:val="10"/>
                <w:sz w:val="21"/>
                <w:szCs w:val="21"/>
              </w:rPr>
              <w:t>NH</w:t>
            </w:r>
            <w:r>
              <w:rPr>
                <w:color w:val="auto"/>
                <w:kern w:val="10"/>
                <w:sz w:val="21"/>
                <w:szCs w:val="21"/>
                <w:vertAlign w:val="subscript"/>
              </w:rPr>
              <w:t>3</w:t>
            </w:r>
          </w:p>
        </w:tc>
        <w:tc>
          <w:tcPr>
            <w:tcW w:w="1358" w:type="dxa"/>
            <w:vMerge w:val="continue"/>
            <w:tcBorders>
              <w:tl2br w:val="nil"/>
              <w:tr2bl w:val="nil"/>
            </w:tcBorders>
            <w:vAlign w:val="center"/>
          </w:tcPr>
          <w:p>
            <w:pPr>
              <w:spacing w:line="320" w:lineRule="exact"/>
              <w:ind w:firstLine="0" w:firstLineChars="0"/>
              <w:jc w:val="center"/>
              <w:rPr>
                <w:color w:val="auto"/>
                <w:kern w:val="10"/>
                <w:sz w:val="21"/>
                <w:szCs w:val="21"/>
              </w:rPr>
            </w:pPr>
          </w:p>
        </w:tc>
        <w:tc>
          <w:tcPr>
            <w:tcW w:w="1767" w:type="dxa"/>
            <w:vMerge w:val="continue"/>
            <w:tcBorders>
              <w:tl2br w:val="nil"/>
              <w:tr2bl w:val="nil"/>
            </w:tcBorders>
            <w:vAlign w:val="center"/>
          </w:tcPr>
          <w:p>
            <w:pPr>
              <w:spacing w:line="320" w:lineRule="exact"/>
              <w:ind w:firstLine="0" w:firstLineChars="0"/>
              <w:jc w:val="center"/>
              <w:rPr>
                <w:color w:val="auto"/>
                <w:kern w:val="10"/>
                <w:sz w:val="21"/>
                <w:szCs w:val="21"/>
              </w:rPr>
            </w:pPr>
          </w:p>
        </w:tc>
        <w:tc>
          <w:tcPr>
            <w:tcW w:w="1135" w:type="dxa"/>
            <w:tcBorders>
              <w:tl2br w:val="nil"/>
              <w:tr2bl w:val="nil"/>
            </w:tcBorders>
            <w:vAlign w:val="center"/>
          </w:tcPr>
          <w:p>
            <w:pPr>
              <w:spacing w:line="320" w:lineRule="exact"/>
              <w:ind w:firstLine="0" w:firstLineChars="0"/>
              <w:jc w:val="center"/>
              <w:rPr>
                <w:color w:val="auto"/>
                <w:kern w:val="10"/>
                <w:sz w:val="21"/>
                <w:szCs w:val="21"/>
              </w:rPr>
            </w:pPr>
            <w:r>
              <w:rPr>
                <w:color w:val="auto"/>
                <w:kern w:val="10"/>
                <w:sz w:val="21"/>
                <w:szCs w:val="21"/>
              </w:rPr>
              <w:t>1500</w:t>
            </w:r>
          </w:p>
        </w:tc>
        <w:tc>
          <w:tcPr>
            <w:tcW w:w="1317" w:type="dxa"/>
            <w:tcBorders>
              <w:tl2br w:val="nil"/>
              <w:tr2bl w:val="nil"/>
            </w:tcBorders>
            <w:vAlign w:val="center"/>
          </w:tcPr>
          <w:p>
            <w:pPr>
              <w:spacing w:line="240" w:lineRule="auto"/>
              <w:ind w:firstLine="0" w:firstLineChars="0"/>
              <w:jc w:val="center"/>
              <w:rPr>
                <w:color w:val="auto"/>
                <w:kern w:val="10"/>
                <w:sz w:val="21"/>
                <w:szCs w:val="21"/>
              </w:rPr>
            </w:pPr>
            <w:r>
              <w:rPr>
                <w:color w:val="auto"/>
                <w:sz w:val="21"/>
                <w:szCs w:val="21"/>
              </w:rPr>
              <w:t>0.</w:t>
            </w:r>
            <w:r>
              <w:rPr>
                <w:rFonts w:hint="eastAsia"/>
                <w:color w:val="auto"/>
                <w:sz w:val="21"/>
                <w:szCs w:val="21"/>
              </w:rPr>
              <w:t>201</w:t>
            </w:r>
            <w:r>
              <w:rPr>
                <w:color w:val="auto"/>
                <w:sz w:val="21"/>
                <w:szCs w:val="21"/>
              </w:rPr>
              <w:t>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5" w:hRule="atLeast"/>
          <w:jc w:val="center"/>
        </w:trPr>
        <w:tc>
          <w:tcPr>
            <w:tcW w:w="401" w:type="dxa"/>
            <w:vMerge w:val="continue"/>
            <w:tcBorders>
              <w:tl2br w:val="nil"/>
              <w:tr2bl w:val="nil"/>
            </w:tcBorders>
            <w:vAlign w:val="center"/>
          </w:tcPr>
          <w:p>
            <w:pPr>
              <w:spacing w:line="320" w:lineRule="exact"/>
              <w:ind w:firstLine="0" w:firstLineChars="0"/>
              <w:jc w:val="center"/>
              <w:rPr>
                <w:color w:val="auto"/>
                <w:kern w:val="10"/>
                <w:sz w:val="21"/>
                <w:szCs w:val="21"/>
              </w:rPr>
            </w:pPr>
          </w:p>
        </w:tc>
        <w:tc>
          <w:tcPr>
            <w:tcW w:w="719" w:type="dxa"/>
            <w:vMerge w:val="continue"/>
            <w:tcBorders>
              <w:tl2br w:val="nil"/>
              <w:tr2bl w:val="nil"/>
            </w:tcBorders>
            <w:vAlign w:val="center"/>
          </w:tcPr>
          <w:p>
            <w:pPr>
              <w:spacing w:line="320" w:lineRule="exact"/>
              <w:ind w:firstLine="0" w:firstLineChars="0"/>
              <w:jc w:val="center"/>
              <w:rPr>
                <w:color w:val="auto"/>
                <w:kern w:val="10"/>
                <w:sz w:val="21"/>
                <w:szCs w:val="21"/>
              </w:rPr>
            </w:pPr>
          </w:p>
        </w:tc>
        <w:tc>
          <w:tcPr>
            <w:tcW w:w="1818" w:type="dxa"/>
            <w:vMerge w:val="continue"/>
            <w:tcBorders>
              <w:tl2br w:val="nil"/>
              <w:tr2bl w:val="nil"/>
            </w:tcBorders>
            <w:vAlign w:val="center"/>
          </w:tcPr>
          <w:p>
            <w:pPr>
              <w:spacing w:line="320" w:lineRule="exact"/>
              <w:ind w:firstLine="0" w:firstLineChars="0"/>
              <w:jc w:val="center"/>
              <w:rPr>
                <w:color w:val="auto"/>
                <w:kern w:val="10"/>
                <w:sz w:val="21"/>
                <w:szCs w:val="21"/>
              </w:rPr>
            </w:pPr>
          </w:p>
        </w:tc>
        <w:tc>
          <w:tcPr>
            <w:tcW w:w="879" w:type="dxa"/>
            <w:tcBorders>
              <w:tl2br w:val="nil"/>
              <w:tr2bl w:val="nil"/>
            </w:tcBorders>
            <w:vAlign w:val="center"/>
          </w:tcPr>
          <w:p>
            <w:pPr>
              <w:spacing w:line="320" w:lineRule="exact"/>
              <w:ind w:firstLine="0" w:firstLineChars="0"/>
              <w:jc w:val="center"/>
              <w:rPr>
                <w:color w:val="auto"/>
                <w:kern w:val="10"/>
                <w:sz w:val="21"/>
                <w:szCs w:val="21"/>
              </w:rPr>
            </w:pPr>
            <w:r>
              <w:rPr>
                <w:color w:val="auto"/>
                <w:kern w:val="10"/>
                <w:sz w:val="21"/>
                <w:szCs w:val="21"/>
              </w:rPr>
              <w:t>H</w:t>
            </w:r>
            <w:r>
              <w:rPr>
                <w:color w:val="auto"/>
                <w:kern w:val="10"/>
                <w:sz w:val="21"/>
                <w:szCs w:val="21"/>
                <w:vertAlign w:val="subscript"/>
              </w:rPr>
              <w:t>2</w:t>
            </w:r>
            <w:r>
              <w:rPr>
                <w:color w:val="auto"/>
                <w:kern w:val="10"/>
                <w:sz w:val="21"/>
                <w:szCs w:val="21"/>
              </w:rPr>
              <w:t>S</w:t>
            </w:r>
          </w:p>
        </w:tc>
        <w:tc>
          <w:tcPr>
            <w:tcW w:w="1358" w:type="dxa"/>
            <w:vMerge w:val="continue"/>
            <w:tcBorders>
              <w:tl2br w:val="nil"/>
              <w:tr2bl w:val="nil"/>
            </w:tcBorders>
            <w:vAlign w:val="center"/>
          </w:tcPr>
          <w:p>
            <w:pPr>
              <w:spacing w:line="320" w:lineRule="exact"/>
              <w:ind w:firstLine="0" w:firstLineChars="0"/>
              <w:jc w:val="center"/>
              <w:rPr>
                <w:color w:val="auto"/>
                <w:kern w:val="10"/>
                <w:sz w:val="21"/>
                <w:szCs w:val="21"/>
              </w:rPr>
            </w:pPr>
          </w:p>
        </w:tc>
        <w:tc>
          <w:tcPr>
            <w:tcW w:w="1767" w:type="dxa"/>
            <w:vMerge w:val="continue"/>
            <w:tcBorders>
              <w:tl2br w:val="nil"/>
              <w:tr2bl w:val="nil"/>
            </w:tcBorders>
            <w:vAlign w:val="center"/>
          </w:tcPr>
          <w:p>
            <w:pPr>
              <w:spacing w:line="320" w:lineRule="exact"/>
              <w:ind w:firstLine="0" w:firstLineChars="0"/>
              <w:jc w:val="center"/>
              <w:rPr>
                <w:color w:val="auto"/>
                <w:kern w:val="10"/>
                <w:sz w:val="21"/>
                <w:szCs w:val="21"/>
              </w:rPr>
            </w:pPr>
          </w:p>
        </w:tc>
        <w:tc>
          <w:tcPr>
            <w:tcW w:w="1135" w:type="dxa"/>
            <w:tcBorders>
              <w:tl2br w:val="nil"/>
              <w:tr2bl w:val="nil"/>
            </w:tcBorders>
            <w:vAlign w:val="center"/>
          </w:tcPr>
          <w:p>
            <w:pPr>
              <w:spacing w:line="320" w:lineRule="exact"/>
              <w:ind w:firstLine="0" w:firstLineChars="0"/>
              <w:jc w:val="center"/>
              <w:rPr>
                <w:color w:val="auto"/>
                <w:kern w:val="10"/>
                <w:sz w:val="21"/>
                <w:szCs w:val="21"/>
              </w:rPr>
            </w:pPr>
            <w:r>
              <w:rPr>
                <w:color w:val="auto"/>
                <w:kern w:val="10"/>
                <w:sz w:val="21"/>
                <w:szCs w:val="21"/>
              </w:rPr>
              <w:t>60</w:t>
            </w:r>
          </w:p>
        </w:tc>
        <w:tc>
          <w:tcPr>
            <w:tcW w:w="1317" w:type="dxa"/>
            <w:tcBorders>
              <w:tl2br w:val="nil"/>
              <w:tr2bl w:val="nil"/>
            </w:tcBorders>
            <w:vAlign w:val="center"/>
          </w:tcPr>
          <w:p>
            <w:pPr>
              <w:spacing w:line="240" w:lineRule="auto"/>
              <w:ind w:firstLine="0" w:firstLineChars="0"/>
              <w:jc w:val="center"/>
              <w:rPr>
                <w:color w:val="auto"/>
                <w:kern w:val="10"/>
                <w:sz w:val="21"/>
                <w:szCs w:val="21"/>
              </w:rPr>
            </w:pPr>
            <w:r>
              <w:rPr>
                <w:color w:val="auto"/>
                <w:sz w:val="21"/>
                <w:szCs w:val="21"/>
              </w:rPr>
              <w:t>0.0</w:t>
            </w:r>
            <w:r>
              <w:rPr>
                <w:rFonts w:hint="eastAsia"/>
                <w:color w:val="auto"/>
                <w:sz w:val="21"/>
                <w:szCs w:val="21"/>
              </w:rPr>
              <w:t>078</w:t>
            </w:r>
            <w:r>
              <w:rPr>
                <w:color w:val="auto"/>
                <w:sz w:val="21"/>
                <w:szCs w:val="21"/>
              </w:rPr>
              <w:t>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401" w:type="dxa"/>
            <w:vMerge w:val="restart"/>
            <w:tcBorders>
              <w:tl2br w:val="nil"/>
              <w:tr2bl w:val="nil"/>
            </w:tcBorders>
            <w:vAlign w:val="center"/>
          </w:tcPr>
          <w:p>
            <w:pPr>
              <w:spacing w:line="320" w:lineRule="exact"/>
              <w:ind w:firstLine="0" w:firstLineChars="0"/>
              <w:jc w:val="center"/>
              <w:rPr>
                <w:color w:val="auto"/>
                <w:kern w:val="10"/>
                <w:sz w:val="21"/>
                <w:szCs w:val="21"/>
              </w:rPr>
            </w:pPr>
            <w:r>
              <w:rPr>
                <w:rFonts w:hint="eastAsia"/>
                <w:color w:val="auto"/>
                <w:kern w:val="10"/>
                <w:sz w:val="21"/>
                <w:szCs w:val="21"/>
              </w:rPr>
              <w:t>3</w:t>
            </w:r>
          </w:p>
        </w:tc>
        <w:tc>
          <w:tcPr>
            <w:tcW w:w="719" w:type="dxa"/>
            <w:vMerge w:val="restart"/>
            <w:tcBorders>
              <w:tl2br w:val="nil"/>
              <w:tr2bl w:val="nil"/>
            </w:tcBorders>
            <w:vAlign w:val="center"/>
          </w:tcPr>
          <w:p>
            <w:pPr>
              <w:spacing w:line="320" w:lineRule="exact"/>
              <w:ind w:firstLine="0" w:firstLineChars="0"/>
              <w:jc w:val="center"/>
              <w:rPr>
                <w:color w:val="auto"/>
                <w:kern w:val="10"/>
                <w:sz w:val="21"/>
                <w:szCs w:val="21"/>
              </w:rPr>
            </w:pPr>
            <w:r>
              <w:rPr>
                <w:rFonts w:hint="eastAsia"/>
                <w:color w:val="auto"/>
                <w:kern w:val="10"/>
                <w:sz w:val="21"/>
                <w:szCs w:val="21"/>
              </w:rPr>
              <w:t>c</w:t>
            </w:r>
          </w:p>
        </w:tc>
        <w:tc>
          <w:tcPr>
            <w:tcW w:w="1818" w:type="dxa"/>
            <w:vMerge w:val="restart"/>
            <w:tcBorders>
              <w:tl2br w:val="nil"/>
              <w:tr2bl w:val="nil"/>
            </w:tcBorders>
            <w:vAlign w:val="center"/>
          </w:tcPr>
          <w:p>
            <w:pPr>
              <w:pStyle w:val="42"/>
              <w:adjustRightInd/>
              <w:snapToGrid/>
              <w:spacing w:line="240" w:lineRule="auto"/>
              <w:ind w:firstLine="0" w:firstLineChars="0"/>
              <w:jc w:val="center"/>
              <w:rPr>
                <w:color w:val="auto"/>
                <w:kern w:val="10"/>
                <w:sz w:val="21"/>
                <w:szCs w:val="21"/>
              </w:rPr>
            </w:pPr>
            <w:r>
              <w:rPr>
                <w:rFonts w:ascii="宋体" w:hAnsi="宋体" w:cs="宋体"/>
                <w:color w:val="auto"/>
                <w:sz w:val="21"/>
                <w:szCs w:val="21"/>
              </w:rPr>
              <w:t>固粪处理区</w:t>
            </w:r>
          </w:p>
        </w:tc>
        <w:tc>
          <w:tcPr>
            <w:tcW w:w="879" w:type="dxa"/>
            <w:tcBorders>
              <w:tl2br w:val="nil"/>
              <w:tr2bl w:val="nil"/>
            </w:tcBorders>
            <w:vAlign w:val="center"/>
          </w:tcPr>
          <w:p>
            <w:pPr>
              <w:spacing w:line="320" w:lineRule="exact"/>
              <w:ind w:firstLine="0" w:firstLineChars="0"/>
              <w:jc w:val="center"/>
              <w:rPr>
                <w:color w:val="auto"/>
                <w:kern w:val="10"/>
                <w:sz w:val="21"/>
                <w:szCs w:val="21"/>
              </w:rPr>
            </w:pPr>
            <w:r>
              <w:rPr>
                <w:color w:val="auto"/>
                <w:kern w:val="10"/>
                <w:sz w:val="21"/>
                <w:szCs w:val="21"/>
              </w:rPr>
              <w:t>NH</w:t>
            </w:r>
            <w:r>
              <w:rPr>
                <w:color w:val="auto"/>
                <w:kern w:val="10"/>
                <w:sz w:val="21"/>
                <w:szCs w:val="21"/>
                <w:vertAlign w:val="subscript"/>
              </w:rPr>
              <w:t>3</w:t>
            </w:r>
          </w:p>
        </w:tc>
        <w:tc>
          <w:tcPr>
            <w:tcW w:w="1358" w:type="dxa"/>
            <w:vMerge w:val="continue"/>
            <w:tcBorders>
              <w:tl2br w:val="nil"/>
              <w:tr2bl w:val="nil"/>
            </w:tcBorders>
            <w:vAlign w:val="center"/>
          </w:tcPr>
          <w:p>
            <w:pPr>
              <w:spacing w:line="320" w:lineRule="exact"/>
              <w:ind w:firstLine="0" w:firstLineChars="0"/>
              <w:jc w:val="center"/>
              <w:rPr>
                <w:color w:val="auto"/>
                <w:kern w:val="10"/>
                <w:sz w:val="21"/>
                <w:szCs w:val="21"/>
              </w:rPr>
            </w:pPr>
          </w:p>
        </w:tc>
        <w:tc>
          <w:tcPr>
            <w:tcW w:w="1767" w:type="dxa"/>
            <w:vMerge w:val="continue"/>
            <w:tcBorders>
              <w:tl2br w:val="nil"/>
              <w:tr2bl w:val="nil"/>
            </w:tcBorders>
            <w:vAlign w:val="center"/>
          </w:tcPr>
          <w:p>
            <w:pPr>
              <w:spacing w:line="320" w:lineRule="exact"/>
              <w:ind w:firstLine="0" w:firstLineChars="0"/>
              <w:jc w:val="center"/>
              <w:rPr>
                <w:color w:val="auto"/>
                <w:kern w:val="10"/>
                <w:sz w:val="21"/>
                <w:szCs w:val="21"/>
              </w:rPr>
            </w:pPr>
          </w:p>
        </w:tc>
        <w:tc>
          <w:tcPr>
            <w:tcW w:w="1135" w:type="dxa"/>
            <w:tcBorders>
              <w:tl2br w:val="nil"/>
              <w:tr2bl w:val="nil"/>
            </w:tcBorders>
            <w:vAlign w:val="center"/>
          </w:tcPr>
          <w:p>
            <w:pPr>
              <w:spacing w:line="320" w:lineRule="exact"/>
              <w:ind w:firstLine="0" w:firstLineChars="0"/>
              <w:jc w:val="center"/>
              <w:rPr>
                <w:color w:val="auto"/>
                <w:kern w:val="10"/>
                <w:sz w:val="21"/>
                <w:szCs w:val="21"/>
              </w:rPr>
            </w:pPr>
            <w:r>
              <w:rPr>
                <w:color w:val="auto"/>
                <w:kern w:val="10"/>
                <w:sz w:val="21"/>
                <w:szCs w:val="21"/>
              </w:rPr>
              <w:t>1500</w:t>
            </w:r>
          </w:p>
        </w:tc>
        <w:tc>
          <w:tcPr>
            <w:tcW w:w="1317" w:type="dxa"/>
            <w:tcBorders>
              <w:tl2br w:val="nil"/>
              <w:tr2bl w:val="nil"/>
            </w:tcBorders>
            <w:vAlign w:val="center"/>
          </w:tcPr>
          <w:p>
            <w:pPr>
              <w:spacing w:line="240" w:lineRule="auto"/>
              <w:ind w:firstLine="0" w:firstLineChars="0"/>
              <w:jc w:val="center"/>
              <w:rPr>
                <w:color w:val="auto"/>
                <w:kern w:val="10"/>
                <w:sz w:val="21"/>
                <w:szCs w:val="21"/>
              </w:rPr>
            </w:pPr>
            <w:r>
              <w:rPr>
                <w:rFonts w:hint="eastAsia"/>
                <w:color w:val="auto"/>
                <w:sz w:val="21"/>
                <w:szCs w:val="21"/>
              </w:rPr>
              <w:t>0.108t/a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6" w:hRule="atLeast"/>
          <w:jc w:val="center"/>
        </w:trPr>
        <w:tc>
          <w:tcPr>
            <w:tcW w:w="401" w:type="dxa"/>
            <w:vMerge w:val="continue"/>
            <w:tcBorders>
              <w:tl2br w:val="nil"/>
              <w:tr2bl w:val="nil"/>
            </w:tcBorders>
            <w:vAlign w:val="center"/>
          </w:tcPr>
          <w:p>
            <w:pPr>
              <w:spacing w:line="320" w:lineRule="exact"/>
              <w:ind w:firstLine="0" w:firstLineChars="0"/>
              <w:jc w:val="center"/>
              <w:rPr>
                <w:color w:val="auto"/>
                <w:kern w:val="10"/>
                <w:sz w:val="21"/>
                <w:szCs w:val="21"/>
              </w:rPr>
            </w:pPr>
          </w:p>
        </w:tc>
        <w:tc>
          <w:tcPr>
            <w:tcW w:w="719" w:type="dxa"/>
            <w:vMerge w:val="continue"/>
            <w:tcBorders>
              <w:tl2br w:val="nil"/>
              <w:tr2bl w:val="nil"/>
            </w:tcBorders>
            <w:vAlign w:val="center"/>
          </w:tcPr>
          <w:p>
            <w:pPr>
              <w:spacing w:line="320" w:lineRule="exact"/>
              <w:ind w:firstLine="0" w:firstLineChars="0"/>
              <w:jc w:val="center"/>
              <w:rPr>
                <w:color w:val="auto"/>
                <w:kern w:val="10"/>
                <w:sz w:val="21"/>
                <w:szCs w:val="21"/>
              </w:rPr>
            </w:pPr>
          </w:p>
        </w:tc>
        <w:tc>
          <w:tcPr>
            <w:tcW w:w="1818" w:type="dxa"/>
            <w:vMerge w:val="continue"/>
            <w:tcBorders>
              <w:tl2br w:val="nil"/>
              <w:tr2bl w:val="nil"/>
            </w:tcBorders>
            <w:vAlign w:val="center"/>
          </w:tcPr>
          <w:p>
            <w:pPr>
              <w:spacing w:line="320" w:lineRule="exact"/>
              <w:ind w:firstLine="0" w:firstLineChars="0"/>
              <w:jc w:val="center"/>
              <w:rPr>
                <w:color w:val="auto"/>
                <w:kern w:val="10"/>
                <w:sz w:val="21"/>
                <w:szCs w:val="21"/>
              </w:rPr>
            </w:pPr>
          </w:p>
        </w:tc>
        <w:tc>
          <w:tcPr>
            <w:tcW w:w="879" w:type="dxa"/>
            <w:tcBorders>
              <w:tl2br w:val="nil"/>
              <w:tr2bl w:val="nil"/>
            </w:tcBorders>
            <w:vAlign w:val="center"/>
          </w:tcPr>
          <w:p>
            <w:pPr>
              <w:spacing w:line="320" w:lineRule="exact"/>
              <w:ind w:firstLine="0" w:firstLineChars="0"/>
              <w:jc w:val="center"/>
              <w:rPr>
                <w:color w:val="auto"/>
                <w:kern w:val="10"/>
                <w:sz w:val="21"/>
                <w:szCs w:val="21"/>
              </w:rPr>
            </w:pPr>
            <w:r>
              <w:rPr>
                <w:color w:val="auto"/>
                <w:kern w:val="10"/>
                <w:sz w:val="21"/>
                <w:szCs w:val="21"/>
              </w:rPr>
              <w:t>H</w:t>
            </w:r>
            <w:r>
              <w:rPr>
                <w:color w:val="auto"/>
                <w:kern w:val="10"/>
                <w:sz w:val="21"/>
                <w:szCs w:val="21"/>
                <w:vertAlign w:val="subscript"/>
              </w:rPr>
              <w:t>2</w:t>
            </w:r>
            <w:r>
              <w:rPr>
                <w:color w:val="auto"/>
                <w:kern w:val="10"/>
                <w:sz w:val="21"/>
                <w:szCs w:val="21"/>
              </w:rPr>
              <w:t>S</w:t>
            </w:r>
          </w:p>
        </w:tc>
        <w:tc>
          <w:tcPr>
            <w:tcW w:w="1358" w:type="dxa"/>
            <w:vMerge w:val="continue"/>
            <w:tcBorders>
              <w:tl2br w:val="nil"/>
              <w:tr2bl w:val="nil"/>
            </w:tcBorders>
            <w:vAlign w:val="center"/>
          </w:tcPr>
          <w:p>
            <w:pPr>
              <w:spacing w:line="320" w:lineRule="exact"/>
              <w:ind w:firstLine="0" w:firstLineChars="0"/>
              <w:jc w:val="center"/>
              <w:rPr>
                <w:color w:val="auto"/>
                <w:kern w:val="10"/>
                <w:sz w:val="21"/>
                <w:szCs w:val="21"/>
              </w:rPr>
            </w:pPr>
          </w:p>
        </w:tc>
        <w:tc>
          <w:tcPr>
            <w:tcW w:w="1767" w:type="dxa"/>
            <w:vMerge w:val="continue"/>
            <w:tcBorders>
              <w:tl2br w:val="nil"/>
              <w:tr2bl w:val="nil"/>
            </w:tcBorders>
            <w:vAlign w:val="center"/>
          </w:tcPr>
          <w:p>
            <w:pPr>
              <w:spacing w:line="320" w:lineRule="exact"/>
              <w:ind w:firstLine="0" w:firstLineChars="0"/>
              <w:jc w:val="center"/>
              <w:rPr>
                <w:color w:val="auto"/>
                <w:kern w:val="10"/>
                <w:sz w:val="21"/>
                <w:szCs w:val="21"/>
              </w:rPr>
            </w:pPr>
          </w:p>
        </w:tc>
        <w:tc>
          <w:tcPr>
            <w:tcW w:w="1135" w:type="dxa"/>
            <w:tcBorders>
              <w:tl2br w:val="nil"/>
              <w:tr2bl w:val="nil"/>
            </w:tcBorders>
            <w:vAlign w:val="center"/>
          </w:tcPr>
          <w:p>
            <w:pPr>
              <w:spacing w:line="320" w:lineRule="exact"/>
              <w:ind w:firstLine="0" w:firstLineChars="0"/>
              <w:jc w:val="center"/>
              <w:rPr>
                <w:color w:val="auto"/>
                <w:kern w:val="10"/>
                <w:sz w:val="21"/>
                <w:szCs w:val="21"/>
              </w:rPr>
            </w:pPr>
            <w:r>
              <w:rPr>
                <w:color w:val="auto"/>
                <w:kern w:val="10"/>
                <w:sz w:val="21"/>
                <w:szCs w:val="21"/>
              </w:rPr>
              <w:t>60</w:t>
            </w:r>
          </w:p>
        </w:tc>
        <w:tc>
          <w:tcPr>
            <w:tcW w:w="1317" w:type="dxa"/>
            <w:tcBorders>
              <w:tl2br w:val="nil"/>
              <w:tr2bl w:val="nil"/>
            </w:tcBorders>
            <w:vAlign w:val="center"/>
          </w:tcPr>
          <w:p>
            <w:pPr>
              <w:spacing w:line="240" w:lineRule="auto"/>
              <w:ind w:firstLine="0" w:firstLineChars="0"/>
              <w:jc w:val="center"/>
              <w:rPr>
                <w:color w:val="auto"/>
                <w:kern w:val="10"/>
                <w:sz w:val="21"/>
                <w:szCs w:val="21"/>
              </w:rPr>
            </w:pPr>
            <w:r>
              <w:rPr>
                <w:rFonts w:hint="eastAsia"/>
                <w:color w:val="auto"/>
                <w:sz w:val="21"/>
                <w:szCs w:val="21"/>
              </w:rPr>
              <w:t>0.0065t/a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3" w:hRule="atLeast"/>
          <w:jc w:val="center"/>
        </w:trPr>
        <w:tc>
          <w:tcPr>
            <w:tcW w:w="401" w:type="dxa"/>
            <w:vMerge w:val="restart"/>
            <w:tcBorders>
              <w:tl2br w:val="nil"/>
              <w:tr2bl w:val="nil"/>
            </w:tcBorders>
            <w:vAlign w:val="center"/>
          </w:tcPr>
          <w:p>
            <w:pPr>
              <w:spacing w:line="320" w:lineRule="exact"/>
              <w:ind w:firstLine="0" w:firstLineChars="0"/>
              <w:jc w:val="center"/>
              <w:rPr>
                <w:color w:val="auto"/>
                <w:kern w:val="10"/>
                <w:sz w:val="21"/>
                <w:szCs w:val="21"/>
              </w:rPr>
            </w:pPr>
            <w:r>
              <w:rPr>
                <w:rFonts w:hint="eastAsia"/>
                <w:color w:val="auto"/>
                <w:kern w:val="10"/>
                <w:sz w:val="21"/>
                <w:szCs w:val="21"/>
              </w:rPr>
              <w:t>5</w:t>
            </w:r>
          </w:p>
        </w:tc>
        <w:tc>
          <w:tcPr>
            <w:tcW w:w="719" w:type="dxa"/>
            <w:vMerge w:val="restart"/>
            <w:tcBorders>
              <w:tl2br w:val="nil"/>
              <w:tr2bl w:val="nil"/>
            </w:tcBorders>
            <w:vAlign w:val="center"/>
          </w:tcPr>
          <w:p>
            <w:pPr>
              <w:spacing w:line="320" w:lineRule="exact"/>
              <w:ind w:firstLine="0" w:firstLineChars="0"/>
              <w:jc w:val="center"/>
              <w:rPr>
                <w:color w:val="auto"/>
                <w:kern w:val="10"/>
                <w:sz w:val="21"/>
                <w:szCs w:val="21"/>
              </w:rPr>
            </w:pPr>
            <w:r>
              <w:rPr>
                <w:rFonts w:hint="eastAsia"/>
                <w:color w:val="auto"/>
                <w:kern w:val="10"/>
                <w:sz w:val="21"/>
                <w:szCs w:val="21"/>
              </w:rPr>
              <w:t>d</w:t>
            </w:r>
          </w:p>
        </w:tc>
        <w:tc>
          <w:tcPr>
            <w:tcW w:w="1818" w:type="dxa"/>
            <w:vMerge w:val="restart"/>
            <w:tcBorders>
              <w:tl2br w:val="nil"/>
              <w:tr2bl w:val="nil"/>
            </w:tcBorders>
            <w:vAlign w:val="center"/>
          </w:tcPr>
          <w:p>
            <w:pPr>
              <w:spacing w:line="320" w:lineRule="exact"/>
              <w:ind w:firstLine="0" w:firstLineChars="0"/>
              <w:jc w:val="center"/>
              <w:rPr>
                <w:color w:val="auto"/>
                <w:kern w:val="10"/>
                <w:sz w:val="21"/>
                <w:szCs w:val="21"/>
              </w:rPr>
            </w:pPr>
            <w:r>
              <w:rPr>
                <w:color w:val="auto"/>
                <w:kern w:val="10"/>
                <w:sz w:val="21"/>
                <w:szCs w:val="21"/>
              </w:rPr>
              <w:t>病死猪</w:t>
            </w:r>
            <w:r>
              <w:rPr>
                <w:rFonts w:hint="eastAsia"/>
                <w:color w:val="auto"/>
                <w:kern w:val="10"/>
                <w:sz w:val="21"/>
                <w:szCs w:val="21"/>
              </w:rPr>
              <w:t>高温化制机</w:t>
            </w:r>
          </w:p>
        </w:tc>
        <w:tc>
          <w:tcPr>
            <w:tcW w:w="879" w:type="dxa"/>
            <w:tcBorders>
              <w:tl2br w:val="nil"/>
              <w:tr2bl w:val="nil"/>
            </w:tcBorders>
            <w:vAlign w:val="center"/>
          </w:tcPr>
          <w:p>
            <w:pPr>
              <w:spacing w:line="320" w:lineRule="exact"/>
              <w:ind w:firstLine="0" w:firstLineChars="0"/>
              <w:jc w:val="center"/>
              <w:rPr>
                <w:color w:val="auto"/>
                <w:kern w:val="10"/>
                <w:sz w:val="21"/>
                <w:szCs w:val="21"/>
              </w:rPr>
            </w:pPr>
            <w:r>
              <w:rPr>
                <w:color w:val="auto"/>
                <w:kern w:val="10"/>
                <w:sz w:val="21"/>
                <w:szCs w:val="21"/>
              </w:rPr>
              <w:t>NH</w:t>
            </w:r>
            <w:r>
              <w:rPr>
                <w:color w:val="auto"/>
                <w:kern w:val="10"/>
                <w:sz w:val="21"/>
                <w:szCs w:val="21"/>
                <w:vertAlign w:val="subscript"/>
              </w:rPr>
              <w:t>3</w:t>
            </w:r>
          </w:p>
        </w:tc>
        <w:tc>
          <w:tcPr>
            <w:tcW w:w="1358" w:type="dxa"/>
            <w:vMerge w:val="continue"/>
            <w:tcBorders>
              <w:tl2br w:val="nil"/>
              <w:tr2bl w:val="nil"/>
            </w:tcBorders>
            <w:vAlign w:val="center"/>
          </w:tcPr>
          <w:p>
            <w:pPr>
              <w:spacing w:line="320" w:lineRule="exact"/>
              <w:ind w:firstLine="0" w:firstLineChars="0"/>
              <w:jc w:val="center"/>
              <w:rPr>
                <w:color w:val="auto"/>
                <w:kern w:val="10"/>
                <w:sz w:val="21"/>
                <w:szCs w:val="21"/>
              </w:rPr>
            </w:pPr>
          </w:p>
        </w:tc>
        <w:tc>
          <w:tcPr>
            <w:tcW w:w="1767" w:type="dxa"/>
            <w:vMerge w:val="continue"/>
            <w:tcBorders>
              <w:tl2br w:val="nil"/>
              <w:tr2bl w:val="nil"/>
            </w:tcBorders>
            <w:vAlign w:val="center"/>
          </w:tcPr>
          <w:p>
            <w:pPr>
              <w:spacing w:line="320" w:lineRule="exact"/>
              <w:ind w:firstLine="0" w:firstLineChars="0"/>
              <w:jc w:val="center"/>
              <w:rPr>
                <w:color w:val="auto"/>
                <w:kern w:val="10"/>
                <w:sz w:val="21"/>
                <w:szCs w:val="21"/>
              </w:rPr>
            </w:pPr>
          </w:p>
        </w:tc>
        <w:tc>
          <w:tcPr>
            <w:tcW w:w="1135" w:type="dxa"/>
            <w:tcBorders>
              <w:tl2br w:val="nil"/>
              <w:tr2bl w:val="nil"/>
            </w:tcBorders>
            <w:vAlign w:val="center"/>
          </w:tcPr>
          <w:p>
            <w:pPr>
              <w:spacing w:line="320" w:lineRule="exact"/>
              <w:ind w:firstLine="0" w:firstLineChars="0"/>
              <w:jc w:val="center"/>
              <w:rPr>
                <w:color w:val="auto"/>
                <w:kern w:val="10"/>
                <w:sz w:val="21"/>
                <w:szCs w:val="21"/>
              </w:rPr>
            </w:pPr>
            <w:r>
              <w:rPr>
                <w:color w:val="auto"/>
                <w:kern w:val="10"/>
                <w:sz w:val="21"/>
                <w:szCs w:val="21"/>
              </w:rPr>
              <w:t>1500</w:t>
            </w:r>
          </w:p>
        </w:tc>
        <w:tc>
          <w:tcPr>
            <w:tcW w:w="1317" w:type="dxa"/>
            <w:tcBorders>
              <w:tl2br w:val="nil"/>
              <w:tr2bl w:val="nil"/>
            </w:tcBorders>
            <w:vAlign w:val="center"/>
          </w:tcPr>
          <w:p>
            <w:pPr>
              <w:spacing w:line="240" w:lineRule="auto"/>
              <w:ind w:firstLine="0" w:firstLineChars="0"/>
              <w:jc w:val="center"/>
              <w:rPr>
                <w:color w:val="auto"/>
                <w:kern w:val="10"/>
                <w:sz w:val="21"/>
                <w:szCs w:val="21"/>
              </w:rPr>
            </w:pPr>
            <w:r>
              <w:rPr>
                <w:rFonts w:hint="eastAsia"/>
                <w:color w:val="auto"/>
                <w:sz w:val="21"/>
                <w:szCs w:val="21"/>
              </w:rPr>
              <w:t>0.0004t/a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jc w:val="center"/>
        </w:trPr>
        <w:tc>
          <w:tcPr>
            <w:tcW w:w="401" w:type="dxa"/>
            <w:vMerge w:val="continue"/>
            <w:tcBorders>
              <w:tl2br w:val="nil"/>
              <w:tr2bl w:val="nil"/>
            </w:tcBorders>
            <w:vAlign w:val="center"/>
          </w:tcPr>
          <w:p>
            <w:pPr>
              <w:spacing w:line="320" w:lineRule="exact"/>
              <w:ind w:firstLine="0" w:firstLineChars="0"/>
              <w:jc w:val="center"/>
              <w:rPr>
                <w:color w:val="auto"/>
                <w:kern w:val="10"/>
                <w:sz w:val="21"/>
                <w:szCs w:val="21"/>
              </w:rPr>
            </w:pPr>
          </w:p>
        </w:tc>
        <w:tc>
          <w:tcPr>
            <w:tcW w:w="719" w:type="dxa"/>
            <w:vMerge w:val="continue"/>
            <w:tcBorders>
              <w:tl2br w:val="nil"/>
              <w:tr2bl w:val="nil"/>
            </w:tcBorders>
            <w:vAlign w:val="center"/>
          </w:tcPr>
          <w:p>
            <w:pPr>
              <w:spacing w:line="320" w:lineRule="exact"/>
              <w:ind w:firstLine="0" w:firstLineChars="0"/>
              <w:jc w:val="center"/>
              <w:rPr>
                <w:color w:val="auto"/>
                <w:kern w:val="10"/>
                <w:sz w:val="21"/>
                <w:szCs w:val="21"/>
              </w:rPr>
            </w:pPr>
          </w:p>
        </w:tc>
        <w:tc>
          <w:tcPr>
            <w:tcW w:w="1818" w:type="dxa"/>
            <w:vMerge w:val="continue"/>
            <w:tcBorders>
              <w:tl2br w:val="nil"/>
              <w:tr2bl w:val="nil"/>
            </w:tcBorders>
            <w:vAlign w:val="center"/>
          </w:tcPr>
          <w:p>
            <w:pPr>
              <w:spacing w:line="320" w:lineRule="exact"/>
              <w:ind w:firstLine="0" w:firstLineChars="0"/>
              <w:jc w:val="center"/>
              <w:rPr>
                <w:color w:val="auto"/>
                <w:kern w:val="10"/>
                <w:sz w:val="21"/>
                <w:szCs w:val="21"/>
              </w:rPr>
            </w:pPr>
          </w:p>
        </w:tc>
        <w:tc>
          <w:tcPr>
            <w:tcW w:w="879" w:type="dxa"/>
            <w:tcBorders>
              <w:tl2br w:val="nil"/>
              <w:tr2bl w:val="nil"/>
            </w:tcBorders>
            <w:vAlign w:val="center"/>
          </w:tcPr>
          <w:p>
            <w:pPr>
              <w:spacing w:line="320" w:lineRule="exact"/>
              <w:ind w:firstLine="0" w:firstLineChars="0"/>
              <w:jc w:val="center"/>
              <w:rPr>
                <w:color w:val="auto"/>
                <w:kern w:val="10"/>
                <w:sz w:val="21"/>
                <w:szCs w:val="21"/>
              </w:rPr>
            </w:pPr>
            <w:r>
              <w:rPr>
                <w:color w:val="auto"/>
                <w:kern w:val="10"/>
                <w:sz w:val="21"/>
                <w:szCs w:val="21"/>
              </w:rPr>
              <w:t>H</w:t>
            </w:r>
            <w:r>
              <w:rPr>
                <w:color w:val="auto"/>
                <w:kern w:val="10"/>
                <w:sz w:val="21"/>
                <w:szCs w:val="21"/>
                <w:vertAlign w:val="subscript"/>
              </w:rPr>
              <w:t>2</w:t>
            </w:r>
            <w:r>
              <w:rPr>
                <w:color w:val="auto"/>
                <w:kern w:val="10"/>
                <w:sz w:val="21"/>
                <w:szCs w:val="21"/>
              </w:rPr>
              <w:t>S</w:t>
            </w:r>
          </w:p>
        </w:tc>
        <w:tc>
          <w:tcPr>
            <w:tcW w:w="1358" w:type="dxa"/>
            <w:vMerge w:val="continue"/>
            <w:tcBorders>
              <w:tl2br w:val="nil"/>
              <w:tr2bl w:val="nil"/>
            </w:tcBorders>
            <w:vAlign w:val="center"/>
          </w:tcPr>
          <w:p>
            <w:pPr>
              <w:spacing w:line="320" w:lineRule="exact"/>
              <w:ind w:firstLine="0" w:firstLineChars="0"/>
              <w:jc w:val="center"/>
              <w:rPr>
                <w:color w:val="auto"/>
                <w:kern w:val="10"/>
                <w:sz w:val="21"/>
                <w:szCs w:val="21"/>
              </w:rPr>
            </w:pPr>
          </w:p>
        </w:tc>
        <w:tc>
          <w:tcPr>
            <w:tcW w:w="1767" w:type="dxa"/>
            <w:vMerge w:val="continue"/>
            <w:tcBorders>
              <w:tl2br w:val="nil"/>
              <w:tr2bl w:val="nil"/>
            </w:tcBorders>
            <w:vAlign w:val="center"/>
          </w:tcPr>
          <w:p>
            <w:pPr>
              <w:spacing w:line="320" w:lineRule="exact"/>
              <w:ind w:firstLine="0" w:firstLineChars="0"/>
              <w:jc w:val="center"/>
              <w:rPr>
                <w:color w:val="auto"/>
                <w:kern w:val="10"/>
                <w:sz w:val="21"/>
                <w:szCs w:val="21"/>
              </w:rPr>
            </w:pPr>
          </w:p>
        </w:tc>
        <w:tc>
          <w:tcPr>
            <w:tcW w:w="1135" w:type="dxa"/>
            <w:tcBorders>
              <w:tl2br w:val="nil"/>
              <w:tr2bl w:val="nil"/>
            </w:tcBorders>
            <w:vAlign w:val="center"/>
          </w:tcPr>
          <w:p>
            <w:pPr>
              <w:spacing w:line="320" w:lineRule="exact"/>
              <w:ind w:firstLine="0" w:firstLineChars="0"/>
              <w:jc w:val="center"/>
              <w:rPr>
                <w:color w:val="auto"/>
                <w:kern w:val="10"/>
                <w:sz w:val="21"/>
                <w:szCs w:val="21"/>
              </w:rPr>
            </w:pPr>
            <w:r>
              <w:rPr>
                <w:color w:val="auto"/>
                <w:kern w:val="10"/>
                <w:sz w:val="21"/>
                <w:szCs w:val="21"/>
              </w:rPr>
              <w:t>60</w:t>
            </w:r>
          </w:p>
        </w:tc>
        <w:tc>
          <w:tcPr>
            <w:tcW w:w="1317" w:type="dxa"/>
            <w:tcBorders>
              <w:tl2br w:val="nil"/>
              <w:tr2bl w:val="nil"/>
            </w:tcBorders>
            <w:vAlign w:val="center"/>
          </w:tcPr>
          <w:p>
            <w:pPr>
              <w:spacing w:line="240" w:lineRule="auto"/>
              <w:ind w:firstLine="0" w:firstLineChars="0"/>
              <w:jc w:val="center"/>
              <w:rPr>
                <w:color w:val="auto"/>
                <w:kern w:val="10"/>
                <w:sz w:val="21"/>
                <w:szCs w:val="21"/>
              </w:rPr>
            </w:pPr>
            <w:r>
              <w:rPr>
                <w:rFonts w:hint="eastAsia"/>
                <w:color w:val="auto"/>
                <w:sz w:val="21"/>
                <w:szCs w:val="21"/>
              </w:rPr>
              <w:t>0.00008t/a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401" w:type="dxa"/>
            <w:vMerge w:val="restart"/>
            <w:tcBorders>
              <w:tl2br w:val="nil"/>
              <w:tr2bl w:val="nil"/>
            </w:tcBorders>
            <w:vAlign w:val="center"/>
          </w:tcPr>
          <w:p>
            <w:pPr>
              <w:spacing w:line="320" w:lineRule="exact"/>
              <w:ind w:firstLine="0" w:firstLineChars="0"/>
              <w:jc w:val="center"/>
              <w:rPr>
                <w:color w:val="auto"/>
                <w:kern w:val="10"/>
                <w:sz w:val="21"/>
                <w:szCs w:val="21"/>
              </w:rPr>
            </w:pPr>
            <w:r>
              <w:rPr>
                <w:rFonts w:hint="eastAsia"/>
                <w:color w:val="auto"/>
                <w:kern w:val="10"/>
                <w:sz w:val="21"/>
                <w:szCs w:val="21"/>
              </w:rPr>
              <w:t>6</w:t>
            </w:r>
          </w:p>
        </w:tc>
        <w:tc>
          <w:tcPr>
            <w:tcW w:w="719" w:type="dxa"/>
            <w:vMerge w:val="restart"/>
            <w:tcBorders>
              <w:tl2br w:val="nil"/>
              <w:tr2bl w:val="nil"/>
            </w:tcBorders>
            <w:vAlign w:val="center"/>
          </w:tcPr>
          <w:p>
            <w:pPr>
              <w:spacing w:line="320" w:lineRule="exact"/>
              <w:ind w:firstLine="0" w:firstLineChars="0"/>
              <w:jc w:val="center"/>
              <w:rPr>
                <w:color w:val="auto"/>
                <w:kern w:val="10"/>
                <w:sz w:val="21"/>
                <w:szCs w:val="21"/>
              </w:rPr>
            </w:pPr>
            <w:r>
              <w:rPr>
                <w:rFonts w:hint="eastAsia"/>
                <w:color w:val="auto"/>
                <w:kern w:val="10"/>
                <w:sz w:val="21"/>
                <w:szCs w:val="21"/>
              </w:rPr>
              <w:t>e</w:t>
            </w:r>
          </w:p>
        </w:tc>
        <w:tc>
          <w:tcPr>
            <w:tcW w:w="1818" w:type="dxa"/>
            <w:vMerge w:val="restart"/>
            <w:tcBorders>
              <w:tl2br w:val="nil"/>
              <w:tr2bl w:val="nil"/>
            </w:tcBorders>
            <w:vAlign w:val="center"/>
          </w:tcPr>
          <w:p>
            <w:pPr>
              <w:spacing w:line="320" w:lineRule="exact"/>
              <w:ind w:firstLine="0" w:firstLineChars="0"/>
              <w:jc w:val="center"/>
              <w:rPr>
                <w:color w:val="auto"/>
                <w:kern w:val="10"/>
                <w:sz w:val="21"/>
                <w:szCs w:val="21"/>
              </w:rPr>
            </w:pPr>
            <w:r>
              <w:rPr>
                <w:color w:val="auto"/>
                <w:kern w:val="10"/>
                <w:sz w:val="21"/>
                <w:szCs w:val="21"/>
              </w:rPr>
              <w:t>沼气燃烧废气</w:t>
            </w:r>
          </w:p>
        </w:tc>
        <w:tc>
          <w:tcPr>
            <w:tcW w:w="879" w:type="dxa"/>
            <w:tcBorders>
              <w:tl2br w:val="nil"/>
              <w:tr2bl w:val="nil"/>
            </w:tcBorders>
            <w:vAlign w:val="center"/>
          </w:tcPr>
          <w:p>
            <w:pPr>
              <w:spacing w:line="240" w:lineRule="auto"/>
              <w:ind w:firstLine="0" w:firstLineChars="0"/>
              <w:jc w:val="center"/>
              <w:rPr>
                <w:color w:val="auto"/>
                <w:kern w:val="10"/>
                <w:sz w:val="21"/>
                <w:szCs w:val="21"/>
              </w:rPr>
            </w:pPr>
            <w:r>
              <w:rPr>
                <w:rFonts w:hint="eastAsia"/>
                <w:color w:val="auto"/>
                <w:sz w:val="21"/>
                <w:szCs w:val="21"/>
              </w:rPr>
              <w:t>SO</w:t>
            </w:r>
            <w:r>
              <w:rPr>
                <w:rFonts w:hint="eastAsia"/>
                <w:color w:val="auto"/>
                <w:sz w:val="21"/>
                <w:szCs w:val="21"/>
                <w:vertAlign w:val="subscript"/>
              </w:rPr>
              <w:t>2</w:t>
            </w:r>
          </w:p>
        </w:tc>
        <w:tc>
          <w:tcPr>
            <w:tcW w:w="1358" w:type="dxa"/>
            <w:vMerge w:val="restart"/>
            <w:tcBorders>
              <w:tl2br w:val="nil"/>
              <w:tr2bl w:val="nil"/>
            </w:tcBorders>
            <w:vAlign w:val="center"/>
          </w:tcPr>
          <w:p>
            <w:pPr>
              <w:spacing w:line="320" w:lineRule="exact"/>
              <w:ind w:firstLine="0" w:firstLineChars="0"/>
              <w:jc w:val="center"/>
              <w:rPr>
                <w:color w:val="auto"/>
                <w:kern w:val="10"/>
                <w:sz w:val="21"/>
                <w:szCs w:val="21"/>
              </w:rPr>
            </w:pPr>
            <w:r>
              <w:rPr>
                <w:rFonts w:hint="eastAsia"/>
                <w:color w:val="auto"/>
                <w:kern w:val="10"/>
                <w:sz w:val="21"/>
                <w:szCs w:val="21"/>
              </w:rPr>
              <w:t>/</w:t>
            </w:r>
          </w:p>
        </w:tc>
        <w:tc>
          <w:tcPr>
            <w:tcW w:w="1767" w:type="dxa"/>
            <w:vMerge w:val="restart"/>
            <w:tcBorders>
              <w:tl2br w:val="nil"/>
              <w:tr2bl w:val="nil"/>
            </w:tcBorders>
            <w:vAlign w:val="center"/>
          </w:tcPr>
          <w:p>
            <w:pPr>
              <w:spacing w:line="320" w:lineRule="exact"/>
              <w:ind w:firstLine="0" w:firstLineChars="0"/>
              <w:jc w:val="center"/>
              <w:rPr>
                <w:color w:val="auto"/>
                <w:kern w:val="10"/>
                <w:sz w:val="21"/>
                <w:szCs w:val="21"/>
              </w:rPr>
            </w:pPr>
            <w:r>
              <w:rPr>
                <w:color w:val="auto"/>
                <w:kern w:val="10"/>
                <w:sz w:val="21"/>
                <w:szCs w:val="21"/>
              </w:rPr>
              <w:t>《大气污染物综合排放标准》(GB16297-1996)</w:t>
            </w:r>
          </w:p>
        </w:tc>
        <w:tc>
          <w:tcPr>
            <w:tcW w:w="1135" w:type="dxa"/>
            <w:tcBorders>
              <w:tl2br w:val="nil"/>
              <w:tr2bl w:val="nil"/>
            </w:tcBorders>
            <w:vAlign w:val="center"/>
          </w:tcPr>
          <w:p>
            <w:pPr>
              <w:spacing w:line="320" w:lineRule="exact"/>
              <w:ind w:firstLine="0" w:firstLineChars="0"/>
              <w:jc w:val="center"/>
              <w:rPr>
                <w:color w:val="auto"/>
                <w:kern w:val="10"/>
                <w:sz w:val="21"/>
                <w:szCs w:val="21"/>
              </w:rPr>
            </w:pPr>
            <w:r>
              <w:rPr>
                <w:rFonts w:hint="eastAsia"/>
                <w:color w:val="auto"/>
                <w:kern w:val="10"/>
                <w:sz w:val="21"/>
                <w:szCs w:val="21"/>
              </w:rPr>
              <w:t>/</w:t>
            </w:r>
          </w:p>
        </w:tc>
        <w:tc>
          <w:tcPr>
            <w:tcW w:w="1317" w:type="dxa"/>
            <w:tcBorders>
              <w:tl2br w:val="nil"/>
              <w:tr2bl w:val="nil"/>
            </w:tcBorders>
            <w:vAlign w:val="center"/>
          </w:tcPr>
          <w:p>
            <w:pPr>
              <w:spacing w:line="240" w:lineRule="auto"/>
              <w:ind w:firstLine="0" w:firstLineChars="0"/>
              <w:jc w:val="center"/>
              <w:rPr>
                <w:color w:val="auto"/>
                <w:kern w:val="10"/>
                <w:sz w:val="21"/>
                <w:szCs w:val="21"/>
              </w:rPr>
            </w:pPr>
            <w:r>
              <w:rPr>
                <w:rFonts w:hint="eastAsia"/>
                <w:color w:val="auto"/>
                <w:sz w:val="21"/>
                <w:szCs w:val="21"/>
              </w:rPr>
              <w:t>0.002t/a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3" w:hRule="atLeast"/>
          <w:jc w:val="center"/>
        </w:trPr>
        <w:tc>
          <w:tcPr>
            <w:tcW w:w="401" w:type="dxa"/>
            <w:vMerge w:val="continue"/>
            <w:tcBorders>
              <w:tl2br w:val="nil"/>
              <w:tr2bl w:val="nil"/>
            </w:tcBorders>
            <w:vAlign w:val="center"/>
          </w:tcPr>
          <w:p>
            <w:pPr>
              <w:spacing w:line="320" w:lineRule="exact"/>
              <w:ind w:firstLine="0" w:firstLineChars="0"/>
              <w:jc w:val="center"/>
              <w:rPr>
                <w:color w:val="auto"/>
                <w:kern w:val="10"/>
                <w:sz w:val="21"/>
                <w:szCs w:val="21"/>
              </w:rPr>
            </w:pPr>
          </w:p>
        </w:tc>
        <w:tc>
          <w:tcPr>
            <w:tcW w:w="719" w:type="dxa"/>
            <w:vMerge w:val="continue"/>
            <w:tcBorders>
              <w:tl2br w:val="nil"/>
              <w:tr2bl w:val="nil"/>
            </w:tcBorders>
            <w:vAlign w:val="center"/>
          </w:tcPr>
          <w:p>
            <w:pPr>
              <w:spacing w:line="320" w:lineRule="exact"/>
              <w:ind w:firstLine="0" w:firstLineChars="0"/>
              <w:jc w:val="center"/>
              <w:rPr>
                <w:color w:val="auto"/>
                <w:kern w:val="10"/>
                <w:sz w:val="21"/>
                <w:szCs w:val="21"/>
              </w:rPr>
            </w:pPr>
          </w:p>
        </w:tc>
        <w:tc>
          <w:tcPr>
            <w:tcW w:w="1818" w:type="dxa"/>
            <w:vMerge w:val="continue"/>
            <w:tcBorders>
              <w:tl2br w:val="nil"/>
              <w:tr2bl w:val="nil"/>
            </w:tcBorders>
            <w:vAlign w:val="center"/>
          </w:tcPr>
          <w:p>
            <w:pPr>
              <w:spacing w:line="320" w:lineRule="exact"/>
              <w:ind w:firstLine="0" w:firstLineChars="0"/>
              <w:jc w:val="center"/>
              <w:rPr>
                <w:color w:val="auto"/>
                <w:kern w:val="10"/>
                <w:sz w:val="21"/>
                <w:szCs w:val="21"/>
              </w:rPr>
            </w:pPr>
          </w:p>
        </w:tc>
        <w:tc>
          <w:tcPr>
            <w:tcW w:w="879" w:type="dxa"/>
            <w:tcBorders>
              <w:tl2br w:val="nil"/>
              <w:tr2bl w:val="nil"/>
            </w:tcBorders>
            <w:vAlign w:val="center"/>
          </w:tcPr>
          <w:p>
            <w:pPr>
              <w:spacing w:line="240" w:lineRule="auto"/>
              <w:ind w:firstLine="0" w:firstLineChars="0"/>
              <w:jc w:val="center"/>
              <w:rPr>
                <w:color w:val="auto"/>
                <w:kern w:val="10"/>
                <w:sz w:val="21"/>
                <w:szCs w:val="21"/>
              </w:rPr>
            </w:pPr>
            <w:r>
              <w:rPr>
                <w:rFonts w:hint="eastAsia"/>
                <w:color w:val="auto"/>
                <w:sz w:val="21"/>
                <w:szCs w:val="21"/>
              </w:rPr>
              <w:t>烟尘</w:t>
            </w:r>
          </w:p>
        </w:tc>
        <w:tc>
          <w:tcPr>
            <w:tcW w:w="1358" w:type="dxa"/>
            <w:vMerge w:val="continue"/>
            <w:tcBorders>
              <w:tl2br w:val="nil"/>
              <w:tr2bl w:val="nil"/>
            </w:tcBorders>
            <w:vAlign w:val="center"/>
          </w:tcPr>
          <w:p>
            <w:pPr>
              <w:spacing w:line="320" w:lineRule="exact"/>
              <w:ind w:firstLine="0" w:firstLineChars="0"/>
              <w:jc w:val="center"/>
              <w:rPr>
                <w:color w:val="auto"/>
                <w:kern w:val="10"/>
                <w:sz w:val="21"/>
                <w:szCs w:val="21"/>
              </w:rPr>
            </w:pPr>
          </w:p>
        </w:tc>
        <w:tc>
          <w:tcPr>
            <w:tcW w:w="1767" w:type="dxa"/>
            <w:vMerge w:val="continue"/>
            <w:tcBorders>
              <w:tl2br w:val="nil"/>
              <w:tr2bl w:val="nil"/>
            </w:tcBorders>
            <w:vAlign w:val="center"/>
          </w:tcPr>
          <w:p>
            <w:pPr>
              <w:spacing w:line="320" w:lineRule="exact"/>
              <w:ind w:firstLine="0" w:firstLineChars="0"/>
              <w:jc w:val="center"/>
              <w:rPr>
                <w:color w:val="auto"/>
                <w:kern w:val="10"/>
                <w:sz w:val="21"/>
                <w:szCs w:val="21"/>
              </w:rPr>
            </w:pPr>
          </w:p>
        </w:tc>
        <w:tc>
          <w:tcPr>
            <w:tcW w:w="1135" w:type="dxa"/>
            <w:tcBorders>
              <w:tl2br w:val="nil"/>
              <w:tr2bl w:val="nil"/>
            </w:tcBorders>
            <w:vAlign w:val="center"/>
          </w:tcPr>
          <w:p>
            <w:pPr>
              <w:spacing w:line="320" w:lineRule="exact"/>
              <w:ind w:firstLine="0" w:firstLineChars="0"/>
              <w:jc w:val="center"/>
              <w:rPr>
                <w:color w:val="auto"/>
                <w:kern w:val="10"/>
                <w:sz w:val="21"/>
                <w:szCs w:val="21"/>
              </w:rPr>
            </w:pPr>
            <w:r>
              <w:rPr>
                <w:rFonts w:hint="eastAsia"/>
                <w:color w:val="auto"/>
                <w:kern w:val="10"/>
                <w:sz w:val="21"/>
                <w:szCs w:val="21"/>
              </w:rPr>
              <w:t>/</w:t>
            </w:r>
          </w:p>
        </w:tc>
        <w:tc>
          <w:tcPr>
            <w:tcW w:w="1317" w:type="dxa"/>
            <w:tcBorders>
              <w:tl2br w:val="nil"/>
              <w:tr2bl w:val="nil"/>
            </w:tcBorders>
            <w:vAlign w:val="center"/>
          </w:tcPr>
          <w:p>
            <w:pPr>
              <w:spacing w:line="240" w:lineRule="auto"/>
              <w:ind w:firstLine="0" w:firstLineChars="0"/>
              <w:jc w:val="center"/>
              <w:rPr>
                <w:color w:val="auto"/>
                <w:kern w:val="10"/>
                <w:sz w:val="21"/>
                <w:szCs w:val="21"/>
              </w:rPr>
            </w:pPr>
            <w:r>
              <w:rPr>
                <w:rFonts w:hint="eastAsia"/>
                <w:color w:val="auto"/>
                <w:sz w:val="21"/>
                <w:szCs w:val="21"/>
              </w:rPr>
              <w:t>0.003t/a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401" w:type="dxa"/>
            <w:vMerge w:val="continue"/>
            <w:tcBorders>
              <w:tl2br w:val="nil"/>
              <w:tr2bl w:val="nil"/>
            </w:tcBorders>
            <w:vAlign w:val="center"/>
          </w:tcPr>
          <w:p>
            <w:pPr>
              <w:spacing w:line="320" w:lineRule="exact"/>
              <w:ind w:firstLine="0" w:firstLineChars="0"/>
              <w:jc w:val="center"/>
              <w:rPr>
                <w:color w:val="auto"/>
                <w:kern w:val="10"/>
                <w:sz w:val="21"/>
                <w:szCs w:val="21"/>
              </w:rPr>
            </w:pPr>
          </w:p>
        </w:tc>
        <w:tc>
          <w:tcPr>
            <w:tcW w:w="719" w:type="dxa"/>
            <w:vMerge w:val="continue"/>
            <w:tcBorders>
              <w:tl2br w:val="nil"/>
              <w:tr2bl w:val="nil"/>
            </w:tcBorders>
            <w:vAlign w:val="center"/>
          </w:tcPr>
          <w:p>
            <w:pPr>
              <w:spacing w:line="320" w:lineRule="exact"/>
              <w:ind w:firstLine="0" w:firstLineChars="0"/>
              <w:jc w:val="center"/>
              <w:rPr>
                <w:color w:val="auto"/>
                <w:kern w:val="10"/>
                <w:sz w:val="21"/>
                <w:szCs w:val="21"/>
              </w:rPr>
            </w:pPr>
          </w:p>
        </w:tc>
        <w:tc>
          <w:tcPr>
            <w:tcW w:w="1818" w:type="dxa"/>
            <w:vMerge w:val="continue"/>
            <w:tcBorders>
              <w:tl2br w:val="nil"/>
              <w:tr2bl w:val="nil"/>
            </w:tcBorders>
            <w:vAlign w:val="center"/>
          </w:tcPr>
          <w:p>
            <w:pPr>
              <w:spacing w:line="320" w:lineRule="exact"/>
              <w:ind w:firstLine="0" w:firstLineChars="0"/>
              <w:jc w:val="center"/>
              <w:rPr>
                <w:color w:val="auto"/>
                <w:kern w:val="10"/>
                <w:sz w:val="21"/>
                <w:szCs w:val="21"/>
              </w:rPr>
            </w:pPr>
          </w:p>
        </w:tc>
        <w:tc>
          <w:tcPr>
            <w:tcW w:w="879" w:type="dxa"/>
            <w:tcBorders>
              <w:tl2br w:val="nil"/>
              <w:tr2bl w:val="nil"/>
            </w:tcBorders>
            <w:vAlign w:val="center"/>
          </w:tcPr>
          <w:p>
            <w:pPr>
              <w:spacing w:line="240" w:lineRule="auto"/>
              <w:ind w:firstLine="0" w:firstLineChars="0"/>
              <w:jc w:val="center"/>
              <w:rPr>
                <w:color w:val="auto"/>
                <w:kern w:val="10"/>
                <w:sz w:val="21"/>
                <w:szCs w:val="21"/>
              </w:rPr>
            </w:pPr>
            <w:r>
              <w:rPr>
                <w:rFonts w:hint="eastAsia"/>
                <w:color w:val="auto"/>
                <w:sz w:val="21"/>
                <w:szCs w:val="21"/>
              </w:rPr>
              <w:t>NO</w:t>
            </w:r>
            <w:r>
              <w:rPr>
                <w:rFonts w:hint="eastAsia"/>
                <w:color w:val="auto"/>
                <w:sz w:val="21"/>
                <w:szCs w:val="21"/>
                <w:vertAlign w:val="subscript"/>
              </w:rPr>
              <w:t>X</w:t>
            </w:r>
          </w:p>
        </w:tc>
        <w:tc>
          <w:tcPr>
            <w:tcW w:w="1358" w:type="dxa"/>
            <w:vMerge w:val="continue"/>
            <w:tcBorders>
              <w:tl2br w:val="nil"/>
              <w:tr2bl w:val="nil"/>
            </w:tcBorders>
            <w:vAlign w:val="center"/>
          </w:tcPr>
          <w:p>
            <w:pPr>
              <w:spacing w:line="320" w:lineRule="exact"/>
              <w:ind w:firstLine="0" w:firstLineChars="0"/>
              <w:jc w:val="center"/>
              <w:rPr>
                <w:color w:val="auto"/>
                <w:kern w:val="10"/>
                <w:sz w:val="21"/>
                <w:szCs w:val="21"/>
              </w:rPr>
            </w:pPr>
          </w:p>
        </w:tc>
        <w:tc>
          <w:tcPr>
            <w:tcW w:w="1767" w:type="dxa"/>
            <w:vMerge w:val="continue"/>
            <w:tcBorders>
              <w:tl2br w:val="nil"/>
              <w:tr2bl w:val="nil"/>
            </w:tcBorders>
            <w:vAlign w:val="center"/>
          </w:tcPr>
          <w:p>
            <w:pPr>
              <w:spacing w:line="320" w:lineRule="exact"/>
              <w:ind w:firstLine="0" w:firstLineChars="0"/>
              <w:jc w:val="center"/>
              <w:rPr>
                <w:color w:val="auto"/>
                <w:kern w:val="10"/>
                <w:sz w:val="21"/>
                <w:szCs w:val="21"/>
              </w:rPr>
            </w:pPr>
          </w:p>
        </w:tc>
        <w:tc>
          <w:tcPr>
            <w:tcW w:w="1135" w:type="dxa"/>
            <w:tcBorders>
              <w:tl2br w:val="nil"/>
              <w:tr2bl w:val="nil"/>
            </w:tcBorders>
            <w:vAlign w:val="center"/>
          </w:tcPr>
          <w:p>
            <w:pPr>
              <w:spacing w:line="320" w:lineRule="exact"/>
              <w:ind w:firstLine="0" w:firstLineChars="0"/>
              <w:jc w:val="center"/>
              <w:rPr>
                <w:color w:val="auto"/>
                <w:kern w:val="10"/>
                <w:sz w:val="21"/>
                <w:szCs w:val="21"/>
              </w:rPr>
            </w:pPr>
            <w:r>
              <w:rPr>
                <w:rFonts w:hint="eastAsia"/>
                <w:color w:val="auto"/>
                <w:kern w:val="10"/>
                <w:sz w:val="21"/>
                <w:szCs w:val="21"/>
              </w:rPr>
              <w:t>/</w:t>
            </w:r>
          </w:p>
        </w:tc>
        <w:tc>
          <w:tcPr>
            <w:tcW w:w="1317" w:type="dxa"/>
            <w:tcBorders>
              <w:tl2br w:val="nil"/>
              <w:tr2bl w:val="nil"/>
            </w:tcBorders>
            <w:vAlign w:val="center"/>
          </w:tcPr>
          <w:p>
            <w:pPr>
              <w:spacing w:line="240" w:lineRule="auto"/>
              <w:ind w:firstLine="0" w:firstLineChars="0"/>
              <w:jc w:val="center"/>
              <w:rPr>
                <w:color w:val="auto"/>
                <w:kern w:val="10"/>
                <w:sz w:val="21"/>
                <w:szCs w:val="21"/>
              </w:rPr>
            </w:pPr>
            <w:r>
              <w:rPr>
                <w:rFonts w:hint="eastAsia"/>
                <w:color w:val="auto"/>
                <w:sz w:val="21"/>
                <w:szCs w:val="21"/>
              </w:rPr>
              <w:t>0.008t/a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394" w:type="dxa"/>
            <w:gridSpan w:val="8"/>
            <w:tcBorders>
              <w:tl2br w:val="nil"/>
              <w:tr2bl w:val="nil"/>
            </w:tcBorders>
            <w:vAlign w:val="center"/>
          </w:tcPr>
          <w:p>
            <w:pPr>
              <w:adjustRightInd/>
              <w:snapToGrid/>
              <w:spacing w:line="240" w:lineRule="auto"/>
              <w:ind w:firstLine="400"/>
              <w:jc w:val="center"/>
              <w:rPr>
                <w:color w:val="auto"/>
                <w:sz w:val="20"/>
                <w:szCs w:val="20"/>
              </w:rPr>
            </w:pPr>
            <w:r>
              <w:rPr>
                <w:color w:val="auto"/>
                <w:sz w:val="20"/>
                <w:szCs w:val="20"/>
              </w:rPr>
              <w:t>无组织排放总计</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938" w:type="dxa"/>
            <w:gridSpan w:val="3"/>
            <w:vMerge w:val="restart"/>
            <w:tcBorders>
              <w:tl2br w:val="nil"/>
              <w:tr2bl w:val="nil"/>
            </w:tcBorders>
            <w:vAlign w:val="center"/>
          </w:tcPr>
          <w:p>
            <w:pPr>
              <w:adjustRightInd/>
              <w:snapToGrid/>
              <w:spacing w:line="240" w:lineRule="auto"/>
              <w:ind w:firstLine="400"/>
              <w:jc w:val="center"/>
              <w:rPr>
                <w:color w:val="auto"/>
                <w:sz w:val="20"/>
                <w:szCs w:val="20"/>
              </w:rPr>
            </w:pPr>
            <w:r>
              <w:rPr>
                <w:color w:val="auto"/>
                <w:sz w:val="20"/>
                <w:szCs w:val="20"/>
              </w:rPr>
              <w:t>无组织排放总计</w:t>
            </w:r>
          </w:p>
        </w:tc>
        <w:tc>
          <w:tcPr>
            <w:tcW w:w="4004" w:type="dxa"/>
            <w:gridSpan w:val="3"/>
            <w:tcBorders>
              <w:tl2br w:val="nil"/>
              <w:tr2bl w:val="nil"/>
            </w:tcBorders>
            <w:vAlign w:val="center"/>
          </w:tcPr>
          <w:p>
            <w:pPr>
              <w:spacing w:line="320" w:lineRule="exact"/>
              <w:ind w:firstLine="0" w:firstLineChars="0"/>
              <w:jc w:val="center"/>
              <w:rPr>
                <w:color w:val="auto"/>
                <w:kern w:val="10"/>
                <w:sz w:val="21"/>
                <w:szCs w:val="21"/>
              </w:rPr>
            </w:pPr>
            <w:r>
              <w:rPr>
                <w:color w:val="auto"/>
                <w:kern w:val="10"/>
                <w:sz w:val="21"/>
                <w:szCs w:val="21"/>
              </w:rPr>
              <w:t>NH</w:t>
            </w:r>
            <w:r>
              <w:rPr>
                <w:color w:val="auto"/>
                <w:kern w:val="10"/>
                <w:sz w:val="21"/>
                <w:szCs w:val="21"/>
                <w:vertAlign w:val="subscript"/>
              </w:rPr>
              <w:t>3</w:t>
            </w:r>
          </w:p>
        </w:tc>
        <w:tc>
          <w:tcPr>
            <w:tcW w:w="2452" w:type="dxa"/>
            <w:gridSpan w:val="2"/>
            <w:tcBorders>
              <w:tl2br w:val="nil"/>
              <w:tr2bl w:val="nil"/>
            </w:tcBorders>
            <w:vAlign w:val="center"/>
          </w:tcPr>
          <w:p>
            <w:pPr>
              <w:spacing w:line="320" w:lineRule="exact"/>
              <w:ind w:firstLine="0" w:firstLineChars="0"/>
              <w:jc w:val="center"/>
              <w:rPr>
                <w:color w:val="auto"/>
                <w:kern w:val="10"/>
                <w:sz w:val="21"/>
                <w:szCs w:val="21"/>
              </w:rPr>
            </w:pPr>
            <w:r>
              <w:rPr>
                <w:rFonts w:hint="eastAsia"/>
                <w:color w:val="auto"/>
                <w:kern w:val="10"/>
                <w:sz w:val="21"/>
                <w:szCs w:val="21"/>
              </w:rPr>
              <w:t>0.473t/a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1" w:hRule="atLeast"/>
          <w:jc w:val="center"/>
        </w:trPr>
        <w:tc>
          <w:tcPr>
            <w:tcW w:w="2938" w:type="dxa"/>
            <w:gridSpan w:val="3"/>
            <w:vMerge w:val="continue"/>
            <w:tcBorders>
              <w:tl2br w:val="nil"/>
              <w:tr2bl w:val="nil"/>
            </w:tcBorders>
            <w:vAlign w:val="center"/>
          </w:tcPr>
          <w:p>
            <w:pPr>
              <w:adjustRightInd/>
              <w:snapToGrid/>
              <w:spacing w:line="240" w:lineRule="auto"/>
              <w:ind w:firstLine="400"/>
              <w:jc w:val="center"/>
              <w:rPr>
                <w:color w:val="auto"/>
                <w:sz w:val="20"/>
                <w:szCs w:val="20"/>
              </w:rPr>
            </w:pPr>
          </w:p>
        </w:tc>
        <w:tc>
          <w:tcPr>
            <w:tcW w:w="4004" w:type="dxa"/>
            <w:gridSpan w:val="3"/>
            <w:tcBorders>
              <w:tl2br w:val="nil"/>
              <w:tr2bl w:val="nil"/>
            </w:tcBorders>
            <w:vAlign w:val="center"/>
          </w:tcPr>
          <w:p>
            <w:pPr>
              <w:spacing w:line="320" w:lineRule="exact"/>
              <w:ind w:firstLine="0" w:firstLineChars="0"/>
              <w:jc w:val="center"/>
              <w:rPr>
                <w:color w:val="auto"/>
                <w:kern w:val="10"/>
                <w:sz w:val="21"/>
                <w:szCs w:val="21"/>
              </w:rPr>
            </w:pPr>
            <w:r>
              <w:rPr>
                <w:color w:val="auto"/>
                <w:kern w:val="10"/>
                <w:sz w:val="21"/>
                <w:szCs w:val="21"/>
              </w:rPr>
              <w:t>H</w:t>
            </w:r>
            <w:r>
              <w:rPr>
                <w:color w:val="auto"/>
                <w:kern w:val="10"/>
                <w:sz w:val="21"/>
                <w:szCs w:val="21"/>
                <w:vertAlign w:val="subscript"/>
              </w:rPr>
              <w:t>2</w:t>
            </w:r>
            <w:r>
              <w:rPr>
                <w:color w:val="auto"/>
                <w:kern w:val="10"/>
                <w:sz w:val="21"/>
                <w:szCs w:val="21"/>
              </w:rPr>
              <w:t>S</w:t>
            </w:r>
          </w:p>
        </w:tc>
        <w:tc>
          <w:tcPr>
            <w:tcW w:w="2452" w:type="dxa"/>
            <w:gridSpan w:val="2"/>
            <w:tcBorders>
              <w:tl2br w:val="nil"/>
              <w:tr2bl w:val="nil"/>
            </w:tcBorders>
            <w:vAlign w:val="center"/>
          </w:tcPr>
          <w:p>
            <w:pPr>
              <w:spacing w:line="320" w:lineRule="exact"/>
              <w:ind w:firstLine="0" w:firstLineChars="0"/>
              <w:jc w:val="center"/>
              <w:rPr>
                <w:color w:val="auto"/>
                <w:kern w:val="10"/>
                <w:sz w:val="21"/>
                <w:szCs w:val="21"/>
              </w:rPr>
            </w:pPr>
            <w:r>
              <w:rPr>
                <w:rFonts w:hint="eastAsia"/>
                <w:color w:val="auto"/>
                <w:kern w:val="10"/>
                <w:sz w:val="21"/>
                <w:szCs w:val="21"/>
              </w:rPr>
              <w:t>0.0284t/a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2938" w:type="dxa"/>
            <w:gridSpan w:val="3"/>
            <w:vMerge w:val="continue"/>
            <w:tcBorders>
              <w:tl2br w:val="nil"/>
              <w:tr2bl w:val="nil"/>
            </w:tcBorders>
            <w:vAlign w:val="center"/>
          </w:tcPr>
          <w:p>
            <w:pPr>
              <w:adjustRightInd/>
              <w:snapToGrid/>
              <w:spacing w:line="240" w:lineRule="auto"/>
              <w:ind w:firstLine="400"/>
              <w:jc w:val="center"/>
              <w:rPr>
                <w:color w:val="auto"/>
                <w:sz w:val="20"/>
                <w:szCs w:val="20"/>
              </w:rPr>
            </w:pPr>
          </w:p>
        </w:tc>
        <w:tc>
          <w:tcPr>
            <w:tcW w:w="4004" w:type="dxa"/>
            <w:gridSpan w:val="3"/>
            <w:tcBorders>
              <w:tl2br w:val="nil"/>
              <w:tr2bl w:val="nil"/>
            </w:tcBorders>
            <w:vAlign w:val="center"/>
          </w:tcPr>
          <w:p>
            <w:pPr>
              <w:spacing w:line="320" w:lineRule="exact"/>
              <w:ind w:firstLine="0" w:firstLineChars="0"/>
              <w:jc w:val="center"/>
              <w:rPr>
                <w:color w:val="auto"/>
                <w:kern w:val="10"/>
                <w:sz w:val="21"/>
                <w:szCs w:val="21"/>
              </w:rPr>
            </w:pPr>
            <w:r>
              <w:rPr>
                <w:rFonts w:hint="eastAsia"/>
                <w:color w:val="auto"/>
                <w:kern w:val="10"/>
                <w:sz w:val="21"/>
                <w:szCs w:val="21"/>
              </w:rPr>
              <w:t>SO</w:t>
            </w:r>
            <w:r>
              <w:rPr>
                <w:rFonts w:hint="eastAsia"/>
                <w:color w:val="auto"/>
                <w:kern w:val="10"/>
                <w:sz w:val="21"/>
                <w:szCs w:val="21"/>
                <w:vertAlign w:val="subscript"/>
              </w:rPr>
              <w:t>2</w:t>
            </w:r>
          </w:p>
        </w:tc>
        <w:tc>
          <w:tcPr>
            <w:tcW w:w="2452" w:type="dxa"/>
            <w:gridSpan w:val="2"/>
            <w:tcBorders>
              <w:tl2br w:val="nil"/>
              <w:tr2bl w:val="nil"/>
            </w:tcBorders>
            <w:vAlign w:val="center"/>
          </w:tcPr>
          <w:p>
            <w:pPr>
              <w:spacing w:line="240" w:lineRule="auto"/>
              <w:ind w:firstLine="0" w:firstLineChars="0"/>
              <w:jc w:val="center"/>
              <w:rPr>
                <w:color w:val="auto"/>
                <w:kern w:val="10"/>
                <w:sz w:val="21"/>
                <w:szCs w:val="21"/>
              </w:rPr>
            </w:pPr>
            <w:r>
              <w:rPr>
                <w:rFonts w:hint="eastAsia"/>
                <w:color w:val="auto"/>
                <w:sz w:val="21"/>
                <w:szCs w:val="21"/>
              </w:rPr>
              <w:t>0.0</w:t>
            </w:r>
            <w:r>
              <w:rPr>
                <w:rFonts w:hint="eastAsia"/>
                <w:color w:val="auto"/>
                <w:sz w:val="21"/>
                <w:szCs w:val="21"/>
                <w:lang w:val="en-US" w:eastAsia="zh-CN"/>
              </w:rPr>
              <w:t>15</w:t>
            </w:r>
            <w:r>
              <w:rPr>
                <w:rFonts w:hint="eastAsia"/>
                <w:color w:val="auto"/>
                <w:sz w:val="21"/>
                <w:szCs w:val="21"/>
              </w:rPr>
              <w:t>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2938" w:type="dxa"/>
            <w:gridSpan w:val="3"/>
            <w:vMerge w:val="continue"/>
            <w:tcBorders>
              <w:tl2br w:val="nil"/>
              <w:tr2bl w:val="nil"/>
            </w:tcBorders>
            <w:vAlign w:val="center"/>
          </w:tcPr>
          <w:p>
            <w:pPr>
              <w:adjustRightInd/>
              <w:snapToGrid/>
              <w:spacing w:line="240" w:lineRule="auto"/>
              <w:ind w:firstLine="400"/>
              <w:jc w:val="center"/>
              <w:rPr>
                <w:color w:val="auto"/>
                <w:sz w:val="20"/>
                <w:szCs w:val="20"/>
              </w:rPr>
            </w:pPr>
          </w:p>
        </w:tc>
        <w:tc>
          <w:tcPr>
            <w:tcW w:w="4004" w:type="dxa"/>
            <w:gridSpan w:val="3"/>
            <w:tcBorders>
              <w:tl2br w:val="nil"/>
              <w:tr2bl w:val="nil"/>
            </w:tcBorders>
            <w:vAlign w:val="center"/>
          </w:tcPr>
          <w:p>
            <w:pPr>
              <w:spacing w:line="320" w:lineRule="exact"/>
              <w:ind w:firstLine="0" w:firstLineChars="0"/>
              <w:jc w:val="center"/>
              <w:rPr>
                <w:color w:val="auto"/>
                <w:kern w:val="10"/>
                <w:sz w:val="21"/>
                <w:szCs w:val="21"/>
              </w:rPr>
            </w:pPr>
            <w:r>
              <w:rPr>
                <w:rFonts w:hint="eastAsia"/>
                <w:color w:val="auto"/>
                <w:kern w:val="10"/>
                <w:sz w:val="21"/>
                <w:szCs w:val="21"/>
              </w:rPr>
              <w:t>烟尘</w:t>
            </w:r>
          </w:p>
        </w:tc>
        <w:tc>
          <w:tcPr>
            <w:tcW w:w="2452" w:type="dxa"/>
            <w:gridSpan w:val="2"/>
            <w:tcBorders>
              <w:tl2br w:val="nil"/>
              <w:tr2bl w:val="nil"/>
            </w:tcBorders>
            <w:vAlign w:val="center"/>
          </w:tcPr>
          <w:p>
            <w:pPr>
              <w:spacing w:line="240" w:lineRule="auto"/>
              <w:ind w:firstLine="0" w:firstLineChars="0"/>
              <w:jc w:val="center"/>
              <w:rPr>
                <w:color w:val="auto"/>
                <w:kern w:val="10"/>
                <w:sz w:val="21"/>
                <w:szCs w:val="21"/>
              </w:rPr>
            </w:pPr>
            <w:r>
              <w:rPr>
                <w:rFonts w:hint="eastAsia"/>
                <w:color w:val="auto"/>
                <w:sz w:val="21"/>
                <w:szCs w:val="21"/>
              </w:rPr>
              <w:t>0.0</w:t>
            </w:r>
            <w:r>
              <w:rPr>
                <w:rFonts w:hint="eastAsia"/>
                <w:color w:val="auto"/>
                <w:sz w:val="21"/>
                <w:szCs w:val="21"/>
                <w:lang w:val="en-US" w:eastAsia="zh-CN"/>
              </w:rPr>
              <w:t>26</w:t>
            </w:r>
            <w:r>
              <w:rPr>
                <w:rFonts w:hint="eastAsia"/>
                <w:color w:val="auto"/>
                <w:sz w:val="21"/>
                <w:szCs w:val="21"/>
              </w:rPr>
              <w:t>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2938" w:type="dxa"/>
            <w:gridSpan w:val="3"/>
            <w:vMerge w:val="continue"/>
            <w:tcBorders>
              <w:tl2br w:val="nil"/>
              <w:tr2bl w:val="nil"/>
            </w:tcBorders>
            <w:vAlign w:val="center"/>
          </w:tcPr>
          <w:p>
            <w:pPr>
              <w:adjustRightInd/>
              <w:snapToGrid/>
              <w:spacing w:line="240" w:lineRule="auto"/>
              <w:ind w:firstLine="400"/>
              <w:jc w:val="center"/>
              <w:rPr>
                <w:color w:val="auto"/>
                <w:sz w:val="20"/>
                <w:szCs w:val="20"/>
              </w:rPr>
            </w:pPr>
          </w:p>
        </w:tc>
        <w:tc>
          <w:tcPr>
            <w:tcW w:w="4004" w:type="dxa"/>
            <w:gridSpan w:val="3"/>
            <w:tcBorders>
              <w:tl2br w:val="nil"/>
              <w:tr2bl w:val="nil"/>
            </w:tcBorders>
            <w:vAlign w:val="center"/>
          </w:tcPr>
          <w:p>
            <w:pPr>
              <w:spacing w:line="320" w:lineRule="exact"/>
              <w:ind w:firstLine="0" w:firstLineChars="0"/>
              <w:jc w:val="center"/>
              <w:rPr>
                <w:color w:val="auto"/>
                <w:kern w:val="10"/>
                <w:sz w:val="21"/>
                <w:szCs w:val="21"/>
              </w:rPr>
            </w:pPr>
            <w:r>
              <w:rPr>
                <w:rFonts w:hint="eastAsia"/>
                <w:color w:val="auto"/>
                <w:kern w:val="10"/>
                <w:sz w:val="21"/>
                <w:szCs w:val="21"/>
              </w:rPr>
              <w:t>NO</w:t>
            </w:r>
            <w:r>
              <w:rPr>
                <w:rFonts w:hint="eastAsia"/>
                <w:color w:val="auto"/>
                <w:kern w:val="10"/>
                <w:sz w:val="21"/>
                <w:szCs w:val="21"/>
                <w:vertAlign w:val="subscript"/>
              </w:rPr>
              <w:t>X</w:t>
            </w:r>
          </w:p>
        </w:tc>
        <w:tc>
          <w:tcPr>
            <w:tcW w:w="2452" w:type="dxa"/>
            <w:gridSpan w:val="2"/>
            <w:tcBorders>
              <w:tl2br w:val="nil"/>
              <w:tr2bl w:val="nil"/>
            </w:tcBorders>
            <w:vAlign w:val="center"/>
          </w:tcPr>
          <w:p>
            <w:pPr>
              <w:spacing w:line="240" w:lineRule="auto"/>
              <w:ind w:firstLine="0" w:firstLineChars="0"/>
              <w:jc w:val="center"/>
              <w:rPr>
                <w:color w:val="auto"/>
                <w:kern w:val="10"/>
                <w:sz w:val="21"/>
                <w:szCs w:val="21"/>
              </w:rPr>
            </w:pPr>
            <w:r>
              <w:rPr>
                <w:rFonts w:hint="eastAsia"/>
                <w:color w:val="auto"/>
                <w:sz w:val="21"/>
                <w:szCs w:val="21"/>
              </w:rPr>
              <w:t>0.0</w:t>
            </w:r>
            <w:r>
              <w:rPr>
                <w:rFonts w:hint="eastAsia"/>
                <w:color w:val="auto"/>
                <w:sz w:val="21"/>
                <w:szCs w:val="21"/>
                <w:lang w:val="en-US" w:eastAsia="zh-CN"/>
              </w:rPr>
              <w:t>65</w:t>
            </w:r>
            <w:r>
              <w:rPr>
                <w:rFonts w:hint="eastAsia"/>
                <w:color w:val="auto"/>
                <w:sz w:val="21"/>
                <w:szCs w:val="21"/>
              </w:rPr>
              <w:t>t/a</w:t>
            </w:r>
          </w:p>
        </w:tc>
      </w:tr>
    </w:tbl>
    <w:p>
      <w:pPr>
        <w:pStyle w:val="51"/>
        <w:ind w:firstLine="482"/>
        <w:jc w:val="center"/>
        <w:rPr>
          <w:rFonts w:ascii="Times New Roman" w:hAnsi="Times New Roman"/>
          <w:b/>
          <w:bCs/>
          <w:color w:val="auto"/>
        </w:rPr>
      </w:pPr>
      <w:r>
        <w:rPr>
          <w:rFonts w:ascii="Times New Roman" w:hAnsi="Times New Roman"/>
          <w:b/>
          <w:bCs/>
          <w:color w:val="auto"/>
        </w:rPr>
        <w:t>表</w:t>
      </w:r>
      <w:bookmarkEnd w:id="541"/>
      <w:r>
        <w:rPr>
          <w:rFonts w:hint="eastAsia" w:ascii="Times New Roman" w:hAnsi="Times New Roman"/>
          <w:b/>
          <w:bCs/>
          <w:color w:val="auto"/>
        </w:rPr>
        <w:t>5.2-16</w:t>
      </w:r>
      <w:r>
        <w:rPr>
          <w:rFonts w:ascii="Times New Roman" w:hAnsi="Times New Roman"/>
          <w:b/>
          <w:bCs/>
          <w:color w:val="auto"/>
        </w:rPr>
        <w:t xml:space="preserve">  大气污染物年排放量核算表</w:t>
      </w:r>
    </w:p>
    <w:tbl>
      <w:tblPr>
        <w:tblStyle w:val="27"/>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07"/>
        <w:gridCol w:w="3523"/>
        <w:gridCol w:w="369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tblHeader/>
          <w:jc w:val="center"/>
        </w:trPr>
        <w:tc>
          <w:tcPr>
            <w:tcW w:w="2107" w:type="dxa"/>
            <w:tcBorders>
              <w:tl2br w:val="nil"/>
              <w:tr2bl w:val="nil"/>
            </w:tcBorders>
            <w:vAlign w:val="center"/>
          </w:tcPr>
          <w:p>
            <w:pPr>
              <w:spacing w:line="320" w:lineRule="exact"/>
              <w:ind w:firstLine="0" w:firstLineChars="0"/>
              <w:jc w:val="center"/>
              <w:rPr>
                <w:color w:val="auto"/>
                <w:kern w:val="10"/>
                <w:sz w:val="21"/>
                <w:szCs w:val="21"/>
              </w:rPr>
            </w:pPr>
            <w:r>
              <w:rPr>
                <w:color w:val="auto"/>
                <w:kern w:val="10"/>
                <w:sz w:val="21"/>
                <w:szCs w:val="21"/>
              </w:rPr>
              <w:t>序号</w:t>
            </w:r>
          </w:p>
        </w:tc>
        <w:tc>
          <w:tcPr>
            <w:tcW w:w="3523" w:type="dxa"/>
            <w:tcBorders>
              <w:tl2br w:val="nil"/>
              <w:tr2bl w:val="nil"/>
            </w:tcBorders>
            <w:vAlign w:val="center"/>
          </w:tcPr>
          <w:p>
            <w:pPr>
              <w:spacing w:line="320" w:lineRule="exact"/>
              <w:ind w:firstLine="0" w:firstLineChars="0"/>
              <w:jc w:val="center"/>
              <w:rPr>
                <w:color w:val="auto"/>
                <w:kern w:val="10"/>
                <w:sz w:val="21"/>
                <w:szCs w:val="21"/>
              </w:rPr>
            </w:pPr>
            <w:r>
              <w:rPr>
                <w:color w:val="auto"/>
                <w:kern w:val="10"/>
                <w:sz w:val="21"/>
                <w:szCs w:val="21"/>
              </w:rPr>
              <w:t>污染物</w:t>
            </w:r>
          </w:p>
        </w:tc>
        <w:tc>
          <w:tcPr>
            <w:tcW w:w="3694" w:type="dxa"/>
            <w:tcBorders>
              <w:tl2br w:val="nil"/>
              <w:tr2bl w:val="nil"/>
            </w:tcBorders>
            <w:vAlign w:val="center"/>
          </w:tcPr>
          <w:p>
            <w:pPr>
              <w:spacing w:line="320" w:lineRule="exact"/>
              <w:ind w:firstLine="0" w:firstLineChars="0"/>
              <w:jc w:val="center"/>
              <w:rPr>
                <w:color w:val="auto"/>
                <w:kern w:val="10"/>
                <w:sz w:val="21"/>
                <w:szCs w:val="21"/>
              </w:rPr>
            </w:pPr>
            <w:r>
              <w:rPr>
                <w:color w:val="auto"/>
                <w:kern w:val="10"/>
                <w:sz w:val="21"/>
                <w:szCs w:val="21"/>
              </w:rPr>
              <w:t>年排放量</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2107" w:type="dxa"/>
            <w:tcBorders>
              <w:tl2br w:val="nil"/>
              <w:tr2bl w:val="nil"/>
            </w:tcBorders>
            <w:vAlign w:val="center"/>
          </w:tcPr>
          <w:p>
            <w:pPr>
              <w:spacing w:line="320" w:lineRule="exact"/>
              <w:ind w:firstLine="0" w:firstLineChars="0"/>
              <w:jc w:val="center"/>
              <w:rPr>
                <w:color w:val="auto"/>
                <w:kern w:val="10"/>
                <w:sz w:val="21"/>
                <w:szCs w:val="21"/>
              </w:rPr>
            </w:pPr>
            <w:r>
              <w:rPr>
                <w:color w:val="auto"/>
                <w:kern w:val="10"/>
                <w:sz w:val="21"/>
                <w:szCs w:val="21"/>
              </w:rPr>
              <w:t>1</w:t>
            </w:r>
          </w:p>
        </w:tc>
        <w:tc>
          <w:tcPr>
            <w:tcW w:w="3523" w:type="dxa"/>
            <w:tcBorders>
              <w:tl2br w:val="nil"/>
              <w:tr2bl w:val="nil"/>
            </w:tcBorders>
            <w:vAlign w:val="center"/>
          </w:tcPr>
          <w:p>
            <w:pPr>
              <w:spacing w:line="320" w:lineRule="exact"/>
              <w:ind w:firstLine="0" w:firstLineChars="0"/>
              <w:jc w:val="center"/>
              <w:rPr>
                <w:color w:val="auto"/>
                <w:kern w:val="10"/>
                <w:sz w:val="21"/>
                <w:szCs w:val="21"/>
              </w:rPr>
            </w:pPr>
            <w:r>
              <w:rPr>
                <w:color w:val="auto"/>
                <w:kern w:val="10"/>
                <w:sz w:val="21"/>
                <w:szCs w:val="21"/>
              </w:rPr>
              <w:t>NH</w:t>
            </w:r>
            <w:r>
              <w:rPr>
                <w:color w:val="auto"/>
                <w:kern w:val="10"/>
                <w:sz w:val="21"/>
                <w:szCs w:val="21"/>
                <w:vertAlign w:val="subscript"/>
              </w:rPr>
              <w:t>3</w:t>
            </w:r>
          </w:p>
        </w:tc>
        <w:tc>
          <w:tcPr>
            <w:tcW w:w="3694" w:type="dxa"/>
            <w:tcBorders>
              <w:tl2br w:val="nil"/>
              <w:tr2bl w:val="nil"/>
            </w:tcBorders>
            <w:vAlign w:val="center"/>
          </w:tcPr>
          <w:p>
            <w:pPr>
              <w:spacing w:line="320" w:lineRule="exact"/>
              <w:ind w:firstLine="0" w:firstLineChars="0"/>
              <w:jc w:val="center"/>
              <w:rPr>
                <w:color w:val="auto"/>
                <w:kern w:val="10"/>
                <w:sz w:val="21"/>
                <w:szCs w:val="21"/>
              </w:rPr>
            </w:pPr>
            <w:r>
              <w:rPr>
                <w:rFonts w:hint="eastAsia"/>
                <w:color w:val="auto"/>
                <w:kern w:val="10"/>
                <w:sz w:val="21"/>
                <w:szCs w:val="21"/>
              </w:rPr>
              <w:t>0.473t/a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107" w:type="dxa"/>
            <w:tcBorders>
              <w:tl2br w:val="nil"/>
              <w:tr2bl w:val="nil"/>
            </w:tcBorders>
            <w:vAlign w:val="center"/>
          </w:tcPr>
          <w:p>
            <w:pPr>
              <w:spacing w:line="320" w:lineRule="exact"/>
              <w:ind w:firstLine="0" w:firstLineChars="0"/>
              <w:jc w:val="center"/>
              <w:rPr>
                <w:color w:val="auto"/>
                <w:kern w:val="10"/>
                <w:sz w:val="21"/>
                <w:szCs w:val="21"/>
              </w:rPr>
            </w:pPr>
            <w:r>
              <w:rPr>
                <w:color w:val="auto"/>
                <w:kern w:val="10"/>
                <w:sz w:val="21"/>
                <w:szCs w:val="21"/>
              </w:rPr>
              <w:t>2</w:t>
            </w:r>
          </w:p>
        </w:tc>
        <w:tc>
          <w:tcPr>
            <w:tcW w:w="3523" w:type="dxa"/>
            <w:tcBorders>
              <w:tl2br w:val="nil"/>
              <w:tr2bl w:val="nil"/>
            </w:tcBorders>
            <w:vAlign w:val="center"/>
          </w:tcPr>
          <w:p>
            <w:pPr>
              <w:spacing w:line="320" w:lineRule="exact"/>
              <w:ind w:firstLine="0" w:firstLineChars="0"/>
              <w:jc w:val="center"/>
              <w:rPr>
                <w:color w:val="auto"/>
                <w:kern w:val="10"/>
                <w:sz w:val="21"/>
                <w:szCs w:val="21"/>
              </w:rPr>
            </w:pPr>
            <w:r>
              <w:rPr>
                <w:color w:val="auto"/>
                <w:kern w:val="10"/>
                <w:sz w:val="21"/>
                <w:szCs w:val="21"/>
              </w:rPr>
              <w:t>H</w:t>
            </w:r>
            <w:r>
              <w:rPr>
                <w:color w:val="auto"/>
                <w:kern w:val="10"/>
                <w:sz w:val="21"/>
                <w:szCs w:val="21"/>
                <w:vertAlign w:val="subscript"/>
              </w:rPr>
              <w:t>2</w:t>
            </w:r>
            <w:r>
              <w:rPr>
                <w:color w:val="auto"/>
                <w:kern w:val="10"/>
                <w:sz w:val="21"/>
                <w:szCs w:val="21"/>
              </w:rPr>
              <w:t>S</w:t>
            </w:r>
          </w:p>
        </w:tc>
        <w:tc>
          <w:tcPr>
            <w:tcW w:w="3694" w:type="dxa"/>
            <w:tcBorders>
              <w:tl2br w:val="nil"/>
              <w:tr2bl w:val="nil"/>
            </w:tcBorders>
            <w:vAlign w:val="center"/>
          </w:tcPr>
          <w:p>
            <w:pPr>
              <w:spacing w:line="320" w:lineRule="exact"/>
              <w:ind w:firstLine="0" w:firstLineChars="0"/>
              <w:jc w:val="center"/>
              <w:rPr>
                <w:color w:val="auto"/>
                <w:kern w:val="10"/>
                <w:sz w:val="21"/>
                <w:szCs w:val="21"/>
              </w:rPr>
            </w:pPr>
            <w:r>
              <w:rPr>
                <w:rFonts w:hint="eastAsia"/>
                <w:color w:val="auto"/>
                <w:kern w:val="10"/>
                <w:sz w:val="21"/>
                <w:szCs w:val="21"/>
              </w:rPr>
              <w:t>0.0284t/a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2107" w:type="dxa"/>
            <w:tcBorders>
              <w:tl2br w:val="nil"/>
              <w:tr2bl w:val="nil"/>
            </w:tcBorders>
            <w:vAlign w:val="center"/>
          </w:tcPr>
          <w:p>
            <w:pPr>
              <w:spacing w:line="320" w:lineRule="exact"/>
              <w:ind w:firstLine="0" w:firstLineChars="0"/>
              <w:jc w:val="center"/>
              <w:rPr>
                <w:color w:val="auto"/>
                <w:kern w:val="10"/>
                <w:sz w:val="21"/>
                <w:szCs w:val="21"/>
              </w:rPr>
            </w:pPr>
            <w:r>
              <w:rPr>
                <w:color w:val="auto"/>
                <w:kern w:val="10"/>
                <w:sz w:val="21"/>
                <w:szCs w:val="21"/>
              </w:rPr>
              <w:t>3</w:t>
            </w:r>
          </w:p>
        </w:tc>
        <w:tc>
          <w:tcPr>
            <w:tcW w:w="3523" w:type="dxa"/>
            <w:tcBorders>
              <w:tl2br w:val="nil"/>
              <w:tr2bl w:val="nil"/>
            </w:tcBorders>
            <w:vAlign w:val="center"/>
          </w:tcPr>
          <w:p>
            <w:pPr>
              <w:spacing w:line="320" w:lineRule="exact"/>
              <w:ind w:firstLine="0" w:firstLineChars="0"/>
              <w:jc w:val="center"/>
              <w:rPr>
                <w:color w:val="auto"/>
                <w:kern w:val="10"/>
                <w:sz w:val="21"/>
                <w:szCs w:val="21"/>
              </w:rPr>
            </w:pPr>
            <w:r>
              <w:rPr>
                <w:rFonts w:hint="eastAsia"/>
                <w:color w:val="auto"/>
                <w:kern w:val="10"/>
                <w:sz w:val="21"/>
                <w:szCs w:val="21"/>
              </w:rPr>
              <w:t>SO</w:t>
            </w:r>
            <w:r>
              <w:rPr>
                <w:rFonts w:hint="eastAsia"/>
                <w:color w:val="auto"/>
                <w:kern w:val="10"/>
                <w:sz w:val="21"/>
                <w:szCs w:val="21"/>
                <w:vertAlign w:val="subscript"/>
              </w:rPr>
              <w:t>2</w:t>
            </w:r>
          </w:p>
        </w:tc>
        <w:tc>
          <w:tcPr>
            <w:tcW w:w="3694" w:type="dxa"/>
            <w:tcBorders>
              <w:tl2br w:val="nil"/>
              <w:tr2bl w:val="nil"/>
            </w:tcBorders>
            <w:vAlign w:val="center"/>
          </w:tcPr>
          <w:p>
            <w:pPr>
              <w:spacing w:line="240" w:lineRule="auto"/>
              <w:ind w:firstLine="0" w:firstLineChars="0"/>
              <w:jc w:val="center"/>
              <w:rPr>
                <w:color w:val="auto"/>
                <w:kern w:val="10"/>
                <w:sz w:val="21"/>
                <w:szCs w:val="21"/>
              </w:rPr>
            </w:pPr>
            <w:r>
              <w:rPr>
                <w:rFonts w:hint="eastAsia"/>
                <w:color w:val="auto"/>
                <w:sz w:val="21"/>
                <w:szCs w:val="21"/>
              </w:rPr>
              <w:t>0.0</w:t>
            </w:r>
            <w:r>
              <w:rPr>
                <w:rFonts w:hint="eastAsia"/>
                <w:color w:val="auto"/>
                <w:sz w:val="21"/>
                <w:szCs w:val="21"/>
                <w:lang w:val="en-US" w:eastAsia="zh-CN"/>
              </w:rPr>
              <w:t>15</w:t>
            </w:r>
            <w:r>
              <w:rPr>
                <w:rFonts w:hint="eastAsia"/>
                <w:color w:val="auto"/>
                <w:sz w:val="21"/>
                <w:szCs w:val="21"/>
              </w:rPr>
              <w:t>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2107" w:type="dxa"/>
            <w:tcBorders>
              <w:tl2br w:val="nil"/>
              <w:tr2bl w:val="nil"/>
            </w:tcBorders>
            <w:vAlign w:val="center"/>
          </w:tcPr>
          <w:p>
            <w:pPr>
              <w:spacing w:line="320" w:lineRule="exact"/>
              <w:ind w:firstLine="0" w:firstLineChars="0"/>
              <w:jc w:val="center"/>
              <w:rPr>
                <w:color w:val="auto"/>
                <w:kern w:val="10"/>
                <w:sz w:val="21"/>
                <w:szCs w:val="21"/>
              </w:rPr>
            </w:pPr>
            <w:r>
              <w:rPr>
                <w:color w:val="auto"/>
                <w:kern w:val="10"/>
                <w:sz w:val="21"/>
                <w:szCs w:val="21"/>
              </w:rPr>
              <w:t>4</w:t>
            </w:r>
          </w:p>
        </w:tc>
        <w:tc>
          <w:tcPr>
            <w:tcW w:w="3523" w:type="dxa"/>
            <w:tcBorders>
              <w:tl2br w:val="nil"/>
              <w:tr2bl w:val="nil"/>
            </w:tcBorders>
            <w:vAlign w:val="center"/>
          </w:tcPr>
          <w:p>
            <w:pPr>
              <w:spacing w:line="320" w:lineRule="exact"/>
              <w:ind w:firstLine="0" w:firstLineChars="0"/>
              <w:jc w:val="center"/>
              <w:rPr>
                <w:color w:val="auto"/>
                <w:kern w:val="10"/>
                <w:sz w:val="21"/>
                <w:szCs w:val="21"/>
              </w:rPr>
            </w:pPr>
            <w:r>
              <w:rPr>
                <w:rFonts w:hint="eastAsia"/>
                <w:color w:val="auto"/>
                <w:kern w:val="10"/>
                <w:sz w:val="21"/>
                <w:szCs w:val="21"/>
              </w:rPr>
              <w:t>烟尘</w:t>
            </w:r>
          </w:p>
        </w:tc>
        <w:tc>
          <w:tcPr>
            <w:tcW w:w="3694" w:type="dxa"/>
            <w:tcBorders>
              <w:tl2br w:val="nil"/>
              <w:tr2bl w:val="nil"/>
            </w:tcBorders>
            <w:vAlign w:val="center"/>
          </w:tcPr>
          <w:p>
            <w:pPr>
              <w:spacing w:line="240" w:lineRule="auto"/>
              <w:ind w:firstLine="0" w:firstLineChars="0"/>
              <w:jc w:val="center"/>
              <w:rPr>
                <w:color w:val="auto"/>
                <w:kern w:val="10"/>
                <w:sz w:val="21"/>
                <w:szCs w:val="21"/>
              </w:rPr>
            </w:pPr>
            <w:r>
              <w:rPr>
                <w:rFonts w:hint="eastAsia"/>
                <w:color w:val="auto"/>
                <w:sz w:val="21"/>
                <w:szCs w:val="21"/>
              </w:rPr>
              <w:t>0.0</w:t>
            </w:r>
            <w:r>
              <w:rPr>
                <w:rFonts w:hint="eastAsia"/>
                <w:color w:val="auto"/>
                <w:sz w:val="21"/>
                <w:szCs w:val="21"/>
                <w:lang w:val="en-US" w:eastAsia="zh-CN"/>
              </w:rPr>
              <w:t>26</w:t>
            </w:r>
            <w:r>
              <w:rPr>
                <w:rFonts w:hint="eastAsia"/>
                <w:color w:val="auto"/>
                <w:sz w:val="21"/>
                <w:szCs w:val="21"/>
              </w:rPr>
              <w:t>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2107" w:type="dxa"/>
            <w:tcBorders>
              <w:tl2br w:val="nil"/>
              <w:tr2bl w:val="nil"/>
            </w:tcBorders>
            <w:vAlign w:val="center"/>
          </w:tcPr>
          <w:p>
            <w:pPr>
              <w:spacing w:line="320" w:lineRule="exact"/>
              <w:ind w:firstLine="0" w:firstLineChars="0"/>
              <w:jc w:val="center"/>
              <w:rPr>
                <w:color w:val="auto"/>
                <w:kern w:val="10"/>
                <w:sz w:val="21"/>
                <w:szCs w:val="21"/>
              </w:rPr>
            </w:pPr>
            <w:r>
              <w:rPr>
                <w:color w:val="auto"/>
                <w:kern w:val="10"/>
                <w:sz w:val="21"/>
                <w:szCs w:val="21"/>
              </w:rPr>
              <w:t>5</w:t>
            </w:r>
          </w:p>
        </w:tc>
        <w:tc>
          <w:tcPr>
            <w:tcW w:w="3523" w:type="dxa"/>
            <w:tcBorders>
              <w:tl2br w:val="nil"/>
              <w:tr2bl w:val="nil"/>
            </w:tcBorders>
            <w:vAlign w:val="center"/>
          </w:tcPr>
          <w:p>
            <w:pPr>
              <w:spacing w:line="320" w:lineRule="exact"/>
              <w:ind w:firstLine="0" w:firstLineChars="0"/>
              <w:jc w:val="center"/>
              <w:rPr>
                <w:color w:val="auto"/>
                <w:kern w:val="10"/>
                <w:sz w:val="21"/>
                <w:szCs w:val="21"/>
              </w:rPr>
            </w:pPr>
            <w:r>
              <w:rPr>
                <w:rFonts w:hint="eastAsia"/>
                <w:color w:val="auto"/>
                <w:kern w:val="10"/>
                <w:sz w:val="21"/>
                <w:szCs w:val="21"/>
              </w:rPr>
              <w:t>NO</w:t>
            </w:r>
            <w:r>
              <w:rPr>
                <w:rFonts w:hint="eastAsia"/>
                <w:color w:val="auto"/>
                <w:kern w:val="10"/>
                <w:sz w:val="21"/>
                <w:szCs w:val="21"/>
                <w:vertAlign w:val="subscript"/>
              </w:rPr>
              <w:t>X</w:t>
            </w:r>
          </w:p>
        </w:tc>
        <w:tc>
          <w:tcPr>
            <w:tcW w:w="3694" w:type="dxa"/>
            <w:tcBorders>
              <w:tl2br w:val="nil"/>
              <w:tr2bl w:val="nil"/>
            </w:tcBorders>
            <w:vAlign w:val="center"/>
          </w:tcPr>
          <w:p>
            <w:pPr>
              <w:spacing w:line="240" w:lineRule="auto"/>
              <w:ind w:firstLine="0" w:firstLineChars="0"/>
              <w:jc w:val="center"/>
              <w:rPr>
                <w:color w:val="auto"/>
                <w:kern w:val="10"/>
                <w:sz w:val="21"/>
                <w:szCs w:val="21"/>
              </w:rPr>
            </w:pPr>
            <w:r>
              <w:rPr>
                <w:rFonts w:hint="eastAsia"/>
                <w:color w:val="auto"/>
                <w:sz w:val="21"/>
                <w:szCs w:val="21"/>
              </w:rPr>
              <w:t>0.0</w:t>
            </w:r>
            <w:r>
              <w:rPr>
                <w:rFonts w:hint="eastAsia"/>
                <w:color w:val="auto"/>
                <w:sz w:val="21"/>
                <w:szCs w:val="21"/>
                <w:lang w:val="en-US" w:eastAsia="zh-CN"/>
              </w:rPr>
              <w:t>65</w:t>
            </w:r>
            <w:r>
              <w:rPr>
                <w:rFonts w:hint="eastAsia"/>
                <w:color w:val="auto"/>
                <w:sz w:val="21"/>
                <w:szCs w:val="21"/>
              </w:rPr>
              <w:t>t/a</w:t>
            </w:r>
          </w:p>
        </w:tc>
      </w:tr>
    </w:tbl>
    <w:p>
      <w:pPr>
        <w:ind w:firstLine="480"/>
        <w:jc w:val="left"/>
        <w:rPr>
          <w:color w:val="auto"/>
        </w:rPr>
      </w:pPr>
      <w:r>
        <w:rPr>
          <w:color w:val="auto"/>
        </w:rPr>
        <w:t>综上所述，本项目产生的废气经上述措施治理后，不会对周围及敏感点大气环境造成明显的不良影响。</w:t>
      </w:r>
    </w:p>
    <w:p>
      <w:pPr>
        <w:ind w:firstLine="482"/>
        <w:jc w:val="center"/>
        <w:rPr>
          <w:color w:val="auto"/>
        </w:rPr>
      </w:pPr>
      <w:r>
        <w:rPr>
          <w:b/>
          <w:color w:val="auto"/>
        </w:rPr>
        <w:t>建设项目大气环境影响评价自查表</w:t>
      </w:r>
    </w:p>
    <w:tbl>
      <w:tblPr>
        <w:tblStyle w:val="28"/>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00"/>
        <w:gridCol w:w="1855"/>
        <w:gridCol w:w="959"/>
        <w:gridCol w:w="368"/>
        <w:gridCol w:w="112"/>
        <w:gridCol w:w="256"/>
        <w:gridCol w:w="124"/>
        <w:gridCol w:w="116"/>
        <w:gridCol w:w="553"/>
        <w:gridCol w:w="261"/>
        <w:gridCol w:w="114"/>
        <w:gridCol w:w="103"/>
        <w:gridCol w:w="505"/>
        <w:gridCol w:w="408"/>
        <w:gridCol w:w="177"/>
        <w:gridCol w:w="559"/>
        <w:gridCol w:w="68"/>
        <w:gridCol w:w="168"/>
        <w:gridCol w:w="232"/>
        <w:gridCol w:w="478"/>
        <w:gridCol w:w="77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55" w:type="dxa"/>
            <w:gridSpan w:val="2"/>
            <w:tcBorders>
              <w:tl2br w:val="nil"/>
              <w:tr2bl w:val="nil"/>
            </w:tcBorders>
            <w:vAlign w:val="center"/>
          </w:tcPr>
          <w:p>
            <w:pPr>
              <w:adjustRightInd/>
              <w:snapToGrid/>
              <w:spacing w:line="240" w:lineRule="auto"/>
              <w:ind w:firstLine="0" w:firstLineChars="0"/>
              <w:jc w:val="center"/>
              <w:rPr>
                <w:bCs/>
                <w:color w:val="auto"/>
                <w:sz w:val="21"/>
                <w:szCs w:val="21"/>
              </w:rPr>
            </w:pPr>
            <w:r>
              <w:rPr>
                <w:bCs/>
                <w:color w:val="auto"/>
                <w:position w:val="-1"/>
                <w:sz w:val="18"/>
                <w:szCs w:val="18"/>
              </w:rPr>
              <w:t>工作内容</w:t>
            </w:r>
          </w:p>
        </w:tc>
        <w:tc>
          <w:tcPr>
            <w:tcW w:w="6333" w:type="dxa"/>
            <w:gridSpan w:val="19"/>
            <w:tcBorders>
              <w:tl2br w:val="nil"/>
              <w:tr2bl w:val="nil"/>
            </w:tcBorders>
            <w:vAlign w:val="center"/>
          </w:tcPr>
          <w:p>
            <w:pPr>
              <w:adjustRightInd/>
              <w:snapToGrid/>
              <w:spacing w:line="240" w:lineRule="auto"/>
              <w:ind w:firstLine="0" w:firstLineChars="0"/>
              <w:jc w:val="center"/>
              <w:rPr>
                <w:bCs/>
                <w:color w:val="auto"/>
                <w:sz w:val="21"/>
                <w:szCs w:val="21"/>
              </w:rPr>
            </w:pPr>
            <w:r>
              <w:rPr>
                <w:bCs/>
                <w:color w:val="auto"/>
                <w:position w:val="-1"/>
                <w:sz w:val="18"/>
                <w:szCs w:val="18"/>
              </w:rPr>
              <w:t>自查项目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00" w:type="dxa"/>
            <w:vMerge w:val="restart"/>
            <w:tcBorders>
              <w:tl2br w:val="nil"/>
              <w:tr2bl w:val="nil"/>
            </w:tcBorders>
            <w:vAlign w:val="center"/>
          </w:tcPr>
          <w:p>
            <w:pPr>
              <w:adjustRightInd/>
              <w:snapToGrid/>
              <w:spacing w:before="7" w:line="240" w:lineRule="auto"/>
              <w:ind w:firstLine="0" w:firstLineChars="0"/>
              <w:jc w:val="center"/>
              <w:rPr>
                <w:bCs/>
                <w:color w:val="auto"/>
                <w:sz w:val="21"/>
                <w:szCs w:val="21"/>
              </w:rPr>
            </w:pPr>
            <w:r>
              <w:rPr>
                <w:bCs/>
                <w:color w:val="auto"/>
                <w:sz w:val="18"/>
                <w:szCs w:val="18"/>
              </w:rPr>
              <w:t>评价等级与范围</w:t>
            </w:r>
          </w:p>
        </w:tc>
        <w:tc>
          <w:tcPr>
            <w:tcW w:w="1855" w:type="dxa"/>
            <w:tcBorders>
              <w:tl2br w:val="nil"/>
              <w:tr2bl w:val="nil"/>
            </w:tcBorders>
            <w:vAlign w:val="center"/>
          </w:tcPr>
          <w:p>
            <w:pPr>
              <w:adjustRightInd/>
              <w:snapToGrid/>
              <w:spacing w:line="240" w:lineRule="auto"/>
              <w:ind w:firstLine="0" w:firstLineChars="0"/>
              <w:jc w:val="center"/>
              <w:rPr>
                <w:bCs/>
                <w:color w:val="auto"/>
                <w:sz w:val="21"/>
                <w:szCs w:val="21"/>
              </w:rPr>
            </w:pPr>
            <w:r>
              <w:rPr>
                <w:bCs/>
                <w:color w:val="auto"/>
                <w:position w:val="-1"/>
                <w:sz w:val="18"/>
                <w:szCs w:val="18"/>
              </w:rPr>
              <w:t>评价等级</w:t>
            </w:r>
          </w:p>
        </w:tc>
        <w:tc>
          <w:tcPr>
            <w:tcW w:w="2488" w:type="dxa"/>
            <w:gridSpan w:val="7"/>
            <w:tcBorders>
              <w:tl2br w:val="nil"/>
              <w:tr2bl w:val="nil"/>
            </w:tcBorders>
            <w:vAlign w:val="center"/>
          </w:tcPr>
          <w:p>
            <w:pPr>
              <w:adjustRightInd/>
              <w:snapToGrid/>
              <w:spacing w:line="240" w:lineRule="auto"/>
              <w:ind w:firstLine="0" w:firstLineChars="0"/>
              <w:jc w:val="center"/>
              <w:rPr>
                <w:rFonts w:eastAsia="仿宋"/>
                <w:bCs/>
                <w:color w:val="auto"/>
                <w:sz w:val="21"/>
                <w:szCs w:val="21"/>
              </w:rPr>
            </w:pPr>
            <w:r>
              <w:rPr>
                <w:bCs/>
                <w:color w:val="auto"/>
                <w:position w:val="-1"/>
                <w:sz w:val="18"/>
                <w:szCs w:val="18"/>
              </w:rPr>
              <w:t>一级</w:t>
            </w:r>
            <w:r>
              <w:rPr>
                <w:rFonts w:hint="eastAsia" w:eastAsia="仿宋"/>
                <w:bCs/>
                <w:color w:val="auto"/>
                <w:position w:val="-1"/>
                <w:sz w:val="18"/>
                <w:szCs w:val="18"/>
              </w:rPr>
              <w:sym w:font="Wingdings 2" w:char="0052"/>
            </w:r>
          </w:p>
        </w:tc>
        <w:tc>
          <w:tcPr>
            <w:tcW w:w="2195" w:type="dxa"/>
            <w:gridSpan w:val="8"/>
            <w:tcBorders>
              <w:tl2br w:val="nil"/>
              <w:tr2bl w:val="nil"/>
            </w:tcBorders>
            <w:vAlign w:val="center"/>
          </w:tcPr>
          <w:p>
            <w:pPr>
              <w:adjustRightInd/>
              <w:snapToGrid/>
              <w:spacing w:line="240" w:lineRule="auto"/>
              <w:ind w:firstLine="0" w:firstLineChars="0"/>
              <w:jc w:val="center"/>
              <w:rPr>
                <w:rFonts w:eastAsia="仿宋"/>
                <w:bCs/>
                <w:color w:val="auto"/>
                <w:sz w:val="21"/>
                <w:szCs w:val="21"/>
              </w:rPr>
            </w:pPr>
            <w:r>
              <w:rPr>
                <w:bCs/>
                <w:color w:val="auto"/>
                <w:position w:val="-1"/>
                <w:sz w:val="18"/>
                <w:szCs w:val="18"/>
              </w:rPr>
              <w:t>二级</w:t>
            </w:r>
            <w:r>
              <w:rPr>
                <w:rFonts w:hint="eastAsia" w:eastAsia="仿宋"/>
                <w:bCs/>
                <w:color w:val="auto"/>
                <w:position w:val="-1"/>
                <w:sz w:val="18"/>
                <w:szCs w:val="18"/>
              </w:rPr>
              <w:t>□</w:t>
            </w:r>
          </w:p>
        </w:tc>
        <w:tc>
          <w:tcPr>
            <w:tcW w:w="1650" w:type="dxa"/>
            <w:gridSpan w:val="4"/>
            <w:tcBorders>
              <w:tl2br w:val="nil"/>
              <w:tr2bl w:val="nil"/>
            </w:tcBorders>
            <w:vAlign w:val="center"/>
          </w:tcPr>
          <w:p>
            <w:pPr>
              <w:adjustRightInd/>
              <w:snapToGrid/>
              <w:spacing w:line="240" w:lineRule="auto"/>
              <w:ind w:firstLine="0" w:firstLineChars="0"/>
              <w:jc w:val="center"/>
              <w:rPr>
                <w:rFonts w:eastAsia="仿宋"/>
                <w:bCs/>
                <w:color w:val="auto"/>
                <w:sz w:val="21"/>
                <w:szCs w:val="21"/>
              </w:rPr>
            </w:pPr>
            <w:r>
              <w:rPr>
                <w:bCs/>
                <w:color w:val="auto"/>
                <w:position w:val="-1"/>
                <w:sz w:val="18"/>
                <w:szCs w:val="18"/>
              </w:rPr>
              <w:t>三级</w:t>
            </w:r>
            <w:r>
              <w:rPr>
                <w:rFonts w:hint="eastAsia" w:eastAsia="仿宋"/>
                <w:bCs/>
                <w:color w:val="auto"/>
                <w:position w:val="-1"/>
                <w:sz w:val="18"/>
                <w:szCs w:val="18"/>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00" w:type="dxa"/>
            <w:vMerge w:val="continue"/>
            <w:tcBorders>
              <w:tl2br w:val="nil"/>
              <w:tr2bl w:val="nil"/>
            </w:tcBorders>
            <w:vAlign w:val="center"/>
          </w:tcPr>
          <w:p>
            <w:pPr>
              <w:adjustRightInd/>
              <w:snapToGrid/>
              <w:spacing w:line="240" w:lineRule="auto"/>
              <w:ind w:firstLine="0" w:firstLineChars="0"/>
              <w:jc w:val="center"/>
              <w:rPr>
                <w:bCs/>
                <w:color w:val="auto"/>
                <w:sz w:val="21"/>
                <w:szCs w:val="21"/>
              </w:rPr>
            </w:pPr>
          </w:p>
        </w:tc>
        <w:tc>
          <w:tcPr>
            <w:tcW w:w="1855" w:type="dxa"/>
            <w:tcBorders>
              <w:tl2br w:val="nil"/>
              <w:tr2bl w:val="nil"/>
            </w:tcBorders>
            <w:vAlign w:val="center"/>
          </w:tcPr>
          <w:p>
            <w:pPr>
              <w:adjustRightInd/>
              <w:snapToGrid/>
              <w:spacing w:line="240" w:lineRule="auto"/>
              <w:ind w:firstLine="0" w:firstLineChars="0"/>
              <w:jc w:val="center"/>
              <w:rPr>
                <w:bCs/>
                <w:color w:val="auto"/>
                <w:sz w:val="21"/>
                <w:szCs w:val="21"/>
              </w:rPr>
            </w:pPr>
            <w:r>
              <w:rPr>
                <w:bCs/>
                <w:color w:val="auto"/>
                <w:position w:val="-1"/>
                <w:sz w:val="18"/>
                <w:szCs w:val="18"/>
              </w:rPr>
              <w:t>评价范围</w:t>
            </w:r>
          </w:p>
        </w:tc>
        <w:tc>
          <w:tcPr>
            <w:tcW w:w="2488" w:type="dxa"/>
            <w:gridSpan w:val="7"/>
            <w:tcBorders>
              <w:tl2br w:val="nil"/>
              <w:tr2bl w:val="nil"/>
            </w:tcBorders>
            <w:vAlign w:val="center"/>
          </w:tcPr>
          <w:p>
            <w:pPr>
              <w:adjustRightInd/>
              <w:snapToGrid/>
              <w:spacing w:line="240" w:lineRule="auto"/>
              <w:ind w:firstLine="0" w:firstLineChars="0"/>
              <w:jc w:val="center"/>
              <w:rPr>
                <w:bCs/>
                <w:color w:val="auto"/>
                <w:sz w:val="21"/>
                <w:szCs w:val="21"/>
              </w:rPr>
            </w:pPr>
            <w:r>
              <w:rPr>
                <w:bCs/>
                <w:color w:val="auto"/>
                <w:sz w:val="18"/>
                <w:szCs w:val="18"/>
              </w:rPr>
              <w:t>边长</w:t>
            </w:r>
            <w:r>
              <w:rPr>
                <w:rFonts w:eastAsia="Times New Roman"/>
                <w:bCs/>
                <w:color w:val="auto"/>
                <w:spacing w:val="-1"/>
                <w:sz w:val="18"/>
                <w:szCs w:val="18"/>
              </w:rPr>
              <w:t>=</w:t>
            </w:r>
            <w:r>
              <w:rPr>
                <w:rFonts w:eastAsia="Times New Roman"/>
                <w:bCs/>
                <w:color w:val="auto"/>
                <w:spacing w:val="1"/>
                <w:sz w:val="18"/>
                <w:szCs w:val="18"/>
              </w:rPr>
              <w:t>50</w:t>
            </w:r>
            <w:r>
              <w:rPr>
                <w:rFonts w:eastAsia="Times New Roman"/>
                <w:bCs/>
                <w:color w:val="auto"/>
                <w:spacing w:val="-1"/>
                <w:sz w:val="18"/>
                <w:szCs w:val="18"/>
              </w:rPr>
              <w:t>k</w:t>
            </w:r>
            <w:r>
              <w:rPr>
                <w:rFonts w:eastAsia="Times New Roman"/>
                <w:bCs/>
                <w:color w:val="auto"/>
                <w:spacing w:val="-3"/>
                <w:sz w:val="18"/>
                <w:szCs w:val="18"/>
              </w:rPr>
              <w:t>m</w:t>
            </w:r>
            <w:r>
              <w:rPr>
                <w:rFonts w:eastAsia="仿宋"/>
                <w:bCs/>
                <w:color w:val="auto"/>
                <w:sz w:val="18"/>
                <w:szCs w:val="18"/>
              </w:rPr>
              <w:t>□</w:t>
            </w:r>
          </w:p>
        </w:tc>
        <w:tc>
          <w:tcPr>
            <w:tcW w:w="2195" w:type="dxa"/>
            <w:gridSpan w:val="8"/>
            <w:tcBorders>
              <w:tl2br w:val="nil"/>
              <w:tr2bl w:val="nil"/>
            </w:tcBorders>
            <w:vAlign w:val="center"/>
          </w:tcPr>
          <w:p>
            <w:pPr>
              <w:adjustRightInd/>
              <w:snapToGrid/>
              <w:spacing w:line="240" w:lineRule="auto"/>
              <w:ind w:firstLine="0" w:firstLineChars="0"/>
              <w:jc w:val="center"/>
              <w:rPr>
                <w:bCs/>
                <w:color w:val="auto"/>
                <w:sz w:val="21"/>
                <w:szCs w:val="21"/>
              </w:rPr>
            </w:pPr>
            <w:r>
              <w:rPr>
                <w:bCs/>
                <w:color w:val="auto"/>
                <w:sz w:val="18"/>
                <w:szCs w:val="18"/>
              </w:rPr>
              <w:t>边长</w:t>
            </w:r>
            <w:r>
              <w:rPr>
                <w:rFonts w:eastAsia="Times New Roman"/>
                <w:bCs/>
                <w:color w:val="auto"/>
                <w:spacing w:val="1"/>
                <w:sz w:val="18"/>
                <w:szCs w:val="18"/>
              </w:rPr>
              <w:t>5</w:t>
            </w:r>
            <w:r>
              <w:rPr>
                <w:bCs/>
                <w:color w:val="auto"/>
                <w:sz w:val="18"/>
                <w:szCs w:val="18"/>
              </w:rPr>
              <w:t>～</w:t>
            </w:r>
            <w:r>
              <w:rPr>
                <w:rFonts w:eastAsia="Times New Roman"/>
                <w:bCs/>
                <w:color w:val="auto"/>
                <w:spacing w:val="-1"/>
                <w:sz w:val="18"/>
                <w:szCs w:val="18"/>
              </w:rPr>
              <w:t>5</w:t>
            </w:r>
            <w:r>
              <w:rPr>
                <w:rFonts w:eastAsia="Times New Roman"/>
                <w:bCs/>
                <w:color w:val="auto"/>
                <w:spacing w:val="1"/>
                <w:sz w:val="18"/>
                <w:szCs w:val="18"/>
              </w:rPr>
              <w:t>0</w:t>
            </w:r>
            <w:r>
              <w:rPr>
                <w:rFonts w:eastAsia="Times New Roman"/>
                <w:bCs/>
                <w:color w:val="auto"/>
                <w:spacing w:val="-1"/>
                <w:sz w:val="18"/>
                <w:szCs w:val="18"/>
              </w:rPr>
              <w:t>k</w:t>
            </w:r>
            <w:r>
              <w:rPr>
                <w:rFonts w:eastAsia="Times New Roman"/>
                <w:bCs/>
                <w:color w:val="auto"/>
                <w:spacing w:val="-3"/>
                <w:sz w:val="18"/>
                <w:szCs w:val="18"/>
              </w:rPr>
              <w:t>m</w:t>
            </w:r>
            <w:r>
              <w:rPr>
                <w:rFonts w:eastAsia="仿宋"/>
                <w:bCs/>
                <w:color w:val="auto"/>
                <w:sz w:val="18"/>
                <w:szCs w:val="18"/>
              </w:rPr>
              <w:t>□</w:t>
            </w:r>
          </w:p>
        </w:tc>
        <w:tc>
          <w:tcPr>
            <w:tcW w:w="1650" w:type="dxa"/>
            <w:gridSpan w:val="4"/>
            <w:tcBorders>
              <w:tl2br w:val="nil"/>
              <w:tr2bl w:val="nil"/>
            </w:tcBorders>
            <w:vAlign w:val="center"/>
          </w:tcPr>
          <w:p>
            <w:pPr>
              <w:adjustRightInd/>
              <w:snapToGrid/>
              <w:spacing w:line="240" w:lineRule="auto"/>
              <w:ind w:firstLine="0" w:firstLineChars="0"/>
              <w:jc w:val="center"/>
              <w:rPr>
                <w:bCs/>
                <w:color w:val="auto"/>
                <w:sz w:val="21"/>
                <w:szCs w:val="21"/>
              </w:rPr>
            </w:pPr>
            <w:r>
              <w:rPr>
                <w:bCs/>
                <w:color w:val="auto"/>
                <w:sz w:val="18"/>
                <w:szCs w:val="18"/>
              </w:rPr>
              <w:t>边长</w:t>
            </w:r>
            <w:r>
              <w:rPr>
                <w:rFonts w:eastAsia="Times New Roman"/>
                <w:bCs/>
                <w:color w:val="auto"/>
                <w:spacing w:val="-1"/>
                <w:sz w:val="18"/>
                <w:szCs w:val="18"/>
              </w:rPr>
              <w:t>=</w:t>
            </w:r>
            <w:r>
              <w:rPr>
                <w:rFonts w:eastAsia="Times New Roman"/>
                <w:bCs/>
                <w:color w:val="auto"/>
                <w:sz w:val="18"/>
                <w:szCs w:val="18"/>
              </w:rPr>
              <w:t>5</w:t>
            </w:r>
            <w:r>
              <w:rPr>
                <w:rFonts w:eastAsia="Times New Roman"/>
                <w:bCs/>
                <w:color w:val="auto"/>
                <w:spacing w:val="-1"/>
                <w:sz w:val="18"/>
                <w:szCs w:val="18"/>
              </w:rPr>
              <w:t>k</w:t>
            </w:r>
            <w:r>
              <w:rPr>
                <w:rFonts w:eastAsia="Times New Roman"/>
                <w:bCs/>
                <w:color w:val="auto"/>
                <w:spacing w:val="-3"/>
                <w:sz w:val="18"/>
                <w:szCs w:val="18"/>
              </w:rPr>
              <w:t>m</w:t>
            </w:r>
            <w:r>
              <w:rPr>
                <w:rFonts w:eastAsia="仿宋"/>
                <w:bCs/>
                <w:color w:val="auto"/>
                <w:sz w:val="18"/>
                <w:szCs w:val="18"/>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00" w:type="dxa"/>
            <w:vMerge w:val="restart"/>
            <w:tcBorders>
              <w:tl2br w:val="nil"/>
              <w:tr2bl w:val="nil"/>
            </w:tcBorders>
            <w:vAlign w:val="center"/>
          </w:tcPr>
          <w:p>
            <w:pPr>
              <w:adjustRightInd/>
              <w:snapToGrid/>
              <w:spacing w:line="240" w:lineRule="auto"/>
              <w:ind w:firstLine="0" w:firstLineChars="0"/>
              <w:jc w:val="center"/>
              <w:rPr>
                <w:bCs/>
                <w:color w:val="auto"/>
                <w:sz w:val="21"/>
                <w:szCs w:val="21"/>
              </w:rPr>
            </w:pPr>
            <w:r>
              <w:rPr>
                <w:bCs/>
                <w:color w:val="auto"/>
                <w:sz w:val="18"/>
                <w:szCs w:val="18"/>
              </w:rPr>
              <w:t>评价因子</w:t>
            </w:r>
          </w:p>
        </w:tc>
        <w:tc>
          <w:tcPr>
            <w:tcW w:w="1855" w:type="dxa"/>
            <w:tcBorders>
              <w:tl2br w:val="nil"/>
              <w:tr2bl w:val="nil"/>
            </w:tcBorders>
            <w:vAlign w:val="center"/>
          </w:tcPr>
          <w:p>
            <w:pPr>
              <w:adjustRightInd/>
              <w:snapToGrid/>
              <w:spacing w:line="240" w:lineRule="auto"/>
              <w:ind w:firstLine="0" w:firstLineChars="0"/>
              <w:jc w:val="center"/>
              <w:rPr>
                <w:bCs/>
                <w:color w:val="auto"/>
                <w:sz w:val="21"/>
                <w:szCs w:val="21"/>
              </w:rPr>
            </w:pPr>
            <w:r>
              <w:rPr>
                <w:rFonts w:eastAsia="Times New Roman"/>
                <w:bCs/>
                <w:color w:val="auto"/>
                <w:spacing w:val="1"/>
                <w:sz w:val="18"/>
                <w:szCs w:val="18"/>
              </w:rPr>
              <w:t>S</w:t>
            </w:r>
            <w:r>
              <w:rPr>
                <w:rFonts w:eastAsia="Times New Roman"/>
                <w:bCs/>
                <w:color w:val="auto"/>
                <w:sz w:val="18"/>
                <w:szCs w:val="18"/>
              </w:rPr>
              <w:t>O</w:t>
            </w:r>
            <w:r>
              <w:rPr>
                <w:rFonts w:eastAsia="Times New Roman"/>
                <w:bCs/>
                <w:color w:val="auto"/>
                <w:position w:val="-1"/>
                <w:sz w:val="12"/>
                <w:szCs w:val="12"/>
              </w:rPr>
              <w:t>2</w:t>
            </w:r>
            <w:r>
              <w:rPr>
                <w:rFonts w:eastAsia="Times New Roman"/>
                <w:bCs/>
                <w:color w:val="auto"/>
                <w:spacing w:val="-1"/>
                <w:sz w:val="18"/>
                <w:szCs w:val="18"/>
              </w:rPr>
              <w:t>+</w:t>
            </w:r>
            <w:r>
              <w:rPr>
                <w:rFonts w:eastAsia="Times New Roman"/>
                <w:bCs/>
                <w:color w:val="auto"/>
                <w:sz w:val="18"/>
                <w:szCs w:val="18"/>
              </w:rPr>
              <w:t>N</w:t>
            </w:r>
            <w:r>
              <w:rPr>
                <w:rFonts w:eastAsia="Times New Roman"/>
                <w:bCs/>
                <w:color w:val="auto"/>
                <w:spacing w:val="-1"/>
                <w:sz w:val="18"/>
                <w:szCs w:val="18"/>
              </w:rPr>
              <w:t>O</w:t>
            </w:r>
            <w:r>
              <w:rPr>
                <w:rFonts w:eastAsia="Times New Roman"/>
                <w:bCs/>
                <w:i/>
                <w:color w:val="auto"/>
                <w:position w:val="-1"/>
                <w:sz w:val="12"/>
                <w:szCs w:val="12"/>
              </w:rPr>
              <w:t>x</w:t>
            </w:r>
            <w:r>
              <w:rPr>
                <w:bCs/>
                <w:color w:val="auto"/>
                <w:sz w:val="18"/>
                <w:szCs w:val="18"/>
              </w:rPr>
              <w:t>排放量</w:t>
            </w:r>
          </w:p>
        </w:tc>
        <w:tc>
          <w:tcPr>
            <w:tcW w:w="1327" w:type="dxa"/>
            <w:gridSpan w:val="2"/>
            <w:tcBorders>
              <w:tl2br w:val="nil"/>
              <w:tr2bl w:val="nil"/>
            </w:tcBorders>
            <w:vAlign w:val="center"/>
          </w:tcPr>
          <w:p>
            <w:pPr>
              <w:adjustRightInd/>
              <w:snapToGrid/>
              <w:spacing w:line="240" w:lineRule="auto"/>
              <w:ind w:firstLine="0" w:firstLineChars="0"/>
              <w:jc w:val="center"/>
              <w:rPr>
                <w:bCs/>
                <w:color w:val="auto"/>
                <w:sz w:val="21"/>
                <w:szCs w:val="21"/>
              </w:rPr>
            </w:pPr>
            <w:r>
              <w:rPr>
                <w:rFonts w:eastAsia="仿宋"/>
                <w:bCs/>
                <w:color w:val="auto"/>
                <w:sz w:val="18"/>
                <w:szCs w:val="18"/>
              </w:rPr>
              <w:t>≥</w:t>
            </w:r>
            <w:r>
              <w:rPr>
                <w:rFonts w:eastAsia="Times New Roman"/>
                <w:bCs/>
                <w:color w:val="auto"/>
                <w:spacing w:val="1"/>
                <w:sz w:val="18"/>
                <w:szCs w:val="18"/>
              </w:rPr>
              <w:t>2</w:t>
            </w:r>
            <w:r>
              <w:rPr>
                <w:rFonts w:eastAsia="Times New Roman"/>
                <w:bCs/>
                <w:color w:val="auto"/>
                <w:spacing w:val="-1"/>
                <w:sz w:val="18"/>
                <w:szCs w:val="18"/>
              </w:rPr>
              <w:t>0</w:t>
            </w:r>
            <w:r>
              <w:rPr>
                <w:rFonts w:eastAsia="Times New Roman"/>
                <w:bCs/>
                <w:color w:val="auto"/>
                <w:spacing w:val="1"/>
                <w:sz w:val="18"/>
                <w:szCs w:val="18"/>
              </w:rPr>
              <w:t>0</w:t>
            </w:r>
            <w:r>
              <w:rPr>
                <w:rFonts w:eastAsia="Times New Roman"/>
                <w:bCs/>
                <w:color w:val="auto"/>
                <w:spacing w:val="-1"/>
                <w:sz w:val="18"/>
                <w:szCs w:val="18"/>
              </w:rPr>
              <w:t>0</w:t>
            </w:r>
            <w:r>
              <w:rPr>
                <w:rFonts w:eastAsia="Times New Roman"/>
                <w:bCs/>
                <w:color w:val="auto"/>
                <w:sz w:val="18"/>
                <w:szCs w:val="18"/>
              </w:rPr>
              <w:t>t</w:t>
            </w:r>
            <w:r>
              <w:rPr>
                <w:rFonts w:eastAsia="Times New Roman"/>
                <w:bCs/>
                <w:color w:val="auto"/>
                <w:spacing w:val="1"/>
                <w:sz w:val="18"/>
                <w:szCs w:val="18"/>
              </w:rPr>
              <w:t>/</w:t>
            </w:r>
            <w:r>
              <w:rPr>
                <w:rFonts w:eastAsia="Times New Roman"/>
                <w:bCs/>
                <w:color w:val="auto"/>
                <w:spacing w:val="-3"/>
                <w:sz w:val="18"/>
                <w:szCs w:val="18"/>
              </w:rPr>
              <w:t>a</w:t>
            </w:r>
            <w:r>
              <w:rPr>
                <w:rFonts w:eastAsia="仿宋"/>
                <w:bCs/>
                <w:color w:val="auto"/>
                <w:sz w:val="18"/>
                <w:szCs w:val="18"/>
              </w:rPr>
              <w:t>□</w:t>
            </w:r>
          </w:p>
        </w:tc>
        <w:tc>
          <w:tcPr>
            <w:tcW w:w="3356" w:type="dxa"/>
            <w:gridSpan w:val="13"/>
            <w:tcBorders>
              <w:tl2br w:val="nil"/>
              <w:tr2bl w:val="nil"/>
            </w:tcBorders>
            <w:vAlign w:val="center"/>
          </w:tcPr>
          <w:p>
            <w:pPr>
              <w:adjustRightInd/>
              <w:snapToGrid/>
              <w:spacing w:line="240" w:lineRule="auto"/>
              <w:ind w:firstLine="0" w:firstLineChars="0"/>
              <w:jc w:val="center"/>
              <w:rPr>
                <w:bCs/>
                <w:color w:val="auto"/>
                <w:sz w:val="21"/>
                <w:szCs w:val="21"/>
              </w:rPr>
            </w:pPr>
            <w:r>
              <w:rPr>
                <w:rFonts w:eastAsia="Times New Roman"/>
                <w:bCs/>
                <w:color w:val="auto"/>
                <w:spacing w:val="1"/>
                <w:sz w:val="18"/>
                <w:szCs w:val="18"/>
              </w:rPr>
              <w:t>50</w:t>
            </w:r>
            <w:r>
              <w:rPr>
                <w:rFonts w:eastAsia="Times New Roman"/>
                <w:bCs/>
                <w:color w:val="auto"/>
                <w:sz w:val="18"/>
                <w:szCs w:val="18"/>
              </w:rPr>
              <w:t>0~</w:t>
            </w:r>
            <w:r>
              <w:rPr>
                <w:rFonts w:eastAsia="Times New Roman"/>
                <w:bCs/>
                <w:color w:val="auto"/>
                <w:spacing w:val="1"/>
                <w:sz w:val="18"/>
                <w:szCs w:val="18"/>
              </w:rPr>
              <w:t>2</w:t>
            </w:r>
            <w:r>
              <w:rPr>
                <w:rFonts w:eastAsia="Times New Roman"/>
                <w:bCs/>
                <w:color w:val="auto"/>
                <w:spacing w:val="-1"/>
                <w:sz w:val="18"/>
                <w:szCs w:val="18"/>
              </w:rPr>
              <w:t>0</w:t>
            </w:r>
            <w:r>
              <w:rPr>
                <w:rFonts w:eastAsia="Times New Roman"/>
                <w:bCs/>
                <w:color w:val="auto"/>
                <w:spacing w:val="1"/>
                <w:sz w:val="18"/>
                <w:szCs w:val="18"/>
              </w:rPr>
              <w:t>0</w:t>
            </w:r>
            <w:r>
              <w:rPr>
                <w:rFonts w:eastAsia="Times New Roman"/>
                <w:bCs/>
                <w:color w:val="auto"/>
                <w:spacing w:val="-1"/>
                <w:sz w:val="18"/>
                <w:szCs w:val="18"/>
              </w:rPr>
              <w:t>0</w:t>
            </w:r>
            <w:r>
              <w:rPr>
                <w:rFonts w:eastAsia="Times New Roman"/>
                <w:bCs/>
                <w:color w:val="auto"/>
                <w:sz w:val="18"/>
                <w:szCs w:val="18"/>
              </w:rPr>
              <w:t>t/</w:t>
            </w:r>
            <w:r>
              <w:rPr>
                <w:rFonts w:eastAsia="Times New Roman"/>
                <w:bCs/>
                <w:color w:val="auto"/>
                <w:spacing w:val="-1"/>
                <w:sz w:val="18"/>
                <w:szCs w:val="18"/>
              </w:rPr>
              <w:t>a</w:t>
            </w:r>
            <w:r>
              <w:rPr>
                <w:rFonts w:eastAsia="仿宋"/>
                <w:bCs/>
                <w:color w:val="auto"/>
                <w:sz w:val="18"/>
                <w:szCs w:val="18"/>
              </w:rPr>
              <w:t>□</w:t>
            </w:r>
          </w:p>
        </w:tc>
        <w:tc>
          <w:tcPr>
            <w:tcW w:w="1650" w:type="dxa"/>
            <w:gridSpan w:val="4"/>
            <w:tcBorders>
              <w:tl2br w:val="nil"/>
              <w:tr2bl w:val="nil"/>
            </w:tcBorders>
            <w:vAlign w:val="center"/>
          </w:tcPr>
          <w:p>
            <w:pPr>
              <w:adjustRightInd/>
              <w:snapToGrid/>
              <w:spacing w:line="240" w:lineRule="auto"/>
              <w:ind w:firstLine="0" w:firstLineChars="0"/>
              <w:jc w:val="center"/>
              <w:rPr>
                <w:bCs/>
                <w:color w:val="auto"/>
                <w:sz w:val="21"/>
                <w:szCs w:val="21"/>
              </w:rPr>
            </w:pPr>
            <w:r>
              <w:rPr>
                <w:rFonts w:eastAsia="仿宋"/>
                <w:bCs/>
                <w:color w:val="auto"/>
                <w:spacing w:val="2"/>
                <w:sz w:val="18"/>
                <w:szCs w:val="18"/>
              </w:rPr>
              <w:t>＜</w:t>
            </w:r>
            <w:r>
              <w:rPr>
                <w:rFonts w:eastAsia="Times New Roman"/>
                <w:bCs/>
                <w:color w:val="auto"/>
                <w:spacing w:val="-1"/>
                <w:sz w:val="18"/>
                <w:szCs w:val="18"/>
              </w:rPr>
              <w:t>5</w:t>
            </w:r>
            <w:r>
              <w:rPr>
                <w:rFonts w:eastAsia="Times New Roman"/>
                <w:bCs/>
                <w:color w:val="auto"/>
                <w:spacing w:val="1"/>
                <w:sz w:val="18"/>
                <w:szCs w:val="18"/>
              </w:rPr>
              <w:t>0</w:t>
            </w:r>
            <w:r>
              <w:rPr>
                <w:rFonts w:eastAsia="Times New Roman"/>
                <w:bCs/>
                <w:color w:val="auto"/>
                <w:sz w:val="18"/>
                <w:szCs w:val="18"/>
              </w:rPr>
              <w:t>0t</w:t>
            </w:r>
            <w:r>
              <w:rPr>
                <w:rFonts w:eastAsia="Times New Roman"/>
                <w:bCs/>
                <w:color w:val="auto"/>
                <w:spacing w:val="1"/>
                <w:sz w:val="18"/>
                <w:szCs w:val="18"/>
              </w:rPr>
              <w:t>/</w:t>
            </w:r>
            <w:r>
              <w:rPr>
                <w:rFonts w:eastAsia="Times New Roman"/>
                <w:bCs/>
                <w:color w:val="auto"/>
                <w:spacing w:val="-2"/>
                <w:sz w:val="18"/>
                <w:szCs w:val="18"/>
              </w:rPr>
              <w:t>a</w:t>
            </w:r>
            <w:r>
              <w:rPr>
                <w:rFonts w:eastAsia="仿宋"/>
                <w:bCs/>
                <w:color w:val="auto"/>
                <w:sz w:val="18"/>
                <w:szCs w:val="18"/>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00" w:type="dxa"/>
            <w:vMerge w:val="continue"/>
            <w:tcBorders>
              <w:tl2br w:val="nil"/>
              <w:tr2bl w:val="nil"/>
            </w:tcBorders>
            <w:vAlign w:val="center"/>
          </w:tcPr>
          <w:p>
            <w:pPr>
              <w:adjustRightInd/>
              <w:snapToGrid/>
              <w:spacing w:line="240" w:lineRule="auto"/>
              <w:ind w:firstLine="0" w:firstLineChars="0"/>
              <w:jc w:val="center"/>
              <w:rPr>
                <w:bCs/>
                <w:color w:val="auto"/>
                <w:sz w:val="21"/>
                <w:szCs w:val="21"/>
              </w:rPr>
            </w:pPr>
          </w:p>
        </w:tc>
        <w:tc>
          <w:tcPr>
            <w:tcW w:w="1855" w:type="dxa"/>
            <w:tcBorders>
              <w:tl2br w:val="nil"/>
              <w:tr2bl w:val="nil"/>
            </w:tcBorders>
            <w:vAlign w:val="center"/>
          </w:tcPr>
          <w:p>
            <w:pPr>
              <w:adjustRightInd/>
              <w:snapToGrid/>
              <w:spacing w:line="240" w:lineRule="auto"/>
              <w:ind w:firstLine="0" w:firstLineChars="0"/>
              <w:jc w:val="center"/>
              <w:rPr>
                <w:bCs/>
                <w:color w:val="auto"/>
                <w:sz w:val="21"/>
                <w:szCs w:val="21"/>
              </w:rPr>
            </w:pPr>
            <w:r>
              <w:rPr>
                <w:bCs/>
                <w:color w:val="auto"/>
                <w:sz w:val="18"/>
                <w:szCs w:val="18"/>
              </w:rPr>
              <w:t>评价因子</w:t>
            </w:r>
          </w:p>
        </w:tc>
        <w:tc>
          <w:tcPr>
            <w:tcW w:w="3471" w:type="dxa"/>
            <w:gridSpan w:val="11"/>
            <w:tcBorders>
              <w:tl2br w:val="nil"/>
              <w:tr2bl w:val="nil"/>
            </w:tcBorders>
            <w:vAlign w:val="center"/>
          </w:tcPr>
          <w:p>
            <w:pPr>
              <w:tabs>
                <w:tab w:val="left" w:pos="3060"/>
              </w:tabs>
              <w:adjustRightInd/>
              <w:snapToGrid/>
              <w:spacing w:before="27" w:line="240" w:lineRule="auto"/>
              <w:ind w:firstLine="0" w:firstLineChars="0"/>
              <w:jc w:val="center"/>
              <w:rPr>
                <w:bCs/>
                <w:color w:val="auto"/>
                <w:sz w:val="18"/>
                <w:szCs w:val="18"/>
              </w:rPr>
            </w:pPr>
            <w:r>
              <w:rPr>
                <w:bCs/>
                <w:color w:val="auto"/>
                <w:sz w:val="18"/>
                <w:szCs w:val="18"/>
              </w:rPr>
              <w:t>基本污染物（</w:t>
            </w:r>
            <w:r>
              <w:rPr>
                <w:rFonts w:eastAsia="Times New Roman"/>
                <w:bCs/>
                <w:color w:val="auto"/>
                <w:spacing w:val="1"/>
                <w:sz w:val="18"/>
                <w:szCs w:val="18"/>
              </w:rPr>
              <w:t>S</w:t>
            </w:r>
            <w:r>
              <w:rPr>
                <w:rFonts w:eastAsia="Times New Roman"/>
                <w:bCs/>
                <w:color w:val="auto"/>
                <w:sz w:val="18"/>
                <w:szCs w:val="18"/>
              </w:rPr>
              <w:t>O</w:t>
            </w:r>
            <w:r>
              <w:rPr>
                <w:rFonts w:eastAsia="Times New Roman"/>
                <w:bCs/>
                <w:color w:val="auto"/>
                <w:position w:val="-1"/>
                <w:sz w:val="12"/>
                <w:szCs w:val="12"/>
              </w:rPr>
              <w:t>2</w:t>
            </w:r>
            <w:r>
              <w:rPr>
                <w:rFonts w:hint="eastAsia"/>
                <w:bCs/>
                <w:color w:val="auto"/>
                <w:spacing w:val="-1"/>
                <w:sz w:val="18"/>
                <w:szCs w:val="18"/>
              </w:rPr>
              <w:t>、</w:t>
            </w:r>
            <w:r>
              <w:rPr>
                <w:rFonts w:eastAsia="Times New Roman"/>
                <w:bCs/>
                <w:color w:val="auto"/>
                <w:sz w:val="18"/>
                <w:szCs w:val="18"/>
              </w:rPr>
              <w:t>N</w:t>
            </w:r>
            <w:r>
              <w:rPr>
                <w:rFonts w:eastAsia="Times New Roman"/>
                <w:bCs/>
                <w:color w:val="auto"/>
                <w:spacing w:val="-1"/>
                <w:sz w:val="18"/>
                <w:szCs w:val="18"/>
              </w:rPr>
              <w:t>O</w:t>
            </w:r>
            <w:r>
              <w:rPr>
                <w:rFonts w:eastAsia="Times New Roman"/>
                <w:bCs/>
                <w:i/>
                <w:color w:val="auto"/>
                <w:position w:val="-1"/>
                <w:sz w:val="12"/>
                <w:szCs w:val="12"/>
              </w:rPr>
              <w:t>x</w:t>
            </w:r>
            <w:r>
              <w:rPr>
                <w:rFonts w:hint="eastAsia"/>
                <w:color w:val="auto"/>
                <w:sz w:val="18"/>
                <w:szCs w:val="18"/>
              </w:rPr>
              <w:t>、PM</w:t>
            </w:r>
            <w:r>
              <w:rPr>
                <w:rFonts w:hint="eastAsia"/>
                <w:color w:val="auto"/>
                <w:sz w:val="18"/>
                <w:szCs w:val="18"/>
                <w:vertAlign w:val="subscript"/>
              </w:rPr>
              <w:t>10</w:t>
            </w:r>
            <w:r>
              <w:rPr>
                <w:bCs/>
                <w:color w:val="auto"/>
                <w:sz w:val="18"/>
                <w:szCs w:val="18"/>
              </w:rPr>
              <w:t>）</w:t>
            </w:r>
          </w:p>
          <w:p>
            <w:pPr>
              <w:tabs>
                <w:tab w:val="left" w:pos="3060"/>
              </w:tabs>
              <w:adjustRightInd/>
              <w:snapToGrid/>
              <w:spacing w:before="27" w:line="240" w:lineRule="auto"/>
              <w:ind w:firstLine="0" w:firstLineChars="0"/>
              <w:jc w:val="center"/>
              <w:rPr>
                <w:bCs/>
                <w:color w:val="auto"/>
                <w:sz w:val="21"/>
                <w:szCs w:val="21"/>
              </w:rPr>
            </w:pPr>
            <w:r>
              <w:rPr>
                <w:rFonts w:hint="eastAsia"/>
                <w:bCs/>
                <w:color w:val="auto"/>
                <w:sz w:val="18"/>
                <w:szCs w:val="18"/>
              </w:rPr>
              <w:t>其它污染物（NH</w:t>
            </w:r>
            <w:r>
              <w:rPr>
                <w:rFonts w:hint="eastAsia"/>
                <w:bCs/>
                <w:color w:val="auto"/>
                <w:sz w:val="18"/>
                <w:szCs w:val="18"/>
                <w:vertAlign w:val="subscript"/>
              </w:rPr>
              <w:t>3</w:t>
            </w:r>
            <w:r>
              <w:rPr>
                <w:rFonts w:hint="eastAsia"/>
                <w:bCs/>
                <w:color w:val="auto"/>
                <w:sz w:val="18"/>
                <w:szCs w:val="18"/>
              </w:rPr>
              <w:t>、H</w:t>
            </w:r>
            <w:r>
              <w:rPr>
                <w:rFonts w:hint="eastAsia"/>
                <w:bCs/>
                <w:color w:val="auto"/>
                <w:sz w:val="18"/>
                <w:szCs w:val="18"/>
                <w:vertAlign w:val="subscript"/>
              </w:rPr>
              <w:t>2</w:t>
            </w:r>
            <w:r>
              <w:rPr>
                <w:rFonts w:hint="eastAsia"/>
                <w:bCs/>
                <w:color w:val="auto"/>
                <w:sz w:val="18"/>
                <w:szCs w:val="18"/>
              </w:rPr>
              <w:t>S）</w:t>
            </w:r>
          </w:p>
        </w:tc>
        <w:tc>
          <w:tcPr>
            <w:tcW w:w="2862" w:type="dxa"/>
            <w:gridSpan w:val="8"/>
            <w:tcBorders>
              <w:tl2br w:val="nil"/>
              <w:tr2bl w:val="nil"/>
            </w:tcBorders>
            <w:vAlign w:val="center"/>
          </w:tcPr>
          <w:p>
            <w:pPr>
              <w:adjustRightInd/>
              <w:snapToGrid/>
              <w:spacing w:before="27" w:line="240" w:lineRule="auto"/>
              <w:ind w:firstLine="360"/>
              <w:jc w:val="center"/>
              <w:rPr>
                <w:rFonts w:eastAsia="仿宋"/>
                <w:bCs/>
                <w:color w:val="auto"/>
                <w:position w:val="1"/>
                <w:sz w:val="18"/>
                <w:szCs w:val="18"/>
              </w:rPr>
            </w:pPr>
            <w:r>
              <w:rPr>
                <w:bCs/>
                <w:color w:val="auto"/>
                <w:position w:val="1"/>
                <w:sz w:val="18"/>
                <w:szCs w:val="18"/>
              </w:rPr>
              <w:t>包括二次</w:t>
            </w:r>
            <w:r>
              <w:rPr>
                <w:rFonts w:eastAsia="Times New Roman"/>
                <w:bCs/>
                <w:color w:val="auto"/>
                <w:spacing w:val="3"/>
                <w:position w:val="1"/>
                <w:sz w:val="18"/>
                <w:szCs w:val="18"/>
              </w:rPr>
              <w:t>P</w:t>
            </w:r>
            <w:r>
              <w:rPr>
                <w:rFonts w:eastAsia="Times New Roman"/>
                <w:bCs/>
                <w:color w:val="auto"/>
                <w:spacing w:val="1"/>
                <w:position w:val="1"/>
                <w:sz w:val="18"/>
                <w:szCs w:val="18"/>
              </w:rPr>
              <w:t>M</w:t>
            </w:r>
            <w:r>
              <w:rPr>
                <w:rFonts w:eastAsia="Times New Roman"/>
                <w:bCs/>
                <w:color w:val="auto"/>
                <w:sz w:val="12"/>
                <w:szCs w:val="12"/>
              </w:rPr>
              <w:t>2</w:t>
            </w:r>
            <w:r>
              <w:rPr>
                <w:rFonts w:eastAsia="Times New Roman"/>
                <w:bCs/>
                <w:color w:val="auto"/>
                <w:spacing w:val="1"/>
                <w:sz w:val="12"/>
                <w:szCs w:val="12"/>
              </w:rPr>
              <w:t>.</w:t>
            </w:r>
            <w:r>
              <w:rPr>
                <w:rFonts w:eastAsia="Times New Roman"/>
                <w:bCs/>
                <w:color w:val="auto"/>
                <w:spacing w:val="-2"/>
                <w:sz w:val="12"/>
                <w:szCs w:val="12"/>
              </w:rPr>
              <w:t>5</w:t>
            </w:r>
            <w:r>
              <w:rPr>
                <w:rFonts w:eastAsia="仿宋"/>
                <w:bCs/>
                <w:color w:val="auto"/>
                <w:position w:val="1"/>
                <w:sz w:val="18"/>
                <w:szCs w:val="18"/>
              </w:rPr>
              <w:t>□</w:t>
            </w:r>
          </w:p>
          <w:p>
            <w:pPr>
              <w:adjustRightInd/>
              <w:snapToGrid/>
              <w:spacing w:before="27" w:line="240" w:lineRule="auto"/>
              <w:ind w:firstLine="0" w:firstLineChars="0"/>
              <w:jc w:val="center"/>
              <w:rPr>
                <w:bCs/>
                <w:color w:val="auto"/>
                <w:sz w:val="21"/>
                <w:szCs w:val="21"/>
              </w:rPr>
            </w:pPr>
            <w:r>
              <w:rPr>
                <w:bCs/>
                <w:color w:val="auto"/>
                <w:sz w:val="18"/>
                <w:szCs w:val="18"/>
              </w:rPr>
              <w:t>不包括二次</w:t>
            </w:r>
            <w:r>
              <w:rPr>
                <w:rFonts w:eastAsia="Times New Roman"/>
                <w:bCs/>
                <w:color w:val="auto"/>
                <w:spacing w:val="3"/>
                <w:sz w:val="18"/>
                <w:szCs w:val="18"/>
              </w:rPr>
              <w:t>P</w:t>
            </w:r>
            <w:r>
              <w:rPr>
                <w:rFonts w:eastAsia="Times New Roman"/>
                <w:bCs/>
                <w:color w:val="auto"/>
                <w:spacing w:val="1"/>
                <w:sz w:val="18"/>
                <w:szCs w:val="18"/>
              </w:rPr>
              <w:t>M</w:t>
            </w:r>
            <w:r>
              <w:rPr>
                <w:rFonts w:eastAsia="Times New Roman"/>
                <w:bCs/>
                <w:color w:val="auto"/>
                <w:position w:val="-1"/>
                <w:sz w:val="12"/>
                <w:szCs w:val="12"/>
              </w:rPr>
              <w:t>2</w:t>
            </w:r>
            <w:r>
              <w:rPr>
                <w:rFonts w:eastAsia="Times New Roman"/>
                <w:bCs/>
                <w:color w:val="auto"/>
                <w:spacing w:val="1"/>
                <w:position w:val="-1"/>
                <w:sz w:val="12"/>
                <w:szCs w:val="12"/>
              </w:rPr>
              <w:t>.</w:t>
            </w:r>
            <w:r>
              <w:rPr>
                <w:rFonts w:eastAsia="Times New Roman"/>
                <w:bCs/>
                <w:color w:val="auto"/>
                <w:spacing w:val="-2"/>
                <w:position w:val="-1"/>
                <w:sz w:val="12"/>
                <w:szCs w:val="12"/>
              </w:rPr>
              <w:t>5</w:t>
            </w:r>
            <w:r>
              <w:rPr>
                <w:rFonts w:eastAsia="仿宋"/>
                <w:bCs/>
                <w:color w:val="auto"/>
                <w:sz w:val="18"/>
                <w:szCs w:val="18"/>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00" w:type="dxa"/>
            <w:tcBorders>
              <w:tl2br w:val="nil"/>
              <w:tr2bl w:val="nil"/>
            </w:tcBorders>
            <w:vAlign w:val="center"/>
          </w:tcPr>
          <w:p>
            <w:pPr>
              <w:adjustRightInd/>
              <w:snapToGrid/>
              <w:spacing w:line="240" w:lineRule="auto"/>
              <w:ind w:firstLine="0" w:firstLineChars="0"/>
              <w:jc w:val="center"/>
              <w:rPr>
                <w:bCs/>
                <w:color w:val="auto"/>
                <w:sz w:val="21"/>
                <w:szCs w:val="21"/>
              </w:rPr>
            </w:pPr>
            <w:r>
              <w:rPr>
                <w:bCs/>
                <w:color w:val="auto"/>
                <w:position w:val="-1"/>
                <w:sz w:val="18"/>
                <w:szCs w:val="18"/>
              </w:rPr>
              <w:t>评价标准</w:t>
            </w:r>
          </w:p>
        </w:tc>
        <w:tc>
          <w:tcPr>
            <w:tcW w:w="1855" w:type="dxa"/>
            <w:tcBorders>
              <w:tl2br w:val="nil"/>
              <w:tr2bl w:val="nil"/>
            </w:tcBorders>
            <w:vAlign w:val="center"/>
          </w:tcPr>
          <w:p>
            <w:pPr>
              <w:adjustRightInd/>
              <w:snapToGrid/>
              <w:spacing w:line="240" w:lineRule="auto"/>
              <w:ind w:firstLine="0" w:firstLineChars="0"/>
              <w:jc w:val="center"/>
              <w:rPr>
                <w:bCs/>
                <w:color w:val="auto"/>
                <w:sz w:val="21"/>
                <w:szCs w:val="21"/>
              </w:rPr>
            </w:pPr>
            <w:r>
              <w:rPr>
                <w:bCs/>
                <w:color w:val="auto"/>
                <w:position w:val="-1"/>
                <w:sz w:val="18"/>
                <w:szCs w:val="18"/>
              </w:rPr>
              <w:t>评价标准</w:t>
            </w:r>
          </w:p>
        </w:tc>
        <w:tc>
          <w:tcPr>
            <w:tcW w:w="1935" w:type="dxa"/>
            <w:gridSpan w:val="6"/>
            <w:tcBorders>
              <w:tl2br w:val="nil"/>
              <w:tr2bl w:val="nil"/>
            </w:tcBorders>
            <w:vAlign w:val="center"/>
          </w:tcPr>
          <w:p>
            <w:pPr>
              <w:adjustRightInd/>
              <w:snapToGrid/>
              <w:spacing w:line="240" w:lineRule="auto"/>
              <w:ind w:firstLine="0" w:firstLineChars="0"/>
              <w:jc w:val="center"/>
              <w:rPr>
                <w:bCs/>
                <w:color w:val="auto"/>
                <w:sz w:val="21"/>
                <w:szCs w:val="21"/>
              </w:rPr>
            </w:pPr>
            <w:r>
              <w:rPr>
                <w:bCs/>
                <w:color w:val="auto"/>
                <w:position w:val="-1"/>
                <w:sz w:val="18"/>
                <w:szCs w:val="18"/>
              </w:rPr>
              <w:t>国家标准</w:t>
            </w:r>
            <w:r>
              <w:rPr>
                <w:rFonts w:eastAsia="仿宋"/>
                <w:bCs/>
                <w:color w:val="auto"/>
                <w:position w:val="-1"/>
                <w:sz w:val="18"/>
                <w:szCs w:val="18"/>
              </w:rPr>
              <w:t>☑</w:t>
            </w:r>
          </w:p>
        </w:tc>
        <w:tc>
          <w:tcPr>
            <w:tcW w:w="1536" w:type="dxa"/>
            <w:gridSpan w:val="5"/>
            <w:tcBorders>
              <w:tl2br w:val="nil"/>
              <w:tr2bl w:val="nil"/>
            </w:tcBorders>
            <w:vAlign w:val="center"/>
          </w:tcPr>
          <w:p>
            <w:pPr>
              <w:adjustRightInd/>
              <w:snapToGrid/>
              <w:spacing w:line="240" w:lineRule="auto"/>
              <w:ind w:firstLine="0" w:firstLineChars="0"/>
              <w:jc w:val="center"/>
              <w:rPr>
                <w:bCs/>
                <w:color w:val="auto"/>
              </w:rPr>
            </w:pPr>
            <w:r>
              <w:rPr>
                <w:bCs/>
                <w:color w:val="auto"/>
                <w:position w:val="-1"/>
                <w:sz w:val="18"/>
                <w:szCs w:val="18"/>
              </w:rPr>
              <w:t>地方标准</w:t>
            </w:r>
            <w:r>
              <w:rPr>
                <w:rFonts w:eastAsia="仿宋"/>
                <w:bCs/>
                <w:color w:val="auto"/>
                <w:position w:val="-1"/>
                <w:sz w:val="18"/>
                <w:szCs w:val="18"/>
              </w:rPr>
              <w:t>□</w:t>
            </w:r>
          </w:p>
        </w:tc>
        <w:tc>
          <w:tcPr>
            <w:tcW w:w="1612" w:type="dxa"/>
            <w:gridSpan w:val="6"/>
            <w:tcBorders>
              <w:tl2br w:val="nil"/>
              <w:tr2bl w:val="nil"/>
            </w:tcBorders>
            <w:vAlign w:val="center"/>
          </w:tcPr>
          <w:p>
            <w:pPr>
              <w:adjustRightInd/>
              <w:snapToGrid/>
              <w:spacing w:line="240" w:lineRule="auto"/>
              <w:ind w:firstLine="0" w:firstLineChars="0"/>
              <w:jc w:val="center"/>
              <w:rPr>
                <w:rFonts w:eastAsia="仿宋"/>
                <w:bCs/>
                <w:color w:val="auto"/>
                <w:sz w:val="21"/>
                <w:szCs w:val="21"/>
              </w:rPr>
            </w:pPr>
            <w:r>
              <w:rPr>
                <w:bCs/>
                <w:color w:val="auto"/>
                <w:sz w:val="18"/>
                <w:szCs w:val="18"/>
              </w:rPr>
              <w:t>附录</w:t>
            </w:r>
            <w:r>
              <w:rPr>
                <w:rFonts w:eastAsia="Times New Roman"/>
                <w:bCs/>
                <w:color w:val="auto"/>
                <w:sz w:val="18"/>
                <w:szCs w:val="18"/>
              </w:rPr>
              <w:t>D</w:t>
            </w:r>
            <w:r>
              <w:rPr>
                <w:rFonts w:hint="eastAsia" w:eastAsia="仿宋"/>
                <w:bCs/>
                <w:color w:val="auto"/>
                <w:sz w:val="18"/>
                <w:szCs w:val="18"/>
              </w:rPr>
              <w:t>☑</w:t>
            </w:r>
          </w:p>
        </w:tc>
        <w:tc>
          <w:tcPr>
            <w:tcW w:w="1250" w:type="dxa"/>
            <w:gridSpan w:val="2"/>
            <w:tcBorders>
              <w:tl2br w:val="nil"/>
              <w:tr2bl w:val="nil"/>
            </w:tcBorders>
            <w:vAlign w:val="center"/>
          </w:tcPr>
          <w:p>
            <w:pPr>
              <w:adjustRightInd/>
              <w:snapToGrid/>
              <w:spacing w:line="240" w:lineRule="auto"/>
              <w:ind w:firstLine="0" w:firstLineChars="0"/>
              <w:jc w:val="center"/>
              <w:rPr>
                <w:rFonts w:eastAsia="仿宋"/>
                <w:bCs/>
                <w:color w:val="auto"/>
                <w:sz w:val="21"/>
                <w:szCs w:val="21"/>
              </w:rPr>
            </w:pPr>
            <w:r>
              <w:rPr>
                <w:bCs/>
                <w:color w:val="auto"/>
                <w:position w:val="-1"/>
                <w:sz w:val="18"/>
                <w:szCs w:val="18"/>
              </w:rPr>
              <w:t>其他标准</w:t>
            </w:r>
            <w:r>
              <w:rPr>
                <w:rFonts w:hint="eastAsia" w:eastAsia="仿宋"/>
                <w:bCs/>
                <w:color w:val="auto"/>
                <w:position w:val="-1"/>
                <w:sz w:val="18"/>
                <w:szCs w:val="18"/>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00" w:type="dxa"/>
            <w:vMerge w:val="restart"/>
            <w:tcBorders>
              <w:tl2br w:val="nil"/>
              <w:tr2bl w:val="nil"/>
            </w:tcBorders>
            <w:vAlign w:val="center"/>
          </w:tcPr>
          <w:p>
            <w:pPr>
              <w:adjustRightInd/>
              <w:snapToGrid/>
              <w:spacing w:line="240" w:lineRule="auto"/>
              <w:ind w:firstLine="0" w:firstLineChars="0"/>
              <w:jc w:val="center"/>
              <w:rPr>
                <w:bCs/>
                <w:color w:val="auto"/>
                <w:sz w:val="21"/>
                <w:szCs w:val="21"/>
              </w:rPr>
            </w:pPr>
            <w:r>
              <w:rPr>
                <w:bCs/>
                <w:color w:val="auto"/>
                <w:sz w:val="18"/>
                <w:szCs w:val="18"/>
              </w:rPr>
              <w:t>现状评价</w:t>
            </w:r>
          </w:p>
        </w:tc>
        <w:tc>
          <w:tcPr>
            <w:tcW w:w="1855" w:type="dxa"/>
            <w:tcBorders>
              <w:tl2br w:val="nil"/>
              <w:tr2bl w:val="nil"/>
            </w:tcBorders>
            <w:vAlign w:val="center"/>
          </w:tcPr>
          <w:p>
            <w:pPr>
              <w:adjustRightInd/>
              <w:snapToGrid/>
              <w:spacing w:line="240" w:lineRule="auto"/>
              <w:ind w:firstLine="0" w:firstLineChars="0"/>
              <w:jc w:val="center"/>
              <w:rPr>
                <w:bCs/>
                <w:color w:val="auto"/>
                <w:sz w:val="21"/>
                <w:szCs w:val="21"/>
              </w:rPr>
            </w:pPr>
            <w:r>
              <w:rPr>
                <w:bCs/>
                <w:color w:val="auto"/>
                <w:position w:val="-1"/>
                <w:sz w:val="18"/>
                <w:szCs w:val="18"/>
              </w:rPr>
              <w:t>环境功能区</w:t>
            </w:r>
          </w:p>
        </w:tc>
        <w:tc>
          <w:tcPr>
            <w:tcW w:w="2488" w:type="dxa"/>
            <w:gridSpan w:val="7"/>
            <w:tcBorders>
              <w:tl2br w:val="nil"/>
              <w:tr2bl w:val="nil"/>
            </w:tcBorders>
            <w:vAlign w:val="center"/>
          </w:tcPr>
          <w:p>
            <w:pPr>
              <w:adjustRightInd/>
              <w:snapToGrid/>
              <w:spacing w:line="240" w:lineRule="auto"/>
              <w:ind w:firstLine="0" w:firstLineChars="0"/>
              <w:jc w:val="center"/>
              <w:rPr>
                <w:bCs/>
                <w:color w:val="auto"/>
                <w:sz w:val="21"/>
                <w:szCs w:val="21"/>
              </w:rPr>
            </w:pPr>
            <w:r>
              <w:rPr>
                <w:bCs/>
                <w:color w:val="auto"/>
                <w:position w:val="-1"/>
                <w:sz w:val="18"/>
                <w:szCs w:val="18"/>
              </w:rPr>
              <w:t>一类区</w:t>
            </w:r>
            <w:r>
              <w:rPr>
                <w:rFonts w:eastAsia="仿宋"/>
                <w:bCs/>
                <w:color w:val="auto"/>
                <w:position w:val="-1"/>
                <w:sz w:val="18"/>
                <w:szCs w:val="18"/>
              </w:rPr>
              <w:t>□</w:t>
            </w:r>
          </w:p>
        </w:tc>
        <w:tc>
          <w:tcPr>
            <w:tcW w:w="2127" w:type="dxa"/>
            <w:gridSpan w:val="7"/>
            <w:tcBorders>
              <w:tl2br w:val="nil"/>
              <w:tr2bl w:val="nil"/>
            </w:tcBorders>
            <w:vAlign w:val="center"/>
          </w:tcPr>
          <w:p>
            <w:pPr>
              <w:adjustRightInd/>
              <w:snapToGrid/>
              <w:spacing w:line="240" w:lineRule="auto"/>
              <w:ind w:firstLine="0" w:firstLineChars="0"/>
              <w:jc w:val="center"/>
              <w:rPr>
                <w:bCs/>
                <w:color w:val="auto"/>
                <w:sz w:val="21"/>
                <w:szCs w:val="21"/>
              </w:rPr>
            </w:pPr>
            <w:r>
              <w:rPr>
                <w:bCs/>
                <w:color w:val="auto"/>
                <w:position w:val="-1"/>
                <w:sz w:val="18"/>
                <w:szCs w:val="18"/>
              </w:rPr>
              <w:t>二类区</w:t>
            </w:r>
            <w:r>
              <w:rPr>
                <w:rFonts w:eastAsia="仿宋"/>
                <w:bCs/>
                <w:color w:val="auto"/>
                <w:position w:val="-1"/>
                <w:sz w:val="18"/>
                <w:szCs w:val="18"/>
              </w:rPr>
              <w:t>☑</w:t>
            </w:r>
          </w:p>
        </w:tc>
        <w:tc>
          <w:tcPr>
            <w:tcW w:w="1718" w:type="dxa"/>
            <w:gridSpan w:val="5"/>
            <w:tcBorders>
              <w:tl2br w:val="nil"/>
              <w:tr2bl w:val="nil"/>
            </w:tcBorders>
            <w:vAlign w:val="center"/>
          </w:tcPr>
          <w:p>
            <w:pPr>
              <w:adjustRightInd/>
              <w:snapToGrid/>
              <w:spacing w:line="240" w:lineRule="auto"/>
              <w:ind w:firstLine="0" w:firstLineChars="0"/>
              <w:jc w:val="center"/>
              <w:rPr>
                <w:bCs/>
                <w:color w:val="auto"/>
                <w:sz w:val="21"/>
                <w:szCs w:val="21"/>
              </w:rPr>
            </w:pPr>
            <w:r>
              <w:rPr>
                <w:bCs/>
                <w:color w:val="auto"/>
                <w:position w:val="-1"/>
                <w:sz w:val="18"/>
                <w:szCs w:val="18"/>
              </w:rPr>
              <w:t>一类区和二类区</w:t>
            </w:r>
            <w:r>
              <w:rPr>
                <w:rFonts w:eastAsia="仿宋"/>
                <w:bCs/>
                <w:color w:val="auto"/>
                <w:position w:val="-1"/>
                <w:sz w:val="18"/>
                <w:szCs w:val="18"/>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00" w:type="dxa"/>
            <w:vMerge w:val="continue"/>
            <w:tcBorders>
              <w:tl2br w:val="nil"/>
              <w:tr2bl w:val="nil"/>
            </w:tcBorders>
            <w:vAlign w:val="center"/>
          </w:tcPr>
          <w:p>
            <w:pPr>
              <w:adjustRightInd/>
              <w:snapToGrid/>
              <w:spacing w:line="240" w:lineRule="auto"/>
              <w:ind w:firstLine="0" w:firstLineChars="0"/>
              <w:jc w:val="center"/>
              <w:rPr>
                <w:bCs/>
                <w:color w:val="auto"/>
                <w:sz w:val="21"/>
                <w:szCs w:val="21"/>
              </w:rPr>
            </w:pPr>
          </w:p>
        </w:tc>
        <w:tc>
          <w:tcPr>
            <w:tcW w:w="1855" w:type="dxa"/>
            <w:tcBorders>
              <w:tl2br w:val="nil"/>
              <w:tr2bl w:val="nil"/>
            </w:tcBorders>
            <w:vAlign w:val="center"/>
          </w:tcPr>
          <w:p>
            <w:pPr>
              <w:adjustRightInd/>
              <w:snapToGrid/>
              <w:spacing w:line="240" w:lineRule="auto"/>
              <w:ind w:firstLine="0" w:firstLineChars="0"/>
              <w:jc w:val="center"/>
              <w:rPr>
                <w:bCs/>
                <w:color w:val="auto"/>
                <w:sz w:val="21"/>
                <w:szCs w:val="21"/>
              </w:rPr>
            </w:pPr>
            <w:r>
              <w:rPr>
                <w:bCs/>
                <w:color w:val="auto"/>
                <w:position w:val="-1"/>
                <w:sz w:val="18"/>
                <w:szCs w:val="18"/>
              </w:rPr>
              <w:t>评价基准年</w:t>
            </w:r>
          </w:p>
        </w:tc>
        <w:tc>
          <w:tcPr>
            <w:tcW w:w="6333" w:type="dxa"/>
            <w:gridSpan w:val="19"/>
            <w:tcBorders>
              <w:tl2br w:val="nil"/>
              <w:tr2bl w:val="nil"/>
            </w:tcBorders>
            <w:vAlign w:val="center"/>
          </w:tcPr>
          <w:p>
            <w:pPr>
              <w:tabs>
                <w:tab w:val="left" w:pos="3440"/>
              </w:tabs>
              <w:adjustRightInd/>
              <w:snapToGrid/>
              <w:spacing w:line="240" w:lineRule="auto"/>
              <w:ind w:firstLine="0" w:firstLineChars="0"/>
              <w:jc w:val="center"/>
              <w:rPr>
                <w:bCs/>
                <w:color w:val="auto"/>
                <w:sz w:val="21"/>
                <w:szCs w:val="21"/>
              </w:rPr>
            </w:pPr>
            <w:r>
              <w:rPr>
                <w:bCs/>
                <w:color w:val="auto"/>
                <w:position w:val="-1"/>
                <w:sz w:val="18"/>
                <w:szCs w:val="18"/>
              </w:rPr>
              <w:t>（201</w:t>
            </w:r>
            <w:r>
              <w:rPr>
                <w:rFonts w:hint="eastAsia"/>
                <w:bCs/>
                <w:color w:val="auto"/>
                <w:position w:val="-1"/>
                <w:sz w:val="18"/>
                <w:szCs w:val="18"/>
              </w:rPr>
              <w:t>9</w:t>
            </w:r>
            <w:r>
              <w:rPr>
                <w:bCs/>
                <w:color w:val="auto"/>
                <w:position w:val="-1"/>
                <w:sz w:val="18"/>
                <w:szCs w:val="18"/>
              </w:rPr>
              <w:t>）年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00" w:type="dxa"/>
            <w:vMerge w:val="continue"/>
            <w:tcBorders>
              <w:tl2br w:val="nil"/>
              <w:tr2bl w:val="nil"/>
            </w:tcBorders>
            <w:vAlign w:val="center"/>
          </w:tcPr>
          <w:p>
            <w:pPr>
              <w:adjustRightInd/>
              <w:snapToGrid/>
              <w:spacing w:line="240" w:lineRule="auto"/>
              <w:ind w:firstLine="0" w:firstLineChars="0"/>
              <w:jc w:val="center"/>
              <w:rPr>
                <w:bCs/>
                <w:color w:val="auto"/>
                <w:sz w:val="21"/>
                <w:szCs w:val="21"/>
              </w:rPr>
            </w:pPr>
          </w:p>
        </w:tc>
        <w:tc>
          <w:tcPr>
            <w:tcW w:w="1855" w:type="dxa"/>
            <w:tcBorders>
              <w:tl2br w:val="nil"/>
              <w:tr2bl w:val="nil"/>
            </w:tcBorders>
            <w:vAlign w:val="center"/>
          </w:tcPr>
          <w:p>
            <w:pPr>
              <w:adjustRightInd/>
              <w:snapToGrid/>
              <w:spacing w:line="240" w:lineRule="auto"/>
              <w:ind w:firstLine="0" w:firstLineChars="0"/>
              <w:jc w:val="center"/>
              <w:rPr>
                <w:bCs/>
                <w:color w:val="auto"/>
                <w:sz w:val="21"/>
                <w:szCs w:val="21"/>
              </w:rPr>
            </w:pPr>
            <w:r>
              <w:rPr>
                <w:bCs/>
                <w:color w:val="auto"/>
                <w:position w:val="-1"/>
                <w:sz w:val="18"/>
                <w:szCs w:val="18"/>
              </w:rPr>
              <w:t>环境空气质量</w:t>
            </w:r>
            <w:r>
              <w:rPr>
                <w:bCs/>
                <w:color w:val="auto"/>
                <w:position w:val="-2"/>
                <w:sz w:val="18"/>
                <w:szCs w:val="18"/>
              </w:rPr>
              <w:t>现状调查数据来源</w:t>
            </w:r>
          </w:p>
        </w:tc>
        <w:tc>
          <w:tcPr>
            <w:tcW w:w="2488" w:type="dxa"/>
            <w:gridSpan w:val="7"/>
            <w:tcBorders>
              <w:tl2br w:val="nil"/>
              <w:tr2bl w:val="nil"/>
            </w:tcBorders>
            <w:vAlign w:val="center"/>
          </w:tcPr>
          <w:p>
            <w:pPr>
              <w:adjustRightInd/>
              <w:snapToGrid/>
              <w:spacing w:before="97" w:line="240" w:lineRule="auto"/>
              <w:ind w:firstLine="0" w:firstLineChars="0"/>
              <w:jc w:val="center"/>
              <w:rPr>
                <w:rFonts w:eastAsia="仿宋"/>
                <w:bCs/>
                <w:color w:val="auto"/>
                <w:sz w:val="21"/>
                <w:szCs w:val="21"/>
              </w:rPr>
            </w:pPr>
            <w:r>
              <w:rPr>
                <w:bCs/>
                <w:color w:val="auto"/>
                <w:sz w:val="18"/>
                <w:szCs w:val="18"/>
              </w:rPr>
              <w:t>长期例行监测数据</w:t>
            </w:r>
            <w:r>
              <w:rPr>
                <w:rFonts w:hint="eastAsia" w:eastAsia="仿宋"/>
                <w:bCs/>
                <w:color w:val="auto"/>
                <w:sz w:val="18"/>
                <w:szCs w:val="18"/>
              </w:rPr>
              <w:t>□</w:t>
            </w:r>
          </w:p>
        </w:tc>
        <w:tc>
          <w:tcPr>
            <w:tcW w:w="2195" w:type="dxa"/>
            <w:gridSpan w:val="8"/>
            <w:tcBorders>
              <w:tl2br w:val="nil"/>
              <w:tr2bl w:val="nil"/>
            </w:tcBorders>
            <w:vAlign w:val="center"/>
          </w:tcPr>
          <w:p>
            <w:pPr>
              <w:adjustRightInd/>
              <w:snapToGrid/>
              <w:spacing w:before="97" w:line="240" w:lineRule="auto"/>
              <w:ind w:firstLine="0" w:firstLineChars="0"/>
              <w:jc w:val="center"/>
              <w:rPr>
                <w:bCs/>
                <w:color w:val="auto"/>
                <w:sz w:val="21"/>
                <w:szCs w:val="21"/>
              </w:rPr>
            </w:pPr>
            <w:r>
              <w:rPr>
                <w:bCs/>
                <w:color w:val="auto"/>
                <w:sz w:val="18"/>
                <w:szCs w:val="18"/>
              </w:rPr>
              <w:t>主管部门发布的数</w:t>
            </w:r>
            <w:r>
              <w:rPr>
                <w:bCs/>
                <w:color w:val="auto"/>
                <w:spacing w:val="1"/>
                <w:sz w:val="18"/>
                <w:szCs w:val="18"/>
              </w:rPr>
              <w:t>据</w:t>
            </w:r>
            <w:r>
              <w:rPr>
                <w:rFonts w:hint="eastAsia" w:eastAsia="仿宋"/>
                <w:bCs/>
                <w:color w:val="auto"/>
                <w:sz w:val="18"/>
                <w:szCs w:val="18"/>
              </w:rPr>
              <w:t>☑</w:t>
            </w:r>
          </w:p>
        </w:tc>
        <w:tc>
          <w:tcPr>
            <w:tcW w:w="1650" w:type="dxa"/>
            <w:gridSpan w:val="4"/>
            <w:tcBorders>
              <w:tl2br w:val="nil"/>
              <w:tr2bl w:val="nil"/>
            </w:tcBorders>
            <w:vAlign w:val="center"/>
          </w:tcPr>
          <w:p>
            <w:pPr>
              <w:adjustRightInd/>
              <w:snapToGrid/>
              <w:spacing w:before="97" w:line="240" w:lineRule="auto"/>
              <w:ind w:firstLine="0" w:firstLineChars="0"/>
              <w:jc w:val="center"/>
              <w:rPr>
                <w:bCs/>
                <w:color w:val="auto"/>
                <w:sz w:val="21"/>
                <w:szCs w:val="21"/>
              </w:rPr>
            </w:pPr>
            <w:r>
              <w:rPr>
                <w:bCs/>
                <w:color w:val="auto"/>
                <w:sz w:val="18"/>
                <w:szCs w:val="18"/>
              </w:rPr>
              <w:t>现状补充监测</w:t>
            </w:r>
            <w:r>
              <w:rPr>
                <w:rFonts w:eastAsia="仿宋"/>
                <w:bCs/>
                <w:color w:val="auto"/>
                <w:sz w:val="18"/>
                <w:szCs w:val="18"/>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00" w:type="dxa"/>
            <w:vMerge w:val="continue"/>
            <w:tcBorders>
              <w:tl2br w:val="nil"/>
              <w:tr2bl w:val="nil"/>
            </w:tcBorders>
            <w:vAlign w:val="center"/>
          </w:tcPr>
          <w:p>
            <w:pPr>
              <w:adjustRightInd/>
              <w:snapToGrid/>
              <w:spacing w:line="240" w:lineRule="auto"/>
              <w:ind w:firstLine="0" w:firstLineChars="0"/>
              <w:jc w:val="center"/>
              <w:rPr>
                <w:bCs/>
                <w:color w:val="auto"/>
                <w:sz w:val="21"/>
                <w:szCs w:val="21"/>
              </w:rPr>
            </w:pPr>
          </w:p>
        </w:tc>
        <w:tc>
          <w:tcPr>
            <w:tcW w:w="1855" w:type="dxa"/>
            <w:tcBorders>
              <w:tl2br w:val="nil"/>
              <w:tr2bl w:val="nil"/>
            </w:tcBorders>
            <w:vAlign w:val="center"/>
          </w:tcPr>
          <w:p>
            <w:pPr>
              <w:adjustRightInd/>
              <w:snapToGrid/>
              <w:spacing w:line="240" w:lineRule="auto"/>
              <w:ind w:firstLine="0" w:firstLineChars="0"/>
              <w:jc w:val="center"/>
              <w:rPr>
                <w:bCs/>
                <w:color w:val="auto"/>
                <w:sz w:val="21"/>
                <w:szCs w:val="21"/>
              </w:rPr>
            </w:pPr>
            <w:r>
              <w:rPr>
                <w:bCs/>
                <w:color w:val="auto"/>
                <w:position w:val="-1"/>
                <w:sz w:val="18"/>
                <w:szCs w:val="18"/>
              </w:rPr>
              <w:t>现状评价</w:t>
            </w:r>
          </w:p>
        </w:tc>
        <w:tc>
          <w:tcPr>
            <w:tcW w:w="3471" w:type="dxa"/>
            <w:gridSpan w:val="11"/>
            <w:tcBorders>
              <w:tl2br w:val="nil"/>
              <w:tr2bl w:val="nil"/>
            </w:tcBorders>
            <w:vAlign w:val="center"/>
          </w:tcPr>
          <w:p>
            <w:pPr>
              <w:adjustRightInd/>
              <w:snapToGrid/>
              <w:spacing w:line="240" w:lineRule="auto"/>
              <w:ind w:firstLine="0" w:firstLineChars="0"/>
              <w:jc w:val="center"/>
              <w:rPr>
                <w:bCs/>
                <w:color w:val="auto"/>
                <w:sz w:val="21"/>
                <w:szCs w:val="21"/>
              </w:rPr>
            </w:pPr>
            <w:r>
              <w:rPr>
                <w:bCs/>
                <w:color w:val="auto"/>
                <w:position w:val="-1"/>
                <w:sz w:val="18"/>
                <w:szCs w:val="18"/>
              </w:rPr>
              <w:t>达标区</w:t>
            </w:r>
            <w:r>
              <w:rPr>
                <w:rFonts w:eastAsia="仿宋"/>
                <w:bCs/>
                <w:color w:val="auto"/>
                <w:position w:val="-1"/>
                <w:sz w:val="18"/>
                <w:szCs w:val="18"/>
              </w:rPr>
              <w:t>□</w:t>
            </w:r>
          </w:p>
        </w:tc>
        <w:tc>
          <w:tcPr>
            <w:tcW w:w="2862" w:type="dxa"/>
            <w:gridSpan w:val="8"/>
            <w:tcBorders>
              <w:tl2br w:val="nil"/>
              <w:tr2bl w:val="nil"/>
            </w:tcBorders>
            <w:vAlign w:val="center"/>
          </w:tcPr>
          <w:p>
            <w:pPr>
              <w:adjustRightInd/>
              <w:snapToGrid/>
              <w:spacing w:line="240" w:lineRule="auto"/>
              <w:ind w:firstLine="0" w:firstLineChars="0"/>
              <w:jc w:val="center"/>
              <w:rPr>
                <w:bCs/>
                <w:color w:val="auto"/>
                <w:sz w:val="21"/>
                <w:szCs w:val="21"/>
              </w:rPr>
            </w:pPr>
            <w:r>
              <w:rPr>
                <w:bCs/>
                <w:color w:val="auto"/>
                <w:position w:val="-1"/>
                <w:sz w:val="18"/>
                <w:szCs w:val="18"/>
              </w:rPr>
              <w:t>不达标区</w:t>
            </w:r>
            <w:r>
              <w:rPr>
                <w:rFonts w:eastAsia="仿宋"/>
                <w:bCs/>
                <w:color w:val="auto"/>
                <w:position w:val="-1"/>
                <w:sz w:val="18"/>
                <w:szCs w:val="18"/>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00" w:type="dxa"/>
            <w:tcBorders>
              <w:tl2br w:val="nil"/>
              <w:tr2bl w:val="nil"/>
            </w:tcBorders>
            <w:vAlign w:val="center"/>
          </w:tcPr>
          <w:p>
            <w:pPr>
              <w:adjustRightInd/>
              <w:snapToGrid/>
              <w:spacing w:line="240" w:lineRule="auto"/>
              <w:ind w:firstLine="0" w:firstLineChars="0"/>
              <w:jc w:val="center"/>
              <w:rPr>
                <w:bCs/>
                <w:color w:val="auto"/>
                <w:sz w:val="21"/>
                <w:szCs w:val="21"/>
              </w:rPr>
            </w:pPr>
            <w:r>
              <w:rPr>
                <w:bCs/>
                <w:color w:val="auto"/>
                <w:sz w:val="18"/>
                <w:szCs w:val="18"/>
              </w:rPr>
              <w:t>污染源调查</w:t>
            </w:r>
          </w:p>
        </w:tc>
        <w:tc>
          <w:tcPr>
            <w:tcW w:w="1855" w:type="dxa"/>
            <w:tcBorders>
              <w:tl2br w:val="nil"/>
              <w:tr2bl w:val="nil"/>
            </w:tcBorders>
            <w:vAlign w:val="center"/>
          </w:tcPr>
          <w:p>
            <w:pPr>
              <w:adjustRightInd/>
              <w:snapToGrid/>
              <w:spacing w:line="240" w:lineRule="auto"/>
              <w:ind w:firstLine="0" w:firstLineChars="0"/>
              <w:jc w:val="center"/>
              <w:rPr>
                <w:bCs/>
                <w:color w:val="auto"/>
                <w:sz w:val="21"/>
                <w:szCs w:val="21"/>
              </w:rPr>
            </w:pPr>
            <w:r>
              <w:rPr>
                <w:bCs/>
                <w:color w:val="auto"/>
                <w:sz w:val="18"/>
                <w:szCs w:val="18"/>
              </w:rPr>
              <w:t>调查内容</w:t>
            </w:r>
          </w:p>
        </w:tc>
        <w:tc>
          <w:tcPr>
            <w:tcW w:w="1935" w:type="dxa"/>
            <w:gridSpan w:val="6"/>
            <w:tcBorders>
              <w:tl2br w:val="nil"/>
              <w:tr2bl w:val="nil"/>
            </w:tcBorders>
            <w:vAlign w:val="center"/>
          </w:tcPr>
          <w:p>
            <w:pPr>
              <w:adjustRightInd/>
              <w:snapToGrid/>
              <w:spacing w:line="240" w:lineRule="auto"/>
              <w:ind w:firstLine="0" w:firstLineChars="0"/>
              <w:jc w:val="center"/>
              <w:rPr>
                <w:rFonts w:eastAsia="仿宋"/>
                <w:bCs/>
                <w:color w:val="auto"/>
                <w:sz w:val="21"/>
                <w:szCs w:val="21"/>
              </w:rPr>
            </w:pPr>
            <w:r>
              <w:rPr>
                <w:bCs/>
                <w:color w:val="auto"/>
                <w:position w:val="-1"/>
                <w:sz w:val="18"/>
                <w:szCs w:val="18"/>
              </w:rPr>
              <w:t>本项目正常排放源</w:t>
            </w:r>
            <w:r>
              <w:rPr>
                <w:rFonts w:hint="eastAsia" w:eastAsia="仿宋"/>
                <w:bCs/>
                <w:color w:val="auto"/>
                <w:position w:val="-1"/>
                <w:sz w:val="18"/>
                <w:szCs w:val="18"/>
              </w:rPr>
              <w:t>☑</w:t>
            </w:r>
            <w:r>
              <w:rPr>
                <w:bCs/>
                <w:color w:val="auto"/>
                <w:position w:val="-2"/>
                <w:sz w:val="18"/>
                <w:szCs w:val="18"/>
              </w:rPr>
              <w:t>本项目非正常排放源</w:t>
            </w:r>
            <w:r>
              <w:rPr>
                <w:rFonts w:hint="eastAsia" w:eastAsia="仿宋"/>
                <w:bCs/>
                <w:color w:val="auto"/>
                <w:position w:val="-2"/>
                <w:sz w:val="18"/>
                <w:szCs w:val="18"/>
              </w:rPr>
              <w:t>□</w:t>
            </w:r>
            <w:r>
              <w:rPr>
                <w:bCs/>
                <w:color w:val="auto"/>
                <w:position w:val="-2"/>
                <w:sz w:val="18"/>
                <w:szCs w:val="18"/>
              </w:rPr>
              <w:t>现有污染源</w:t>
            </w:r>
            <w:r>
              <w:rPr>
                <w:rFonts w:hint="eastAsia" w:eastAsia="仿宋"/>
                <w:bCs/>
                <w:color w:val="auto"/>
                <w:position w:val="-2"/>
                <w:sz w:val="18"/>
                <w:szCs w:val="18"/>
              </w:rPr>
              <w:t>□</w:t>
            </w:r>
          </w:p>
        </w:tc>
        <w:tc>
          <w:tcPr>
            <w:tcW w:w="1536" w:type="dxa"/>
            <w:gridSpan w:val="5"/>
            <w:tcBorders>
              <w:tl2br w:val="nil"/>
              <w:tr2bl w:val="nil"/>
            </w:tcBorders>
            <w:vAlign w:val="center"/>
          </w:tcPr>
          <w:p>
            <w:pPr>
              <w:adjustRightInd/>
              <w:snapToGrid/>
              <w:spacing w:line="240" w:lineRule="auto"/>
              <w:ind w:firstLine="0" w:firstLineChars="0"/>
              <w:jc w:val="center"/>
              <w:rPr>
                <w:bCs/>
                <w:color w:val="auto"/>
              </w:rPr>
            </w:pPr>
            <w:r>
              <w:rPr>
                <w:bCs/>
                <w:color w:val="auto"/>
                <w:sz w:val="18"/>
                <w:szCs w:val="18"/>
              </w:rPr>
              <w:t>拟替代的污染源</w:t>
            </w:r>
            <w:r>
              <w:rPr>
                <w:rFonts w:eastAsia="仿宋"/>
                <w:bCs/>
                <w:color w:val="auto"/>
                <w:sz w:val="18"/>
                <w:szCs w:val="18"/>
              </w:rPr>
              <w:t>□</w:t>
            </w:r>
          </w:p>
        </w:tc>
        <w:tc>
          <w:tcPr>
            <w:tcW w:w="1612" w:type="dxa"/>
            <w:gridSpan w:val="6"/>
            <w:tcBorders>
              <w:tl2br w:val="nil"/>
              <w:tr2bl w:val="nil"/>
            </w:tcBorders>
            <w:vAlign w:val="center"/>
          </w:tcPr>
          <w:p>
            <w:pPr>
              <w:adjustRightInd/>
              <w:snapToGrid/>
              <w:spacing w:line="240" w:lineRule="auto"/>
              <w:ind w:firstLine="0" w:firstLineChars="0"/>
              <w:jc w:val="center"/>
              <w:rPr>
                <w:rFonts w:eastAsia="仿宋"/>
                <w:bCs/>
                <w:color w:val="auto"/>
                <w:sz w:val="21"/>
                <w:szCs w:val="21"/>
              </w:rPr>
            </w:pPr>
            <w:r>
              <w:rPr>
                <w:bCs/>
                <w:color w:val="auto"/>
                <w:sz w:val="18"/>
                <w:szCs w:val="18"/>
              </w:rPr>
              <w:t>其他在建、拟建项目污染</w:t>
            </w:r>
            <w:r>
              <w:rPr>
                <w:bCs/>
                <w:color w:val="auto"/>
                <w:spacing w:val="1"/>
                <w:sz w:val="18"/>
                <w:szCs w:val="18"/>
              </w:rPr>
              <w:t>源</w:t>
            </w:r>
            <w:r>
              <w:rPr>
                <w:rFonts w:hint="eastAsia" w:eastAsia="仿宋"/>
                <w:bCs/>
                <w:color w:val="auto"/>
                <w:sz w:val="18"/>
                <w:szCs w:val="18"/>
              </w:rPr>
              <w:t>□</w:t>
            </w:r>
          </w:p>
        </w:tc>
        <w:tc>
          <w:tcPr>
            <w:tcW w:w="1250" w:type="dxa"/>
            <w:gridSpan w:val="2"/>
            <w:tcBorders>
              <w:tl2br w:val="nil"/>
              <w:tr2bl w:val="nil"/>
            </w:tcBorders>
            <w:vAlign w:val="center"/>
          </w:tcPr>
          <w:p>
            <w:pPr>
              <w:adjustRightInd/>
              <w:snapToGrid/>
              <w:spacing w:line="240" w:lineRule="auto"/>
              <w:ind w:firstLine="0" w:firstLineChars="0"/>
              <w:jc w:val="center"/>
              <w:rPr>
                <w:bCs/>
                <w:color w:val="auto"/>
                <w:sz w:val="21"/>
                <w:szCs w:val="21"/>
              </w:rPr>
            </w:pPr>
            <w:r>
              <w:rPr>
                <w:bCs/>
                <w:color w:val="auto"/>
                <w:sz w:val="18"/>
                <w:szCs w:val="18"/>
              </w:rPr>
              <w:t>区域污染源</w:t>
            </w:r>
            <w:r>
              <w:rPr>
                <w:rFonts w:eastAsia="仿宋"/>
                <w:bCs/>
                <w:color w:val="auto"/>
                <w:sz w:val="18"/>
                <w:szCs w:val="18"/>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00" w:type="dxa"/>
            <w:vMerge w:val="restart"/>
            <w:tcBorders>
              <w:tl2br w:val="nil"/>
              <w:tr2bl w:val="nil"/>
            </w:tcBorders>
            <w:vAlign w:val="center"/>
          </w:tcPr>
          <w:p>
            <w:pPr>
              <w:adjustRightInd/>
              <w:snapToGrid/>
              <w:spacing w:line="240" w:lineRule="auto"/>
              <w:ind w:firstLine="0" w:firstLineChars="0"/>
              <w:jc w:val="center"/>
              <w:rPr>
                <w:bCs/>
                <w:color w:val="auto"/>
                <w:sz w:val="21"/>
                <w:szCs w:val="21"/>
              </w:rPr>
            </w:pPr>
            <w:r>
              <w:rPr>
                <w:bCs/>
                <w:color w:val="auto"/>
                <w:sz w:val="18"/>
                <w:szCs w:val="18"/>
              </w:rPr>
              <w:t>大气环境影响预测与评价</w:t>
            </w:r>
          </w:p>
        </w:tc>
        <w:tc>
          <w:tcPr>
            <w:tcW w:w="1855" w:type="dxa"/>
            <w:tcBorders>
              <w:tl2br w:val="nil"/>
              <w:tr2bl w:val="nil"/>
            </w:tcBorders>
            <w:vAlign w:val="center"/>
          </w:tcPr>
          <w:p>
            <w:pPr>
              <w:adjustRightInd/>
              <w:snapToGrid/>
              <w:spacing w:before="95" w:line="240" w:lineRule="auto"/>
              <w:ind w:firstLine="0" w:firstLineChars="0"/>
              <w:jc w:val="center"/>
              <w:rPr>
                <w:bCs/>
                <w:color w:val="auto"/>
                <w:sz w:val="21"/>
                <w:szCs w:val="21"/>
              </w:rPr>
            </w:pPr>
            <w:r>
              <w:rPr>
                <w:bCs/>
                <w:color w:val="auto"/>
                <w:sz w:val="18"/>
                <w:szCs w:val="18"/>
              </w:rPr>
              <w:t>预测模型</w:t>
            </w:r>
          </w:p>
        </w:tc>
        <w:tc>
          <w:tcPr>
            <w:tcW w:w="959" w:type="dxa"/>
            <w:tcBorders>
              <w:tl2br w:val="nil"/>
              <w:tr2bl w:val="nil"/>
            </w:tcBorders>
            <w:vAlign w:val="center"/>
          </w:tcPr>
          <w:p>
            <w:pPr>
              <w:adjustRightInd/>
              <w:snapToGrid/>
              <w:spacing w:before="51" w:line="240" w:lineRule="auto"/>
              <w:ind w:firstLine="0" w:firstLineChars="0"/>
              <w:jc w:val="center"/>
              <w:rPr>
                <w:rFonts w:eastAsia="仿宋"/>
                <w:bCs/>
                <w:color w:val="auto"/>
                <w:sz w:val="21"/>
                <w:szCs w:val="21"/>
              </w:rPr>
            </w:pPr>
            <w:r>
              <w:rPr>
                <w:rFonts w:eastAsia="Times New Roman"/>
                <w:bCs/>
                <w:color w:val="auto"/>
                <w:spacing w:val="-3"/>
                <w:sz w:val="18"/>
                <w:szCs w:val="18"/>
              </w:rPr>
              <w:t>A</w:t>
            </w:r>
            <w:r>
              <w:rPr>
                <w:rFonts w:eastAsia="Times New Roman"/>
                <w:bCs/>
                <w:color w:val="auto"/>
                <w:sz w:val="18"/>
                <w:szCs w:val="18"/>
              </w:rPr>
              <w:t>ER</w:t>
            </w:r>
            <w:r>
              <w:rPr>
                <w:rFonts w:eastAsia="Times New Roman"/>
                <w:bCs/>
                <w:color w:val="auto"/>
                <w:spacing w:val="1"/>
                <w:sz w:val="18"/>
                <w:szCs w:val="18"/>
              </w:rPr>
              <w:t>M</w:t>
            </w:r>
            <w:r>
              <w:rPr>
                <w:rFonts w:eastAsia="Times New Roman"/>
                <w:bCs/>
                <w:color w:val="auto"/>
                <w:sz w:val="18"/>
                <w:szCs w:val="18"/>
              </w:rPr>
              <w:t>OD</w:t>
            </w:r>
            <w:r>
              <w:rPr>
                <w:rFonts w:hint="eastAsia" w:eastAsia="仿宋"/>
                <w:bCs/>
                <w:color w:val="auto"/>
                <w:position w:val="-1"/>
                <w:sz w:val="18"/>
                <w:szCs w:val="18"/>
              </w:rPr>
              <w:sym w:font="Wingdings 2" w:char="0052"/>
            </w:r>
          </w:p>
        </w:tc>
        <w:tc>
          <w:tcPr>
            <w:tcW w:w="860" w:type="dxa"/>
            <w:gridSpan w:val="4"/>
            <w:tcBorders>
              <w:tl2br w:val="nil"/>
              <w:tr2bl w:val="nil"/>
            </w:tcBorders>
            <w:vAlign w:val="center"/>
          </w:tcPr>
          <w:p>
            <w:pPr>
              <w:adjustRightInd/>
              <w:snapToGrid/>
              <w:spacing w:before="51" w:line="240" w:lineRule="auto"/>
              <w:ind w:firstLine="0" w:firstLineChars="0"/>
              <w:jc w:val="center"/>
              <w:rPr>
                <w:bCs/>
                <w:color w:val="auto"/>
              </w:rPr>
            </w:pPr>
            <w:r>
              <w:rPr>
                <w:rFonts w:eastAsia="Times New Roman"/>
                <w:bCs/>
                <w:color w:val="auto"/>
                <w:spacing w:val="-3"/>
                <w:sz w:val="18"/>
                <w:szCs w:val="18"/>
              </w:rPr>
              <w:t>A</w:t>
            </w:r>
            <w:r>
              <w:rPr>
                <w:rFonts w:eastAsia="Times New Roman"/>
                <w:bCs/>
                <w:color w:val="auto"/>
                <w:sz w:val="18"/>
                <w:szCs w:val="18"/>
              </w:rPr>
              <w:t>DMS</w:t>
            </w:r>
            <w:r>
              <w:rPr>
                <w:rFonts w:eastAsia="仿宋"/>
                <w:bCs/>
                <w:color w:val="auto"/>
                <w:position w:val="-1"/>
                <w:sz w:val="18"/>
                <w:szCs w:val="18"/>
              </w:rPr>
              <w:t>□</w:t>
            </w:r>
          </w:p>
        </w:tc>
        <w:tc>
          <w:tcPr>
            <w:tcW w:w="1044" w:type="dxa"/>
            <w:gridSpan w:val="4"/>
            <w:tcBorders>
              <w:tl2br w:val="nil"/>
              <w:tr2bl w:val="nil"/>
            </w:tcBorders>
            <w:vAlign w:val="center"/>
          </w:tcPr>
          <w:p>
            <w:pPr>
              <w:adjustRightInd/>
              <w:snapToGrid/>
              <w:spacing w:before="51" w:line="240" w:lineRule="auto"/>
              <w:ind w:firstLine="0" w:firstLineChars="0"/>
              <w:jc w:val="center"/>
              <w:rPr>
                <w:bCs/>
                <w:color w:val="auto"/>
              </w:rPr>
            </w:pPr>
            <w:r>
              <w:rPr>
                <w:rFonts w:eastAsia="Times New Roman"/>
                <w:bCs/>
                <w:color w:val="auto"/>
                <w:spacing w:val="-3"/>
                <w:sz w:val="18"/>
                <w:szCs w:val="18"/>
              </w:rPr>
              <w:t>A</w:t>
            </w:r>
            <w:r>
              <w:rPr>
                <w:rFonts w:eastAsia="Times New Roman"/>
                <w:bCs/>
                <w:color w:val="auto"/>
                <w:sz w:val="18"/>
                <w:szCs w:val="18"/>
              </w:rPr>
              <w:t>U</w:t>
            </w:r>
            <w:r>
              <w:rPr>
                <w:rFonts w:eastAsia="Times New Roman"/>
                <w:bCs/>
                <w:color w:val="auto"/>
                <w:spacing w:val="3"/>
                <w:sz w:val="18"/>
                <w:szCs w:val="18"/>
              </w:rPr>
              <w:t>S</w:t>
            </w:r>
            <w:r>
              <w:rPr>
                <w:rFonts w:eastAsia="Times New Roman"/>
                <w:bCs/>
                <w:color w:val="auto"/>
                <w:spacing w:val="-14"/>
                <w:sz w:val="18"/>
                <w:szCs w:val="18"/>
              </w:rPr>
              <w:t>T</w:t>
            </w:r>
            <w:r>
              <w:rPr>
                <w:rFonts w:eastAsia="Times New Roman"/>
                <w:bCs/>
                <w:color w:val="auto"/>
                <w:sz w:val="18"/>
                <w:szCs w:val="18"/>
              </w:rPr>
              <w:t>A</w:t>
            </w:r>
            <w:r>
              <w:rPr>
                <w:rFonts w:eastAsia="Times New Roman"/>
                <w:bCs/>
                <w:color w:val="auto"/>
                <w:spacing w:val="-2"/>
                <w:sz w:val="18"/>
                <w:szCs w:val="18"/>
              </w:rPr>
              <w:t>L</w:t>
            </w:r>
            <w:r>
              <w:rPr>
                <w:rFonts w:eastAsia="Times New Roman"/>
                <w:bCs/>
                <w:color w:val="auto"/>
                <w:spacing w:val="1"/>
                <w:sz w:val="18"/>
                <w:szCs w:val="18"/>
              </w:rPr>
              <w:t>2000</w:t>
            </w:r>
            <w:r>
              <w:rPr>
                <w:rFonts w:eastAsia="仿宋"/>
                <w:bCs/>
                <w:color w:val="auto"/>
                <w:position w:val="-1"/>
                <w:sz w:val="18"/>
                <w:szCs w:val="18"/>
              </w:rPr>
              <w:t>□</w:t>
            </w:r>
          </w:p>
        </w:tc>
        <w:tc>
          <w:tcPr>
            <w:tcW w:w="1016" w:type="dxa"/>
            <w:gridSpan w:val="3"/>
            <w:tcBorders>
              <w:tl2br w:val="nil"/>
              <w:tr2bl w:val="nil"/>
            </w:tcBorders>
            <w:vAlign w:val="center"/>
          </w:tcPr>
          <w:p>
            <w:pPr>
              <w:adjustRightInd/>
              <w:snapToGrid/>
              <w:spacing w:before="51" w:line="240" w:lineRule="auto"/>
              <w:ind w:firstLine="0" w:firstLineChars="0"/>
              <w:jc w:val="center"/>
              <w:rPr>
                <w:bCs/>
                <w:color w:val="auto"/>
                <w:sz w:val="21"/>
                <w:szCs w:val="21"/>
              </w:rPr>
            </w:pPr>
            <w:r>
              <w:rPr>
                <w:rFonts w:eastAsia="Times New Roman"/>
                <w:bCs/>
                <w:color w:val="auto"/>
                <w:sz w:val="18"/>
                <w:szCs w:val="18"/>
              </w:rPr>
              <w:t>ED</w:t>
            </w:r>
            <w:r>
              <w:rPr>
                <w:rFonts w:eastAsia="Times New Roman"/>
                <w:bCs/>
                <w:color w:val="auto"/>
                <w:spacing w:val="1"/>
                <w:sz w:val="18"/>
                <w:szCs w:val="18"/>
              </w:rPr>
              <w:t>MS</w:t>
            </w:r>
            <w:r>
              <w:rPr>
                <w:rFonts w:eastAsia="Times New Roman"/>
                <w:bCs/>
                <w:color w:val="auto"/>
                <w:sz w:val="18"/>
                <w:szCs w:val="18"/>
              </w:rPr>
              <w:t>/</w:t>
            </w:r>
            <w:r>
              <w:rPr>
                <w:rFonts w:eastAsia="Times New Roman"/>
                <w:bCs/>
                <w:color w:val="auto"/>
                <w:spacing w:val="-2"/>
                <w:sz w:val="18"/>
                <w:szCs w:val="18"/>
              </w:rPr>
              <w:t>A</w:t>
            </w:r>
            <w:r>
              <w:rPr>
                <w:rFonts w:eastAsia="Times New Roman"/>
                <w:bCs/>
                <w:color w:val="auto"/>
                <w:sz w:val="18"/>
                <w:szCs w:val="18"/>
              </w:rPr>
              <w:t>EDT</w:t>
            </w:r>
            <w:r>
              <w:rPr>
                <w:rFonts w:eastAsia="仿宋"/>
                <w:bCs/>
                <w:color w:val="auto"/>
                <w:position w:val="-1"/>
                <w:sz w:val="18"/>
                <w:szCs w:val="18"/>
              </w:rPr>
              <w:t>□</w:t>
            </w:r>
          </w:p>
        </w:tc>
        <w:tc>
          <w:tcPr>
            <w:tcW w:w="804" w:type="dxa"/>
            <w:gridSpan w:val="3"/>
            <w:tcBorders>
              <w:tl2br w:val="nil"/>
              <w:tr2bl w:val="nil"/>
            </w:tcBorders>
            <w:vAlign w:val="center"/>
          </w:tcPr>
          <w:p>
            <w:pPr>
              <w:adjustRightInd/>
              <w:snapToGrid/>
              <w:spacing w:before="51" w:line="240" w:lineRule="auto"/>
              <w:ind w:firstLine="0" w:firstLineChars="0"/>
              <w:jc w:val="center"/>
              <w:rPr>
                <w:bCs/>
                <w:color w:val="auto"/>
              </w:rPr>
            </w:pPr>
            <w:r>
              <w:rPr>
                <w:rFonts w:eastAsia="Times New Roman"/>
                <w:bCs/>
                <w:color w:val="auto"/>
                <w:sz w:val="18"/>
                <w:szCs w:val="18"/>
              </w:rPr>
              <w:t>CA</w:t>
            </w:r>
            <w:r>
              <w:rPr>
                <w:rFonts w:eastAsia="Times New Roman"/>
                <w:bCs/>
                <w:color w:val="auto"/>
                <w:spacing w:val="-2"/>
                <w:sz w:val="18"/>
                <w:szCs w:val="18"/>
              </w:rPr>
              <w:t>L</w:t>
            </w:r>
            <w:r>
              <w:rPr>
                <w:rFonts w:eastAsia="Times New Roman"/>
                <w:bCs/>
                <w:color w:val="auto"/>
                <w:spacing w:val="3"/>
                <w:sz w:val="18"/>
                <w:szCs w:val="18"/>
              </w:rPr>
              <w:t>P</w:t>
            </w:r>
            <w:r>
              <w:rPr>
                <w:rFonts w:eastAsia="Times New Roman"/>
                <w:bCs/>
                <w:color w:val="auto"/>
                <w:sz w:val="18"/>
                <w:szCs w:val="18"/>
              </w:rPr>
              <w:t>UFF</w:t>
            </w:r>
            <w:r>
              <w:rPr>
                <w:rFonts w:eastAsia="仿宋"/>
                <w:bCs/>
                <w:color w:val="auto"/>
                <w:position w:val="-1"/>
                <w:sz w:val="18"/>
                <w:szCs w:val="18"/>
              </w:rPr>
              <w:t>□</w:t>
            </w:r>
          </w:p>
        </w:tc>
        <w:tc>
          <w:tcPr>
            <w:tcW w:w="878" w:type="dxa"/>
            <w:gridSpan w:val="3"/>
            <w:tcBorders>
              <w:tl2br w:val="nil"/>
              <w:tr2bl w:val="nil"/>
            </w:tcBorders>
            <w:vAlign w:val="center"/>
          </w:tcPr>
          <w:p>
            <w:pPr>
              <w:adjustRightInd/>
              <w:snapToGrid/>
              <w:spacing w:line="240" w:lineRule="auto"/>
              <w:ind w:firstLine="0" w:firstLineChars="0"/>
              <w:jc w:val="center"/>
              <w:rPr>
                <w:bCs/>
                <w:color w:val="auto"/>
                <w:sz w:val="21"/>
                <w:szCs w:val="21"/>
              </w:rPr>
            </w:pPr>
            <w:r>
              <w:rPr>
                <w:bCs/>
                <w:color w:val="auto"/>
                <w:position w:val="-1"/>
                <w:sz w:val="18"/>
                <w:szCs w:val="18"/>
              </w:rPr>
              <w:t>网格模型</w:t>
            </w:r>
            <w:r>
              <w:rPr>
                <w:rFonts w:eastAsia="仿宋"/>
                <w:bCs/>
                <w:color w:val="auto"/>
                <w:position w:val="-2"/>
                <w:sz w:val="18"/>
                <w:szCs w:val="18"/>
              </w:rPr>
              <w:t>□</w:t>
            </w:r>
          </w:p>
        </w:tc>
        <w:tc>
          <w:tcPr>
            <w:tcW w:w="772" w:type="dxa"/>
            <w:tcBorders>
              <w:tl2br w:val="nil"/>
              <w:tr2bl w:val="nil"/>
            </w:tcBorders>
            <w:vAlign w:val="center"/>
          </w:tcPr>
          <w:p>
            <w:pPr>
              <w:adjustRightInd/>
              <w:snapToGrid/>
              <w:spacing w:line="240" w:lineRule="auto"/>
              <w:ind w:firstLine="0" w:firstLineChars="0"/>
              <w:jc w:val="center"/>
              <w:rPr>
                <w:bCs/>
                <w:color w:val="auto"/>
              </w:rPr>
            </w:pPr>
            <w:r>
              <w:rPr>
                <w:bCs/>
                <w:color w:val="auto"/>
                <w:position w:val="-1"/>
                <w:sz w:val="18"/>
                <w:szCs w:val="18"/>
              </w:rPr>
              <w:t>其他</w:t>
            </w:r>
            <w:r>
              <w:rPr>
                <w:rFonts w:hint="eastAsia" w:eastAsia="仿宋"/>
                <w:bCs/>
                <w:color w:val="auto"/>
                <w:position w:val="-2"/>
                <w:sz w:val="18"/>
                <w:szCs w:val="18"/>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00" w:type="dxa"/>
            <w:vMerge w:val="continue"/>
            <w:tcBorders>
              <w:tl2br w:val="nil"/>
              <w:tr2bl w:val="nil"/>
            </w:tcBorders>
            <w:vAlign w:val="center"/>
          </w:tcPr>
          <w:p>
            <w:pPr>
              <w:adjustRightInd/>
              <w:snapToGrid/>
              <w:spacing w:line="240" w:lineRule="auto"/>
              <w:ind w:firstLine="0" w:firstLineChars="0"/>
              <w:jc w:val="center"/>
              <w:rPr>
                <w:bCs/>
                <w:color w:val="auto"/>
                <w:sz w:val="21"/>
                <w:szCs w:val="21"/>
              </w:rPr>
            </w:pPr>
          </w:p>
        </w:tc>
        <w:tc>
          <w:tcPr>
            <w:tcW w:w="1855" w:type="dxa"/>
            <w:tcBorders>
              <w:tl2br w:val="nil"/>
              <w:tr2bl w:val="nil"/>
            </w:tcBorders>
            <w:vAlign w:val="center"/>
          </w:tcPr>
          <w:p>
            <w:pPr>
              <w:adjustRightInd/>
              <w:snapToGrid/>
              <w:spacing w:line="240" w:lineRule="auto"/>
              <w:ind w:firstLine="0" w:firstLineChars="0"/>
              <w:jc w:val="center"/>
              <w:rPr>
                <w:bCs/>
                <w:color w:val="auto"/>
                <w:sz w:val="21"/>
                <w:szCs w:val="21"/>
              </w:rPr>
            </w:pPr>
            <w:r>
              <w:rPr>
                <w:bCs/>
                <w:color w:val="auto"/>
                <w:position w:val="-1"/>
                <w:sz w:val="18"/>
                <w:szCs w:val="18"/>
              </w:rPr>
              <w:t>预测范围</w:t>
            </w:r>
          </w:p>
        </w:tc>
        <w:tc>
          <w:tcPr>
            <w:tcW w:w="1819" w:type="dxa"/>
            <w:gridSpan w:val="5"/>
            <w:tcBorders>
              <w:tl2br w:val="nil"/>
              <w:tr2bl w:val="nil"/>
            </w:tcBorders>
            <w:vAlign w:val="center"/>
          </w:tcPr>
          <w:p>
            <w:pPr>
              <w:adjustRightInd/>
              <w:snapToGrid/>
              <w:spacing w:line="240" w:lineRule="auto"/>
              <w:ind w:firstLine="0" w:firstLineChars="0"/>
              <w:jc w:val="center"/>
              <w:rPr>
                <w:bCs/>
                <w:color w:val="auto"/>
                <w:sz w:val="21"/>
                <w:szCs w:val="21"/>
              </w:rPr>
            </w:pPr>
            <w:r>
              <w:rPr>
                <w:bCs/>
                <w:color w:val="auto"/>
                <w:sz w:val="18"/>
                <w:szCs w:val="18"/>
              </w:rPr>
              <w:t>边长</w:t>
            </w:r>
            <w:r>
              <w:rPr>
                <w:rFonts w:eastAsia="仿宋"/>
                <w:bCs/>
                <w:color w:val="auto"/>
                <w:sz w:val="18"/>
                <w:szCs w:val="18"/>
              </w:rPr>
              <w:t>≥</w:t>
            </w:r>
            <w:r>
              <w:rPr>
                <w:rFonts w:eastAsia="Times New Roman"/>
                <w:bCs/>
                <w:color w:val="auto"/>
                <w:spacing w:val="1"/>
                <w:sz w:val="18"/>
                <w:szCs w:val="18"/>
              </w:rPr>
              <w:t>50</w:t>
            </w:r>
            <w:r>
              <w:rPr>
                <w:rFonts w:eastAsia="Times New Roman"/>
                <w:bCs/>
                <w:color w:val="auto"/>
                <w:spacing w:val="-1"/>
                <w:sz w:val="18"/>
                <w:szCs w:val="18"/>
              </w:rPr>
              <w:t>k</w:t>
            </w:r>
            <w:r>
              <w:rPr>
                <w:rFonts w:eastAsia="Times New Roman"/>
                <w:bCs/>
                <w:color w:val="auto"/>
                <w:spacing w:val="-3"/>
                <w:sz w:val="18"/>
                <w:szCs w:val="18"/>
              </w:rPr>
              <w:t>m</w:t>
            </w:r>
            <w:r>
              <w:rPr>
                <w:rFonts w:eastAsia="仿宋"/>
                <w:bCs/>
                <w:color w:val="auto"/>
                <w:sz w:val="18"/>
                <w:szCs w:val="18"/>
              </w:rPr>
              <w:t>□</w:t>
            </w:r>
          </w:p>
        </w:tc>
        <w:tc>
          <w:tcPr>
            <w:tcW w:w="2864" w:type="dxa"/>
            <w:gridSpan w:val="10"/>
            <w:tcBorders>
              <w:tl2br w:val="nil"/>
              <w:tr2bl w:val="nil"/>
            </w:tcBorders>
            <w:vAlign w:val="center"/>
          </w:tcPr>
          <w:p>
            <w:pPr>
              <w:adjustRightInd/>
              <w:snapToGrid/>
              <w:spacing w:line="240" w:lineRule="auto"/>
              <w:ind w:firstLine="0" w:firstLineChars="0"/>
              <w:jc w:val="center"/>
              <w:rPr>
                <w:bCs/>
                <w:color w:val="auto"/>
                <w:sz w:val="21"/>
                <w:szCs w:val="21"/>
              </w:rPr>
            </w:pPr>
            <w:r>
              <w:rPr>
                <w:bCs/>
                <w:color w:val="auto"/>
                <w:sz w:val="18"/>
                <w:szCs w:val="18"/>
              </w:rPr>
              <w:t>边长</w:t>
            </w:r>
            <w:r>
              <w:rPr>
                <w:rFonts w:eastAsia="Times New Roman"/>
                <w:bCs/>
                <w:color w:val="auto"/>
                <w:spacing w:val="1"/>
                <w:sz w:val="18"/>
                <w:szCs w:val="18"/>
              </w:rPr>
              <w:t>5</w:t>
            </w:r>
            <w:r>
              <w:rPr>
                <w:bCs/>
                <w:color w:val="auto"/>
                <w:sz w:val="18"/>
                <w:szCs w:val="18"/>
              </w:rPr>
              <w:t>～</w:t>
            </w:r>
            <w:r>
              <w:rPr>
                <w:rFonts w:eastAsia="Times New Roman"/>
                <w:bCs/>
                <w:color w:val="auto"/>
                <w:spacing w:val="-1"/>
                <w:sz w:val="18"/>
                <w:szCs w:val="18"/>
              </w:rPr>
              <w:t>5</w:t>
            </w:r>
            <w:r>
              <w:rPr>
                <w:rFonts w:eastAsia="Times New Roman"/>
                <w:bCs/>
                <w:color w:val="auto"/>
                <w:spacing w:val="1"/>
                <w:sz w:val="18"/>
                <w:szCs w:val="18"/>
              </w:rPr>
              <w:t>0</w:t>
            </w:r>
            <w:r>
              <w:rPr>
                <w:rFonts w:eastAsia="Times New Roman"/>
                <w:bCs/>
                <w:color w:val="auto"/>
                <w:spacing w:val="-1"/>
                <w:sz w:val="18"/>
                <w:szCs w:val="18"/>
              </w:rPr>
              <w:t>k</w:t>
            </w:r>
            <w:r>
              <w:rPr>
                <w:rFonts w:eastAsia="Times New Roman"/>
                <w:bCs/>
                <w:color w:val="auto"/>
                <w:sz w:val="18"/>
                <w:szCs w:val="18"/>
              </w:rPr>
              <w:t>m</w:t>
            </w:r>
            <w:r>
              <w:rPr>
                <w:rFonts w:eastAsia="仿宋"/>
                <w:bCs/>
                <w:color w:val="auto"/>
                <w:sz w:val="18"/>
                <w:szCs w:val="18"/>
              </w:rPr>
              <w:t>□</w:t>
            </w:r>
          </w:p>
        </w:tc>
        <w:tc>
          <w:tcPr>
            <w:tcW w:w="1650" w:type="dxa"/>
            <w:gridSpan w:val="4"/>
            <w:tcBorders>
              <w:tl2br w:val="nil"/>
              <w:tr2bl w:val="nil"/>
            </w:tcBorders>
            <w:vAlign w:val="center"/>
          </w:tcPr>
          <w:p>
            <w:pPr>
              <w:adjustRightInd/>
              <w:snapToGrid/>
              <w:spacing w:line="240" w:lineRule="auto"/>
              <w:ind w:firstLine="0" w:firstLineChars="0"/>
              <w:jc w:val="center"/>
              <w:rPr>
                <w:bCs/>
                <w:color w:val="auto"/>
                <w:sz w:val="21"/>
                <w:szCs w:val="21"/>
              </w:rPr>
            </w:pPr>
            <w:r>
              <w:rPr>
                <w:bCs/>
                <w:color w:val="auto"/>
                <w:sz w:val="18"/>
                <w:szCs w:val="18"/>
              </w:rPr>
              <w:t>边长</w:t>
            </w:r>
            <w:r>
              <w:rPr>
                <w:rFonts w:eastAsia="Times New Roman"/>
                <w:bCs/>
                <w:color w:val="auto"/>
                <w:sz w:val="18"/>
                <w:szCs w:val="18"/>
              </w:rPr>
              <w:t>=5</w:t>
            </w:r>
            <w:r>
              <w:rPr>
                <w:rFonts w:eastAsia="Times New Roman"/>
                <w:bCs/>
                <w:color w:val="auto"/>
                <w:spacing w:val="-1"/>
                <w:sz w:val="18"/>
                <w:szCs w:val="18"/>
              </w:rPr>
              <w:t>k</w:t>
            </w:r>
            <w:r>
              <w:rPr>
                <w:rFonts w:eastAsia="Times New Roman"/>
                <w:bCs/>
                <w:color w:val="auto"/>
                <w:sz w:val="18"/>
                <w:szCs w:val="18"/>
              </w:rPr>
              <w:t>m</w:t>
            </w:r>
            <w:r>
              <w:rPr>
                <w:rFonts w:hint="eastAsia" w:eastAsia="仿宋"/>
                <w:bCs/>
                <w:color w:val="auto"/>
                <w:sz w:val="18"/>
                <w:szCs w:val="18"/>
              </w:rPr>
              <w:sym w:font="Wingdings 2" w:char="0052"/>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00" w:type="dxa"/>
            <w:vMerge w:val="continue"/>
            <w:tcBorders>
              <w:tl2br w:val="nil"/>
              <w:tr2bl w:val="nil"/>
            </w:tcBorders>
            <w:vAlign w:val="center"/>
          </w:tcPr>
          <w:p>
            <w:pPr>
              <w:adjustRightInd/>
              <w:snapToGrid/>
              <w:spacing w:line="240" w:lineRule="auto"/>
              <w:ind w:firstLine="0" w:firstLineChars="0"/>
              <w:jc w:val="center"/>
              <w:rPr>
                <w:bCs/>
                <w:color w:val="auto"/>
                <w:sz w:val="21"/>
                <w:szCs w:val="21"/>
              </w:rPr>
            </w:pPr>
          </w:p>
        </w:tc>
        <w:tc>
          <w:tcPr>
            <w:tcW w:w="1855" w:type="dxa"/>
            <w:tcBorders>
              <w:tl2br w:val="nil"/>
              <w:tr2bl w:val="nil"/>
            </w:tcBorders>
            <w:vAlign w:val="center"/>
          </w:tcPr>
          <w:p>
            <w:pPr>
              <w:adjustRightInd/>
              <w:snapToGrid/>
              <w:spacing w:before="97" w:line="240" w:lineRule="auto"/>
              <w:ind w:firstLine="0" w:firstLineChars="0"/>
              <w:jc w:val="center"/>
              <w:rPr>
                <w:bCs/>
                <w:color w:val="auto"/>
                <w:sz w:val="21"/>
                <w:szCs w:val="21"/>
              </w:rPr>
            </w:pPr>
            <w:r>
              <w:rPr>
                <w:bCs/>
                <w:color w:val="auto"/>
                <w:sz w:val="18"/>
                <w:szCs w:val="18"/>
              </w:rPr>
              <w:t>预测因子</w:t>
            </w:r>
          </w:p>
        </w:tc>
        <w:tc>
          <w:tcPr>
            <w:tcW w:w="3471" w:type="dxa"/>
            <w:gridSpan w:val="11"/>
            <w:tcBorders>
              <w:tl2br w:val="nil"/>
              <w:tr2bl w:val="nil"/>
            </w:tcBorders>
            <w:vAlign w:val="center"/>
          </w:tcPr>
          <w:p>
            <w:pPr>
              <w:tabs>
                <w:tab w:val="left" w:pos="2960"/>
              </w:tabs>
              <w:adjustRightInd/>
              <w:snapToGrid/>
              <w:spacing w:before="97" w:line="240" w:lineRule="auto"/>
              <w:ind w:firstLine="0" w:firstLineChars="0"/>
              <w:jc w:val="center"/>
              <w:rPr>
                <w:bCs/>
                <w:color w:val="auto"/>
                <w:sz w:val="21"/>
                <w:szCs w:val="21"/>
              </w:rPr>
            </w:pPr>
            <w:r>
              <w:rPr>
                <w:bCs/>
                <w:color w:val="auto"/>
                <w:sz w:val="18"/>
                <w:szCs w:val="18"/>
              </w:rPr>
              <w:t>预测因子</w:t>
            </w:r>
            <w:r>
              <w:rPr>
                <w:rFonts w:eastAsia="Times New Roman"/>
                <w:bCs/>
                <w:color w:val="auto"/>
                <w:sz w:val="18"/>
                <w:szCs w:val="18"/>
              </w:rPr>
              <w:t>(</w:t>
            </w:r>
            <w:r>
              <w:rPr>
                <w:rFonts w:eastAsia="Times New Roman"/>
                <w:bCs/>
                <w:color w:val="auto"/>
                <w:spacing w:val="1"/>
                <w:sz w:val="18"/>
                <w:szCs w:val="18"/>
              </w:rPr>
              <w:t>S</w:t>
            </w:r>
            <w:r>
              <w:rPr>
                <w:rFonts w:eastAsia="Times New Roman"/>
                <w:bCs/>
                <w:color w:val="auto"/>
                <w:sz w:val="18"/>
                <w:szCs w:val="18"/>
              </w:rPr>
              <w:t>O</w:t>
            </w:r>
            <w:r>
              <w:rPr>
                <w:rFonts w:eastAsia="Times New Roman"/>
                <w:bCs/>
                <w:color w:val="auto"/>
                <w:position w:val="-1"/>
                <w:sz w:val="12"/>
                <w:szCs w:val="12"/>
              </w:rPr>
              <w:t>2</w:t>
            </w:r>
            <w:r>
              <w:rPr>
                <w:rFonts w:hint="eastAsia"/>
                <w:bCs/>
                <w:color w:val="auto"/>
                <w:spacing w:val="-1"/>
                <w:sz w:val="18"/>
                <w:szCs w:val="18"/>
              </w:rPr>
              <w:t>、</w:t>
            </w:r>
            <w:r>
              <w:rPr>
                <w:rFonts w:eastAsia="Times New Roman"/>
                <w:bCs/>
                <w:color w:val="auto"/>
                <w:sz w:val="18"/>
                <w:szCs w:val="18"/>
              </w:rPr>
              <w:t>N</w:t>
            </w:r>
            <w:r>
              <w:rPr>
                <w:rFonts w:eastAsia="Times New Roman"/>
                <w:bCs/>
                <w:color w:val="auto"/>
                <w:spacing w:val="-1"/>
                <w:sz w:val="18"/>
                <w:szCs w:val="18"/>
              </w:rPr>
              <w:t>O</w:t>
            </w:r>
            <w:r>
              <w:rPr>
                <w:rFonts w:eastAsia="Times New Roman"/>
                <w:bCs/>
                <w:i/>
                <w:color w:val="auto"/>
                <w:position w:val="-1"/>
                <w:sz w:val="12"/>
                <w:szCs w:val="12"/>
              </w:rPr>
              <w:t>x</w:t>
            </w:r>
            <w:r>
              <w:rPr>
                <w:rFonts w:hint="eastAsia"/>
                <w:color w:val="auto"/>
                <w:sz w:val="18"/>
                <w:szCs w:val="18"/>
              </w:rPr>
              <w:t>、PM</w:t>
            </w:r>
            <w:r>
              <w:rPr>
                <w:rFonts w:hint="eastAsia"/>
                <w:color w:val="auto"/>
                <w:sz w:val="18"/>
                <w:szCs w:val="18"/>
                <w:vertAlign w:val="subscript"/>
              </w:rPr>
              <w:t>10</w:t>
            </w:r>
            <w:r>
              <w:rPr>
                <w:rFonts w:hint="eastAsia"/>
                <w:color w:val="auto"/>
                <w:sz w:val="18"/>
                <w:szCs w:val="18"/>
              </w:rPr>
              <w:t>、</w:t>
            </w:r>
            <w:r>
              <w:rPr>
                <w:rFonts w:hint="eastAsia"/>
                <w:bCs/>
                <w:color w:val="auto"/>
                <w:sz w:val="18"/>
                <w:szCs w:val="18"/>
              </w:rPr>
              <w:t>NH</w:t>
            </w:r>
            <w:r>
              <w:rPr>
                <w:rFonts w:hint="eastAsia"/>
                <w:bCs/>
                <w:color w:val="auto"/>
                <w:sz w:val="18"/>
                <w:szCs w:val="18"/>
                <w:vertAlign w:val="subscript"/>
              </w:rPr>
              <w:t>3</w:t>
            </w:r>
            <w:r>
              <w:rPr>
                <w:rFonts w:hint="eastAsia"/>
                <w:bCs/>
                <w:color w:val="auto"/>
                <w:sz w:val="18"/>
                <w:szCs w:val="18"/>
              </w:rPr>
              <w:t>、H</w:t>
            </w:r>
            <w:r>
              <w:rPr>
                <w:rFonts w:hint="eastAsia"/>
                <w:bCs/>
                <w:color w:val="auto"/>
                <w:sz w:val="18"/>
                <w:szCs w:val="18"/>
                <w:vertAlign w:val="subscript"/>
              </w:rPr>
              <w:t>2</w:t>
            </w:r>
            <w:r>
              <w:rPr>
                <w:rFonts w:hint="eastAsia"/>
                <w:bCs/>
                <w:color w:val="auto"/>
                <w:sz w:val="18"/>
                <w:szCs w:val="18"/>
              </w:rPr>
              <w:t>S</w:t>
            </w:r>
            <w:r>
              <w:rPr>
                <w:rFonts w:eastAsia="Times New Roman"/>
                <w:bCs/>
                <w:color w:val="auto"/>
                <w:sz w:val="18"/>
                <w:szCs w:val="18"/>
              </w:rPr>
              <w:t>)</w:t>
            </w:r>
          </w:p>
        </w:tc>
        <w:tc>
          <w:tcPr>
            <w:tcW w:w="2862" w:type="dxa"/>
            <w:gridSpan w:val="8"/>
            <w:tcBorders>
              <w:tl2br w:val="nil"/>
              <w:tr2bl w:val="nil"/>
            </w:tcBorders>
            <w:vAlign w:val="center"/>
          </w:tcPr>
          <w:p>
            <w:pPr>
              <w:adjustRightInd/>
              <w:snapToGrid/>
              <w:spacing w:line="240" w:lineRule="auto"/>
              <w:ind w:firstLine="0" w:firstLineChars="0"/>
              <w:jc w:val="center"/>
              <w:rPr>
                <w:bCs/>
                <w:color w:val="auto"/>
                <w:sz w:val="21"/>
                <w:szCs w:val="21"/>
              </w:rPr>
            </w:pPr>
            <w:r>
              <w:rPr>
                <w:bCs/>
                <w:color w:val="auto"/>
                <w:sz w:val="18"/>
                <w:szCs w:val="18"/>
              </w:rPr>
              <w:t>包括二次</w:t>
            </w:r>
            <w:r>
              <w:rPr>
                <w:rFonts w:eastAsia="Times New Roman"/>
                <w:bCs/>
                <w:color w:val="auto"/>
                <w:spacing w:val="3"/>
                <w:sz w:val="18"/>
                <w:szCs w:val="18"/>
              </w:rPr>
              <w:t>P</w:t>
            </w:r>
            <w:r>
              <w:rPr>
                <w:rFonts w:eastAsia="Times New Roman"/>
                <w:bCs/>
                <w:color w:val="auto"/>
                <w:spacing w:val="1"/>
                <w:sz w:val="18"/>
                <w:szCs w:val="18"/>
              </w:rPr>
              <w:t>M</w:t>
            </w:r>
            <w:r>
              <w:rPr>
                <w:rFonts w:eastAsia="Times New Roman"/>
                <w:bCs/>
                <w:color w:val="auto"/>
                <w:position w:val="-1"/>
                <w:sz w:val="12"/>
                <w:szCs w:val="12"/>
              </w:rPr>
              <w:t>2</w:t>
            </w:r>
            <w:r>
              <w:rPr>
                <w:rFonts w:eastAsia="Times New Roman"/>
                <w:bCs/>
                <w:color w:val="auto"/>
                <w:spacing w:val="1"/>
                <w:position w:val="-1"/>
                <w:sz w:val="12"/>
                <w:szCs w:val="12"/>
              </w:rPr>
              <w:t>.</w:t>
            </w:r>
            <w:r>
              <w:rPr>
                <w:rFonts w:eastAsia="Times New Roman"/>
                <w:bCs/>
                <w:color w:val="auto"/>
                <w:position w:val="-1"/>
                <w:sz w:val="12"/>
                <w:szCs w:val="12"/>
              </w:rPr>
              <w:t>5</w:t>
            </w:r>
            <w:r>
              <w:rPr>
                <w:rFonts w:eastAsia="仿宋"/>
                <w:bCs/>
                <w:color w:val="auto"/>
                <w:sz w:val="18"/>
                <w:szCs w:val="18"/>
              </w:rPr>
              <w:t>□</w:t>
            </w:r>
            <w:r>
              <w:rPr>
                <w:bCs/>
                <w:color w:val="auto"/>
                <w:sz w:val="18"/>
                <w:szCs w:val="18"/>
              </w:rPr>
              <w:t>不包括二次</w:t>
            </w:r>
            <w:r>
              <w:rPr>
                <w:rFonts w:eastAsia="Times New Roman"/>
                <w:bCs/>
                <w:color w:val="auto"/>
                <w:spacing w:val="3"/>
                <w:sz w:val="18"/>
                <w:szCs w:val="18"/>
              </w:rPr>
              <w:t>P</w:t>
            </w:r>
            <w:r>
              <w:rPr>
                <w:rFonts w:eastAsia="Times New Roman"/>
                <w:bCs/>
                <w:color w:val="auto"/>
                <w:spacing w:val="1"/>
                <w:sz w:val="18"/>
                <w:szCs w:val="18"/>
              </w:rPr>
              <w:t>M</w:t>
            </w:r>
            <w:r>
              <w:rPr>
                <w:rFonts w:eastAsia="Times New Roman"/>
                <w:bCs/>
                <w:color w:val="auto"/>
                <w:position w:val="-1"/>
                <w:sz w:val="12"/>
                <w:szCs w:val="12"/>
              </w:rPr>
              <w:t>2</w:t>
            </w:r>
            <w:r>
              <w:rPr>
                <w:rFonts w:eastAsia="Times New Roman"/>
                <w:bCs/>
                <w:color w:val="auto"/>
                <w:spacing w:val="1"/>
                <w:position w:val="-1"/>
                <w:sz w:val="12"/>
                <w:szCs w:val="12"/>
              </w:rPr>
              <w:t>.</w:t>
            </w:r>
            <w:r>
              <w:rPr>
                <w:rFonts w:eastAsia="Times New Roman"/>
                <w:bCs/>
                <w:color w:val="auto"/>
                <w:position w:val="-1"/>
                <w:sz w:val="12"/>
                <w:szCs w:val="12"/>
              </w:rPr>
              <w:t>5</w:t>
            </w:r>
            <w:r>
              <w:rPr>
                <w:rFonts w:hint="eastAsia" w:eastAsia="仿宋"/>
                <w:bCs/>
                <w:color w:val="auto"/>
                <w:sz w:val="18"/>
                <w:szCs w:val="18"/>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00" w:type="dxa"/>
            <w:vMerge w:val="continue"/>
            <w:tcBorders>
              <w:tl2br w:val="nil"/>
              <w:tr2bl w:val="nil"/>
            </w:tcBorders>
            <w:vAlign w:val="center"/>
          </w:tcPr>
          <w:p>
            <w:pPr>
              <w:adjustRightInd/>
              <w:snapToGrid/>
              <w:spacing w:line="240" w:lineRule="auto"/>
              <w:ind w:firstLine="0" w:firstLineChars="0"/>
              <w:jc w:val="center"/>
              <w:rPr>
                <w:bCs/>
                <w:color w:val="auto"/>
                <w:sz w:val="21"/>
                <w:szCs w:val="21"/>
              </w:rPr>
            </w:pPr>
          </w:p>
        </w:tc>
        <w:tc>
          <w:tcPr>
            <w:tcW w:w="1855" w:type="dxa"/>
            <w:tcBorders>
              <w:tl2br w:val="nil"/>
              <w:tr2bl w:val="nil"/>
            </w:tcBorders>
            <w:vAlign w:val="center"/>
          </w:tcPr>
          <w:p>
            <w:pPr>
              <w:adjustRightInd/>
              <w:snapToGrid/>
              <w:spacing w:line="240" w:lineRule="auto"/>
              <w:ind w:firstLine="0" w:firstLineChars="0"/>
              <w:jc w:val="center"/>
              <w:rPr>
                <w:bCs/>
                <w:color w:val="auto"/>
                <w:sz w:val="21"/>
                <w:szCs w:val="21"/>
              </w:rPr>
            </w:pPr>
            <w:r>
              <w:rPr>
                <w:bCs/>
                <w:color w:val="auto"/>
                <w:sz w:val="18"/>
                <w:szCs w:val="18"/>
              </w:rPr>
              <w:t>正常排放短期浓度贡献值</w:t>
            </w:r>
          </w:p>
        </w:tc>
        <w:tc>
          <w:tcPr>
            <w:tcW w:w="3471" w:type="dxa"/>
            <w:gridSpan w:val="11"/>
            <w:tcBorders>
              <w:tl2br w:val="nil"/>
              <w:tr2bl w:val="nil"/>
            </w:tcBorders>
            <w:vAlign w:val="center"/>
          </w:tcPr>
          <w:p>
            <w:pPr>
              <w:tabs>
                <w:tab w:val="left" w:pos="1240"/>
              </w:tabs>
              <w:adjustRightInd/>
              <w:snapToGrid/>
              <w:spacing w:line="240" w:lineRule="auto"/>
              <w:ind w:firstLine="0" w:firstLineChars="0"/>
              <w:jc w:val="center"/>
              <w:rPr>
                <w:bCs/>
                <w:color w:val="auto"/>
                <w:sz w:val="21"/>
                <w:szCs w:val="21"/>
              </w:rPr>
            </w:pPr>
            <w:r>
              <w:rPr>
                <w:bCs/>
                <w:color w:val="auto"/>
                <w:position w:val="11"/>
                <w:sz w:val="18"/>
                <w:szCs w:val="18"/>
              </w:rPr>
              <w:t>C</w:t>
            </w:r>
            <w:r>
              <w:rPr>
                <w:bCs/>
                <w:color w:val="auto"/>
                <w:position w:val="11"/>
                <w:sz w:val="18"/>
                <w:szCs w:val="18"/>
                <w:vertAlign w:val="subscript"/>
              </w:rPr>
              <w:t>本项目</w:t>
            </w:r>
            <w:r>
              <w:rPr>
                <w:bCs/>
                <w:color w:val="auto"/>
                <w:position w:val="11"/>
                <w:sz w:val="18"/>
                <w:szCs w:val="18"/>
              </w:rPr>
              <w:t>最大占标率</w:t>
            </w:r>
            <w:r>
              <w:rPr>
                <w:rFonts w:eastAsia="仿宋"/>
                <w:bCs/>
                <w:color w:val="auto"/>
                <w:spacing w:val="2"/>
                <w:position w:val="11"/>
                <w:sz w:val="18"/>
                <w:szCs w:val="18"/>
              </w:rPr>
              <w:t>≤</w:t>
            </w:r>
            <w:r>
              <w:rPr>
                <w:rFonts w:eastAsia="Times New Roman"/>
                <w:bCs/>
                <w:color w:val="auto"/>
                <w:spacing w:val="-1"/>
                <w:position w:val="11"/>
                <w:sz w:val="18"/>
                <w:szCs w:val="18"/>
              </w:rPr>
              <w:t>1</w:t>
            </w:r>
            <w:r>
              <w:rPr>
                <w:rFonts w:eastAsia="Times New Roman"/>
                <w:bCs/>
                <w:color w:val="auto"/>
                <w:spacing w:val="1"/>
                <w:position w:val="11"/>
                <w:sz w:val="18"/>
                <w:szCs w:val="18"/>
              </w:rPr>
              <w:t>00</w:t>
            </w:r>
            <w:r>
              <w:rPr>
                <w:rFonts w:eastAsia="Times New Roman"/>
                <w:bCs/>
                <w:color w:val="auto"/>
                <w:spacing w:val="-3"/>
                <w:position w:val="11"/>
                <w:sz w:val="18"/>
                <w:szCs w:val="18"/>
              </w:rPr>
              <w:t>%</w:t>
            </w:r>
            <w:r>
              <w:rPr>
                <w:rFonts w:hint="eastAsia" w:eastAsia="仿宋"/>
                <w:bCs/>
                <w:color w:val="auto"/>
                <w:position w:val="11"/>
                <w:sz w:val="18"/>
                <w:szCs w:val="18"/>
              </w:rPr>
              <w:sym w:font="Wingdings 2" w:char="0052"/>
            </w:r>
          </w:p>
        </w:tc>
        <w:tc>
          <w:tcPr>
            <w:tcW w:w="2862" w:type="dxa"/>
            <w:gridSpan w:val="8"/>
            <w:tcBorders>
              <w:tl2br w:val="nil"/>
              <w:tr2bl w:val="nil"/>
            </w:tcBorders>
            <w:vAlign w:val="center"/>
          </w:tcPr>
          <w:p>
            <w:pPr>
              <w:tabs>
                <w:tab w:val="left" w:pos="840"/>
              </w:tabs>
              <w:adjustRightInd/>
              <w:snapToGrid/>
              <w:spacing w:line="240" w:lineRule="auto"/>
              <w:ind w:firstLine="0" w:firstLineChars="0"/>
              <w:jc w:val="center"/>
              <w:rPr>
                <w:bCs/>
                <w:color w:val="auto"/>
                <w:sz w:val="21"/>
                <w:szCs w:val="21"/>
              </w:rPr>
            </w:pPr>
            <w:r>
              <w:rPr>
                <w:bCs/>
                <w:color w:val="auto"/>
                <w:position w:val="11"/>
                <w:sz w:val="18"/>
                <w:szCs w:val="18"/>
              </w:rPr>
              <w:t>C</w:t>
            </w:r>
            <w:r>
              <w:rPr>
                <w:bCs/>
                <w:color w:val="auto"/>
                <w:position w:val="11"/>
                <w:sz w:val="18"/>
                <w:szCs w:val="18"/>
                <w:vertAlign w:val="subscript"/>
              </w:rPr>
              <w:t>本项目</w:t>
            </w:r>
            <w:r>
              <w:rPr>
                <w:bCs/>
                <w:color w:val="auto"/>
                <w:position w:val="11"/>
                <w:sz w:val="18"/>
                <w:szCs w:val="18"/>
              </w:rPr>
              <w:t>最大占标率</w:t>
            </w:r>
            <w:r>
              <w:rPr>
                <w:rFonts w:eastAsia="仿宋"/>
                <w:bCs/>
                <w:color w:val="auto"/>
                <w:spacing w:val="2"/>
                <w:position w:val="11"/>
                <w:sz w:val="18"/>
                <w:szCs w:val="18"/>
              </w:rPr>
              <w:t>＞</w:t>
            </w:r>
            <w:r>
              <w:rPr>
                <w:rFonts w:eastAsia="Times New Roman"/>
                <w:bCs/>
                <w:color w:val="auto"/>
                <w:spacing w:val="-1"/>
                <w:position w:val="11"/>
                <w:sz w:val="18"/>
                <w:szCs w:val="18"/>
              </w:rPr>
              <w:t>1</w:t>
            </w:r>
            <w:r>
              <w:rPr>
                <w:rFonts w:eastAsia="Times New Roman"/>
                <w:bCs/>
                <w:color w:val="auto"/>
                <w:spacing w:val="1"/>
                <w:position w:val="11"/>
                <w:sz w:val="18"/>
                <w:szCs w:val="18"/>
              </w:rPr>
              <w:t>00</w:t>
            </w:r>
            <w:r>
              <w:rPr>
                <w:rFonts w:eastAsia="Times New Roman"/>
                <w:bCs/>
                <w:color w:val="auto"/>
                <w:position w:val="11"/>
                <w:sz w:val="18"/>
                <w:szCs w:val="18"/>
              </w:rPr>
              <w:t>%</w:t>
            </w:r>
            <w:r>
              <w:rPr>
                <w:rFonts w:eastAsia="仿宋"/>
                <w:bCs/>
                <w:color w:val="auto"/>
                <w:position w:val="11"/>
                <w:sz w:val="18"/>
                <w:szCs w:val="18"/>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00" w:type="dxa"/>
            <w:vMerge w:val="continue"/>
            <w:tcBorders>
              <w:tl2br w:val="nil"/>
              <w:tr2bl w:val="nil"/>
            </w:tcBorders>
            <w:vAlign w:val="center"/>
          </w:tcPr>
          <w:p>
            <w:pPr>
              <w:adjustRightInd/>
              <w:snapToGrid/>
              <w:spacing w:line="240" w:lineRule="auto"/>
              <w:ind w:firstLine="0" w:firstLineChars="0"/>
              <w:jc w:val="center"/>
              <w:rPr>
                <w:bCs/>
                <w:color w:val="auto"/>
                <w:sz w:val="21"/>
                <w:szCs w:val="21"/>
              </w:rPr>
            </w:pPr>
          </w:p>
        </w:tc>
        <w:tc>
          <w:tcPr>
            <w:tcW w:w="1855" w:type="dxa"/>
            <w:vMerge w:val="restart"/>
            <w:tcBorders>
              <w:tl2br w:val="nil"/>
              <w:tr2bl w:val="nil"/>
            </w:tcBorders>
            <w:vAlign w:val="center"/>
          </w:tcPr>
          <w:p>
            <w:pPr>
              <w:adjustRightInd/>
              <w:snapToGrid/>
              <w:spacing w:line="240" w:lineRule="auto"/>
              <w:ind w:firstLine="0" w:firstLineChars="0"/>
              <w:jc w:val="center"/>
              <w:rPr>
                <w:bCs/>
                <w:color w:val="auto"/>
                <w:sz w:val="21"/>
                <w:szCs w:val="21"/>
              </w:rPr>
            </w:pPr>
            <w:r>
              <w:rPr>
                <w:bCs/>
                <w:color w:val="auto"/>
                <w:sz w:val="18"/>
                <w:szCs w:val="18"/>
              </w:rPr>
              <w:t>正常排放年均浓度贡献值</w:t>
            </w:r>
          </w:p>
        </w:tc>
        <w:tc>
          <w:tcPr>
            <w:tcW w:w="959" w:type="dxa"/>
            <w:tcBorders>
              <w:tl2br w:val="nil"/>
              <w:tr2bl w:val="nil"/>
            </w:tcBorders>
            <w:vAlign w:val="center"/>
          </w:tcPr>
          <w:p>
            <w:pPr>
              <w:adjustRightInd/>
              <w:snapToGrid/>
              <w:spacing w:before="80" w:line="240" w:lineRule="auto"/>
              <w:ind w:firstLine="0" w:firstLineChars="0"/>
              <w:jc w:val="center"/>
              <w:rPr>
                <w:bCs/>
                <w:color w:val="auto"/>
                <w:sz w:val="21"/>
                <w:szCs w:val="21"/>
              </w:rPr>
            </w:pPr>
            <w:r>
              <w:rPr>
                <w:bCs/>
                <w:color w:val="auto"/>
                <w:sz w:val="18"/>
                <w:szCs w:val="18"/>
              </w:rPr>
              <w:t>一类区</w:t>
            </w:r>
          </w:p>
        </w:tc>
        <w:tc>
          <w:tcPr>
            <w:tcW w:w="2512" w:type="dxa"/>
            <w:gridSpan w:val="10"/>
            <w:tcBorders>
              <w:tl2br w:val="nil"/>
              <w:tr2bl w:val="nil"/>
            </w:tcBorders>
            <w:vAlign w:val="center"/>
          </w:tcPr>
          <w:p>
            <w:pPr>
              <w:adjustRightInd/>
              <w:snapToGrid/>
              <w:spacing w:line="240" w:lineRule="auto"/>
              <w:ind w:firstLine="0" w:firstLineChars="0"/>
              <w:jc w:val="center"/>
              <w:rPr>
                <w:bCs/>
                <w:color w:val="auto"/>
              </w:rPr>
            </w:pPr>
            <w:r>
              <w:rPr>
                <w:bCs/>
                <w:color w:val="auto"/>
                <w:position w:val="11"/>
                <w:sz w:val="18"/>
                <w:szCs w:val="18"/>
              </w:rPr>
              <w:t>C</w:t>
            </w:r>
            <w:r>
              <w:rPr>
                <w:bCs/>
                <w:color w:val="auto"/>
                <w:position w:val="11"/>
                <w:sz w:val="18"/>
                <w:szCs w:val="18"/>
                <w:vertAlign w:val="subscript"/>
              </w:rPr>
              <w:t>本项目</w:t>
            </w:r>
            <w:r>
              <w:rPr>
                <w:bCs/>
                <w:color w:val="auto"/>
                <w:position w:val="11"/>
                <w:sz w:val="18"/>
                <w:szCs w:val="18"/>
              </w:rPr>
              <w:t>最大占标率</w:t>
            </w:r>
            <w:r>
              <w:rPr>
                <w:rFonts w:eastAsia="仿宋"/>
                <w:bCs/>
                <w:color w:val="auto"/>
                <w:spacing w:val="2"/>
                <w:position w:val="11"/>
                <w:sz w:val="18"/>
                <w:szCs w:val="18"/>
              </w:rPr>
              <w:t>≤</w:t>
            </w:r>
            <w:r>
              <w:rPr>
                <w:rFonts w:eastAsia="Times New Roman"/>
                <w:bCs/>
                <w:color w:val="auto"/>
                <w:spacing w:val="-1"/>
                <w:position w:val="11"/>
                <w:sz w:val="18"/>
                <w:szCs w:val="18"/>
              </w:rPr>
              <w:t>1</w:t>
            </w:r>
            <w:r>
              <w:rPr>
                <w:rFonts w:eastAsia="Times New Roman"/>
                <w:bCs/>
                <w:color w:val="auto"/>
                <w:spacing w:val="1"/>
                <w:position w:val="11"/>
                <w:sz w:val="18"/>
                <w:szCs w:val="18"/>
              </w:rPr>
              <w:t>0</w:t>
            </w:r>
            <w:r>
              <w:rPr>
                <w:rFonts w:eastAsia="Times New Roman"/>
                <w:bCs/>
                <w:color w:val="auto"/>
                <w:spacing w:val="-1"/>
                <w:position w:val="11"/>
                <w:sz w:val="18"/>
                <w:szCs w:val="18"/>
              </w:rPr>
              <w:t>%</w:t>
            </w:r>
            <w:r>
              <w:rPr>
                <w:rFonts w:eastAsia="仿宋"/>
                <w:bCs/>
                <w:color w:val="auto"/>
                <w:position w:val="11"/>
                <w:sz w:val="18"/>
                <w:szCs w:val="18"/>
              </w:rPr>
              <w:t>□</w:t>
            </w:r>
          </w:p>
        </w:tc>
        <w:tc>
          <w:tcPr>
            <w:tcW w:w="2862" w:type="dxa"/>
            <w:gridSpan w:val="8"/>
            <w:tcBorders>
              <w:tl2br w:val="nil"/>
              <w:tr2bl w:val="nil"/>
            </w:tcBorders>
            <w:vAlign w:val="center"/>
          </w:tcPr>
          <w:p>
            <w:pPr>
              <w:adjustRightInd/>
              <w:snapToGrid/>
              <w:spacing w:line="240" w:lineRule="auto"/>
              <w:ind w:firstLine="0" w:firstLineChars="0"/>
              <w:jc w:val="center"/>
              <w:rPr>
                <w:bCs/>
                <w:color w:val="auto"/>
                <w:sz w:val="21"/>
                <w:szCs w:val="21"/>
              </w:rPr>
            </w:pPr>
            <w:r>
              <w:rPr>
                <w:bCs/>
                <w:color w:val="auto"/>
                <w:position w:val="11"/>
                <w:sz w:val="18"/>
                <w:szCs w:val="18"/>
              </w:rPr>
              <w:t>C</w:t>
            </w:r>
            <w:r>
              <w:rPr>
                <w:bCs/>
                <w:color w:val="auto"/>
                <w:position w:val="11"/>
                <w:sz w:val="18"/>
                <w:szCs w:val="18"/>
                <w:vertAlign w:val="subscript"/>
              </w:rPr>
              <w:t>本项目</w:t>
            </w:r>
            <w:r>
              <w:rPr>
                <w:bCs/>
                <w:color w:val="auto"/>
                <w:position w:val="11"/>
                <w:sz w:val="18"/>
                <w:szCs w:val="18"/>
              </w:rPr>
              <w:t>最大标率</w:t>
            </w:r>
            <w:r>
              <w:rPr>
                <w:rFonts w:eastAsia="仿宋"/>
                <w:bCs/>
                <w:color w:val="auto"/>
                <w:spacing w:val="2"/>
                <w:position w:val="11"/>
                <w:sz w:val="18"/>
                <w:szCs w:val="18"/>
              </w:rPr>
              <w:t>＞</w:t>
            </w:r>
            <w:r>
              <w:rPr>
                <w:rFonts w:eastAsia="Times New Roman"/>
                <w:bCs/>
                <w:color w:val="auto"/>
                <w:spacing w:val="-1"/>
                <w:position w:val="11"/>
                <w:sz w:val="18"/>
                <w:szCs w:val="18"/>
              </w:rPr>
              <w:t>1</w:t>
            </w:r>
            <w:r>
              <w:rPr>
                <w:rFonts w:eastAsia="Times New Roman"/>
                <w:bCs/>
                <w:color w:val="auto"/>
                <w:spacing w:val="1"/>
                <w:position w:val="11"/>
                <w:sz w:val="18"/>
                <w:szCs w:val="18"/>
              </w:rPr>
              <w:t>0</w:t>
            </w:r>
            <w:r>
              <w:rPr>
                <w:rFonts w:eastAsia="Times New Roman"/>
                <w:bCs/>
                <w:color w:val="auto"/>
                <w:position w:val="11"/>
                <w:sz w:val="18"/>
                <w:szCs w:val="18"/>
              </w:rPr>
              <w:t>%</w:t>
            </w:r>
            <w:r>
              <w:rPr>
                <w:rFonts w:eastAsia="仿宋"/>
                <w:bCs/>
                <w:color w:val="auto"/>
                <w:position w:val="11"/>
                <w:sz w:val="18"/>
                <w:szCs w:val="18"/>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00" w:type="dxa"/>
            <w:vMerge w:val="continue"/>
            <w:tcBorders>
              <w:tl2br w:val="nil"/>
              <w:tr2bl w:val="nil"/>
            </w:tcBorders>
            <w:vAlign w:val="center"/>
          </w:tcPr>
          <w:p>
            <w:pPr>
              <w:adjustRightInd/>
              <w:snapToGrid/>
              <w:spacing w:line="240" w:lineRule="auto"/>
              <w:ind w:firstLine="0" w:firstLineChars="0"/>
              <w:jc w:val="center"/>
              <w:rPr>
                <w:bCs/>
                <w:color w:val="auto"/>
                <w:sz w:val="21"/>
                <w:szCs w:val="21"/>
              </w:rPr>
            </w:pPr>
          </w:p>
        </w:tc>
        <w:tc>
          <w:tcPr>
            <w:tcW w:w="1855" w:type="dxa"/>
            <w:vMerge w:val="continue"/>
            <w:tcBorders>
              <w:tl2br w:val="nil"/>
              <w:tr2bl w:val="nil"/>
            </w:tcBorders>
            <w:vAlign w:val="center"/>
          </w:tcPr>
          <w:p>
            <w:pPr>
              <w:adjustRightInd/>
              <w:snapToGrid/>
              <w:spacing w:line="240" w:lineRule="auto"/>
              <w:ind w:firstLine="0" w:firstLineChars="0"/>
              <w:jc w:val="center"/>
              <w:rPr>
                <w:bCs/>
                <w:color w:val="auto"/>
                <w:sz w:val="21"/>
                <w:szCs w:val="21"/>
              </w:rPr>
            </w:pPr>
          </w:p>
        </w:tc>
        <w:tc>
          <w:tcPr>
            <w:tcW w:w="959" w:type="dxa"/>
            <w:tcBorders>
              <w:tl2br w:val="nil"/>
              <w:tr2bl w:val="nil"/>
            </w:tcBorders>
            <w:vAlign w:val="center"/>
          </w:tcPr>
          <w:p>
            <w:pPr>
              <w:adjustRightInd/>
              <w:snapToGrid/>
              <w:spacing w:before="42" w:line="240" w:lineRule="auto"/>
              <w:ind w:firstLine="0" w:firstLineChars="0"/>
              <w:jc w:val="center"/>
              <w:rPr>
                <w:bCs/>
                <w:color w:val="auto"/>
                <w:sz w:val="21"/>
                <w:szCs w:val="21"/>
              </w:rPr>
            </w:pPr>
            <w:r>
              <w:rPr>
                <w:bCs/>
                <w:color w:val="auto"/>
                <w:sz w:val="18"/>
                <w:szCs w:val="18"/>
              </w:rPr>
              <w:t>二类区</w:t>
            </w:r>
          </w:p>
        </w:tc>
        <w:tc>
          <w:tcPr>
            <w:tcW w:w="2512" w:type="dxa"/>
            <w:gridSpan w:val="10"/>
            <w:tcBorders>
              <w:tl2br w:val="nil"/>
              <w:tr2bl w:val="nil"/>
            </w:tcBorders>
            <w:vAlign w:val="center"/>
          </w:tcPr>
          <w:p>
            <w:pPr>
              <w:tabs>
                <w:tab w:val="left" w:pos="780"/>
              </w:tabs>
              <w:adjustRightInd/>
              <w:snapToGrid/>
              <w:spacing w:line="240" w:lineRule="auto"/>
              <w:ind w:firstLine="0" w:firstLineChars="0"/>
              <w:jc w:val="center"/>
              <w:rPr>
                <w:bCs/>
                <w:color w:val="auto"/>
              </w:rPr>
            </w:pPr>
            <w:r>
              <w:rPr>
                <w:bCs/>
                <w:color w:val="auto"/>
                <w:position w:val="11"/>
                <w:sz w:val="18"/>
                <w:szCs w:val="18"/>
              </w:rPr>
              <w:t>C</w:t>
            </w:r>
            <w:r>
              <w:rPr>
                <w:bCs/>
                <w:color w:val="auto"/>
                <w:position w:val="11"/>
                <w:sz w:val="18"/>
                <w:szCs w:val="18"/>
                <w:vertAlign w:val="subscript"/>
              </w:rPr>
              <w:t>本项目</w:t>
            </w:r>
            <w:r>
              <w:rPr>
                <w:bCs/>
                <w:color w:val="auto"/>
                <w:position w:val="8"/>
                <w:sz w:val="18"/>
                <w:szCs w:val="18"/>
              </w:rPr>
              <w:t>最大占标率</w:t>
            </w:r>
            <w:r>
              <w:rPr>
                <w:rFonts w:eastAsia="仿宋"/>
                <w:bCs/>
                <w:color w:val="auto"/>
                <w:spacing w:val="2"/>
                <w:position w:val="8"/>
                <w:sz w:val="18"/>
                <w:szCs w:val="18"/>
              </w:rPr>
              <w:t>≤</w:t>
            </w:r>
            <w:r>
              <w:rPr>
                <w:rFonts w:eastAsia="Times New Roman"/>
                <w:bCs/>
                <w:color w:val="auto"/>
                <w:spacing w:val="-1"/>
                <w:position w:val="8"/>
                <w:sz w:val="18"/>
                <w:szCs w:val="18"/>
              </w:rPr>
              <w:t>3</w:t>
            </w:r>
            <w:r>
              <w:rPr>
                <w:rFonts w:eastAsia="Times New Roman"/>
                <w:bCs/>
                <w:color w:val="auto"/>
                <w:spacing w:val="1"/>
                <w:position w:val="8"/>
                <w:sz w:val="18"/>
                <w:szCs w:val="18"/>
              </w:rPr>
              <w:t>0</w:t>
            </w:r>
            <w:r>
              <w:rPr>
                <w:rFonts w:eastAsia="Times New Roman"/>
                <w:bCs/>
                <w:color w:val="auto"/>
                <w:spacing w:val="-1"/>
                <w:position w:val="8"/>
                <w:sz w:val="18"/>
                <w:szCs w:val="18"/>
              </w:rPr>
              <w:t>%</w:t>
            </w:r>
            <w:r>
              <w:rPr>
                <w:rFonts w:hint="eastAsia" w:eastAsia="仿宋"/>
                <w:bCs/>
                <w:color w:val="auto"/>
                <w:position w:val="8"/>
                <w:sz w:val="18"/>
                <w:szCs w:val="18"/>
              </w:rPr>
              <w:sym w:font="Wingdings 2" w:char="0052"/>
            </w:r>
          </w:p>
        </w:tc>
        <w:tc>
          <w:tcPr>
            <w:tcW w:w="2862" w:type="dxa"/>
            <w:gridSpan w:val="8"/>
            <w:tcBorders>
              <w:tl2br w:val="nil"/>
              <w:tr2bl w:val="nil"/>
            </w:tcBorders>
            <w:vAlign w:val="center"/>
          </w:tcPr>
          <w:p>
            <w:pPr>
              <w:tabs>
                <w:tab w:val="left" w:pos="980"/>
              </w:tabs>
              <w:adjustRightInd/>
              <w:snapToGrid/>
              <w:spacing w:line="240" w:lineRule="auto"/>
              <w:ind w:firstLine="0" w:firstLineChars="0"/>
              <w:jc w:val="center"/>
              <w:rPr>
                <w:bCs/>
                <w:color w:val="auto"/>
                <w:sz w:val="21"/>
                <w:szCs w:val="21"/>
              </w:rPr>
            </w:pPr>
            <w:r>
              <w:rPr>
                <w:bCs/>
                <w:color w:val="auto"/>
                <w:position w:val="11"/>
                <w:sz w:val="18"/>
                <w:szCs w:val="18"/>
              </w:rPr>
              <w:t>C</w:t>
            </w:r>
            <w:r>
              <w:rPr>
                <w:bCs/>
                <w:color w:val="auto"/>
                <w:position w:val="11"/>
                <w:sz w:val="18"/>
                <w:szCs w:val="18"/>
                <w:vertAlign w:val="subscript"/>
              </w:rPr>
              <w:t>本项目</w:t>
            </w:r>
            <w:r>
              <w:rPr>
                <w:bCs/>
                <w:color w:val="auto"/>
                <w:position w:val="8"/>
                <w:sz w:val="18"/>
                <w:szCs w:val="18"/>
              </w:rPr>
              <w:t>最大标率</w:t>
            </w:r>
            <w:r>
              <w:rPr>
                <w:rFonts w:eastAsia="仿宋"/>
                <w:bCs/>
                <w:color w:val="auto"/>
                <w:spacing w:val="2"/>
                <w:position w:val="8"/>
                <w:sz w:val="18"/>
                <w:szCs w:val="18"/>
              </w:rPr>
              <w:t>＞</w:t>
            </w:r>
            <w:r>
              <w:rPr>
                <w:rFonts w:eastAsia="Times New Roman"/>
                <w:bCs/>
                <w:color w:val="auto"/>
                <w:spacing w:val="-1"/>
                <w:position w:val="8"/>
                <w:sz w:val="18"/>
                <w:szCs w:val="18"/>
              </w:rPr>
              <w:t>3</w:t>
            </w:r>
            <w:r>
              <w:rPr>
                <w:rFonts w:eastAsia="Times New Roman"/>
                <w:bCs/>
                <w:color w:val="auto"/>
                <w:spacing w:val="1"/>
                <w:position w:val="8"/>
                <w:sz w:val="18"/>
                <w:szCs w:val="18"/>
              </w:rPr>
              <w:t>0</w:t>
            </w:r>
            <w:r>
              <w:rPr>
                <w:rFonts w:eastAsia="Times New Roman"/>
                <w:bCs/>
                <w:color w:val="auto"/>
                <w:position w:val="8"/>
                <w:sz w:val="18"/>
                <w:szCs w:val="18"/>
              </w:rPr>
              <w:t>%</w:t>
            </w:r>
            <w:r>
              <w:rPr>
                <w:rFonts w:eastAsia="仿宋"/>
                <w:bCs/>
                <w:color w:val="auto"/>
                <w:position w:val="8"/>
                <w:sz w:val="18"/>
                <w:szCs w:val="18"/>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00" w:type="dxa"/>
            <w:vMerge w:val="continue"/>
            <w:tcBorders>
              <w:tl2br w:val="nil"/>
              <w:tr2bl w:val="nil"/>
            </w:tcBorders>
            <w:vAlign w:val="center"/>
          </w:tcPr>
          <w:p>
            <w:pPr>
              <w:adjustRightInd/>
              <w:snapToGrid/>
              <w:spacing w:line="240" w:lineRule="auto"/>
              <w:ind w:firstLine="0" w:firstLineChars="0"/>
              <w:jc w:val="center"/>
              <w:rPr>
                <w:bCs/>
                <w:color w:val="auto"/>
                <w:sz w:val="21"/>
                <w:szCs w:val="21"/>
              </w:rPr>
            </w:pPr>
          </w:p>
        </w:tc>
        <w:tc>
          <w:tcPr>
            <w:tcW w:w="1855" w:type="dxa"/>
            <w:tcBorders>
              <w:tl2br w:val="nil"/>
              <w:tr2bl w:val="nil"/>
            </w:tcBorders>
            <w:vAlign w:val="center"/>
          </w:tcPr>
          <w:p>
            <w:pPr>
              <w:adjustRightInd/>
              <w:snapToGrid/>
              <w:spacing w:line="240" w:lineRule="auto"/>
              <w:ind w:firstLine="0" w:firstLineChars="0"/>
              <w:jc w:val="center"/>
              <w:rPr>
                <w:bCs/>
                <w:color w:val="auto"/>
                <w:sz w:val="21"/>
                <w:szCs w:val="21"/>
              </w:rPr>
            </w:pPr>
            <w:r>
              <w:rPr>
                <w:bCs/>
                <w:color w:val="auto"/>
                <w:sz w:val="18"/>
                <w:szCs w:val="18"/>
              </w:rPr>
              <w:t>非正常排放</w:t>
            </w:r>
            <w:r>
              <w:rPr>
                <w:rFonts w:eastAsia="Times New Roman"/>
                <w:bCs/>
                <w:color w:val="auto"/>
                <w:spacing w:val="1"/>
                <w:sz w:val="18"/>
                <w:szCs w:val="18"/>
              </w:rPr>
              <w:t>1</w:t>
            </w:r>
            <w:r>
              <w:rPr>
                <w:rFonts w:eastAsia="Times New Roman"/>
                <w:bCs/>
                <w:color w:val="auto"/>
                <w:sz w:val="18"/>
                <w:szCs w:val="18"/>
              </w:rPr>
              <w:t>h</w:t>
            </w:r>
            <w:r>
              <w:rPr>
                <w:bCs/>
                <w:color w:val="auto"/>
                <w:sz w:val="18"/>
                <w:szCs w:val="18"/>
              </w:rPr>
              <w:t>浓度</w:t>
            </w:r>
            <w:r>
              <w:rPr>
                <w:bCs/>
                <w:color w:val="auto"/>
                <w:position w:val="-1"/>
                <w:sz w:val="18"/>
                <w:szCs w:val="18"/>
              </w:rPr>
              <w:t>贡献值</w:t>
            </w:r>
          </w:p>
        </w:tc>
        <w:tc>
          <w:tcPr>
            <w:tcW w:w="1439" w:type="dxa"/>
            <w:gridSpan w:val="3"/>
            <w:tcBorders>
              <w:tl2br w:val="nil"/>
              <w:tr2bl w:val="nil"/>
            </w:tcBorders>
            <w:vAlign w:val="center"/>
          </w:tcPr>
          <w:p>
            <w:pPr>
              <w:adjustRightInd/>
              <w:snapToGrid/>
              <w:spacing w:line="240" w:lineRule="auto"/>
              <w:ind w:firstLine="0" w:firstLineChars="0"/>
              <w:jc w:val="center"/>
              <w:rPr>
                <w:bCs/>
                <w:color w:val="auto"/>
                <w:sz w:val="21"/>
                <w:szCs w:val="21"/>
              </w:rPr>
            </w:pPr>
            <w:r>
              <w:rPr>
                <w:bCs/>
                <w:color w:val="auto"/>
                <w:position w:val="-1"/>
                <w:sz w:val="18"/>
                <w:szCs w:val="18"/>
              </w:rPr>
              <w:t>非正常持续时长（）</w:t>
            </w:r>
            <w:r>
              <w:rPr>
                <w:rFonts w:eastAsia="Times New Roman"/>
                <w:bCs/>
                <w:color w:val="auto"/>
                <w:position w:val="-1"/>
                <w:sz w:val="18"/>
                <w:szCs w:val="18"/>
              </w:rPr>
              <w:t>h</w:t>
            </w:r>
          </w:p>
        </w:tc>
        <w:tc>
          <w:tcPr>
            <w:tcW w:w="2617" w:type="dxa"/>
            <w:gridSpan w:val="10"/>
            <w:tcBorders>
              <w:tl2br w:val="nil"/>
              <w:tr2bl w:val="nil"/>
            </w:tcBorders>
            <w:vAlign w:val="center"/>
          </w:tcPr>
          <w:p>
            <w:pPr>
              <w:tabs>
                <w:tab w:val="left" w:pos="920"/>
              </w:tabs>
              <w:adjustRightInd/>
              <w:snapToGrid/>
              <w:spacing w:line="240" w:lineRule="auto"/>
              <w:ind w:firstLine="0" w:firstLineChars="0"/>
              <w:jc w:val="center"/>
              <w:rPr>
                <w:rFonts w:eastAsia="仿宋"/>
                <w:bCs/>
                <w:color w:val="auto"/>
              </w:rPr>
            </w:pPr>
            <w:r>
              <w:rPr>
                <w:bCs/>
                <w:color w:val="auto"/>
                <w:position w:val="11"/>
                <w:sz w:val="18"/>
                <w:szCs w:val="18"/>
              </w:rPr>
              <w:t>C</w:t>
            </w:r>
            <w:r>
              <w:rPr>
                <w:bCs/>
                <w:color w:val="auto"/>
                <w:position w:val="11"/>
                <w:sz w:val="18"/>
                <w:szCs w:val="18"/>
                <w:vertAlign w:val="subscript"/>
              </w:rPr>
              <w:t>本项目</w:t>
            </w:r>
            <w:r>
              <w:rPr>
                <w:bCs/>
                <w:color w:val="auto"/>
                <w:position w:val="12"/>
                <w:sz w:val="18"/>
                <w:szCs w:val="18"/>
              </w:rPr>
              <w:t>占标率</w:t>
            </w:r>
            <w:r>
              <w:rPr>
                <w:rFonts w:eastAsia="仿宋"/>
                <w:bCs/>
                <w:color w:val="auto"/>
                <w:spacing w:val="2"/>
                <w:position w:val="12"/>
                <w:sz w:val="18"/>
                <w:szCs w:val="18"/>
              </w:rPr>
              <w:t>≤</w:t>
            </w:r>
            <w:r>
              <w:rPr>
                <w:rFonts w:eastAsia="Times New Roman"/>
                <w:bCs/>
                <w:color w:val="auto"/>
                <w:spacing w:val="-1"/>
                <w:position w:val="12"/>
                <w:sz w:val="18"/>
                <w:szCs w:val="18"/>
              </w:rPr>
              <w:t>1</w:t>
            </w:r>
            <w:r>
              <w:rPr>
                <w:rFonts w:eastAsia="Times New Roman"/>
                <w:bCs/>
                <w:color w:val="auto"/>
                <w:spacing w:val="1"/>
                <w:position w:val="12"/>
                <w:sz w:val="18"/>
                <w:szCs w:val="18"/>
              </w:rPr>
              <w:t>00</w:t>
            </w:r>
            <w:r>
              <w:rPr>
                <w:rFonts w:eastAsia="Times New Roman"/>
                <w:bCs/>
                <w:color w:val="auto"/>
                <w:position w:val="12"/>
                <w:sz w:val="18"/>
                <w:szCs w:val="18"/>
              </w:rPr>
              <w:t>%</w:t>
            </w:r>
            <w:r>
              <w:rPr>
                <w:rFonts w:hint="eastAsia" w:eastAsia="仿宋"/>
                <w:bCs/>
                <w:color w:val="auto"/>
                <w:position w:val="12"/>
                <w:sz w:val="18"/>
                <w:szCs w:val="18"/>
              </w:rPr>
              <w:sym w:font="Wingdings 2" w:char="00A3"/>
            </w:r>
          </w:p>
        </w:tc>
        <w:tc>
          <w:tcPr>
            <w:tcW w:w="2277" w:type="dxa"/>
            <w:gridSpan w:val="6"/>
            <w:tcBorders>
              <w:tl2br w:val="nil"/>
              <w:tr2bl w:val="nil"/>
            </w:tcBorders>
            <w:vAlign w:val="center"/>
          </w:tcPr>
          <w:p>
            <w:pPr>
              <w:tabs>
                <w:tab w:val="left" w:pos="760"/>
              </w:tabs>
              <w:adjustRightInd/>
              <w:snapToGrid/>
              <w:spacing w:line="240" w:lineRule="auto"/>
              <w:ind w:firstLine="0" w:firstLineChars="0"/>
              <w:jc w:val="center"/>
              <w:rPr>
                <w:rFonts w:eastAsia="仿宋"/>
                <w:bCs/>
                <w:color w:val="auto"/>
                <w:sz w:val="21"/>
                <w:szCs w:val="21"/>
              </w:rPr>
            </w:pPr>
            <w:r>
              <w:rPr>
                <w:bCs/>
                <w:color w:val="auto"/>
                <w:position w:val="11"/>
                <w:sz w:val="18"/>
                <w:szCs w:val="18"/>
              </w:rPr>
              <w:t>C</w:t>
            </w:r>
            <w:r>
              <w:rPr>
                <w:bCs/>
                <w:color w:val="auto"/>
                <w:position w:val="11"/>
                <w:sz w:val="18"/>
                <w:szCs w:val="18"/>
                <w:vertAlign w:val="subscript"/>
              </w:rPr>
              <w:t>本项目</w:t>
            </w:r>
            <w:r>
              <w:rPr>
                <w:bCs/>
                <w:color w:val="auto"/>
                <w:position w:val="12"/>
                <w:sz w:val="18"/>
                <w:szCs w:val="18"/>
              </w:rPr>
              <w:t>占标率</w:t>
            </w:r>
            <w:r>
              <w:rPr>
                <w:rFonts w:eastAsia="仿宋"/>
                <w:bCs/>
                <w:color w:val="auto"/>
                <w:spacing w:val="2"/>
                <w:position w:val="12"/>
                <w:sz w:val="18"/>
                <w:szCs w:val="18"/>
              </w:rPr>
              <w:t>＞</w:t>
            </w:r>
            <w:r>
              <w:rPr>
                <w:rFonts w:eastAsia="Times New Roman"/>
                <w:bCs/>
                <w:color w:val="auto"/>
                <w:spacing w:val="-1"/>
                <w:position w:val="12"/>
                <w:sz w:val="18"/>
                <w:szCs w:val="18"/>
              </w:rPr>
              <w:t>1</w:t>
            </w:r>
            <w:r>
              <w:rPr>
                <w:rFonts w:eastAsia="Times New Roman"/>
                <w:bCs/>
                <w:color w:val="auto"/>
                <w:spacing w:val="1"/>
                <w:position w:val="12"/>
                <w:sz w:val="18"/>
                <w:szCs w:val="18"/>
              </w:rPr>
              <w:t>00</w:t>
            </w:r>
            <w:r>
              <w:rPr>
                <w:rFonts w:eastAsia="Times New Roman"/>
                <w:bCs/>
                <w:color w:val="auto"/>
                <w:spacing w:val="-3"/>
                <w:position w:val="12"/>
                <w:sz w:val="18"/>
                <w:szCs w:val="18"/>
              </w:rPr>
              <w:t>%</w:t>
            </w:r>
            <w:r>
              <w:rPr>
                <w:rFonts w:hint="eastAsia" w:eastAsia="仿宋"/>
                <w:bCs/>
                <w:color w:val="auto"/>
                <w:position w:val="12"/>
                <w:sz w:val="18"/>
                <w:szCs w:val="18"/>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00" w:type="dxa"/>
            <w:vMerge w:val="continue"/>
            <w:tcBorders>
              <w:tl2br w:val="nil"/>
              <w:tr2bl w:val="nil"/>
            </w:tcBorders>
            <w:vAlign w:val="center"/>
          </w:tcPr>
          <w:p>
            <w:pPr>
              <w:adjustRightInd/>
              <w:snapToGrid/>
              <w:spacing w:line="240" w:lineRule="auto"/>
              <w:ind w:firstLine="0" w:firstLineChars="0"/>
              <w:jc w:val="center"/>
              <w:rPr>
                <w:bCs/>
                <w:color w:val="auto"/>
                <w:sz w:val="21"/>
                <w:szCs w:val="21"/>
              </w:rPr>
            </w:pPr>
          </w:p>
        </w:tc>
        <w:tc>
          <w:tcPr>
            <w:tcW w:w="1855" w:type="dxa"/>
            <w:tcBorders>
              <w:tl2br w:val="nil"/>
              <w:tr2bl w:val="nil"/>
            </w:tcBorders>
            <w:vAlign w:val="center"/>
          </w:tcPr>
          <w:p>
            <w:pPr>
              <w:adjustRightInd/>
              <w:snapToGrid/>
              <w:spacing w:before="50" w:line="240" w:lineRule="auto"/>
              <w:ind w:firstLine="0" w:firstLineChars="0"/>
              <w:jc w:val="center"/>
              <w:rPr>
                <w:bCs/>
                <w:color w:val="auto"/>
                <w:sz w:val="21"/>
                <w:szCs w:val="21"/>
              </w:rPr>
            </w:pPr>
            <w:r>
              <w:rPr>
                <w:bCs/>
                <w:color w:val="auto"/>
                <w:sz w:val="18"/>
                <w:szCs w:val="18"/>
              </w:rPr>
              <w:t>保证率日平均浓</w:t>
            </w:r>
            <w:r>
              <w:rPr>
                <w:bCs/>
                <w:color w:val="auto"/>
                <w:spacing w:val="1"/>
                <w:sz w:val="18"/>
                <w:szCs w:val="18"/>
              </w:rPr>
              <w:t>度</w:t>
            </w:r>
            <w:r>
              <w:rPr>
                <w:bCs/>
                <w:color w:val="auto"/>
                <w:sz w:val="18"/>
                <w:szCs w:val="18"/>
              </w:rPr>
              <w:t>和年平均浓度叠加值</w:t>
            </w:r>
          </w:p>
        </w:tc>
        <w:tc>
          <w:tcPr>
            <w:tcW w:w="2966" w:type="dxa"/>
            <w:gridSpan w:val="10"/>
            <w:tcBorders>
              <w:tl2br w:val="nil"/>
              <w:tr2bl w:val="nil"/>
            </w:tcBorders>
            <w:vAlign w:val="center"/>
          </w:tcPr>
          <w:p>
            <w:pPr>
              <w:tabs>
                <w:tab w:val="left" w:pos="1400"/>
              </w:tabs>
              <w:adjustRightInd/>
              <w:snapToGrid/>
              <w:spacing w:line="240" w:lineRule="auto"/>
              <w:ind w:firstLine="0" w:firstLineChars="0"/>
              <w:jc w:val="center"/>
              <w:rPr>
                <w:rFonts w:eastAsia="仿宋"/>
                <w:bCs/>
                <w:color w:val="auto"/>
                <w:sz w:val="21"/>
                <w:szCs w:val="21"/>
              </w:rPr>
            </w:pPr>
            <w:r>
              <w:rPr>
                <w:bCs/>
                <w:color w:val="auto"/>
                <w:position w:val="11"/>
                <w:sz w:val="18"/>
                <w:szCs w:val="18"/>
              </w:rPr>
              <w:t>C</w:t>
            </w:r>
            <w:r>
              <w:rPr>
                <w:bCs/>
                <w:color w:val="auto"/>
                <w:position w:val="11"/>
                <w:sz w:val="18"/>
                <w:szCs w:val="18"/>
                <w:vertAlign w:val="subscript"/>
              </w:rPr>
              <w:t>叠加</w:t>
            </w:r>
            <w:r>
              <w:rPr>
                <w:bCs/>
                <w:color w:val="auto"/>
                <w:position w:val="15"/>
                <w:sz w:val="18"/>
                <w:szCs w:val="18"/>
              </w:rPr>
              <w:t>达标</w:t>
            </w:r>
            <w:r>
              <w:rPr>
                <w:rFonts w:hint="eastAsia" w:eastAsia="仿宋"/>
                <w:bCs/>
                <w:color w:val="auto"/>
                <w:position w:val="15"/>
                <w:sz w:val="18"/>
                <w:szCs w:val="18"/>
              </w:rPr>
              <w:t>□</w:t>
            </w:r>
          </w:p>
        </w:tc>
        <w:tc>
          <w:tcPr>
            <w:tcW w:w="3367" w:type="dxa"/>
            <w:gridSpan w:val="9"/>
            <w:tcBorders>
              <w:tl2br w:val="nil"/>
              <w:tr2bl w:val="nil"/>
            </w:tcBorders>
            <w:vAlign w:val="center"/>
          </w:tcPr>
          <w:p>
            <w:pPr>
              <w:tabs>
                <w:tab w:val="left" w:pos="1520"/>
              </w:tabs>
              <w:adjustRightInd/>
              <w:snapToGrid/>
              <w:spacing w:line="240" w:lineRule="auto"/>
              <w:ind w:firstLine="0" w:firstLineChars="0"/>
              <w:jc w:val="center"/>
              <w:rPr>
                <w:rFonts w:eastAsia="仿宋"/>
                <w:bCs/>
                <w:color w:val="auto"/>
                <w:sz w:val="21"/>
                <w:szCs w:val="21"/>
              </w:rPr>
            </w:pPr>
            <w:r>
              <w:rPr>
                <w:bCs/>
                <w:color w:val="auto"/>
                <w:position w:val="11"/>
                <w:sz w:val="18"/>
                <w:szCs w:val="18"/>
              </w:rPr>
              <w:t>C</w:t>
            </w:r>
            <w:r>
              <w:rPr>
                <w:bCs/>
                <w:color w:val="auto"/>
                <w:position w:val="11"/>
                <w:sz w:val="18"/>
                <w:szCs w:val="18"/>
                <w:vertAlign w:val="subscript"/>
              </w:rPr>
              <w:t>叠加</w:t>
            </w:r>
            <w:r>
              <w:rPr>
                <w:bCs/>
                <w:color w:val="auto"/>
                <w:position w:val="15"/>
                <w:sz w:val="18"/>
                <w:szCs w:val="18"/>
              </w:rPr>
              <w:t>不达标</w:t>
            </w:r>
            <w:r>
              <w:rPr>
                <w:rFonts w:hint="eastAsia" w:eastAsia="仿宋"/>
                <w:bCs/>
                <w:color w:val="auto"/>
                <w:position w:val="15"/>
                <w:sz w:val="18"/>
                <w:szCs w:val="18"/>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00" w:type="dxa"/>
            <w:vMerge w:val="continue"/>
            <w:tcBorders>
              <w:tl2br w:val="nil"/>
              <w:tr2bl w:val="nil"/>
            </w:tcBorders>
            <w:vAlign w:val="center"/>
          </w:tcPr>
          <w:p>
            <w:pPr>
              <w:adjustRightInd/>
              <w:snapToGrid/>
              <w:spacing w:line="240" w:lineRule="auto"/>
              <w:ind w:firstLine="0" w:firstLineChars="0"/>
              <w:jc w:val="center"/>
              <w:rPr>
                <w:bCs/>
                <w:color w:val="auto"/>
                <w:sz w:val="21"/>
                <w:szCs w:val="21"/>
              </w:rPr>
            </w:pPr>
          </w:p>
        </w:tc>
        <w:tc>
          <w:tcPr>
            <w:tcW w:w="1855" w:type="dxa"/>
            <w:tcBorders>
              <w:tl2br w:val="nil"/>
              <w:tr2bl w:val="nil"/>
            </w:tcBorders>
            <w:vAlign w:val="center"/>
          </w:tcPr>
          <w:p>
            <w:pPr>
              <w:adjustRightInd/>
              <w:snapToGrid/>
              <w:spacing w:line="240" w:lineRule="auto"/>
              <w:ind w:firstLine="0" w:firstLineChars="0"/>
              <w:jc w:val="center"/>
              <w:rPr>
                <w:bCs/>
                <w:color w:val="auto"/>
                <w:sz w:val="21"/>
                <w:szCs w:val="21"/>
              </w:rPr>
            </w:pPr>
            <w:r>
              <w:rPr>
                <w:bCs/>
                <w:color w:val="auto"/>
                <w:sz w:val="18"/>
                <w:szCs w:val="18"/>
              </w:rPr>
              <w:t>区域环境质量的整体变化情况</w:t>
            </w:r>
          </w:p>
        </w:tc>
        <w:tc>
          <w:tcPr>
            <w:tcW w:w="2966" w:type="dxa"/>
            <w:gridSpan w:val="10"/>
            <w:tcBorders>
              <w:tl2br w:val="nil"/>
              <w:tr2bl w:val="nil"/>
            </w:tcBorders>
            <w:vAlign w:val="center"/>
          </w:tcPr>
          <w:p>
            <w:pPr>
              <w:adjustRightInd/>
              <w:snapToGrid/>
              <w:spacing w:before="97" w:line="240" w:lineRule="auto"/>
              <w:ind w:firstLine="0" w:firstLineChars="0"/>
              <w:jc w:val="center"/>
              <w:rPr>
                <w:rFonts w:eastAsia="仿宋"/>
                <w:bCs/>
                <w:color w:val="auto"/>
                <w:sz w:val="21"/>
                <w:szCs w:val="21"/>
              </w:rPr>
            </w:pPr>
            <w:r>
              <w:rPr>
                <w:rFonts w:eastAsia="Times New Roman"/>
                <w:bCs/>
                <w:i/>
                <w:color w:val="auto"/>
                <w:sz w:val="18"/>
                <w:szCs w:val="18"/>
              </w:rPr>
              <w:t>k</w:t>
            </w:r>
            <w:r>
              <w:rPr>
                <w:rFonts w:eastAsia="仿宋"/>
                <w:bCs/>
                <w:color w:val="auto"/>
                <w:spacing w:val="2"/>
                <w:sz w:val="18"/>
                <w:szCs w:val="18"/>
              </w:rPr>
              <w:t>≤</w:t>
            </w:r>
            <w:r>
              <w:rPr>
                <w:rFonts w:eastAsia="Times New Roman"/>
                <w:bCs/>
                <w:color w:val="auto"/>
                <w:spacing w:val="-2"/>
                <w:sz w:val="18"/>
                <w:szCs w:val="18"/>
              </w:rPr>
              <w:t>-</w:t>
            </w:r>
            <w:r>
              <w:rPr>
                <w:rFonts w:eastAsia="Times New Roman"/>
                <w:bCs/>
                <w:color w:val="auto"/>
                <w:spacing w:val="1"/>
                <w:sz w:val="18"/>
                <w:szCs w:val="18"/>
              </w:rPr>
              <w:t>20</w:t>
            </w:r>
            <w:r>
              <w:rPr>
                <w:rFonts w:eastAsia="Times New Roman"/>
                <w:bCs/>
                <w:color w:val="auto"/>
                <w:sz w:val="18"/>
                <w:szCs w:val="18"/>
              </w:rPr>
              <w:t>%</w:t>
            </w:r>
            <w:r>
              <w:rPr>
                <w:rFonts w:hint="eastAsia" w:eastAsia="仿宋"/>
                <w:bCs/>
                <w:color w:val="auto"/>
                <w:sz w:val="18"/>
                <w:szCs w:val="18"/>
              </w:rPr>
              <w:t>□</w:t>
            </w:r>
          </w:p>
        </w:tc>
        <w:tc>
          <w:tcPr>
            <w:tcW w:w="3367" w:type="dxa"/>
            <w:gridSpan w:val="9"/>
            <w:tcBorders>
              <w:tl2br w:val="nil"/>
              <w:tr2bl w:val="nil"/>
            </w:tcBorders>
            <w:vAlign w:val="center"/>
          </w:tcPr>
          <w:p>
            <w:pPr>
              <w:adjustRightInd/>
              <w:snapToGrid/>
              <w:spacing w:before="97" w:line="240" w:lineRule="auto"/>
              <w:ind w:firstLine="0" w:firstLineChars="0"/>
              <w:jc w:val="center"/>
              <w:rPr>
                <w:rFonts w:eastAsia="仿宋"/>
                <w:bCs/>
                <w:color w:val="auto"/>
                <w:sz w:val="21"/>
                <w:szCs w:val="21"/>
              </w:rPr>
            </w:pPr>
            <w:r>
              <w:rPr>
                <w:rFonts w:eastAsia="Times New Roman"/>
                <w:bCs/>
                <w:i/>
                <w:color w:val="auto"/>
                <w:sz w:val="18"/>
                <w:szCs w:val="18"/>
              </w:rPr>
              <w:t>k</w:t>
            </w:r>
            <w:r>
              <w:rPr>
                <w:rFonts w:eastAsia="仿宋"/>
                <w:bCs/>
                <w:color w:val="auto"/>
                <w:spacing w:val="2"/>
                <w:sz w:val="18"/>
                <w:szCs w:val="18"/>
              </w:rPr>
              <w:t>＞</w:t>
            </w:r>
            <w:r>
              <w:rPr>
                <w:rFonts w:eastAsia="Times New Roman"/>
                <w:bCs/>
                <w:color w:val="auto"/>
                <w:spacing w:val="-2"/>
                <w:sz w:val="18"/>
                <w:szCs w:val="18"/>
              </w:rPr>
              <w:t>-</w:t>
            </w:r>
            <w:r>
              <w:rPr>
                <w:rFonts w:eastAsia="Times New Roman"/>
                <w:bCs/>
                <w:color w:val="auto"/>
                <w:spacing w:val="1"/>
                <w:sz w:val="18"/>
                <w:szCs w:val="18"/>
              </w:rPr>
              <w:t>20</w:t>
            </w:r>
            <w:r>
              <w:rPr>
                <w:rFonts w:eastAsia="Times New Roman"/>
                <w:bCs/>
                <w:color w:val="auto"/>
                <w:sz w:val="18"/>
                <w:szCs w:val="18"/>
              </w:rPr>
              <w:t>%</w:t>
            </w:r>
            <w:r>
              <w:rPr>
                <w:rFonts w:hint="eastAsia" w:eastAsia="仿宋"/>
                <w:bCs/>
                <w:color w:val="auto"/>
                <w:sz w:val="18"/>
                <w:szCs w:val="18"/>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00" w:type="dxa"/>
            <w:vMerge w:val="restart"/>
            <w:tcBorders>
              <w:tl2br w:val="nil"/>
              <w:tr2bl w:val="nil"/>
            </w:tcBorders>
            <w:vAlign w:val="center"/>
          </w:tcPr>
          <w:p>
            <w:pPr>
              <w:adjustRightInd/>
              <w:snapToGrid/>
              <w:spacing w:line="240" w:lineRule="auto"/>
              <w:ind w:firstLine="0" w:firstLineChars="0"/>
              <w:jc w:val="center"/>
              <w:rPr>
                <w:bCs/>
                <w:color w:val="auto"/>
                <w:sz w:val="21"/>
                <w:szCs w:val="21"/>
              </w:rPr>
            </w:pPr>
            <w:r>
              <w:rPr>
                <w:bCs/>
                <w:color w:val="auto"/>
                <w:sz w:val="18"/>
                <w:szCs w:val="18"/>
              </w:rPr>
              <w:t>环境监测计划</w:t>
            </w:r>
          </w:p>
        </w:tc>
        <w:tc>
          <w:tcPr>
            <w:tcW w:w="1855" w:type="dxa"/>
            <w:tcBorders>
              <w:tl2br w:val="nil"/>
              <w:tr2bl w:val="nil"/>
            </w:tcBorders>
            <w:vAlign w:val="center"/>
          </w:tcPr>
          <w:p>
            <w:pPr>
              <w:adjustRightInd/>
              <w:snapToGrid/>
              <w:spacing w:before="97" w:line="240" w:lineRule="auto"/>
              <w:ind w:firstLine="0" w:firstLineChars="0"/>
              <w:jc w:val="center"/>
              <w:rPr>
                <w:bCs/>
                <w:color w:val="auto"/>
                <w:sz w:val="21"/>
                <w:szCs w:val="21"/>
              </w:rPr>
            </w:pPr>
            <w:r>
              <w:rPr>
                <w:bCs/>
                <w:color w:val="auto"/>
                <w:sz w:val="18"/>
                <w:szCs w:val="18"/>
              </w:rPr>
              <w:t>污染源监测</w:t>
            </w:r>
          </w:p>
        </w:tc>
        <w:tc>
          <w:tcPr>
            <w:tcW w:w="2749" w:type="dxa"/>
            <w:gridSpan w:val="8"/>
            <w:tcBorders>
              <w:tl2br w:val="nil"/>
              <w:tr2bl w:val="nil"/>
            </w:tcBorders>
            <w:vAlign w:val="center"/>
          </w:tcPr>
          <w:p>
            <w:pPr>
              <w:tabs>
                <w:tab w:val="left" w:pos="2440"/>
              </w:tabs>
              <w:adjustRightInd/>
              <w:snapToGrid/>
              <w:spacing w:before="97" w:line="240" w:lineRule="auto"/>
              <w:ind w:firstLine="0" w:firstLineChars="0"/>
              <w:jc w:val="center"/>
              <w:rPr>
                <w:bCs/>
                <w:color w:val="auto"/>
                <w:sz w:val="21"/>
                <w:szCs w:val="21"/>
              </w:rPr>
            </w:pPr>
            <w:r>
              <w:rPr>
                <w:bCs/>
                <w:color w:val="auto"/>
                <w:sz w:val="18"/>
                <w:szCs w:val="18"/>
              </w:rPr>
              <w:t>监测因子</w:t>
            </w:r>
            <w:r>
              <w:rPr>
                <w:rFonts w:hint="eastAsia"/>
                <w:bCs/>
                <w:color w:val="auto"/>
                <w:sz w:val="18"/>
                <w:szCs w:val="18"/>
              </w:rPr>
              <w:t>（NH</w:t>
            </w:r>
            <w:r>
              <w:rPr>
                <w:rFonts w:hint="eastAsia"/>
                <w:bCs/>
                <w:color w:val="auto"/>
                <w:sz w:val="18"/>
                <w:szCs w:val="18"/>
                <w:vertAlign w:val="subscript"/>
              </w:rPr>
              <w:t>3</w:t>
            </w:r>
            <w:r>
              <w:rPr>
                <w:rFonts w:hint="eastAsia"/>
                <w:bCs/>
                <w:color w:val="auto"/>
                <w:sz w:val="18"/>
                <w:szCs w:val="18"/>
              </w:rPr>
              <w:t>、H</w:t>
            </w:r>
            <w:r>
              <w:rPr>
                <w:rFonts w:hint="eastAsia"/>
                <w:bCs/>
                <w:color w:val="auto"/>
                <w:sz w:val="18"/>
                <w:szCs w:val="18"/>
                <w:vertAlign w:val="subscript"/>
              </w:rPr>
              <w:t>2</w:t>
            </w:r>
            <w:r>
              <w:rPr>
                <w:rFonts w:hint="eastAsia"/>
                <w:bCs/>
                <w:color w:val="auto"/>
                <w:sz w:val="18"/>
                <w:szCs w:val="18"/>
              </w:rPr>
              <w:t>S）</w:t>
            </w:r>
          </w:p>
        </w:tc>
        <w:tc>
          <w:tcPr>
            <w:tcW w:w="2334" w:type="dxa"/>
            <w:gridSpan w:val="9"/>
            <w:tcBorders>
              <w:tl2br w:val="nil"/>
              <w:tr2bl w:val="nil"/>
            </w:tcBorders>
            <w:vAlign w:val="center"/>
          </w:tcPr>
          <w:p>
            <w:pPr>
              <w:adjustRightInd/>
              <w:snapToGrid/>
              <w:spacing w:line="240" w:lineRule="auto"/>
              <w:ind w:firstLine="360"/>
              <w:jc w:val="center"/>
              <w:rPr>
                <w:rFonts w:eastAsia="仿宋"/>
                <w:bCs/>
                <w:color w:val="auto"/>
                <w:position w:val="-1"/>
                <w:sz w:val="18"/>
                <w:szCs w:val="18"/>
              </w:rPr>
            </w:pPr>
            <w:r>
              <w:rPr>
                <w:bCs/>
                <w:color w:val="auto"/>
                <w:position w:val="-1"/>
                <w:sz w:val="18"/>
                <w:szCs w:val="18"/>
              </w:rPr>
              <w:t>有组织废气监测</w:t>
            </w:r>
            <w:r>
              <w:rPr>
                <w:rFonts w:hint="eastAsia" w:eastAsia="仿宋"/>
                <w:bCs/>
                <w:color w:val="auto"/>
                <w:position w:val="-1"/>
                <w:sz w:val="18"/>
                <w:szCs w:val="18"/>
              </w:rPr>
              <w:t>□</w:t>
            </w:r>
          </w:p>
          <w:p>
            <w:pPr>
              <w:adjustRightInd/>
              <w:snapToGrid/>
              <w:spacing w:line="240" w:lineRule="auto"/>
              <w:ind w:firstLine="0" w:firstLineChars="0"/>
              <w:jc w:val="center"/>
              <w:rPr>
                <w:bCs/>
                <w:color w:val="auto"/>
                <w:sz w:val="21"/>
                <w:szCs w:val="21"/>
              </w:rPr>
            </w:pPr>
            <w:r>
              <w:rPr>
                <w:bCs/>
                <w:color w:val="auto"/>
                <w:position w:val="-2"/>
                <w:sz w:val="18"/>
                <w:szCs w:val="18"/>
              </w:rPr>
              <w:t>无组织废气监测</w:t>
            </w:r>
            <w:r>
              <w:rPr>
                <w:rFonts w:eastAsia="仿宋"/>
                <w:bCs/>
                <w:color w:val="auto"/>
                <w:position w:val="-2"/>
                <w:sz w:val="18"/>
                <w:szCs w:val="18"/>
              </w:rPr>
              <w:t>☑</w:t>
            </w:r>
          </w:p>
        </w:tc>
        <w:tc>
          <w:tcPr>
            <w:tcW w:w="1250" w:type="dxa"/>
            <w:gridSpan w:val="2"/>
            <w:tcBorders>
              <w:tl2br w:val="nil"/>
              <w:tr2bl w:val="nil"/>
            </w:tcBorders>
            <w:vAlign w:val="center"/>
          </w:tcPr>
          <w:p>
            <w:pPr>
              <w:adjustRightInd/>
              <w:snapToGrid/>
              <w:spacing w:before="97" w:line="240" w:lineRule="auto"/>
              <w:ind w:firstLine="0" w:firstLineChars="0"/>
              <w:jc w:val="center"/>
              <w:rPr>
                <w:rFonts w:eastAsia="仿宋"/>
                <w:bCs/>
                <w:color w:val="auto"/>
                <w:sz w:val="21"/>
                <w:szCs w:val="21"/>
              </w:rPr>
            </w:pPr>
            <w:r>
              <w:rPr>
                <w:bCs/>
                <w:color w:val="auto"/>
                <w:sz w:val="18"/>
                <w:szCs w:val="18"/>
              </w:rPr>
              <w:t>无监测</w:t>
            </w:r>
            <w:r>
              <w:rPr>
                <w:rFonts w:hint="eastAsia" w:eastAsia="仿宋"/>
                <w:bCs/>
                <w:color w:val="auto"/>
                <w:sz w:val="18"/>
                <w:szCs w:val="18"/>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00" w:type="dxa"/>
            <w:vMerge w:val="continue"/>
            <w:tcBorders>
              <w:tl2br w:val="nil"/>
              <w:tr2bl w:val="nil"/>
            </w:tcBorders>
            <w:vAlign w:val="center"/>
          </w:tcPr>
          <w:p>
            <w:pPr>
              <w:adjustRightInd/>
              <w:snapToGrid/>
              <w:spacing w:line="240" w:lineRule="auto"/>
              <w:ind w:firstLine="0" w:firstLineChars="0"/>
              <w:jc w:val="center"/>
              <w:rPr>
                <w:bCs/>
                <w:color w:val="auto"/>
                <w:sz w:val="21"/>
                <w:szCs w:val="21"/>
              </w:rPr>
            </w:pPr>
          </w:p>
        </w:tc>
        <w:tc>
          <w:tcPr>
            <w:tcW w:w="1855" w:type="dxa"/>
            <w:tcBorders>
              <w:tl2br w:val="nil"/>
              <w:tr2bl w:val="nil"/>
            </w:tcBorders>
            <w:vAlign w:val="center"/>
          </w:tcPr>
          <w:p>
            <w:pPr>
              <w:adjustRightInd/>
              <w:snapToGrid/>
              <w:spacing w:line="240" w:lineRule="auto"/>
              <w:ind w:firstLine="0" w:firstLineChars="0"/>
              <w:jc w:val="center"/>
              <w:rPr>
                <w:bCs/>
                <w:color w:val="auto"/>
                <w:sz w:val="21"/>
                <w:szCs w:val="21"/>
              </w:rPr>
            </w:pPr>
            <w:r>
              <w:rPr>
                <w:bCs/>
                <w:color w:val="auto"/>
                <w:position w:val="-1"/>
                <w:sz w:val="18"/>
                <w:szCs w:val="18"/>
              </w:rPr>
              <w:t>环境质量监测</w:t>
            </w:r>
          </w:p>
        </w:tc>
        <w:tc>
          <w:tcPr>
            <w:tcW w:w="2749" w:type="dxa"/>
            <w:gridSpan w:val="8"/>
            <w:tcBorders>
              <w:tl2br w:val="nil"/>
              <w:tr2bl w:val="nil"/>
            </w:tcBorders>
            <w:vAlign w:val="center"/>
          </w:tcPr>
          <w:p>
            <w:pPr>
              <w:tabs>
                <w:tab w:val="left" w:pos="2440"/>
              </w:tabs>
              <w:adjustRightInd/>
              <w:snapToGrid/>
              <w:spacing w:line="240" w:lineRule="auto"/>
              <w:ind w:firstLine="0" w:firstLineChars="0"/>
              <w:jc w:val="center"/>
              <w:rPr>
                <w:bCs/>
                <w:color w:val="auto"/>
                <w:sz w:val="21"/>
                <w:szCs w:val="21"/>
              </w:rPr>
            </w:pPr>
            <w:r>
              <w:rPr>
                <w:bCs/>
                <w:color w:val="auto"/>
                <w:position w:val="-1"/>
                <w:sz w:val="18"/>
                <w:szCs w:val="18"/>
              </w:rPr>
              <w:t>监测因子</w:t>
            </w:r>
            <w:r>
              <w:rPr>
                <w:bCs/>
                <w:color w:val="auto"/>
                <w:spacing w:val="-91"/>
                <w:position w:val="-1"/>
                <w:sz w:val="18"/>
                <w:szCs w:val="18"/>
              </w:rPr>
              <w:t>：</w:t>
            </w:r>
            <w:r>
              <w:rPr>
                <w:bCs/>
                <w:color w:val="auto"/>
                <w:position w:val="-1"/>
                <w:sz w:val="18"/>
                <w:szCs w:val="18"/>
              </w:rPr>
              <w:t>（</w:t>
            </w:r>
            <w:r>
              <w:rPr>
                <w:rFonts w:hint="eastAsia"/>
                <w:bCs/>
                <w:color w:val="auto"/>
                <w:sz w:val="18"/>
                <w:szCs w:val="18"/>
              </w:rPr>
              <w:t>NH</w:t>
            </w:r>
            <w:r>
              <w:rPr>
                <w:rFonts w:hint="eastAsia"/>
                <w:bCs/>
                <w:color w:val="auto"/>
                <w:sz w:val="18"/>
                <w:szCs w:val="18"/>
                <w:vertAlign w:val="subscript"/>
              </w:rPr>
              <w:t>3</w:t>
            </w:r>
            <w:r>
              <w:rPr>
                <w:rFonts w:hint="eastAsia"/>
                <w:bCs/>
                <w:color w:val="auto"/>
                <w:sz w:val="18"/>
                <w:szCs w:val="18"/>
              </w:rPr>
              <w:t>、</w:t>
            </w:r>
            <w:r>
              <w:rPr>
                <w:rFonts w:hint="eastAsia"/>
                <w:bCs/>
                <w:color w:val="auto"/>
                <w:position w:val="-1"/>
                <w:sz w:val="18"/>
                <w:szCs w:val="18"/>
              </w:rPr>
              <w:t>H</w:t>
            </w:r>
            <w:r>
              <w:rPr>
                <w:rFonts w:hint="eastAsia"/>
                <w:bCs/>
                <w:color w:val="auto"/>
                <w:position w:val="-1"/>
                <w:sz w:val="18"/>
                <w:szCs w:val="18"/>
                <w:vertAlign w:val="subscript"/>
              </w:rPr>
              <w:t>2</w:t>
            </w:r>
            <w:r>
              <w:rPr>
                <w:rFonts w:hint="eastAsia"/>
                <w:bCs/>
                <w:color w:val="auto"/>
                <w:position w:val="-1"/>
                <w:sz w:val="18"/>
                <w:szCs w:val="18"/>
              </w:rPr>
              <w:t>S</w:t>
            </w:r>
            <w:r>
              <w:rPr>
                <w:bCs/>
                <w:color w:val="auto"/>
                <w:position w:val="-1"/>
                <w:sz w:val="18"/>
                <w:szCs w:val="18"/>
              </w:rPr>
              <w:t>）</w:t>
            </w:r>
          </w:p>
        </w:tc>
        <w:tc>
          <w:tcPr>
            <w:tcW w:w="2334" w:type="dxa"/>
            <w:gridSpan w:val="9"/>
            <w:tcBorders>
              <w:tl2br w:val="nil"/>
              <w:tr2bl w:val="nil"/>
            </w:tcBorders>
            <w:vAlign w:val="center"/>
          </w:tcPr>
          <w:p>
            <w:pPr>
              <w:tabs>
                <w:tab w:val="left" w:pos="1900"/>
              </w:tabs>
              <w:adjustRightInd/>
              <w:snapToGrid/>
              <w:spacing w:line="240" w:lineRule="auto"/>
              <w:ind w:firstLine="0" w:firstLineChars="0"/>
              <w:jc w:val="center"/>
              <w:rPr>
                <w:bCs/>
                <w:color w:val="auto"/>
                <w:sz w:val="21"/>
                <w:szCs w:val="21"/>
              </w:rPr>
            </w:pPr>
            <w:r>
              <w:rPr>
                <w:bCs/>
                <w:color w:val="auto"/>
                <w:position w:val="-1"/>
                <w:sz w:val="18"/>
                <w:szCs w:val="18"/>
              </w:rPr>
              <w:t>监测点位数（</w:t>
            </w:r>
            <w:r>
              <w:rPr>
                <w:rFonts w:hint="eastAsia"/>
                <w:bCs/>
                <w:color w:val="auto"/>
                <w:position w:val="-1"/>
                <w:sz w:val="18"/>
                <w:szCs w:val="18"/>
              </w:rPr>
              <w:t>2</w:t>
            </w:r>
            <w:r>
              <w:rPr>
                <w:bCs/>
                <w:color w:val="auto"/>
                <w:position w:val="-1"/>
                <w:sz w:val="18"/>
                <w:szCs w:val="18"/>
              </w:rPr>
              <w:t>）</w:t>
            </w:r>
          </w:p>
        </w:tc>
        <w:tc>
          <w:tcPr>
            <w:tcW w:w="1250" w:type="dxa"/>
            <w:gridSpan w:val="2"/>
            <w:tcBorders>
              <w:tl2br w:val="nil"/>
              <w:tr2bl w:val="nil"/>
            </w:tcBorders>
            <w:vAlign w:val="center"/>
          </w:tcPr>
          <w:p>
            <w:pPr>
              <w:adjustRightInd/>
              <w:snapToGrid/>
              <w:spacing w:line="240" w:lineRule="auto"/>
              <w:ind w:firstLine="0" w:firstLineChars="0"/>
              <w:jc w:val="center"/>
              <w:rPr>
                <w:bCs/>
                <w:color w:val="auto"/>
                <w:sz w:val="21"/>
                <w:szCs w:val="21"/>
              </w:rPr>
            </w:pPr>
            <w:r>
              <w:rPr>
                <w:bCs/>
                <w:color w:val="auto"/>
                <w:position w:val="-1"/>
                <w:sz w:val="18"/>
                <w:szCs w:val="18"/>
              </w:rPr>
              <w:t>无监测</w:t>
            </w:r>
            <w:r>
              <w:rPr>
                <w:rFonts w:eastAsia="仿宋"/>
                <w:bCs/>
                <w:color w:val="auto"/>
                <w:position w:val="-1"/>
                <w:sz w:val="18"/>
                <w:szCs w:val="18"/>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00" w:type="dxa"/>
            <w:vMerge w:val="restart"/>
            <w:tcBorders>
              <w:tl2br w:val="nil"/>
              <w:tr2bl w:val="nil"/>
            </w:tcBorders>
            <w:vAlign w:val="center"/>
          </w:tcPr>
          <w:p>
            <w:pPr>
              <w:adjustRightInd/>
              <w:snapToGrid/>
              <w:spacing w:line="240" w:lineRule="auto"/>
              <w:ind w:firstLine="0" w:firstLineChars="0"/>
              <w:jc w:val="center"/>
              <w:rPr>
                <w:bCs/>
                <w:color w:val="auto"/>
                <w:sz w:val="21"/>
                <w:szCs w:val="21"/>
              </w:rPr>
            </w:pPr>
            <w:r>
              <w:rPr>
                <w:bCs/>
                <w:color w:val="auto"/>
                <w:sz w:val="18"/>
                <w:szCs w:val="18"/>
              </w:rPr>
              <w:t>评价结论</w:t>
            </w:r>
          </w:p>
        </w:tc>
        <w:tc>
          <w:tcPr>
            <w:tcW w:w="1855" w:type="dxa"/>
            <w:tcBorders>
              <w:tl2br w:val="nil"/>
              <w:tr2bl w:val="nil"/>
            </w:tcBorders>
            <w:vAlign w:val="center"/>
          </w:tcPr>
          <w:p>
            <w:pPr>
              <w:adjustRightInd/>
              <w:snapToGrid/>
              <w:spacing w:before="32" w:line="240" w:lineRule="auto"/>
              <w:ind w:firstLine="0" w:firstLineChars="0"/>
              <w:jc w:val="center"/>
              <w:rPr>
                <w:bCs/>
                <w:color w:val="auto"/>
                <w:sz w:val="21"/>
                <w:szCs w:val="21"/>
              </w:rPr>
            </w:pPr>
            <w:r>
              <w:rPr>
                <w:bCs/>
                <w:color w:val="auto"/>
                <w:sz w:val="18"/>
                <w:szCs w:val="18"/>
              </w:rPr>
              <w:t>环境影响</w:t>
            </w:r>
          </w:p>
        </w:tc>
        <w:tc>
          <w:tcPr>
            <w:tcW w:w="6333" w:type="dxa"/>
            <w:gridSpan w:val="19"/>
            <w:tcBorders>
              <w:tl2br w:val="nil"/>
              <w:tr2bl w:val="nil"/>
            </w:tcBorders>
            <w:vAlign w:val="center"/>
          </w:tcPr>
          <w:p>
            <w:pPr>
              <w:tabs>
                <w:tab w:val="left" w:pos="3560"/>
              </w:tabs>
              <w:adjustRightInd/>
              <w:snapToGrid/>
              <w:spacing w:before="32" w:line="240" w:lineRule="auto"/>
              <w:ind w:firstLine="0" w:firstLineChars="0"/>
              <w:jc w:val="center"/>
              <w:rPr>
                <w:bCs/>
                <w:color w:val="auto"/>
                <w:sz w:val="21"/>
                <w:szCs w:val="21"/>
              </w:rPr>
            </w:pPr>
            <w:r>
              <w:rPr>
                <w:bCs/>
                <w:color w:val="auto"/>
                <w:sz w:val="18"/>
                <w:szCs w:val="18"/>
              </w:rPr>
              <w:t>可以接受</w:t>
            </w:r>
            <w:r>
              <w:rPr>
                <w:rFonts w:eastAsia="仿宋"/>
                <w:bCs/>
                <w:color w:val="auto"/>
                <w:sz w:val="18"/>
                <w:szCs w:val="18"/>
              </w:rPr>
              <w:t>☑</w:t>
            </w:r>
            <w:r>
              <w:rPr>
                <w:rFonts w:eastAsia="仿宋"/>
                <w:bCs/>
                <w:color w:val="auto"/>
                <w:sz w:val="18"/>
                <w:szCs w:val="18"/>
              </w:rPr>
              <w:tab/>
            </w:r>
            <w:r>
              <w:rPr>
                <w:bCs/>
                <w:color w:val="auto"/>
                <w:sz w:val="18"/>
                <w:szCs w:val="18"/>
              </w:rPr>
              <w:t>不可以</w:t>
            </w:r>
            <w:r>
              <w:rPr>
                <w:bCs/>
                <w:color w:val="auto"/>
                <w:spacing w:val="-2"/>
                <w:sz w:val="18"/>
                <w:szCs w:val="18"/>
              </w:rPr>
              <w:t>接</w:t>
            </w:r>
            <w:r>
              <w:rPr>
                <w:bCs/>
                <w:color w:val="auto"/>
                <w:sz w:val="18"/>
                <w:szCs w:val="18"/>
              </w:rPr>
              <w:t>受</w:t>
            </w:r>
            <w:r>
              <w:rPr>
                <w:rFonts w:eastAsia="仿宋"/>
                <w:bCs/>
                <w:color w:val="auto"/>
                <w:sz w:val="18"/>
                <w:szCs w:val="18"/>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00" w:type="dxa"/>
            <w:vMerge w:val="continue"/>
            <w:tcBorders>
              <w:tl2br w:val="nil"/>
              <w:tr2bl w:val="nil"/>
            </w:tcBorders>
            <w:vAlign w:val="center"/>
          </w:tcPr>
          <w:p>
            <w:pPr>
              <w:adjustRightInd/>
              <w:snapToGrid/>
              <w:spacing w:line="240" w:lineRule="auto"/>
              <w:ind w:firstLine="0" w:firstLineChars="0"/>
              <w:jc w:val="center"/>
              <w:rPr>
                <w:bCs/>
                <w:color w:val="auto"/>
                <w:sz w:val="21"/>
                <w:szCs w:val="21"/>
              </w:rPr>
            </w:pPr>
          </w:p>
        </w:tc>
        <w:tc>
          <w:tcPr>
            <w:tcW w:w="1855" w:type="dxa"/>
            <w:tcBorders>
              <w:tl2br w:val="nil"/>
              <w:tr2bl w:val="nil"/>
            </w:tcBorders>
            <w:vAlign w:val="center"/>
          </w:tcPr>
          <w:p>
            <w:pPr>
              <w:adjustRightInd/>
              <w:snapToGrid/>
              <w:spacing w:before="35" w:line="240" w:lineRule="auto"/>
              <w:ind w:firstLine="0" w:firstLineChars="0"/>
              <w:jc w:val="center"/>
              <w:rPr>
                <w:bCs/>
                <w:color w:val="auto"/>
                <w:sz w:val="21"/>
                <w:szCs w:val="21"/>
              </w:rPr>
            </w:pPr>
            <w:r>
              <w:rPr>
                <w:bCs/>
                <w:color w:val="auto"/>
                <w:sz w:val="18"/>
                <w:szCs w:val="18"/>
              </w:rPr>
              <w:t>大气环境防护距离</w:t>
            </w:r>
          </w:p>
        </w:tc>
        <w:tc>
          <w:tcPr>
            <w:tcW w:w="6333" w:type="dxa"/>
            <w:gridSpan w:val="19"/>
            <w:tcBorders>
              <w:tl2br w:val="nil"/>
              <w:tr2bl w:val="nil"/>
            </w:tcBorders>
            <w:vAlign w:val="center"/>
          </w:tcPr>
          <w:p>
            <w:pPr>
              <w:tabs>
                <w:tab w:val="left" w:pos="2820"/>
                <w:tab w:val="left" w:pos="4340"/>
              </w:tabs>
              <w:adjustRightInd/>
              <w:snapToGrid/>
              <w:spacing w:before="35" w:line="240" w:lineRule="auto"/>
              <w:ind w:firstLine="0" w:firstLineChars="0"/>
              <w:jc w:val="center"/>
              <w:rPr>
                <w:bCs/>
                <w:color w:val="auto"/>
                <w:sz w:val="21"/>
                <w:szCs w:val="21"/>
              </w:rPr>
            </w:pPr>
            <w:r>
              <w:rPr>
                <w:bCs/>
                <w:color w:val="auto"/>
                <w:sz w:val="18"/>
                <w:szCs w:val="18"/>
              </w:rPr>
              <w:t>距（     ）厂界最远（     ）</w:t>
            </w:r>
            <w:r>
              <w:rPr>
                <w:rFonts w:eastAsia="Times New Roman"/>
                <w:bCs/>
                <w:color w:val="auto"/>
                <w:sz w:val="18"/>
                <w:szCs w:val="18"/>
              </w:rPr>
              <w:t>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00" w:type="dxa"/>
            <w:vMerge w:val="continue"/>
            <w:tcBorders>
              <w:tl2br w:val="nil"/>
              <w:tr2bl w:val="nil"/>
            </w:tcBorders>
            <w:vAlign w:val="center"/>
          </w:tcPr>
          <w:p>
            <w:pPr>
              <w:adjustRightInd/>
              <w:snapToGrid/>
              <w:spacing w:line="240" w:lineRule="auto"/>
              <w:ind w:firstLine="0" w:firstLineChars="0"/>
              <w:jc w:val="center"/>
              <w:rPr>
                <w:bCs/>
                <w:color w:val="auto"/>
                <w:sz w:val="21"/>
                <w:szCs w:val="21"/>
              </w:rPr>
            </w:pPr>
          </w:p>
        </w:tc>
        <w:tc>
          <w:tcPr>
            <w:tcW w:w="1855" w:type="dxa"/>
            <w:tcBorders>
              <w:tl2br w:val="nil"/>
              <w:tr2bl w:val="nil"/>
            </w:tcBorders>
            <w:vAlign w:val="center"/>
          </w:tcPr>
          <w:p>
            <w:pPr>
              <w:adjustRightInd/>
              <w:snapToGrid/>
              <w:spacing w:line="240" w:lineRule="auto"/>
              <w:ind w:firstLine="0" w:firstLineChars="0"/>
              <w:jc w:val="center"/>
              <w:rPr>
                <w:bCs/>
                <w:color w:val="auto"/>
                <w:sz w:val="21"/>
                <w:szCs w:val="21"/>
              </w:rPr>
            </w:pPr>
            <w:r>
              <w:rPr>
                <w:bCs/>
                <w:color w:val="auto"/>
                <w:position w:val="-1"/>
                <w:sz w:val="18"/>
                <w:szCs w:val="18"/>
              </w:rPr>
              <w:t>污染源年排</w:t>
            </w:r>
            <w:r>
              <w:rPr>
                <w:bCs/>
                <w:color w:val="auto"/>
                <w:spacing w:val="1"/>
                <w:position w:val="-1"/>
                <w:sz w:val="18"/>
                <w:szCs w:val="18"/>
              </w:rPr>
              <w:t>放</w:t>
            </w:r>
            <w:r>
              <w:rPr>
                <w:bCs/>
                <w:color w:val="auto"/>
                <w:position w:val="-1"/>
                <w:sz w:val="18"/>
                <w:szCs w:val="18"/>
              </w:rPr>
              <w:t>量</w:t>
            </w:r>
          </w:p>
        </w:tc>
        <w:tc>
          <w:tcPr>
            <w:tcW w:w="1695" w:type="dxa"/>
            <w:gridSpan w:val="4"/>
            <w:tcBorders>
              <w:tl2br w:val="nil"/>
              <w:tr2bl w:val="nil"/>
            </w:tcBorders>
            <w:vAlign w:val="center"/>
          </w:tcPr>
          <w:p>
            <w:pPr>
              <w:tabs>
                <w:tab w:val="left" w:pos="1100"/>
              </w:tabs>
              <w:adjustRightInd/>
              <w:snapToGrid/>
              <w:spacing w:line="240" w:lineRule="auto"/>
              <w:ind w:firstLine="0" w:firstLineChars="0"/>
              <w:jc w:val="center"/>
              <w:rPr>
                <w:bCs/>
                <w:color w:val="auto"/>
                <w:sz w:val="21"/>
                <w:szCs w:val="21"/>
              </w:rPr>
            </w:pPr>
            <w:r>
              <w:rPr>
                <w:rFonts w:eastAsia="Times New Roman"/>
                <w:bCs/>
                <w:color w:val="auto"/>
                <w:spacing w:val="1"/>
                <w:sz w:val="18"/>
                <w:szCs w:val="18"/>
              </w:rPr>
              <w:t>S</w:t>
            </w:r>
            <w:r>
              <w:rPr>
                <w:rFonts w:eastAsia="Times New Roman"/>
                <w:bCs/>
                <w:color w:val="auto"/>
                <w:sz w:val="18"/>
                <w:szCs w:val="18"/>
              </w:rPr>
              <w:t>O</w:t>
            </w:r>
            <w:r>
              <w:rPr>
                <w:rFonts w:eastAsia="Times New Roman"/>
                <w:bCs/>
                <w:color w:val="auto"/>
                <w:position w:val="-1"/>
                <w:sz w:val="12"/>
                <w:szCs w:val="12"/>
              </w:rPr>
              <w:t>2</w:t>
            </w:r>
            <w:r>
              <w:rPr>
                <w:bCs/>
                <w:color w:val="auto"/>
                <w:sz w:val="18"/>
                <w:szCs w:val="18"/>
              </w:rPr>
              <w:t>：（</w:t>
            </w:r>
            <w:r>
              <w:rPr>
                <w:rFonts w:hint="eastAsia"/>
                <w:bCs/>
                <w:color w:val="auto"/>
                <w:sz w:val="18"/>
                <w:szCs w:val="18"/>
              </w:rPr>
              <w:t>0.0</w:t>
            </w:r>
            <w:r>
              <w:rPr>
                <w:rFonts w:hint="eastAsia"/>
                <w:bCs/>
                <w:color w:val="auto"/>
                <w:sz w:val="18"/>
                <w:szCs w:val="18"/>
                <w:lang w:val="en-US" w:eastAsia="zh-CN"/>
              </w:rPr>
              <w:t>15</w:t>
            </w:r>
            <w:r>
              <w:rPr>
                <w:bCs/>
                <w:color w:val="auto"/>
                <w:sz w:val="18"/>
                <w:szCs w:val="18"/>
              </w:rPr>
              <w:t>）</w:t>
            </w:r>
            <w:r>
              <w:rPr>
                <w:rFonts w:eastAsia="Times New Roman"/>
                <w:bCs/>
                <w:color w:val="auto"/>
                <w:sz w:val="18"/>
                <w:szCs w:val="18"/>
              </w:rPr>
              <w:t>t/a</w:t>
            </w:r>
          </w:p>
        </w:tc>
        <w:tc>
          <w:tcPr>
            <w:tcW w:w="1776" w:type="dxa"/>
            <w:gridSpan w:val="7"/>
            <w:tcBorders>
              <w:tl2br w:val="nil"/>
              <w:tr2bl w:val="nil"/>
            </w:tcBorders>
            <w:vAlign w:val="center"/>
          </w:tcPr>
          <w:p>
            <w:pPr>
              <w:tabs>
                <w:tab w:val="left" w:pos="1160"/>
              </w:tabs>
              <w:adjustRightInd/>
              <w:snapToGrid/>
              <w:spacing w:line="240" w:lineRule="auto"/>
              <w:ind w:firstLine="0" w:firstLineChars="0"/>
              <w:jc w:val="center"/>
              <w:rPr>
                <w:bCs/>
                <w:color w:val="auto"/>
              </w:rPr>
            </w:pPr>
            <w:r>
              <w:rPr>
                <w:rFonts w:eastAsia="Times New Roman"/>
                <w:bCs/>
                <w:color w:val="auto"/>
                <w:sz w:val="18"/>
                <w:szCs w:val="18"/>
              </w:rPr>
              <w:t>NO</w:t>
            </w:r>
            <w:r>
              <w:rPr>
                <w:rFonts w:eastAsia="Times New Roman"/>
                <w:bCs/>
                <w:color w:val="auto"/>
                <w:spacing w:val="-2"/>
                <w:position w:val="-1"/>
                <w:sz w:val="12"/>
                <w:szCs w:val="12"/>
              </w:rPr>
              <w:t>x</w:t>
            </w:r>
            <w:r>
              <w:rPr>
                <w:bCs/>
                <w:color w:val="auto"/>
                <w:sz w:val="18"/>
                <w:szCs w:val="18"/>
              </w:rPr>
              <w:t>：（</w:t>
            </w:r>
            <w:r>
              <w:rPr>
                <w:rFonts w:hint="eastAsia"/>
                <w:bCs/>
                <w:color w:val="auto"/>
                <w:sz w:val="18"/>
                <w:szCs w:val="18"/>
              </w:rPr>
              <w:t>0.0</w:t>
            </w:r>
            <w:r>
              <w:rPr>
                <w:rFonts w:hint="eastAsia"/>
                <w:bCs/>
                <w:color w:val="auto"/>
                <w:sz w:val="18"/>
                <w:szCs w:val="18"/>
                <w:lang w:val="en-US" w:eastAsia="zh-CN"/>
              </w:rPr>
              <w:t>65</w:t>
            </w:r>
            <w:r>
              <w:rPr>
                <w:bCs/>
                <w:color w:val="auto"/>
                <w:sz w:val="18"/>
                <w:szCs w:val="18"/>
              </w:rPr>
              <w:t>）</w:t>
            </w:r>
            <w:r>
              <w:rPr>
                <w:rFonts w:eastAsia="Times New Roman"/>
                <w:bCs/>
                <w:color w:val="auto"/>
                <w:sz w:val="18"/>
                <w:szCs w:val="18"/>
              </w:rPr>
              <w:t>t/a</w:t>
            </w:r>
          </w:p>
        </w:tc>
        <w:tc>
          <w:tcPr>
            <w:tcW w:w="1380" w:type="dxa"/>
            <w:gridSpan w:val="5"/>
            <w:tcBorders>
              <w:tl2br w:val="nil"/>
              <w:tr2bl w:val="nil"/>
            </w:tcBorders>
            <w:vAlign w:val="center"/>
          </w:tcPr>
          <w:p>
            <w:pPr>
              <w:tabs>
                <w:tab w:val="left" w:pos="1060"/>
              </w:tabs>
              <w:adjustRightInd/>
              <w:snapToGrid/>
              <w:spacing w:line="240" w:lineRule="auto"/>
              <w:ind w:firstLine="0" w:firstLineChars="0"/>
              <w:jc w:val="center"/>
              <w:rPr>
                <w:bCs/>
                <w:color w:val="auto"/>
                <w:sz w:val="21"/>
                <w:szCs w:val="21"/>
              </w:rPr>
            </w:pPr>
            <w:r>
              <w:rPr>
                <w:bCs/>
                <w:color w:val="auto"/>
                <w:sz w:val="18"/>
                <w:szCs w:val="18"/>
              </w:rPr>
              <w:t>颗粒物：（</w:t>
            </w:r>
            <w:r>
              <w:rPr>
                <w:color w:val="auto"/>
                <w:spacing w:val="4"/>
                <w:sz w:val="18"/>
                <w:szCs w:val="18"/>
              </w:rPr>
              <w:t>0.</w:t>
            </w:r>
            <w:r>
              <w:rPr>
                <w:rFonts w:hint="eastAsia"/>
                <w:color w:val="auto"/>
                <w:spacing w:val="4"/>
                <w:sz w:val="18"/>
                <w:szCs w:val="18"/>
              </w:rPr>
              <w:t>0</w:t>
            </w:r>
            <w:r>
              <w:rPr>
                <w:rFonts w:hint="eastAsia"/>
                <w:color w:val="auto"/>
                <w:spacing w:val="4"/>
                <w:sz w:val="18"/>
                <w:szCs w:val="18"/>
                <w:lang w:val="en-US" w:eastAsia="zh-CN"/>
              </w:rPr>
              <w:t>26</w:t>
            </w:r>
            <w:r>
              <w:rPr>
                <w:bCs/>
                <w:color w:val="auto"/>
                <w:sz w:val="18"/>
                <w:szCs w:val="18"/>
              </w:rPr>
              <w:t>）</w:t>
            </w:r>
            <w:r>
              <w:rPr>
                <w:rFonts w:eastAsia="Times New Roman"/>
                <w:bCs/>
                <w:color w:val="auto"/>
                <w:sz w:val="18"/>
                <w:szCs w:val="18"/>
              </w:rPr>
              <w:t>t/a</w:t>
            </w:r>
          </w:p>
        </w:tc>
        <w:tc>
          <w:tcPr>
            <w:tcW w:w="1482" w:type="dxa"/>
            <w:gridSpan w:val="3"/>
            <w:tcBorders>
              <w:tl2br w:val="nil"/>
              <w:tr2bl w:val="nil"/>
            </w:tcBorders>
            <w:vAlign w:val="center"/>
          </w:tcPr>
          <w:p>
            <w:pPr>
              <w:tabs>
                <w:tab w:val="left" w:pos="1020"/>
              </w:tabs>
              <w:adjustRightInd/>
              <w:snapToGrid/>
              <w:spacing w:line="240" w:lineRule="auto"/>
              <w:ind w:firstLine="0" w:firstLineChars="0"/>
              <w:jc w:val="center"/>
              <w:rPr>
                <w:bCs/>
                <w:color w:val="auto"/>
                <w:sz w:val="21"/>
                <w:szCs w:val="21"/>
              </w:rPr>
            </w:pPr>
            <w:r>
              <w:rPr>
                <w:rFonts w:eastAsia="Times New Roman"/>
                <w:bCs/>
                <w:color w:val="auto"/>
                <w:spacing w:val="2"/>
                <w:sz w:val="18"/>
                <w:szCs w:val="18"/>
              </w:rPr>
              <w:t>V</w:t>
            </w:r>
            <w:r>
              <w:rPr>
                <w:rFonts w:eastAsia="Times New Roman"/>
                <w:bCs/>
                <w:color w:val="auto"/>
                <w:sz w:val="18"/>
                <w:szCs w:val="18"/>
              </w:rPr>
              <w:t>OC</w:t>
            </w:r>
            <w:r>
              <w:rPr>
                <w:rFonts w:eastAsia="Times New Roman"/>
                <w:bCs/>
                <w:color w:val="auto"/>
                <w:spacing w:val="-1"/>
                <w:position w:val="-1"/>
                <w:sz w:val="12"/>
                <w:szCs w:val="12"/>
              </w:rPr>
              <w:t>s</w:t>
            </w:r>
            <w:r>
              <w:rPr>
                <w:bCs/>
                <w:color w:val="auto"/>
                <w:sz w:val="18"/>
                <w:szCs w:val="18"/>
              </w:rPr>
              <w:t>：（）</w:t>
            </w:r>
            <w:r>
              <w:rPr>
                <w:rFonts w:eastAsia="Times New Roman"/>
                <w:bCs/>
                <w:color w:val="auto"/>
                <w:sz w:val="18"/>
                <w:szCs w:val="18"/>
              </w:rPr>
              <w:t>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9288" w:type="dxa"/>
            <w:gridSpan w:val="21"/>
            <w:tcBorders>
              <w:tl2br w:val="nil"/>
              <w:tr2bl w:val="nil"/>
            </w:tcBorders>
            <w:vAlign w:val="center"/>
          </w:tcPr>
          <w:p>
            <w:pPr>
              <w:tabs>
                <w:tab w:val="left" w:pos="3420"/>
              </w:tabs>
              <w:adjustRightInd/>
              <w:snapToGrid/>
              <w:spacing w:before="39" w:line="240" w:lineRule="auto"/>
              <w:ind w:firstLine="0" w:firstLineChars="0"/>
              <w:jc w:val="center"/>
              <w:rPr>
                <w:bCs/>
                <w:color w:val="auto"/>
                <w:sz w:val="21"/>
                <w:szCs w:val="21"/>
              </w:rPr>
            </w:pPr>
            <w:r>
              <w:rPr>
                <w:bCs/>
                <w:color w:val="auto"/>
                <w:sz w:val="18"/>
                <w:szCs w:val="18"/>
              </w:rPr>
              <w:t>注</w:t>
            </w:r>
            <w:r>
              <w:rPr>
                <w:bCs/>
                <w:color w:val="auto"/>
                <w:spacing w:val="-91"/>
                <w:sz w:val="18"/>
                <w:szCs w:val="18"/>
              </w:rPr>
              <w:t>：</w:t>
            </w:r>
            <w:r>
              <w:rPr>
                <w:bCs/>
                <w:color w:val="auto"/>
                <w:sz w:val="18"/>
                <w:szCs w:val="18"/>
              </w:rPr>
              <w:t>“</w:t>
            </w:r>
            <w:r>
              <w:rPr>
                <w:rFonts w:eastAsia="仿宋"/>
                <w:bCs/>
                <w:color w:val="auto"/>
                <w:spacing w:val="2"/>
                <w:sz w:val="18"/>
                <w:szCs w:val="18"/>
              </w:rPr>
              <w:t>□</w:t>
            </w:r>
            <w:r>
              <w:rPr>
                <w:bCs/>
                <w:color w:val="auto"/>
                <w:sz w:val="18"/>
                <w:szCs w:val="18"/>
              </w:rPr>
              <w:t>”为勾选项，填“</w:t>
            </w:r>
            <w:r>
              <w:rPr>
                <w:bCs/>
                <w:color w:val="auto"/>
                <w:spacing w:val="-2"/>
                <w:sz w:val="18"/>
                <w:szCs w:val="18"/>
              </w:rPr>
              <w:t>√</w:t>
            </w:r>
            <w:r>
              <w:rPr>
                <w:bCs/>
                <w:color w:val="auto"/>
                <w:sz w:val="18"/>
                <w:szCs w:val="18"/>
              </w:rPr>
              <w:t>”；</w:t>
            </w:r>
            <w:r>
              <w:rPr>
                <w:rFonts w:eastAsia="Times New Roman"/>
                <w:bCs/>
                <w:color w:val="auto"/>
                <w:spacing w:val="-1"/>
                <w:sz w:val="18"/>
                <w:szCs w:val="18"/>
              </w:rPr>
              <w:t>“</w:t>
            </w:r>
            <w:r>
              <w:rPr>
                <w:bCs/>
                <w:color w:val="auto"/>
                <w:sz w:val="18"/>
                <w:szCs w:val="18"/>
              </w:rPr>
              <w:t>（</w:t>
            </w:r>
            <w:r>
              <w:rPr>
                <w:bCs/>
                <w:color w:val="auto"/>
                <w:sz w:val="18"/>
                <w:szCs w:val="18"/>
              </w:rPr>
              <w:tab/>
            </w:r>
            <w:r>
              <w:rPr>
                <w:bCs/>
                <w:color w:val="auto"/>
                <w:sz w:val="18"/>
                <w:szCs w:val="18"/>
              </w:rPr>
              <w:t>）</w:t>
            </w:r>
            <w:r>
              <w:rPr>
                <w:rFonts w:eastAsia="Times New Roman"/>
                <w:bCs/>
                <w:color w:val="auto"/>
                <w:sz w:val="18"/>
                <w:szCs w:val="18"/>
              </w:rPr>
              <w:t>”</w:t>
            </w:r>
            <w:r>
              <w:rPr>
                <w:bCs/>
                <w:color w:val="auto"/>
                <w:sz w:val="18"/>
                <w:szCs w:val="18"/>
              </w:rPr>
              <w:t>为内容填写项</w:t>
            </w:r>
          </w:p>
        </w:tc>
      </w:tr>
    </w:tbl>
    <w:p>
      <w:pPr>
        <w:ind w:firstLine="480"/>
        <w:rPr>
          <w:color w:val="auto"/>
        </w:rPr>
      </w:pPr>
      <w:r>
        <w:rPr>
          <w:rFonts w:hint="eastAsia"/>
          <w:color w:val="auto"/>
        </w:rPr>
        <w:t>5.2.1.6</w:t>
      </w:r>
      <w:r>
        <w:rPr>
          <w:color w:val="auto"/>
        </w:rPr>
        <w:t>防护距离的确定</w:t>
      </w:r>
    </w:p>
    <w:p>
      <w:pPr>
        <w:ind w:firstLine="480"/>
        <w:rPr>
          <w:color w:val="auto"/>
        </w:rPr>
      </w:pPr>
      <w:r>
        <w:rPr>
          <w:color w:val="auto"/>
        </w:rPr>
        <w:t>（1）大气环境防护距离计算</w:t>
      </w:r>
    </w:p>
    <w:p>
      <w:pPr>
        <w:ind w:firstLine="480"/>
        <w:rPr>
          <w:color w:val="auto"/>
        </w:rPr>
      </w:pPr>
      <w:r>
        <w:rPr>
          <w:color w:val="auto"/>
        </w:rPr>
        <w:t>本次计算大气环境防护距离时将养殖场养殖区作为无组织排放单元计算项目实施后大气环境防护距离。根据《环境影响评价技术导则--大气环境》（HJ2.2-2018）要求，采用推荐模式中的大气环境防护距离模式计算本项目无组织排放单元的大气环境防护距离。经计算本项目无组织排放单元大气环境防护距离见</w:t>
      </w:r>
      <w:r>
        <w:rPr>
          <w:rFonts w:hint="eastAsia"/>
          <w:color w:val="auto"/>
        </w:rPr>
        <w:t>表5.2-17</w:t>
      </w:r>
      <w:r>
        <w:rPr>
          <w:color w:val="auto"/>
        </w:rPr>
        <w:t>。</w:t>
      </w:r>
    </w:p>
    <w:p>
      <w:pPr>
        <w:ind w:firstLine="0" w:firstLineChars="0"/>
        <w:jc w:val="center"/>
        <w:rPr>
          <w:b/>
          <w:bCs/>
          <w:color w:val="auto"/>
          <w:kern w:val="0"/>
          <w:szCs w:val="20"/>
        </w:rPr>
      </w:pPr>
      <w:bookmarkStart w:id="542" w:name="_Ref478131287"/>
      <w:r>
        <w:rPr>
          <w:b/>
          <w:bCs/>
          <w:color w:val="auto"/>
          <w:szCs w:val="20"/>
        </w:rPr>
        <w:t xml:space="preserve">表 </w:t>
      </w:r>
      <w:bookmarkEnd w:id="542"/>
      <w:r>
        <w:rPr>
          <w:rFonts w:hint="eastAsia"/>
          <w:b/>
          <w:bCs/>
          <w:color w:val="auto"/>
          <w:szCs w:val="20"/>
        </w:rPr>
        <w:t>5.2-17</w:t>
      </w:r>
      <w:r>
        <w:rPr>
          <w:b/>
          <w:bCs/>
          <w:color w:val="auto"/>
          <w:kern w:val="0"/>
          <w:szCs w:val="20"/>
        </w:rPr>
        <w:t xml:space="preserve">  本项目无组织排放单元大气环境防护距离</w:t>
      </w:r>
    </w:p>
    <w:tbl>
      <w:tblPr>
        <w:tblStyle w:val="27"/>
        <w:tblW w:w="0" w:type="auto"/>
        <w:jc w:val="center"/>
        <w:tblBorders>
          <w:top w:val="single" w:color="auto" w:sz="6" w:space="0"/>
          <w:left w:val="none" w:color="auto" w:sz="0" w:space="0"/>
          <w:bottom w:val="single" w:color="auto" w:sz="6"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498"/>
        <w:gridCol w:w="1005"/>
        <w:gridCol w:w="923"/>
        <w:gridCol w:w="1232"/>
        <w:gridCol w:w="1385"/>
        <w:gridCol w:w="1232"/>
        <w:gridCol w:w="1511"/>
      </w:tblGrid>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675" w:hRule="atLeast"/>
          <w:tblHeader/>
          <w:jc w:val="center"/>
        </w:trPr>
        <w:tc>
          <w:tcPr>
            <w:tcW w:w="1498" w:type="dxa"/>
            <w:tcBorders>
              <w:tl2br w:val="nil"/>
              <w:tr2bl w:val="nil"/>
            </w:tcBorders>
            <w:vAlign w:val="center"/>
          </w:tcPr>
          <w:p>
            <w:pPr>
              <w:spacing w:line="240" w:lineRule="auto"/>
              <w:ind w:firstLine="0" w:firstLineChars="0"/>
              <w:jc w:val="center"/>
              <w:rPr>
                <w:b/>
                <w:bCs/>
                <w:color w:val="auto"/>
                <w:kern w:val="0"/>
                <w:sz w:val="21"/>
                <w:szCs w:val="21"/>
              </w:rPr>
            </w:pPr>
            <w:r>
              <w:rPr>
                <w:b/>
                <w:bCs/>
                <w:color w:val="auto"/>
                <w:kern w:val="0"/>
                <w:sz w:val="21"/>
                <w:szCs w:val="21"/>
              </w:rPr>
              <w:t>无组织排放</w:t>
            </w:r>
          </w:p>
          <w:p>
            <w:pPr>
              <w:spacing w:line="240" w:lineRule="auto"/>
              <w:ind w:firstLine="0" w:firstLineChars="0"/>
              <w:jc w:val="center"/>
              <w:rPr>
                <w:b/>
                <w:bCs/>
                <w:color w:val="auto"/>
                <w:kern w:val="0"/>
                <w:sz w:val="21"/>
                <w:szCs w:val="21"/>
              </w:rPr>
            </w:pPr>
            <w:r>
              <w:rPr>
                <w:b/>
                <w:bCs/>
                <w:color w:val="auto"/>
                <w:kern w:val="0"/>
                <w:sz w:val="21"/>
                <w:szCs w:val="21"/>
              </w:rPr>
              <w:t>单元</w:t>
            </w:r>
          </w:p>
        </w:tc>
        <w:tc>
          <w:tcPr>
            <w:tcW w:w="1005" w:type="dxa"/>
            <w:tcBorders>
              <w:tl2br w:val="nil"/>
              <w:tr2bl w:val="nil"/>
            </w:tcBorders>
            <w:vAlign w:val="center"/>
          </w:tcPr>
          <w:p>
            <w:pPr>
              <w:spacing w:line="240" w:lineRule="auto"/>
              <w:ind w:firstLine="0" w:firstLineChars="0"/>
              <w:jc w:val="center"/>
              <w:rPr>
                <w:b/>
                <w:bCs/>
                <w:color w:val="auto"/>
                <w:kern w:val="0"/>
                <w:sz w:val="21"/>
                <w:szCs w:val="21"/>
              </w:rPr>
            </w:pPr>
            <w:r>
              <w:rPr>
                <w:b/>
                <w:bCs/>
                <w:color w:val="auto"/>
                <w:kern w:val="0"/>
                <w:sz w:val="21"/>
                <w:szCs w:val="21"/>
              </w:rPr>
              <w:t>污染物</w:t>
            </w:r>
          </w:p>
        </w:tc>
        <w:tc>
          <w:tcPr>
            <w:tcW w:w="923" w:type="dxa"/>
            <w:tcBorders>
              <w:tl2br w:val="nil"/>
              <w:tr2bl w:val="nil"/>
            </w:tcBorders>
            <w:vAlign w:val="center"/>
          </w:tcPr>
          <w:p>
            <w:pPr>
              <w:spacing w:line="240" w:lineRule="auto"/>
              <w:ind w:firstLine="0" w:firstLineChars="0"/>
              <w:jc w:val="center"/>
              <w:rPr>
                <w:b/>
                <w:bCs/>
                <w:color w:val="auto"/>
                <w:kern w:val="0"/>
                <w:sz w:val="21"/>
                <w:szCs w:val="21"/>
              </w:rPr>
            </w:pPr>
            <w:r>
              <w:rPr>
                <w:b/>
                <w:bCs/>
                <w:color w:val="auto"/>
                <w:kern w:val="0"/>
                <w:sz w:val="21"/>
                <w:szCs w:val="21"/>
              </w:rPr>
              <w:t>源强值</w:t>
            </w:r>
          </w:p>
          <w:p>
            <w:pPr>
              <w:spacing w:line="240" w:lineRule="auto"/>
              <w:ind w:firstLine="0" w:firstLineChars="0"/>
              <w:jc w:val="center"/>
              <w:rPr>
                <w:b/>
                <w:bCs/>
                <w:color w:val="auto"/>
                <w:kern w:val="0"/>
                <w:sz w:val="21"/>
                <w:szCs w:val="21"/>
              </w:rPr>
            </w:pPr>
            <w:r>
              <w:rPr>
                <w:b/>
                <w:color w:val="auto"/>
                <w:kern w:val="0"/>
                <w:sz w:val="21"/>
                <w:szCs w:val="21"/>
              </w:rPr>
              <w:t>（</w:t>
            </w:r>
            <w:r>
              <w:rPr>
                <w:rFonts w:hint="eastAsia"/>
                <w:b/>
                <w:color w:val="auto"/>
                <w:kern w:val="0"/>
                <w:sz w:val="21"/>
                <w:szCs w:val="21"/>
              </w:rPr>
              <w:t>kg/h</w:t>
            </w:r>
            <w:r>
              <w:rPr>
                <w:b/>
                <w:color w:val="auto"/>
                <w:kern w:val="0"/>
                <w:sz w:val="21"/>
                <w:szCs w:val="21"/>
              </w:rPr>
              <w:t>）</w:t>
            </w:r>
          </w:p>
        </w:tc>
        <w:tc>
          <w:tcPr>
            <w:tcW w:w="1232" w:type="dxa"/>
            <w:tcBorders>
              <w:tl2br w:val="nil"/>
              <w:tr2bl w:val="nil"/>
            </w:tcBorders>
            <w:vAlign w:val="center"/>
          </w:tcPr>
          <w:p>
            <w:pPr>
              <w:spacing w:line="240" w:lineRule="auto"/>
              <w:ind w:firstLine="0" w:firstLineChars="0"/>
              <w:jc w:val="center"/>
              <w:rPr>
                <w:b/>
                <w:color w:val="auto"/>
                <w:kern w:val="0"/>
                <w:sz w:val="21"/>
                <w:szCs w:val="21"/>
              </w:rPr>
            </w:pPr>
            <w:r>
              <w:rPr>
                <w:b/>
                <w:color w:val="auto"/>
                <w:kern w:val="0"/>
                <w:sz w:val="21"/>
                <w:szCs w:val="21"/>
              </w:rPr>
              <w:t>面积/m</w:t>
            </w:r>
            <w:r>
              <w:rPr>
                <w:b/>
                <w:color w:val="auto"/>
                <w:kern w:val="0"/>
                <w:sz w:val="21"/>
                <w:szCs w:val="21"/>
                <w:vertAlign w:val="superscript"/>
              </w:rPr>
              <w:t>2</w:t>
            </w:r>
          </w:p>
        </w:tc>
        <w:tc>
          <w:tcPr>
            <w:tcW w:w="1385" w:type="dxa"/>
            <w:tcBorders>
              <w:tl2br w:val="nil"/>
              <w:tr2bl w:val="nil"/>
            </w:tcBorders>
            <w:vAlign w:val="center"/>
          </w:tcPr>
          <w:p>
            <w:pPr>
              <w:spacing w:line="240" w:lineRule="auto"/>
              <w:ind w:firstLine="0" w:firstLineChars="0"/>
              <w:jc w:val="center"/>
              <w:rPr>
                <w:b/>
                <w:color w:val="auto"/>
                <w:kern w:val="0"/>
                <w:sz w:val="21"/>
                <w:szCs w:val="21"/>
              </w:rPr>
            </w:pPr>
            <w:r>
              <w:rPr>
                <w:b/>
                <w:color w:val="auto"/>
                <w:kern w:val="0"/>
                <w:sz w:val="21"/>
                <w:szCs w:val="21"/>
              </w:rPr>
              <w:t>面源高度/m</w:t>
            </w:r>
          </w:p>
        </w:tc>
        <w:tc>
          <w:tcPr>
            <w:tcW w:w="1232" w:type="dxa"/>
            <w:tcBorders>
              <w:tl2br w:val="nil"/>
              <w:tr2bl w:val="nil"/>
            </w:tcBorders>
            <w:vAlign w:val="center"/>
          </w:tcPr>
          <w:p>
            <w:pPr>
              <w:spacing w:line="240" w:lineRule="auto"/>
              <w:ind w:firstLine="0" w:firstLineChars="0"/>
              <w:jc w:val="center"/>
              <w:rPr>
                <w:b/>
                <w:color w:val="auto"/>
                <w:kern w:val="0"/>
                <w:sz w:val="21"/>
                <w:szCs w:val="21"/>
              </w:rPr>
            </w:pPr>
            <w:r>
              <w:rPr>
                <w:b/>
                <w:color w:val="auto"/>
                <w:kern w:val="0"/>
                <w:sz w:val="21"/>
                <w:szCs w:val="21"/>
              </w:rPr>
              <w:t>标准值</w:t>
            </w:r>
          </w:p>
          <w:p>
            <w:pPr>
              <w:spacing w:line="240" w:lineRule="auto"/>
              <w:ind w:firstLine="0" w:firstLineChars="0"/>
              <w:jc w:val="center"/>
              <w:rPr>
                <w:b/>
                <w:color w:val="auto"/>
                <w:kern w:val="0"/>
                <w:sz w:val="21"/>
                <w:szCs w:val="21"/>
              </w:rPr>
            </w:pPr>
            <w:r>
              <w:rPr>
                <w:b/>
                <w:color w:val="auto"/>
                <w:kern w:val="0"/>
                <w:sz w:val="21"/>
                <w:szCs w:val="21"/>
              </w:rPr>
              <w:t>（ug/m</w:t>
            </w:r>
            <w:r>
              <w:rPr>
                <w:b/>
                <w:color w:val="auto"/>
                <w:kern w:val="0"/>
                <w:sz w:val="21"/>
                <w:szCs w:val="21"/>
                <w:vertAlign w:val="superscript"/>
              </w:rPr>
              <w:t>3</w:t>
            </w:r>
            <w:r>
              <w:rPr>
                <w:b/>
                <w:color w:val="auto"/>
                <w:kern w:val="0"/>
                <w:sz w:val="21"/>
                <w:szCs w:val="21"/>
              </w:rPr>
              <w:t>）</w:t>
            </w:r>
          </w:p>
        </w:tc>
        <w:tc>
          <w:tcPr>
            <w:tcW w:w="1511" w:type="dxa"/>
            <w:tcBorders>
              <w:tl2br w:val="nil"/>
              <w:tr2bl w:val="nil"/>
            </w:tcBorders>
            <w:vAlign w:val="center"/>
          </w:tcPr>
          <w:p>
            <w:pPr>
              <w:spacing w:line="240" w:lineRule="auto"/>
              <w:ind w:firstLine="0" w:firstLineChars="0"/>
              <w:jc w:val="center"/>
              <w:rPr>
                <w:b/>
                <w:bCs/>
                <w:color w:val="auto"/>
                <w:kern w:val="0"/>
                <w:sz w:val="21"/>
                <w:szCs w:val="21"/>
              </w:rPr>
            </w:pPr>
            <w:r>
              <w:rPr>
                <w:b/>
                <w:bCs/>
                <w:color w:val="auto"/>
                <w:kern w:val="0"/>
                <w:sz w:val="21"/>
                <w:szCs w:val="21"/>
              </w:rPr>
              <w:t>大气环境</w:t>
            </w:r>
          </w:p>
          <w:p>
            <w:pPr>
              <w:spacing w:line="240" w:lineRule="auto"/>
              <w:ind w:firstLine="0" w:firstLineChars="0"/>
              <w:jc w:val="center"/>
              <w:rPr>
                <w:b/>
                <w:bCs/>
                <w:color w:val="auto"/>
                <w:kern w:val="0"/>
                <w:sz w:val="21"/>
                <w:szCs w:val="21"/>
              </w:rPr>
            </w:pPr>
            <w:r>
              <w:rPr>
                <w:b/>
                <w:bCs/>
                <w:color w:val="auto"/>
                <w:kern w:val="0"/>
                <w:sz w:val="21"/>
                <w:szCs w:val="21"/>
              </w:rPr>
              <w:t>防护距离/m</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75" w:hRule="atLeast"/>
          <w:jc w:val="center"/>
        </w:trPr>
        <w:tc>
          <w:tcPr>
            <w:tcW w:w="1498" w:type="dxa"/>
            <w:vMerge w:val="restart"/>
            <w:tcBorders>
              <w:tl2br w:val="nil"/>
              <w:tr2bl w:val="nil"/>
            </w:tcBorders>
            <w:vAlign w:val="center"/>
          </w:tcPr>
          <w:p>
            <w:pPr>
              <w:spacing w:line="240" w:lineRule="auto"/>
              <w:ind w:firstLine="0" w:firstLineChars="0"/>
              <w:jc w:val="center"/>
              <w:rPr>
                <w:color w:val="auto"/>
                <w:kern w:val="0"/>
                <w:sz w:val="21"/>
                <w:szCs w:val="21"/>
              </w:rPr>
            </w:pPr>
            <w:bookmarkStart w:id="543" w:name="_Hlk425487322"/>
            <w:r>
              <w:rPr>
                <w:rFonts w:hint="eastAsia"/>
                <w:color w:val="auto"/>
                <w:kern w:val="0"/>
                <w:sz w:val="21"/>
                <w:szCs w:val="21"/>
              </w:rPr>
              <w:t>养殖场</w:t>
            </w:r>
          </w:p>
        </w:tc>
        <w:tc>
          <w:tcPr>
            <w:tcW w:w="1005" w:type="dxa"/>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NH</w:t>
            </w:r>
            <w:r>
              <w:rPr>
                <w:color w:val="auto"/>
                <w:kern w:val="0"/>
                <w:sz w:val="21"/>
                <w:szCs w:val="21"/>
                <w:vertAlign w:val="subscript"/>
              </w:rPr>
              <w:t>3</w:t>
            </w:r>
          </w:p>
        </w:tc>
        <w:tc>
          <w:tcPr>
            <w:tcW w:w="923" w:type="dxa"/>
            <w:tcBorders>
              <w:tl2br w:val="nil"/>
              <w:tr2bl w:val="nil"/>
            </w:tcBorders>
            <w:vAlign w:val="center"/>
          </w:tcPr>
          <w:p>
            <w:pPr>
              <w:spacing w:line="240" w:lineRule="auto"/>
              <w:ind w:firstLine="0" w:firstLineChars="0"/>
              <w:jc w:val="center"/>
              <w:rPr>
                <w:color w:val="auto"/>
                <w:kern w:val="0"/>
                <w:sz w:val="21"/>
                <w:szCs w:val="21"/>
              </w:rPr>
            </w:pPr>
            <w:r>
              <w:rPr>
                <w:rFonts w:hint="eastAsia"/>
                <w:color w:val="auto"/>
                <w:kern w:val="0"/>
                <w:sz w:val="21"/>
                <w:szCs w:val="21"/>
              </w:rPr>
              <w:t>0.05</w:t>
            </w:r>
          </w:p>
        </w:tc>
        <w:tc>
          <w:tcPr>
            <w:tcW w:w="1232" w:type="dxa"/>
            <w:vMerge w:val="restart"/>
            <w:tcBorders>
              <w:tl2br w:val="nil"/>
              <w:tr2bl w:val="nil"/>
            </w:tcBorders>
            <w:vAlign w:val="center"/>
          </w:tcPr>
          <w:p>
            <w:pPr>
              <w:spacing w:line="240" w:lineRule="auto"/>
              <w:ind w:firstLine="0" w:firstLineChars="0"/>
              <w:jc w:val="center"/>
              <w:rPr>
                <w:color w:val="auto"/>
                <w:kern w:val="0"/>
                <w:sz w:val="21"/>
                <w:szCs w:val="21"/>
              </w:rPr>
            </w:pPr>
            <w:r>
              <w:rPr>
                <w:rFonts w:hint="eastAsia"/>
                <w:color w:val="auto"/>
                <w:kern w:val="0"/>
                <w:sz w:val="21"/>
                <w:szCs w:val="21"/>
              </w:rPr>
              <w:t>300</w:t>
            </w:r>
            <w:r>
              <w:rPr>
                <w:rFonts w:ascii="Arial" w:hAnsi="Arial" w:cs="Arial"/>
                <w:color w:val="auto"/>
                <w:kern w:val="0"/>
                <w:sz w:val="21"/>
                <w:szCs w:val="21"/>
              </w:rPr>
              <w:t>×</w:t>
            </w:r>
            <w:r>
              <w:rPr>
                <w:rFonts w:hint="eastAsia"/>
                <w:color w:val="auto"/>
                <w:kern w:val="0"/>
                <w:sz w:val="21"/>
                <w:szCs w:val="21"/>
              </w:rPr>
              <w:t>130</w:t>
            </w:r>
          </w:p>
        </w:tc>
        <w:tc>
          <w:tcPr>
            <w:tcW w:w="1385" w:type="dxa"/>
            <w:vMerge w:val="restart"/>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5</w:t>
            </w:r>
          </w:p>
        </w:tc>
        <w:tc>
          <w:tcPr>
            <w:tcW w:w="1232" w:type="dxa"/>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200</w:t>
            </w:r>
          </w:p>
        </w:tc>
        <w:tc>
          <w:tcPr>
            <w:tcW w:w="1511" w:type="dxa"/>
            <w:tcBorders>
              <w:tl2br w:val="nil"/>
              <w:tr2bl w:val="nil"/>
            </w:tcBorders>
            <w:vAlign w:val="center"/>
          </w:tcPr>
          <w:p>
            <w:pPr>
              <w:spacing w:line="240" w:lineRule="auto"/>
              <w:ind w:firstLine="0" w:firstLineChars="0"/>
              <w:jc w:val="center"/>
              <w:rPr>
                <w:bCs/>
                <w:color w:val="auto"/>
                <w:kern w:val="0"/>
                <w:sz w:val="21"/>
                <w:szCs w:val="21"/>
              </w:rPr>
            </w:pPr>
            <w:r>
              <w:rPr>
                <w:bCs/>
                <w:color w:val="auto"/>
                <w:kern w:val="0"/>
                <w:sz w:val="21"/>
                <w:szCs w:val="21"/>
              </w:rPr>
              <w:t>无超标点</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34" w:hRule="atLeast"/>
          <w:jc w:val="center"/>
        </w:trPr>
        <w:tc>
          <w:tcPr>
            <w:tcW w:w="1498" w:type="dxa"/>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005" w:type="dxa"/>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H</w:t>
            </w:r>
            <w:r>
              <w:rPr>
                <w:color w:val="auto"/>
                <w:kern w:val="0"/>
                <w:sz w:val="21"/>
                <w:szCs w:val="21"/>
                <w:vertAlign w:val="subscript"/>
              </w:rPr>
              <w:t>2</w:t>
            </w:r>
            <w:r>
              <w:rPr>
                <w:color w:val="auto"/>
                <w:kern w:val="0"/>
                <w:sz w:val="21"/>
                <w:szCs w:val="21"/>
              </w:rPr>
              <w:t>S</w:t>
            </w:r>
          </w:p>
        </w:tc>
        <w:tc>
          <w:tcPr>
            <w:tcW w:w="923" w:type="dxa"/>
            <w:tcBorders>
              <w:tl2br w:val="nil"/>
              <w:tr2bl w:val="nil"/>
            </w:tcBorders>
            <w:vAlign w:val="center"/>
          </w:tcPr>
          <w:p>
            <w:pPr>
              <w:spacing w:line="240" w:lineRule="auto"/>
              <w:ind w:firstLine="0" w:firstLineChars="0"/>
              <w:jc w:val="center"/>
              <w:rPr>
                <w:color w:val="auto"/>
                <w:kern w:val="0"/>
                <w:sz w:val="21"/>
                <w:szCs w:val="21"/>
              </w:rPr>
            </w:pPr>
            <w:r>
              <w:rPr>
                <w:rFonts w:hint="eastAsia"/>
                <w:color w:val="auto"/>
                <w:kern w:val="0"/>
                <w:sz w:val="21"/>
                <w:szCs w:val="21"/>
              </w:rPr>
              <w:t>0.0032</w:t>
            </w:r>
          </w:p>
        </w:tc>
        <w:tc>
          <w:tcPr>
            <w:tcW w:w="1232" w:type="dxa"/>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385" w:type="dxa"/>
            <w:vMerge w:val="continue"/>
            <w:tcBorders>
              <w:tl2br w:val="nil"/>
              <w:tr2bl w:val="nil"/>
            </w:tcBorders>
            <w:vAlign w:val="center"/>
          </w:tcPr>
          <w:p>
            <w:pPr>
              <w:spacing w:line="240" w:lineRule="auto"/>
              <w:ind w:firstLine="0" w:firstLineChars="0"/>
              <w:jc w:val="center"/>
              <w:rPr>
                <w:color w:val="auto"/>
                <w:kern w:val="0"/>
                <w:sz w:val="21"/>
                <w:szCs w:val="21"/>
              </w:rPr>
            </w:pPr>
          </w:p>
        </w:tc>
        <w:tc>
          <w:tcPr>
            <w:tcW w:w="1232" w:type="dxa"/>
            <w:tcBorders>
              <w:tl2br w:val="nil"/>
              <w:tr2bl w:val="nil"/>
            </w:tcBorders>
            <w:vAlign w:val="center"/>
          </w:tcPr>
          <w:p>
            <w:pPr>
              <w:spacing w:line="240" w:lineRule="auto"/>
              <w:ind w:firstLine="0" w:firstLineChars="0"/>
              <w:jc w:val="center"/>
              <w:rPr>
                <w:color w:val="auto"/>
                <w:kern w:val="0"/>
                <w:sz w:val="21"/>
                <w:szCs w:val="21"/>
              </w:rPr>
            </w:pPr>
            <w:r>
              <w:rPr>
                <w:color w:val="auto"/>
                <w:kern w:val="0"/>
                <w:sz w:val="21"/>
                <w:szCs w:val="21"/>
              </w:rPr>
              <w:t>10</w:t>
            </w:r>
          </w:p>
        </w:tc>
        <w:tc>
          <w:tcPr>
            <w:tcW w:w="1511" w:type="dxa"/>
            <w:tcBorders>
              <w:tl2br w:val="nil"/>
              <w:tr2bl w:val="nil"/>
            </w:tcBorders>
            <w:vAlign w:val="center"/>
          </w:tcPr>
          <w:p>
            <w:pPr>
              <w:spacing w:line="240" w:lineRule="auto"/>
              <w:ind w:firstLine="0" w:firstLineChars="0"/>
              <w:jc w:val="center"/>
              <w:rPr>
                <w:bCs/>
                <w:color w:val="auto"/>
                <w:kern w:val="0"/>
                <w:sz w:val="21"/>
                <w:szCs w:val="21"/>
              </w:rPr>
            </w:pPr>
            <w:r>
              <w:rPr>
                <w:bCs/>
                <w:color w:val="auto"/>
                <w:kern w:val="0"/>
                <w:sz w:val="21"/>
                <w:szCs w:val="21"/>
              </w:rPr>
              <w:t>无超标点</w:t>
            </w:r>
          </w:p>
        </w:tc>
      </w:tr>
      <w:bookmarkEnd w:id="543"/>
    </w:tbl>
    <w:p>
      <w:pPr>
        <w:ind w:firstLine="480"/>
        <w:rPr>
          <w:color w:val="auto"/>
        </w:rPr>
      </w:pPr>
      <w:r>
        <w:rPr>
          <w:color w:val="auto"/>
        </w:rPr>
        <w:t>由上表可知，本项目无组织排放单元无需设置大气环境防护距离。</w:t>
      </w:r>
    </w:p>
    <w:p>
      <w:pPr>
        <w:ind w:firstLine="480"/>
        <w:rPr>
          <w:color w:val="auto"/>
        </w:rPr>
      </w:pPr>
      <w:r>
        <w:rPr>
          <w:color w:val="auto"/>
        </w:rPr>
        <w:t>（2）卫生防护距离计算</w:t>
      </w:r>
    </w:p>
    <w:p>
      <w:pPr>
        <w:ind w:firstLine="480"/>
        <w:rPr>
          <w:snapToGrid w:val="0"/>
          <w:color w:val="auto"/>
        </w:rPr>
      </w:pPr>
      <w:r>
        <w:rPr>
          <w:snapToGrid w:val="0"/>
          <w:color w:val="auto"/>
        </w:rPr>
        <w:t>依据《制定地方大气污染物排放标准的技术方法》(GB/T3840-1991)卫生防护距离确定方法，无组织排放源所在的生产单元(生产车间)与居住区之间应设置卫生防护距离，其计算公式为：</w:t>
      </w:r>
    </w:p>
    <w:p>
      <w:pPr>
        <w:ind w:firstLine="480"/>
        <w:rPr>
          <w:color w:val="auto"/>
        </w:rPr>
      </w:pPr>
      <w:r>
        <w:rPr>
          <w:color w:val="auto"/>
        </w:rPr>
        <w:pict>
          <v:shape id="对象 427" o:spid="_x0000_s1032" o:spt="75" type="#_x0000_t75" style="position:absolute;left:0pt;margin-top:3.9pt;height:34.9pt;width:171.3pt;mso-position-horizontal:center;z-index:251657216;mso-width-relative:page;mso-height-relative:page;" o:ole="t" filled="f" o:preferrelative="t" stroked="f" coordsize="21600,21600">
            <v:path/>
            <v:fill on="f" focussize="0,0"/>
            <v:stroke on="f" joinstyle="miter"/>
            <v:imagedata r:id="rId65" o:title=""/>
            <o:lock v:ext="edit" aspectratio="t"/>
          </v:shape>
          <o:OLEObject Type="Embed" ProgID="Equations" ShapeID="对象 427" DrawAspect="Content" ObjectID="_1468075726" r:id="rId64">
            <o:LockedField>false</o:LockedField>
          </o:OLEObject>
        </w:pict>
      </w:r>
    </w:p>
    <w:p>
      <w:pPr>
        <w:ind w:firstLine="480"/>
        <w:rPr>
          <w:color w:val="auto"/>
        </w:rPr>
      </w:pPr>
    </w:p>
    <w:p>
      <w:pPr>
        <w:ind w:firstLine="480"/>
        <w:rPr>
          <w:color w:val="auto"/>
        </w:rPr>
      </w:pPr>
      <w:r>
        <w:rPr>
          <w:color w:val="auto"/>
        </w:rPr>
        <w:t>式中各参数意义如下：</w:t>
      </w:r>
    </w:p>
    <w:p>
      <w:pPr>
        <w:ind w:firstLine="480"/>
        <w:rPr>
          <w:color w:val="auto"/>
        </w:rPr>
      </w:pPr>
      <w:r>
        <w:rPr>
          <w:color w:val="auto"/>
        </w:rPr>
        <w:t>C</w:t>
      </w:r>
      <w:r>
        <w:rPr>
          <w:color w:val="auto"/>
          <w:vertAlign w:val="subscript"/>
        </w:rPr>
        <w:t>m</w:t>
      </w:r>
      <w:r>
        <w:rPr>
          <w:color w:val="auto"/>
        </w:rPr>
        <w:t>—标准浓度限值，mg/Nm</w:t>
      </w:r>
      <w:r>
        <w:rPr>
          <w:color w:val="auto"/>
          <w:vertAlign w:val="superscript"/>
        </w:rPr>
        <w:t>3</w:t>
      </w:r>
      <w:r>
        <w:rPr>
          <w:color w:val="auto"/>
        </w:rPr>
        <w:t>。</w:t>
      </w:r>
    </w:p>
    <w:p>
      <w:pPr>
        <w:ind w:firstLine="480"/>
        <w:rPr>
          <w:color w:val="auto"/>
          <w:kern w:val="0"/>
        </w:rPr>
      </w:pPr>
      <w:r>
        <w:rPr>
          <w:color w:val="auto"/>
          <w:kern w:val="0"/>
        </w:rPr>
        <w:t>L—工业企业所需卫生防护距离，m；</w:t>
      </w:r>
    </w:p>
    <w:p>
      <w:pPr>
        <w:ind w:firstLine="480"/>
        <w:rPr>
          <w:color w:val="auto"/>
          <w:kern w:val="0"/>
        </w:rPr>
      </w:pPr>
      <w:r>
        <w:rPr>
          <w:color w:val="auto"/>
          <w:kern w:val="0"/>
        </w:rPr>
        <w:t>r —有害气体无组织排放源所在生产单元的等效半径，m。根据该生产单元占地面积S(m</w:t>
      </w:r>
      <w:r>
        <w:rPr>
          <w:color w:val="auto"/>
          <w:kern w:val="0"/>
          <w:vertAlign w:val="superscript"/>
        </w:rPr>
        <w:t>2</w:t>
      </w:r>
      <w:r>
        <w:rPr>
          <w:color w:val="auto"/>
          <w:kern w:val="0"/>
        </w:rPr>
        <w:t>)计算，r=(S/</w:t>
      </w:r>
      <w:r>
        <w:rPr>
          <w:color w:val="auto"/>
          <w:kern w:val="0"/>
        </w:rPr>
        <w:sym w:font="Symbol" w:char="F070"/>
      </w:r>
      <w:r>
        <w:rPr>
          <w:color w:val="auto"/>
          <w:kern w:val="0"/>
        </w:rPr>
        <w:t>)</w:t>
      </w:r>
      <w:r>
        <w:rPr>
          <w:color w:val="auto"/>
          <w:kern w:val="0"/>
          <w:vertAlign w:val="superscript"/>
        </w:rPr>
        <w:t>0.5</w:t>
      </w:r>
      <w:r>
        <w:rPr>
          <w:color w:val="auto"/>
          <w:kern w:val="0"/>
        </w:rPr>
        <w:t>，r=91m。</w:t>
      </w:r>
    </w:p>
    <w:p>
      <w:pPr>
        <w:ind w:firstLine="480"/>
        <w:rPr>
          <w:color w:val="auto"/>
          <w:kern w:val="0"/>
        </w:rPr>
      </w:pPr>
      <w:r>
        <w:rPr>
          <w:color w:val="auto"/>
          <w:kern w:val="0"/>
        </w:rPr>
        <w:t>A，B，C，D—卫生防护距离计算系数，无因次。</w:t>
      </w:r>
    </w:p>
    <w:p>
      <w:pPr>
        <w:ind w:firstLine="480"/>
        <w:rPr>
          <w:color w:val="auto"/>
          <w:kern w:val="0"/>
        </w:rPr>
      </w:pPr>
      <w:r>
        <w:rPr>
          <w:color w:val="auto"/>
          <w:kern w:val="0"/>
        </w:rPr>
        <w:t>Q</w:t>
      </w:r>
      <w:r>
        <w:rPr>
          <w:color w:val="auto"/>
          <w:kern w:val="0"/>
          <w:vertAlign w:val="subscript"/>
        </w:rPr>
        <w:t>c</w:t>
      </w:r>
      <w:r>
        <w:rPr>
          <w:color w:val="auto"/>
          <w:kern w:val="0"/>
        </w:rPr>
        <w:t>—工业企业有害气体无组织排放量可达的控制水平，kg/h。</w:t>
      </w:r>
    </w:p>
    <w:p>
      <w:pPr>
        <w:ind w:firstLine="480"/>
        <w:rPr>
          <w:color w:val="auto"/>
        </w:rPr>
      </w:pPr>
      <w:r>
        <w:rPr>
          <w:color w:val="auto"/>
        </w:rPr>
        <w:t>依照上述公式无组织排放单元与居住区之间卫生防护距离计算参数及结果见</w:t>
      </w:r>
      <w:r>
        <w:rPr>
          <w:rFonts w:hint="eastAsia"/>
          <w:color w:val="auto"/>
        </w:rPr>
        <w:t>5.2-18</w:t>
      </w:r>
      <w:r>
        <w:rPr>
          <w:color w:val="auto"/>
        </w:rPr>
        <w:t>。</w:t>
      </w:r>
    </w:p>
    <w:p>
      <w:pPr>
        <w:ind w:firstLine="0" w:firstLineChars="0"/>
        <w:jc w:val="center"/>
        <w:rPr>
          <w:b/>
          <w:bCs/>
          <w:color w:val="auto"/>
          <w:kern w:val="0"/>
          <w:szCs w:val="20"/>
        </w:rPr>
      </w:pPr>
      <w:r>
        <w:rPr>
          <w:b/>
          <w:bCs/>
          <w:color w:val="auto"/>
          <w:szCs w:val="20"/>
        </w:rPr>
        <w:t xml:space="preserve">表 </w:t>
      </w:r>
      <w:r>
        <w:rPr>
          <w:rFonts w:hint="eastAsia"/>
          <w:b/>
          <w:bCs/>
          <w:color w:val="auto"/>
          <w:szCs w:val="20"/>
        </w:rPr>
        <w:t>5.2-18</w:t>
      </w:r>
      <w:r>
        <w:rPr>
          <w:b/>
          <w:bCs/>
          <w:color w:val="auto"/>
          <w:kern w:val="0"/>
          <w:szCs w:val="20"/>
        </w:rPr>
        <w:t xml:space="preserve">    无组织排放单元与居住区之间卫生防护距离计算参数及其结果</w:t>
      </w:r>
    </w:p>
    <w:tbl>
      <w:tblPr>
        <w:tblStyle w:val="27"/>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425"/>
        <w:gridCol w:w="718"/>
        <w:gridCol w:w="850"/>
        <w:gridCol w:w="1676"/>
        <w:gridCol w:w="358"/>
        <w:gridCol w:w="538"/>
        <w:gridCol w:w="417"/>
        <w:gridCol w:w="421"/>
        <w:gridCol w:w="656"/>
        <w:gridCol w:w="478"/>
        <w:gridCol w:w="119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69" w:hRule="atLeast"/>
          <w:tblHeader/>
          <w:jc w:val="center"/>
        </w:trPr>
        <w:tc>
          <w:tcPr>
            <w:tcW w:w="1425" w:type="dxa"/>
            <w:vMerge w:val="restart"/>
            <w:tcBorders>
              <w:tl2br w:val="nil"/>
              <w:tr2bl w:val="nil"/>
            </w:tcBorders>
            <w:vAlign w:val="center"/>
          </w:tcPr>
          <w:p>
            <w:pPr>
              <w:spacing w:line="360" w:lineRule="exact"/>
              <w:ind w:firstLine="0" w:firstLineChars="0"/>
              <w:jc w:val="center"/>
              <w:rPr>
                <w:b/>
                <w:color w:val="auto"/>
                <w:kern w:val="0"/>
                <w:sz w:val="21"/>
                <w:szCs w:val="21"/>
              </w:rPr>
            </w:pPr>
            <w:r>
              <w:rPr>
                <w:b/>
                <w:color w:val="auto"/>
                <w:kern w:val="0"/>
                <w:sz w:val="21"/>
                <w:szCs w:val="21"/>
              </w:rPr>
              <w:t>无组织</w:t>
            </w:r>
          </w:p>
          <w:p>
            <w:pPr>
              <w:spacing w:line="360" w:lineRule="exact"/>
              <w:ind w:firstLine="0" w:firstLineChars="0"/>
              <w:jc w:val="center"/>
              <w:rPr>
                <w:b/>
                <w:color w:val="auto"/>
                <w:kern w:val="0"/>
                <w:sz w:val="21"/>
                <w:szCs w:val="21"/>
              </w:rPr>
            </w:pPr>
            <w:r>
              <w:rPr>
                <w:b/>
                <w:color w:val="auto"/>
                <w:kern w:val="0"/>
                <w:sz w:val="21"/>
                <w:szCs w:val="21"/>
              </w:rPr>
              <w:t>排放源</w:t>
            </w:r>
          </w:p>
        </w:tc>
        <w:tc>
          <w:tcPr>
            <w:tcW w:w="718" w:type="dxa"/>
            <w:vMerge w:val="restart"/>
            <w:tcBorders>
              <w:tl2br w:val="nil"/>
              <w:tr2bl w:val="nil"/>
            </w:tcBorders>
            <w:vAlign w:val="center"/>
          </w:tcPr>
          <w:p>
            <w:pPr>
              <w:spacing w:line="360" w:lineRule="exact"/>
              <w:ind w:firstLine="0" w:firstLineChars="0"/>
              <w:jc w:val="center"/>
              <w:rPr>
                <w:b/>
                <w:color w:val="auto"/>
                <w:kern w:val="0"/>
                <w:sz w:val="21"/>
                <w:szCs w:val="21"/>
              </w:rPr>
            </w:pPr>
            <w:r>
              <w:rPr>
                <w:b/>
                <w:color w:val="auto"/>
                <w:kern w:val="0"/>
                <w:sz w:val="21"/>
                <w:szCs w:val="21"/>
              </w:rPr>
              <w:t>污染物</w:t>
            </w:r>
          </w:p>
        </w:tc>
        <w:tc>
          <w:tcPr>
            <w:tcW w:w="850" w:type="dxa"/>
            <w:vMerge w:val="restart"/>
            <w:tcBorders>
              <w:tl2br w:val="nil"/>
              <w:tr2bl w:val="nil"/>
            </w:tcBorders>
            <w:vAlign w:val="center"/>
          </w:tcPr>
          <w:p>
            <w:pPr>
              <w:spacing w:line="360" w:lineRule="exact"/>
              <w:ind w:firstLine="0" w:firstLineChars="0"/>
              <w:jc w:val="center"/>
              <w:rPr>
                <w:b/>
                <w:color w:val="auto"/>
                <w:kern w:val="0"/>
                <w:sz w:val="21"/>
                <w:szCs w:val="21"/>
              </w:rPr>
            </w:pPr>
            <w:r>
              <w:rPr>
                <w:b/>
                <w:color w:val="auto"/>
                <w:kern w:val="0"/>
                <w:sz w:val="21"/>
                <w:szCs w:val="21"/>
              </w:rPr>
              <w:t>排放量</w:t>
            </w:r>
          </w:p>
          <w:p>
            <w:pPr>
              <w:spacing w:line="360" w:lineRule="exact"/>
              <w:ind w:firstLine="0" w:firstLineChars="0"/>
              <w:jc w:val="center"/>
              <w:rPr>
                <w:b/>
                <w:color w:val="auto"/>
                <w:kern w:val="0"/>
                <w:sz w:val="21"/>
                <w:szCs w:val="21"/>
              </w:rPr>
            </w:pPr>
            <w:r>
              <w:rPr>
                <w:b/>
                <w:color w:val="auto"/>
                <w:kern w:val="0"/>
                <w:sz w:val="21"/>
                <w:szCs w:val="21"/>
              </w:rPr>
              <w:t>（</w:t>
            </w:r>
            <w:r>
              <w:rPr>
                <w:rFonts w:hint="eastAsia"/>
                <w:b/>
                <w:color w:val="auto"/>
                <w:kern w:val="0"/>
                <w:sz w:val="21"/>
                <w:szCs w:val="21"/>
              </w:rPr>
              <w:t>kg/h</w:t>
            </w:r>
            <w:r>
              <w:rPr>
                <w:b/>
                <w:color w:val="auto"/>
                <w:kern w:val="0"/>
                <w:sz w:val="21"/>
                <w:szCs w:val="21"/>
              </w:rPr>
              <w:t>）</w:t>
            </w:r>
          </w:p>
        </w:tc>
        <w:tc>
          <w:tcPr>
            <w:tcW w:w="1676" w:type="dxa"/>
            <w:vMerge w:val="restart"/>
            <w:tcBorders>
              <w:tl2br w:val="nil"/>
              <w:tr2bl w:val="nil"/>
            </w:tcBorders>
            <w:vAlign w:val="center"/>
          </w:tcPr>
          <w:p>
            <w:pPr>
              <w:spacing w:line="360" w:lineRule="exact"/>
              <w:ind w:firstLine="0" w:firstLineChars="0"/>
              <w:jc w:val="center"/>
              <w:rPr>
                <w:b/>
                <w:color w:val="auto"/>
                <w:kern w:val="0"/>
                <w:sz w:val="21"/>
                <w:szCs w:val="21"/>
              </w:rPr>
            </w:pPr>
            <w:r>
              <w:rPr>
                <w:b/>
                <w:color w:val="auto"/>
                <w:kern w:val="0"/>
                <w:sz w:val="21"/>
                <w:szCs w:val="21"/>
              </w:rPr>
              <w:t>标准浓度</w:t>
            </w:r>
          </w:p>
          <w:p>
            <w:pPr>
              <w:spacing w:line="360" w:lineRule="exact"/>
              <w:ind w:firstLine="0" w:firstLineChars="0"/>
              <w:jc w:val="center"/>
              <w:rPr>
                <w:b/>
                <w:color w:val="auto"/>
                <w:kern w:val="0"/>
                <w:sz w:val="21"/>
                <w:szCs w:val="21"/>
              </w:rPr>
            </w:pPr>
            <w:r>
              <w:rPr>
                <w:b/>
                <w:color w:val="auto"/>
                <w:kern w:val="0"/>
                <w:sz w:val="21"/>
                <w:szCs w:val="21"/>
              </w:rPr>
              <w:t>限值（小时值）</w:t>
            </w:r>
          </w:p>
          <w:p>
            <w:pPr>
              <w:spacing w:line="360" w:lineRule="exact"/>
              <w:ind w:firstLine="0" w:firstLineChars="0"/>
              <w:jc w:val="center"/>
              <w:rPr>
                <w:b/>
                <w:color w:val="auto"/>
                <w:kern w:val="0"/>
                <w:sz w:val="21"/>
                <w:szCs w:val="21"/>
              </w:rPr>
            </w:pPr>
            <w:r>
              <w:rPr>
                <w:b/>
                <w:color w:val="auto"/>
                <w:kern w:val="0"/>
                <w:sz w:val="21"/>
                <w:szCs w:val="21"/>
              </w:rPr>
              <w:t>（ug/m</w:t>
            </w:r>
            <w:r>
              <w:rPr>
                <w:b/>
                <w:color w:val="auto"/>
                <w:kern w:val="0"/>
                <w:sz w:val="21"/>
                <w:szCs w:val="21"/>
                <w:vertAlign w:val="superscript"/>
              </w:rPr>
              <w:t>3</w:t>
            </w:r>
            <w:r>
              <w:rPr>
                <w:b/>
                <w:color w:val="auto"/>
                <w:kern w:val="0"/>
                <w:sz w:val="21"/>
                <w:szCs w:val="21"/>
              </w:rPr>
              <w:t>）</w:t>
            </w:r>
          </w:p>
        </w:tc>
        <w:tc>
          <w:tcPr>
            <w:tcW w:w="1734" w:type="dxa"/>
            <w:gridSpan w:val="4"/>
            <w:tcBorders>
              <w:tl2br w:val="nil"/>
              <w:tr2bl w:val="nil"/>
            </w:tcBorders>
            <w:vAlign w:val="center"/>
          </w:tcPr>
          <w:p>
            <w:pPr>
              <w:spacing w:line="360" w:lineRule="exact"/>
              <w:ind w:firstLine="0" w:firstLineChars="0"/>
              <w:jc w:val="center"/>
              <w:rPr>
                <w:b/>
                <w:color w:val="auto"/>
                <w:kern w:val="0"/>
                <w:sz w:val="21"/>
                <w:szCs w:val="21"/>
              </w:rPr>
            </w:pPr>
            <w:r>
              <w:rPr>
                <w:b/>
                <w:color w:val="auto"/>
                <w:kern w:val="0"/>
                <w:sz w:val="21"/>
                <w:szCs w:val="21"/>
              </w:rPr>
              <w:t>计算参数</w:t>
            </w:r>
          </w:p>
        </w:tc>
        <w:tc>
          <w:tcPr>
            <w:tcW w:w="2327" w:type="dxa"/>
            <w:gridSpan w:val="3"/>
            <w:tcBorders>
              <w:tl2br w:val="nil"/>
              <w:tr2bl w:val="nil"/>
            </w:tcBorders>
            <w:vAlign w:val="center"/>
          </w:tcPr>
          <w:p>
            <w:pPr>
              <w:spacing w:line="360" w:lineRule="exact"/>
              <w:ind w:firstLine="0" w:firstLineChars="0"/>
              <w:jc w:val="center"/>
              <w:rPr>
                <w:b/>
                <w:color w:val="auto"/>
                <w:kern w:val="0"/>
                <w:sz w:val="21"/>
                <w:szCs w:val="21"/>
              </w:rPr>
            </w:pPr>
            <w:r>
              <w:rPr>
                <w:b/>
                <w:color w:val="auto"/>
                <w:kern w:val="0"/>
                <w:sz w:val="21"/>
                <w:szCs w:val="21"/>
              </w:rPr>
              <w:t>卫生防护距离m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0" w:hRule="atLeast"/>
          <w:tblHeader/>
          <w:jc w:val="center"/>
        </w:trPr>
        <w:tc>
          <w:tcPr>
            <w:tcW w:w="1425" w:type="dxa"/>
            <w:vMerge w:val="continue"/>
            <w:tcBorders>
              <w:tl2br w:val="nil"/>
              <w:tr2bl w:val="nil"/>
            </w:tcBorders>
            <w:vAlign w:val="center"/>
          </w:tcPr>
          <w:p>
            <w:pPr>
              <w:spacing w:line="360" w:lineRule="exact"/>
              <w:ind w:firstLine="0" w:firstLineChars="0"/>
              <w:jc w:val="center"/>
              <w:rPr>
                <w:color w:val="auto"/>
                <w:kern w:val="0"/>
                <w:sz w:val="21"/>
                <w:szCs w:val="21"/>
              </w:rPr>
            </w:pPr>
          </w:p>
        </w:tc>
        <w:tc>
          <w:tcPr>
            <w:tcW w:w="718" w:type="dxa"/>
            <w:vMerge w:val="continue"/>
            <w:tcBorders>
              <w:tl2br w:val="nil"/>
              <w:tr2bl w:val="nil"/>
            </w:tcBorders>
            <w:vAlign w:val="center"/>
          </w:tcPr>
          <w:p>
            <w:pPr>
              <w:spacing w:line="360" w:lineRule="exact"/>
              <w:ind w:firstLine="0" w:firstLineChars="0"/>
              <w:jc w:val="center"/>
              <w:rPr>
                <w:color w:val="auto"/>
                <w:kern w:val="0"/>
                <w:sz w:val="21"/>
                <w:szCs w:val="21"/>
              </w:rPr>
            </w:pPr>
          </w:p>
        </w:tc>
        <w:tc>
          <w:tcPr>
            <w:tcW w:w="850" w:type="dxa"/>
            <w:vMerge w:val="continue"/>
            <w:tcBorders>
              <w:tl2br w:val="nil"/>
              <w:tr2bl w:val="nil"/>
            </w:tcBorders>
            <w:vAlign w:val="center"/>
          </w:tcPr>
          <w:p>
            <w:pPr>
              <w:spacing w:line="360" w:lineRule="exact"/>
              <w:ind w:firstLine="0" w:firstLineChars="0"/>
              <w:jc w:val="center"/>
              <w:rPr>
                <w:color w:val="auto"/>
                <w:kern w:val="0"/>
                <w:sz w:val="21"/>
                <w:szCs w:val="21"/>
              </w:rPr>
            </w:pPr>
          </w:p>
        </w:tc>
        <w:tc>
          <w:tcPr>
            <w:tcW w:w="1676" w:type="dxa"/>
            <w:vMerge w:val="continue"/>
            <w:tcBorders>
              <w:tl2br w:val="nil"/>
              <w:tr2bl w:val="nil"/>
            </w:tcBorders>
            <w:vAlign w:val="center"/>
          </w:tcPr>
          <w:p>
            <w:pPr>
              <w:spacing w:line="360" w:lineRule="exact"/>
              <w:ind w:firstLine="0" w:firstLineChars="0"/>
              <w:jc w:val="center"/>
              <w:rPr>
                <w:color w:val="auto"/>
                <w:kern w:val="0"/>
                <w:sz w:val="21"/>
                <w:szCs w:val="21"/>
              </w:rPr>
            </w:pPr>
          </w:p>
        </w:tc>
        <w:tc>
          <w:tcPr>
            <w:tcW w:w="358" w:type="dxa"/>
            <w:tcBorders>
              <w:tl2br w:val="nil"/>
              <w:tr2bl w:val="nil"/>
            </w:tcBorders>
            <w:vAlign w:val="center"/>
          </w:tcPr>
          <w:p>
            <w:pPr>
              <w:spacing w:line="360" w:lineRule="exact"/>
              <w:ind w:firstLine="0" w:firstLineChars="0"/>
              <w:jc w:val="center"/>
              <w:rPr>
                <w:b/>
                <w:color w:val="auto"/>
                <w:kern w:val="0"/>
                <w:sz w:val="21"/>
                <w:szCs w:val="21"/>
              </w:rPr>
            </w:pPr>
            <w:r>
              <w:rPr>
                <w:b/>
                <w:color w:val="auto"/>
                <w:kern w:val="0"/>
                <w:sz w:val="21"/>
                <w:szCs w:val="21"/>
              </w:rPr>
              <w:t>A</w:t>
            </w:r>
          </w:p>
        </w:tc>
        <w:tc>
          <w:tcPr>
            <w:tcW w:w="538" w:type="dxa"/>
            <w:tcBorders>
              <w:tl2br w:val="nil"/>
              <w:tr2bl w:val="nil"/>
            </w:tcBorders>
            <w:vAlign w:val="center"/>
          </w:tcPr>
          <w:p>
            <w:pPr>
              <w:spacing w:line="360" w:lineRule="exact"/>
              <w:ind w:firstLine="0" w:firstLineChars="0"/>
              <w:jc w:val="center"/>
              <w:rPr>
                <w:b/>
                <w:color w:val="auto"/>
                <w:kern w:val="0"/>
                <w:sz w:val="21"/>
                <w:szCs w:val="21"/>
              </w:rPr>
            </w:pPr>
            <w:r>
              <w:rPr>
                <w:b/>
                <w:color w:val="auto"/>
                <w:kern w:val="0"/>
                <w:sz w:val="21"/>
                <w:szCs w:val="21"/>
              </w:rPr>
              <w:t>B</w:t>
            </w:r>
          </w:p>
        </w:tc>
        <w:tc>
          <w:tcPr>
            <w:tcW w:w="417" w:type="dxa"/>
            <w:tcBorders>
              <w:tl2br w:val="nil"/>
              <w:tr2bl w:val="nil"/>
            </w:tcBorders>
            <w:vAlign w:val="center"/>
          </w:tcPr>
          <w:p>
            <w:pPr>
              <w:spacing w:line="360" w:lineRule="exact"/>
              <w:ind w:firstLine="0" w:firstLineChars="0"/>
              <w:jc w:val="center"/>
              <w:rPr>
                <w:b/>
                <w:color w:val="auto"/>
                <w:kern w:val="0"/>
                <w:sz w:val="21"/>
                <w:szCs w:val="21"/>
              </w:rPr>
            </w:pPr>
            <w:r>
              <w:rPr>
                <w:b/>
                <w:color w:val="auto"/>
                <w:kern w:val="0"/>
                <w:sz w:val="21"/>
                <w:szCs w:val="21"/>
              </w:rPr>
              <w:t>C</w:t>
            </w:r>
          </w:p>
        </w:tc>
        <w:tc>
          <w:tcPr>
            <w:tcW w:w="421" w:type="dxa"/>
            <w:tcBorders>
              <w:tl2br w:val="nil"/>
              <w:tr2bl w:val="nil"/>
            </w:tcBorders>
            <w:vAlign w:val="center"/>
          </w:tcPr>
          <w:p>
            <w:pPr>
              <w:spacing w:line="360" w:lineRule="exact"/>
              <w:ind w:firstLine="0" w:firstLineChars="0"/>
              <w:jc w:val="center"/>
              <w:rPr>
                <w:b/>
                <w:color w:val="auto"/>
                <w:kern w:val="0"/>
                <w:sz w:val="21"/>
                <w:szCs w:val="21"/>
              </w:rPr>
            </w:pPr>
            <w:r>
              <w:rPr>
                <w:b/>
                <w:color w:val="auto"/>
                <w:kern w:val="0"/>
                <w:sz w:val="21"/>
                <w:szCs w:val="21"/>
              </w:rPr>
              <w:t>D</w:t>
            </w:r>
          </w:p>
        </w:tc>
        <w:tc>
          <w:tcPr>
            <w:tcW w:w="656" w:type="dxa"/>
            <w:tcBorders>
              <w:tl2br w:val="nil"/>
              <w:tr2bl w:val="nil"/>
            </w:tcBorders>
            <w:vAlign w:val="center"/>
          </w:tcPr>
          <w:p>
            <w:pPr>
              <w:spacing w:line="360" w:lineRule="exact"/>
              <w:ind w:firstLine="0" w:firstLineChars="0"/>
              <w:jc w:val="center"/>
              <w:rPr>
                <w:b/>
                <w:color w:val="auto"/>
                <w:kern w:val="0"/>
                <w:sz w:val="21"/>
                <w:szCs w:val="21"/>
              </w:rPr>
            </w:pPr>
            <w:r>
              <w:rPr>
                <w:b/>
                <w:color w:val="auto"/>
                <w:kern w:val="0"/>
                <w:sz w:val="21"/>
                <w:szCs w:val="21"/>
              </w:rPr>
              <w:t>计算</w:t>
            </w:r>
          </w:p>
          <w:p>
            <w:pPr>
              <w:spacing w:line="360" w:lineRule="exact"/>
              <w:ind w:firstLine="0" w:firstLineChars="0"/>
              <w:jc w:val="center"/>
              <w:rPr>
                <w:b/>
                <w:color w:val="auto"/>
                <w:kern w:val="0"/>
                <w:sz w:val="21"/>
                <w:szCs w:val="21"/>
              </w:rPr>
            </w:pPr>
            <w:r>
              <w:rPr>
                <w:b/>
                <w:color w:val="auto"/>
                <w:kern w:val="0"/>
                <w:sz w:val="21"/>
                <w:szCs w:val="21"/>
              </w:rPr>
              <w:t>结果</w:t>
            </w:r>
          </w:p>
        </w:tc>
        <w:tc>
          <w:tcPr>
            <w:tcW w:w="478" w:type="dxa"/>
            <w:tcBorders>
              <w:tl2br w:val="nil"/>
              <w:tr2bl w:val="nil"/>
            </w:tcBorders>
            <w:vAlign w:val="center"/>
          </w:tcPr>
          <w:p>
            <w:pPr>
              <w:spacing w:line="360" w:lineRule="exact"/>
              <w:ind w:firstLine="0" w:firstLineChars="0"/>
              <w:jc w:val="center"/>
              <w:rPr>
                <w:b/>
                <w:color w:val="auto"/>
                <w:kern w:val="0"/>
                <w:sz w:val="21"/>
                <w:szCs w:val="21"/>
              </w:rPr>
            </w:pPr>
            <w:r>
              <w:rPr>
                <w:b/>
                <w:color w:val="auto"/>
                <w:kern w:val="0"/>
                <w:sz w:val="21"/>
                <w:szCs w:val="21"/>
              </w:rPr>
              <w:t>实际</w:t>
            </w:r>
          </w:p>
          <w:p>
            <w:pPr>
              <w:spacing w:line="360" w:lineRule="exact"/>
              <w:ind w:firstLine="0" w:firstLineChars="0"/>
              <w:jc w:val="center"/>
              <w:rPr>
                <w:b/>
                <w:color w:val="auto"/>
                <w:kern w:val="0"/>
                <w:sz w:val="21"/>
                <w:szCs w:val="21"/>
              </w:rPr>
            </w:pPr>
            <w:r>
              <w:rPr>
                <w:b/>
                <w:color w:val="auto"/>
                <w:kern w:val="0"/>
                <w:sz w:val="21"/>
                <w:szCs w:val="21"/>
              </w:rPr>
              <w:t>距离</w:t>
            </w:r>
          </w:p>
        </w:tc>
        <w:tc>
          <w:tcPr>
            <w:tcW w:w="1193" w:type="dxa"/>
            <w:tcBorders>
              <w:tl2br w:val="nil"/>
              <w:tr2bl w:val="nil"/>
            </w:tcBorders>
            <w:vAlign w:val="center"/>
          </w:tcPr>
          <w:p>
            <w:pPr>
              <w:spacing w:line="360" w:lineRule="exact"/>
              <w:ind w:firstLine="0" w:firstLineChars="0"/>
              <w:jc w:val="center"/>
              <w:rPr>
                <w:color w:val="auto"/>
                <w:kern w:val="0"/>
                <w:sz w:val="21"/>
                <w:szCs w:val="21"/>
              </w:rPr>
            </w:pPr>
            <w:r>
              <w:rPr>
                <w:b/>
                <w:color w:val="auto"/>
                <w:kern w:val="0"/>
                <w:sz w:val="21"/>
                <w:szCs w:val="21"/>
              </w:rPr>
              <w:t>提级后距离</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25" w:hRule="atLeast"/>
          <w:jc w:val="center"/>
        </w:trPr>
        <w:tc>
          <w:tcPr>
            <w:tcW w:w="1425" w:type="dxa"/>
            <w:vMerge w:val="restart"/>
            <w:tcBorders>
              <w:tl2br w:val="nil"/>
              <w:tr2bl w:val="nil"/>
            </w:tcBorders>
            <w:vAlign w:val="center"/>
          </w:tcPr>
          <w:p>
            <w:pPr>
              <w:spacing w:line="360" w:lineRule="exact"/>
              <w:ind w:firstLine="0" w:firstLineChars="0"/>
              <w:jc w:val="center"/>
              <w:rPr>
                <w:color w:val="auto"/>
                <w:kern w:val="0"/>
                <w:sz w:val="21"/>
                <w:szCs w:val="21"/>
              </w:rPr>
            </w:pPr>
            <w:r>
              <w:rPr>
                <w:rFonts w:hint="eastAsia"/>
                <w:color w:val="auto"/>
                <w:kern w:val="0"/>
                <w:sz w:val="21"/>
                <w:szCs w:val="21"/>
              </w:rPr>
              <w:t>养殖场</w:t>
            </w:r>
          </w:p>
        </w:tc>
        <w:tc>
          <w:tcPr>
            <w:tcW w:w="718" w:type="dxa"/>
            <w:tcBorders>
              <w:tl2br w:val="nil"/>
              <w:tr2bl w:val="nil"/>
            </w:tcBorders>
            <w:vAlign w:val="center"/>
          </w:tcPr>
          <w:p>
            <w:pPr>
              <w:spacing w:line="360" w:lineRule="exact"/>
              <w:ind w:firstLine="0" w:firstLineChars="0"/>
              <w:jc w:val="center"/>
              <w:rPr>
                <w:color w:val="auto"/>
                <w:kern w:val="0"/>
                <w:sz w:val="21"/>
                <w:szCs w:val="21"/>
              </w:rPr>
            </w:pPr>
            <w:r>
              <w:rPr>
                <w:color w:val="auto"/>
                <w:kern w:val="0"/>
                <w:sz w:val="21"/>
                <w:szCs w:val="21"/>
              </w:rPr>
              <w:t>NH</w:t>
            </w:r>
            <w:r>
              <w:rPr>
                <w:color w:val="auto"/>
                <w:kern w:val="0"/>
                <w:sz w:val="21"/>
                <w:szCs w:val="21"/>
                <w:vertAlign w:val="subscript"/>
              </w:rPr>
              <w:t>3</w:t>
            </w:r>
          </w:p>
        </w:tc>
        <w:tc>
          <w:tcPr>
            <w:tcW w:w="850" w:type="dxa"/>
            <w:tcBorders>
              <w:tl2br w:val="nil"/>
              <w:tr2bl w:val="nil"/>
            </w:tcBorders>
            <w:vAlign w:val="center"/>
          </w:tcPr>
          <w:p>
            <w:pPr>
              <w:spacing w:line="240" w:lineRule="auto"/>
              <w:ind w:firstLine="0" w:firstLineChars="0"/>
              <w:jc w:val="center"/>
              <w:rPr>
                <w:color w:val="auto"/>
                <w:kern w:val="0"/>
                <w:sz w:val="21"/>
                <w:szCs w:val="21"/>
                <w:highlight w:val="yellow"/>
              </w:rPr>
            </w:pPr>
            <w:r>
              <w:rPr>
                <w:rFonts w:hint="eastAsia"/>
                <w:color w:val="auto"/>
                <w:kern w:val="0"/>
                <w:sz w:val="21"/>
                <w:szCs w:val="21"/>
              </w:rPr>
              <w:t>0.05</w:t>
            </w:r>
          </w:p>
        </w:tc>
        <w:tc>
          <w:tcPr>
            <w:tcW w:w="1676" w:type="dxa"/>
            <w:tcBorders>
              <w:tl2br w:val="nil"/>
              <w:tr2bl w:val="nil"/>
            </w:tcBorders>
            <w:vAlign w:val="center"/>
          </w:tcPr>
          <w:p>
            <w:pPr>
              <w:spacing w:line="360" w:lineRule="exact"/>
              <w:ind w:firstLine="0" w:firstLineChars="0"/>
              <w:jc w:val="center"/>
              <w:rPr>
                <w:color w:val="auto"/>
                <w:kern w:val="0"/>
                <w:sz w:val="21"/>
                <w:szCs w:val="21"/>
              </w:rPr>
            </w:pPr>
            <w:r>
              <w:rPr>
                <w:color w:val="auto"/>
                <w:kern w:val="0"/>
                <w:sz w:val="21"/>
                <w:szCs w:val="21"/>
              </w:rPr>
              <w:t>200</w:t>
            </w:r>
          </w:p>
        </w:tc>
        <w:tc>
          <w:tcPr>
            <w:tcW w:w="358" w:type="dxa"/>
            <w:vMerge w:val="restart"/>
            <w:tcBorders>
              <w:tl2br w:val="nil"/>
              <w:tr2bl w:val="nil"/>
            </w:tcBorders>
            <w:vAlign w:val="center"/>
          </w:tcPr>
          <w:p>
            <w:pPr>
              <w:spacing w:line="360" w:lineRule="exact"/>
              <w:ind w:firstLine="0" w:firstLineChars="0"/>
              <w:jc w:val="center"/>
              <w:rPr>
                <w:color w:val="auto"/>
                <w:kern w:val="0"/>
                <w:sz w:val="21"/>
                <w:szCs w:val="21"/>
              </w:rPr>
            </w:pPr>
            <w:r>
              <w:rPr>
                <w:color w:val="auto"/>
                <w:kern w:val="0"/>
                <w:sz w:val="21"/>
                <w:szCs w:val="21"/>
              </w:rPr>
              <w:t>470</w:t>
            </w:r>
          </w:p>
        </w:tc>
        <w:tc>
          <w:tcPr>
            <w:tcW w:w="538" w:type="dxa"/>
            <w:vMerge w:val="restart"/>
            <w:tcBorders>
              <w:tl2br w:val="nil"/>
              <w:tr2bl w:val="nil"/>
            </w:tcBorders>
            <w:vAlign w:val="center"/>
          </w:tcPr>
          <w:p>
            <w:pPr>
              <w:spacing w:line="360" w:lineRule="exact"/>
              <w:ind w:firstLine="0" w:firstLineChars="0"/>
              <w:jc w:val="center"/>
              <w:rPr>
                <w:color w:val="auto"/>
                <w:kern w:val="0"/>
                <w:sz w:val="21"/>
                <w:szCs w:val="21"/>
              </w:rPr>
            </w:pPr>
            <w:r>
              <w:rPr>
                <w:color w:val="auto"/>
                <w:kern w:val="0"/>
                <w:sz w:val="21"/>
                <w:szCs w:val="21"/>
              </w:rPr>
              <w:t>0.021</w:t>
            </w:r>
          </w:p>
        </w:tc>
        <w:tc>
          <w:tcPr>
            <w:tcW w:w="417" w:type="dxa"/>
            <w:vMerge w:val="restart"/>
            <w:tcBorders>
              <w:tl2br w:val="nil"/>
              <w:tr2bl w:val="nil"/>
            </w:tcBorders>
            <w:vAlign w:val="center"/>
          </w:tcPr>
          <w:p>
            <w:pPr>
              <w:spacing w:line="360" w:lineRule="exact"/>
              <w:ind w:firstLine="0" w:firstLineChars="0"/>
              <w:jc w:val="center"/>
              <w:rPr>
                <w:color w:val="auto"/>
                <w:kern w:val="0"/>
                <w:sz w:val="21"/>
                <w:szCs w:val="21"/>
              </w:rPr>
            </w:pPr>
            <w:r>
              <w:rPr>
                <w:color w:val="auto"/>
                <w:kern w:val="0"/>
                <w:sz w:val="21"/>
                <w:szCs w:val="21"/>
              </w:rPr>
              <w:t>1.85</w:t>
            </w:r>
          </w:p>
        </w:tc>
        <w:tc>
          <w:tcPr>
            <w:tcW w:w="421" w:type="dxa"/>
            <w:vMerge w:val="restart"/>
            <w:tcBorders>
              <w:tl2br w:val="nil"/>
              <w:tr2bl w:val="nil"/>
            </w:tcBorders>
            <w:vAlign w:val="center"/>
          </w:tcPr>
          <w:p>
            <w:pPr>
              <w:spacing w:line="360" w:lineRule="exact"/>
              <w:ind w:firstLine="0" w:firstLineChars="0"/>
              <w:jc w:val="center"/>
              <w:rPr>
                <w:color w:val="auto"/>
                <w:kern w:val="0"/>
                <w:sz w:val="21"/>
                <w:szCs w:val="21"/>
              </w:rPr>
            </w:pPr>
            <w:r>
              <w:rPr>
                <w:color w:val="auto"/>
                <w:kern w:val="0"/>
                <w:sz w:val="21"/>
                <w:szCs w:val="21"/>
              </w:rPr>
              <w:t>0.84</w:t>
            </w:r>
          </w:p>
        </w:tc>
        <w:tc>
          <w:tcPr>
            <w:tcW w:w="656" w:type="dxa"/>
            <w:tcBorders>
              <w:tl2br w:val="nil"/>
              <w:tr2bl w:val="nil"/>
            </w:tcBorders>
            <w:vAlign w:val="center"/>
          </w:tcPr>
          <w:p>
            <w:pPr>
              <w:spacing w:line="360" w:lineRule="exact"/>
              <w:ind w:firstLine="0" w:firstLineChars="0"/>
              <w:jc w:val="center"/>
              <w:rPr>
                <w:color w:val="auto"/>
                <w:kern w:val="0"/>
                <w:sz w:val="21"/>
                <w:szCs w:val="21"/>
              </w:rPr>
            </w:pPr>
            <w:r>
              <w:rPr>
                <w:rFonts w:hint="eastAsia"/>
                <w:color w:val="auto"/>
                <w:kern w:val="0"/>
                <w:sz w:val="21"/>
                <w:szCs w:val="21"/>
              </w:rPr>
              <w:t>1.532</w:t>
            </w:r>
          </w:p>
        </w:tc>
        <w:tc>
          <w:tcPr>
            <w:tcW w:w="478" w:type="dxa"/>
            <w:tcBorders>
              <w:tl2br w:val="nil"/>
              <w:tr2bl w:val="nil"/>
            </w:tcBorders>
            <w:vAlign w:val="center"/>
          </w:tcPr>
          <w:p>
            <w:pPr>
              <w:spacing w:line="360" w:lineRule="exact"/>
              <w:ind w:firstLine="0" w:firstLineChars="0"/>
              <w:jc w:val="center"/>
              <w:rPr>
                <w:color w:val="auto"/>
                <w:kern w:val="0"/>
                <w:sz w:val="21"/>
                <w:szCs w:val="21"/>
              </w:rPr>
            </w:pPr>
            <w:r>
              <w:rPr>
                <w:color w:val="auto"/>
                <w:kern w:val="0"/>
                <w:sz w:val="21"/>
                <w:szCs w:val="21"/>
              </w:rPr>
              <w:t>50</w:t>
            </w:r>
          </w:p>
        </w:tc>
        <w:tc>
          <w:tcPr>
            <w:tcW w:w="1193" w:type="dxa"/>
            <w:vMerge w:val="restart"/>
            <w:tcBorders>
              <w:tl2br w:val="nil"/>
              <w:tr2bl w:val="nil"/>
            </w:tcBorders>
            <w:vAlign w:val="center"/>
          </w:tcPr>
          <w:p>
            <w:pPr>
              <w:spacing w:line="360" w:lineRule="exact"/>
              <w:ind w:firstLine="0" w:firstLineChars="0"/>
              <w:jc w:val="center"/>
              <w:rPr>
                <w:color w:val="auto"/>
                <w:kern w:val="0"/>
                <w:sz w:val="21"/>
                <w:szCs w:val="21"/>
              </w:rPr>
            </w:pPr>
            <w:r>
              <w:rPr>
                <w:color w:val="auto"/>
                <w:kern w:val="0"/>
                <w:sz w:val="21"/>
                <w:szCs w:val="21"/>
              </w:rPr>
              <w:t>100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25" w:hRule="atLeast"/>
          <w:jc w:val="center"/>
        </w:trPr>
        <w:tc>
          <w:tcPr>
            <w:tcW w:w="1425" w:type="dxa"/>
            <w:vMerge w:val="continue"/>
            <w:tcBorders>
              <w:tl2br w:val="nil"/>
              <w:tr2bl w:val="nil"/>
            </w:tcBorders>
            <w:vAlign w:val="center"/>
          </w:tcPr>
          <w:p>
            <w:pPr>
              <w:spacing w:line="360" w:lineRule="exact"/>
              <w:ind w:firstLine="0" w:firstLineChars="0"/>
              <w:jc w:val="center"/>
              <w:rPr>
                <w:color w:val="auto"/>
                <w:kern w:val="0"/>
                <w:sz w:val="21"/>
                <w:szCs w:val="21"/>
              </w:rPr>
            </w:pPr>
          </w:p>
        </w:tc>
        <w:tc>
          <w:tcPr>
            <w:tcW w:w="718" w:type="dxa"/>
            <w:tcBorders>
              <w:tl2br w:val="nil"/>
              <w:tr2bl w:val="nil"/>
            </w:tcBorders>
            <w:vAlign w:val="center"/>
          </w:tcPr>
          <w:p>
            <w:pPr>
              <w:spacing w:line="360" w:lineRule="exact"/>
              <w:ind w:firstLine="0" w:firstLineChars="0"/>
              <w:jc w:val="center"/>
              <w:rPr>
                <w:color w:val="auto"/>
                <w:kern w:val="0"/>
                <w:sz w:val="21"/>
                <w:szCs w:val="21"/>
              </w:rPr>
            </w:pPr>
            <w:r>
              <w:rPr>
                <w:color w:val="auto"/>
                <w:kern w:val="0"/>
                <w:sz w:val="21"/>
                <w:szCs w:val="21"/>
              </w:rPr>
              <w:t>H</w:t>
            </w:r>
            <w:r>
              <w:rPr>
                <w:color w:val="auto"/>
                <w:kern w:val="0"/>
                <w:sz w:val="21"/>
                <w:szCs w:val="21"/>
                <w:vertAlign w:val="subscript"/>
              </w:rPr>
              <w:t>2</w:t>
            </w:r>
            <w:r>
              <w:rPr>
                <w:color w:val="auto"/>
                <w:kern w:val="0"/>
                <w:sz w:val="21"/>
                <w:szCs w:val="21"/>
              </w:rPr>
              <w:t>S</w:t>
            </w:r>
          </w:p>
        </w:tc>
        <w:tc>
          <w:tcPr>
            <w:tcW w:w="850" w:type="dxa"/>
            <w:tcBorders>
              <w:tl2br w:val="nil"/>
              <w:tr2bl w:val="nil"/>
            </w:tcBorders>
            <w:vAlign w:val="center"/>
          </w:tcPr>
          <w:p>
            <w:pPr>
              <w:spacing w:line="240" w:lineRule="auto"/>
              <w:ind w:firstLine="0" w:firstLineChars="0"/>
              <w:jc w:val="center"/>
              <w:rPr>
                <w:color w:val="auto"/>
                <w:kern w:val="0"/>
                <w:sz w:val="21"/>
                <w:szCs w:val="21"/>
                <w:highlight w:val="yellow"/>
              </w:rPr>
            </w:pPr>
            <w:r>
              <w:rPr>
                <w:rFonts w:hint="eastAsia"/>
                <w:color w:val="auto"/>
                <w:kern w:val="0"/>
                <w:sz w:val="21"/>
                <w:szCs w:val="21"/>
              </w:rPr>
              <w:t>0.0032</w:t>
            </w:r>
          </w:p>
        </w:tc>
        <w:tc>
          <w:tcPr>
            <w:tcW w:w="1676" w:type="dxa"/>
            <w:tcBorders>
              <w:tl2br w:val="nil"/>
              <w:tr2bl w:val="nil"/>
            </w:tcBorders>
            <w:vAlign w:val="center"/>
          </w:tcPr>
          <w:p>
            <w:pPr>
              <w:spacing w:line="360" w:lineRule="exact"/>
              <w:ind w:firstLine="0" w:firstLineChars="0"/>
              <w:jc w:val="center"/>
              <w:rPr>
                <w:color w:val="auto"/>
                <w:kern w:val="0"/>
                <w:sz w:val="21"/>
                <w:szCs w:val="21"/>
              </w:rPr>
            </w:pPr>
            <w:r>
              <w:rPr>
                <w:color w:val="auto"/>
                <w:kern w:val="0"/>
                <w:sz w:val="21"/>
                <w:szCs w:val="21"/>
              </w:rPr>
              <w:t>10</w:t>
            </w:r>
          </w:p>
        </w:tc>
        <w:tc>
          <w:tcPr>
            <w:tcW w:w="358" w:type="dxa"/>
            <w:vMerge w:val="continue"/>
            <w:tcBorders>
              <w:tl2br w:val="nil"/>
              <w:tr2bl w:val="nil"/>
            </w:tcBorders>
            <w:vAlign w:val="center"/>
          </w:tcPr>
          <w:p>
            <w:pPr>
              <w:spacing w:line="360" w:lineRule="exact"/>
              <w:ind w:firstLine="0" w:firstLineChars="0"/>
              <w:jc w:val="center"/>
              <w:rPr>
                <w:color w:val="auto"/>
                <w:kern w:val="0"/>
                <w:sz w:val="21"/>
                <w:szCs w:val="21"/>
              </w:rPr>
            </w:pPr>
          </w:p>
        </w:tc>
        <w:tc>
          <w:tcPr>
            <w:tcW w:w="538" w:type="dxa"/>
            <w:vMerge w:val="continue"/>
            <w:tcBorders>
              <w:tl2br w:val="nil"/>
              <w:tr2bl w:val="nil"/>
            </w:tcBorders>
            <w:vAlign w:val="center"/>
          </w:tcPr>
          <w:p>
            <w:pPr>
              <w:spacing w:line="360" w:lineRule="exact"/>
              <w:ind w:firstLine="0" w:firstLineChars="0"/>
              <w:jc w:val="center"/>
              <w:rPr>
                <w:color w:val="auto"/>
                <w:kern w:val="0"/>
                <w:sz w:val="21"/>
                <w:szCs w:val="21"/>
              </w:rPr>
            </w:pPr>
          </w:p>
        </w:tc>
        <w:tc>
          <w:tcPr>
            <w:tcW w:w="417" w:type="dxa"/>
            <w:vMerge w:val="continue"/>
            <w:tcBorders>
              <w:tl2br w:val="nil"/>
              <w:tr2bl w:val="nil"/>
            </w:tcBorders>
            <w:vAlign w:val="center"/>
          </w:tcPr>
          <w:p>
            <w:pPr>
              <w:spacing w:line="360" w:lineRule="exact"/>
              <w:ind w:firstLine="0" w:firstLineChars="0"/>
              <w:jc w:val="center"/>
              <w:rPr>
                <w:color w:val="auto"/>
                <w:kern w:val="0"/>
                <w:sz w:val="21"/>
                <w:szCs w:val="21"/>
              </w:rPr>
            </w:pPr>
          </w:p>
        </w:tc>
        <w:tc>
          <w:tcPr>
            <w:tcW w:w="421" w:type="dxa"/>
            <w:vMerge w:val="continue"/>
            <w:tcBorders>
              <w:tl2br w:val="nil"/>
              <w:tr2bl w:val="nil"/>
            </w:tcBorders>
            <w:vAlign w:val="center"/>
          </w:tcPr>
          <w:p>
            <w:pPr>
              <w:spacing w:line="360" w:lineRule="exact"/>
              <w:ind w:firstLine="0" w:firstLineChars="0"/>
              <w:jc w:val="center"/>
              <w:rPr>
                <w:color w:val="auto"/>
                <w:kern w:val="0"/>
                <w:sz w:val="21"/>
                <w:szCs w:val="21"/>
              </w:rPr>
            </w:pPr>
          </w:p>
        </w:tc>
        <w:tc>
          <w:tcPr>
            <w:tcW w:w="656" w:type="dxa"/>
            <w:tcBorders>
              <w:tl2br w:val="nil"/>
              <w:tr2bl w:val="nil"/>
            </w:tcBorders>
            <w:vAlign w:val="center"/>
          </w:tcPr>
          <w:p>
            <w:pPr>
              <w:spacing w:line="360" w:lineRule="exact"/>
              <w:ind w:firstLine="0" w:firstLineChars="0"/>
              <w:jc w:val="center"/>
              <w:rPr>
                <w:color w:val="auto"/>
                <w:kern w:val="0"/>
                <w:sz w:val="21"/>
                <w:szCs w:val="21"/>
              </w:rPr>
            </w:pPr>
            <w:r>
              <w:rPr>
                <w:rFonts w:hint="eastAsia"/>
                <w:color w:val="auto"/>
                <w:kern w:val="0"/>
                <w:sz w:val="21"/>
                <w:szCs w:val="21"/>
              </w:rPr>
              <w:t>1.547</w:t>
            </w:r>
          </w:p>
        </w:tc>
        <w:tc>
          <w:tcPr>
            <w:tcW w:w="478" w:type="dxa"/>
            <w:tcBorders>
              <w:tl2br w:val="nil"/>
              <w:tr2bl w:val="nil"/>
            </w:tcBorders>
            <w:vAlign w:val="center"/>
          </w:tcPr>
          <w:p>
            <w:pPr>
              <w:spacing w:line="360" w:lineRule="exact"/>
              <w:ind w:firstLine="0" w:firstLineChars="0"/>
              <w:jc w:val="center"/>
              <w:rPr>
                <w:color w:val="auto"/>
                <w:kern w:val="0"/>
                <w:sz w:val="21"/>
                <w:szCs w:val="21"/>
              </w:rPr>
            </w:pPr>
            <w:r>
              <w:rPr>
                <w:color w:val="auto"/>
                <w:kern w:val="0"/>
                <w:sz w:val="21"/>
                <w:szCs w:val="21"/>
              </w:rPr>
              <w:t>50</w:t>
            </w:r>
          </w:p>
        </w:tc>
        <w:tc>
          <w:tcPr>
            <w:tcW w:w="1193" w:type="dxa"/>
            <w:vMerge w:val="continue"/>
            <w:tcBorders>
              <w:tl2br w:val="nil"/>
              <w:tr2bl w:val="nil"/>
            </w:tcBorders>
            <w:vAlign w:val="center"/>
          </w:tcPr>
          <w:p>
            <w:pPr>
              <w:spacing w:line="360" w:lineRule="exact"/>
              <w:ind w:firstLine="0" w:firstLineChars="0"/>
              <w:jc w:val="center"/>
              <w:rPr>
                <w:color w:val="auto"/>
                <w:kern w:val="0"/>
                <w:sz w:val="21"/>
                <w:szCs w:val="21"/>
              </w:rPr>
            </w:pPr>
          </w:p>
        </w:tc>
      </w:tr>
    </w:tbl>
    <w:p>
      <w:pPr>
        <w:ind w:firstLine="480"/>
        <w:rPr>
          <w:color w:val="auto"/>
        </w:rPr>
      </w:pPr>
      <w:r>
        <w:rPr>
          <w:color w:val="auto"/>
        </w:rPr>
        <w:t>因项目涉及两种无组织排放的污染物，《制定地方大气污染物排放标准的技术方法》（GB/T 3840-91）中的“当按两种或两种以上的有害气体的Qc/Cm值计算的卫生防护距离在同一级别时，该类工业企业的卫生防护距离级别应该高一级”，确定本项目养殖场的卫生防护距离范围为：100m。</w:t>
      </w:r>
    </w:p>
    <w:p>
      <w:pPr>
        <w:adjustRightInd/>
        <w:snapToGrid/>
        <w:ind w:firstLine="480"/>
        <w:rPr>
          <w:color w:val="auto"/>
        </w:rPr>
      </w:pPr>
      <w:r>
        <w:rPr>
          <w:color w:val="auto"/>
        </w:rPr>
        <w:t>根据《畜禽养殖业污染防治技术规范》（HJ/T81－2001），养殖场</w:t>
      </w:r>
      <w:r>
        <w:rPr>
          <w:rFonts w:hint="eastAsia"/>
          <w:color w:val="auto"/>
        </w:rPr>
        <w:t>厂界</w:t>
      </w:r>
      <w:r>
        <w:rPr>
          <w:color w:val="auto"/>
        </w:rPr>
        <w:t>与禁建区域边界的最小距离不得小于500m（经核实，该项目</w:t>
      </w:r>
      <w:r>
        <w:rPr>
          <w:rFonts w:hint="eastAsia"/>
          <w:color w:val="auto"/>
        </w:rPr>
        <w:t>厂界</w:t>
      </w:r>
      <w:r>
        <w:rPr>
          <w:color w:val="auto"/>
        </w:rPr>
        <w:t>外500m内无禁建区域），本项目最终核定养殖</w:t>
      </w:r>
      <w:r>
        <w:rPr>
          <w:rFonts w:hint="eastAsia"/>
          <w:color w:val="auto"/>
        </w:rPr>
        <w:t>厂区</w:t>
      </w:r>
      <w:r>
        <w:rPr>
          <w:color w:val="auto"/>
        </w:rPr>
        <w:t>卫生防护距离为500m（以养殖区为边界）。</w:t>
      </w:r>
    </w:p>
    <w:p>
      <w:pPr>
        <w:adjustRightInd/>
        <w:snapToGrid/>
        <w:ind w:firstLine="480"/>
        <w:rPr>
          <w:color w:val="auto"/>
        </w:rPr>
      </w:pPr>
      <w:r>
        <w:rPr>
          <w:rFonts w:hint="eastAsia"/>
          <w:color w:val="auto"/>
        </w:rPr>
        <w:t>5.2.1.7</w:t>
      </w:r>
      <w:r>
        <w:rPr>
          <w:color w:val="auto"/>
        </w:rPr>
        <w:t>环境空气预测结论</w:t>
      </w:r>
    </w:p>
    <w:p>
      <w:pPr>
        <w:adjustRightInd/>
        <w:snapToGrid/>
        <w:ind w:firstLine="480"/>
        <w:rPr>
          <w:color w:val="auto"/>
        </w:rPr>
      </w:pPr>
      <w:r>
        <w:rPr>
          <w:color w:val="auto"/>
        </w:rPr>
        <w:t>①本项目新增污染源正常排放下SO</w:t>
      </w:r>
      <w:r>
        <w:rPr>
          <w:color w:val="auto"/>
          <w:vertAlign w:val="subscript"/>
        </w:rPr>
        <w:t>2</w:t>
      </w:r>
      <w:r>
        <w:rPr>
          <w:color w:val="auto"/>
        </w:rPr>
        <w:t>、NO</w:t>
      </w:r>
      <w:r>
        <w:rPr>
          <w:color w:val="auto"/>
          <w:vertAlign w:val="subscript"/>
        </w:rPr>
        <w:t>X</w:t>
      </w:r>
      <w:r>
        <w:rPr>
          <w:color w:val="auto"/>
        </w:rPr>
        <w:t>、PM</w:t>
      </w:r>
      <w:r>
        <w:rPr>
          <w:color w:val="auto"/>
          <w:vertAlign w:val="subscript"/>
        </w:rPr>
        <w:t>10</w:t>
      </w:r>
      <w:r>
        <w:rPr>
          <w:color w:val="auto"/>
        </w:rPr>
        <w:t>、氨、H</w:t>
      </w:r>
      <w:r>
        <w:rPr>
          <w:color w:val="auto"/>
          <w:vertAlign w:val="subscript"/>
        </w:rPr>
        <w:t>2</w:t>
      </w:r>
      <w:r>
        <w:rPr>
          <w:color w:val="auto"/>
        </w:rPr>
        <w:t>S的1小时平均质量浓度贡献值的最大浓度占标率＜100%，SO</w:t>
      </w:r>
      <w:r>
        <w:rPr>
          <w:color w:val="auto"/>
          <w:vertAlign w:val="subscript"/>
        </w:rPr>
        <w:t>2</w:t>
      </w:r>
      <w:r>
        <w:rPr>
          <w:color w:val="auto"/>
        </w:rPr>
        <w:t>、NO</w:t>
      </w:r>
      <w:r>
        <w:rPr>
          <w:color w:val="auto"/>
          <w:vertAlign w:val="subscript"/>
        </w:rPr>
        <w:t>X</w:t>
      </w:r>
      <w:r>
        <w:rPr>
          <w:color w:val="auto"/>
        </w:rPr>
        <w:t>、PM</w:t>
      </w:r>
      <w:r>
        <w:rPr>
          <w:color w:val="auto"/>
          <w:vertAlign w:val="subscript"/>
        </w:rPr>
        <w:t>10</w:t>
      </w:r>
      <w:r>
        <w:rPr>
          <w:color w:val="auto"/>
        </w:rPr>
        <w:t>等因子的日平均质量浓度贡献值的最大浓度占标率＜100%。</w:t>
      </w:r>
    </w:p>
    <w:p>
      <w:pPr>
        <w:adjustRightInd/>
        <w:snapToGrid/>
        <w:ind w:firstLine="480"/>
        <w:rPr>
          <w:color w:val="auto"/>
        </w:rPr>
      </w:pPr>
      <w:r>
        <w:rPr>
          <w:color w:val="auto"/>
        </w:rPr>
        <w:t>本项目新增污染源正常排放下SO</w:t>
      </w:r>
      <w:r>
        <w:rPr>
          <w:color w:val="auto"/>
          <w:vertAlign w:val="subscript"/>
        </w:rPr>
        <w:t>2</w:t>
      </w:r>
      <w:r>
        <w:rPr>
          <w:color w:val="auto"/>
        </w:rPr>
        <w:t>、NO</w:t>
      </w:r>
      <w:r>
        <w:rPr>
          <w:color w:val="auto"/>
          <w:vertAlign w:val="subscript"/>
        </w:rPr>
        <w:t>X</w:t>
      </w:r>
      <w:r>
        <w:rPr>
          <w:color w:val="auto"/>
        </w:rPr>
        <w:t>、PM</w:t>
      </w:r>
      <w:r>
        <w:rPr>
          <w:color w:val="auto"/>
          <w:vertAlign w:val="subscript"/>
        </w:rPr>
        <w:t>10</w:t>
      </w:r>
      <w:r>
        <w:rPr>
          <w:color w:val="auto"/>
        </w:rPr>
        <w:t>的年平均质量浓度贡献值的最大浓度占标率＜30%。</w:t>
      </w:r>
    </w:p>
    <w:p>
      <w:pPr>
        <w:adjustRightInd/>
        <w:snapToGrid/>
        <w:ind w:firstLine="480"/>
        <w:rPr>
          <w:color w:val="auto"/>
        </w:rPr>
      </w:pPr>
      <w:r>
        <w:rPr>
          <w:color w:val="auto"/>
        </w:rPr>
        <w:t>本项目所在区域PM</w:t>
      </w:r>
      <w:r>
        <w:rPr>
          <w:color w:val="auto"/>
          <w:vertAlign w:val="subscript"/>
        </w:rPr>
        <w:t>10</w:t>
      </w:r>
      <w:r>
        <w:rPr>
          <w:color w:val="auto"/>
        </w:rPr>
        <w:t>现状浓度超标，经预测计算后，本项目预测范围内PM</w:t>
      </w:r>
      <w:r>
        <w:rPr>
          <w:color w:val="auto"/>
          <w:vertAlign w:val="subscript"/>
        </w:rPr>
        <w:t>10</w:t>
      </w:r>
      <w:r>
        <w:rPr>
          <w:color w:val="auto"/>
        </w:rPr>
        <w:t>年平均质量浓度变化率＜-20%。</w:t>
      </w:r>
    </w:p>
    <w:p>
      <w:pPr>
        <w:adjustRightInd/>
        <w:snapToGrid/>
        <w:ind w:firstLine="480"/>
        <w:rPr>
          <w:color w:val="auto"/>
        </w:rPr>
      </w:pPr>
      <w:r>
        <w:rPr>
          <w:color w:val="auto"/>
        </w:rPr>
        <w:t>综上所述，本项目建成后，其大气环境影响可以接受。</w:t>
      </w:r>
    </w:p>
    <w:p>
      <w:pPr>
        <w:adjustRightInd/>
        <w:snapToGrid/>
        <w:ind w:firstLine="480"/>
        <w:rPr>
          <w:color w:val="auto"/>
        </w:rPr>
      </w:pPr>
      <w:r>
        <w:rPr>
          <w:color w:val="auto"/>
        </w:rPr>
        <w:t>②本项目无组织排放的NH</w:t>
      </w:r>
      <w:r>
        <w:rPr>
          <w:color w:val="auto"/>
          <w:vertAlign w:val="subscript"/>
        </w:rPr>
        <w:t>3</w:t>
      </w:r>
      <w:r>
        <w:rPr>
          <w:color w:val="auto"/>
        </w:rPr>
        <w:t>、H</w:t>
      </w:r>
      <w:r>
        <w:rPr>
          <w:color w:val="auto"/>
          <w:vertAlign w:val="subscript"/>
        </w:rPr>
        <w:t>2</w:t>
      </w:r>
      <w:r>
        <w:rPr>
          <w:color w:val="auto"/>
        </w:rPr>
        <w:t>S</w:t>
      </w:r>
      <w:r>
        <w:rPr>
          <w:bCs/>
          <w:color w:val="auto"/>
        </w:rPr>
        <w:t>在</w:t>
      </w:r>
      <w:r>
        <w:rPr>
          <w:color w:val="auto"/>
        </w:rPr>
        <w:t>各</w:t>
      </w:r>
      <w:r>
        <w:rPr>
          <w:rFonts w:hint="eastAsia"/>
          <w:color w:val="auto"/>
        </w:rPr>
        <w:t>厂界</w:t>
      </w:r>
      <w:r>
        <w:rPr>
          <w:color w:val="auto"/>
        </w:rPr>
        <w:t>处的预测值均可达到对应的《恶臭污染物排放标准》（GB14554-93）</w:t>
      </w:r>
      <w:r>
        <w:rPr>
          <w:rFonts w:hint="eastAsia"/>
          <w:color w:val="auto"/>
        </w:rPr>
        <w:t>厂界</w:t>
      </w:r>
      <w:r>
        <w:rPr>
          <w:color w:val="auto"/>
        </w:rPr>
        <w:t>浓度限值要求；</w:t>
      </w:r>
    </w:p>
    <w:p>
      <w:pPr>
        <w:adjustRightInd/>
        <w:snapToGrid/>
        <w:ind w:firstLine="480"/>
        <w:rPr>
          <w:b/>
          <w:color w:val="auto"/>
          <w:vertAlign w:val="superscript"/>
        </w:rPr>
      </w:pPr>
      <w:r>
        <w:rPr>
          <w:color w:val="auto"/>
        </w:rPr>
        <w:fldChar w:fldCharType="begin"/>
      </w:r>
      <w:r>
        <w:rPr>
          <w:color w:val="auto"/>
        </w:rPr>
        <w:instrText xml:space="preserve"> = 3 \* GB3 </w:instrText>
      </w:r>
      <w:r>
        <w:rPr>
          <w:color w:val="auto"/>
        </w:rPr>
        <w:fldChar w:fldCharType="separate"/>
      </w:r>
      <w:r>
        <w:rPr>
          <w:color w:val="auto"/>
        </w:rPr>
        <w:t>③</w:t>
      </w:r>
      <w:r>
        <w:rPr>
          <w:color w:val="auto"/>
        </w:rPr>
        <w:fldChar w:fldCharType="end"/>
      </w:r>
      <w:r>
        <w:rPr>
          <w:color w:val="auto"/>
        </w:rPr>
        <w:t>经计算，本项目无组织排放单元无需设置大气环境防护距离；</w:t>
      </w:r>
    </w:p>
    <w:p>
      <w:pPr>
        <w:adjustRightInd/>
        <w:snapToGrid/>
        <w:ind w:firstLine="480"/>
        <w:rPr>
          <w:color w:val="auto"/>
        </w:rPr>
      </w:pPr>
      <w:r>
        <w:rPr>
          <w:color w:val="auto"/>
        </w:rPr>
        <w:fldChar w:fldCharType="begin"/>
      </w:r>
      <w:r>
        <w:rPr>
          <w:color w:val="auto"/>
        </w:rPr>
        <w:instrText xml:space="preserve"> = 4 \* GB3 </w:instrText>
      </w:r>
      <w:r>
        <w:rPr>
          <w:color w:val="auto"/>
        </w:rPr>
        <w:fldChar w:fldCharType="separate"/>
      </w:r>
      <w:r>
        <w:rPr>
          <w:color w:val="auto"/>
        </w:rPr>
        <w:t>④</w:t>
      </w:r>
      <w:r>
        <w:rPr>
          <w:color w:val="auto"/>
        </w:rPr>
        <w:fldChar w:fldCharType="end"/>
      </w:r>
      <w:r>
        <w:rPr>
          <w:color w:val="auto"/>
        </w:rPr>
        <w:t>经计算，本项目养殖场的卫生防护距离为500m（以</w:t>
      </w:r>
      <w:r>
        <w:rPr>
          <w:rFonts w:hint="eastAsia"/>
          <w:color w:val="auto"/>
        </w:rPr>
        <w:t>猪舍</w:t>
      </w:r>
      <w:r>
        <w:rPr>
          <w:color w:val="auto"/>
        </w:rPr>
        <w:t>养殖区为</w:t>
      </w:r>
      <w:r>
        <w:rPr>
          <w:rFonts w:hint="eastAsia"/>
          <w:color w:val="auto"/>
        </w:rPr>
        <w:t>南</w:t>
      </w:r>
      <w:r>
        <w:rPr>
          <w:color w:val="auto"/>
        </w:rPr>
        <w:t>边界），防护距离内无敏感点存在，满足项目防护距离的条件下，评价认为项目无组织废气的排放对环境的影响可以接受。</w:t>
      </w:r>
    </w:p>
    <w:p>
      <w:pPr>
        <w:pStyle w:val="6"/>
        <w:rPr>
          <w:color w:val="auto"/>
          <w:kern w:val="44"/>
        </w:rPr>
      </w:pPr>
      <w:r>
        <w:rPr>
          <w:rFonts w:hint="eastAsia"/>
          <w:color w:val="auto"/>
          <w:kern w:val="44"/>
        </w:rPr>
        <w:t>5.2.2</w:t>
      </w:r>
      <w:r>
        <w:rPr>
          <w:color w:val="auto"/>
          <w:kern w:val="44"/>
        </w:rPr>
        <w:t>地表水环境质量影响</w:t>
      </w:r>
      <w:bookmarkEnd w:id="535"/>
      <w:r>
        <w:rPr>
          <w:color w:val="auto"/>
          <w:kern w:val="44"/>
        </w:rPr>
        <w:t>分析</w:t>
      </w:r>
      <w:bookmarkEnd w:id="536"/>
      <w:bookmarkEnd w:id="537"/>
      <w:bookmarkEnd w:id="538"/>
      <w:bookmarkEnd w:id="539"/>
      <w:bookmarkEnd w:id="540"/>
    </w:p>
    <w:p>
      <w:pPr>
        <w:ind w:firstLine="480"/>
        <w:outlineLvl w:val="3"/>
        <w:rPr>
          <w:color w:val="auto"/>
        </w:rPr>
      </w:pPr>
      <w:r>
        <w:rPr>
          <w:color w:val="auto"/>
        </w:rPr>
        <w:t>5.</w:t>
      </w:r>
      <w:r>
        <w:rPr>
          <w:rFonts w:hint="eastAsia"/>
          <w:color w:val="auto"/>
        </w:rPr>
        <w:t>2</w:t>
      </w:r>
      <w:r>
        <w:rPr>
          <w:color w:val="auto"/>
        </w:rPr>
        <w:t>.2.1</w:t>
      </w:r>
      <w:r>
        <w:rPr>
          <w:rFonts w:hint="eastAsia"/>
          <w:color w:val="auto"/>
        </w:rPr>
        <w:t>正常工况</w:t>
      </w:r>
    </w:p>
    <w:p>
      <w:pPr>
        <w:ind w:firstLine="600" w:firstLineChars="250"/>
        <w:rPr>
          <w:color w:val="auto"/>
        </w:rPr>
      </w:pPr>
      <w:r>
        <w:rPr>
          <w:rFonts w:hint="eastAsia"/>
          <w:color w:val="auto"/>
        </w:rPr>
        <w:t>工程废水产生量为夏季169.371</w:t>
      </w:r>
      <w:r>
        <w:rPr>
          <w:color w:val="auto"/>
        </w:rPr>
        <w:t>m</w:t>
      </w:r>
      <w:r>
        <w:rPr>
          <w:color w:val="auto"/>
          <w:vertAlign w:val="superscript"/>
        </w:rPr>
        <w:t>3</w:t>
      </w:r>
      <w:r>
        <w:rPr>
          <w:color w:val="auto"/>
        </w:rPr>
        <w:t>/d</w:t>
      </w:r>
      <w:r>
        <w:rPr>
          <w:rFonts w:hint="eastAsia"/>
          <w:color w:val="auto"/>
        </w:rPr>
        <w:t>、其他季节108.051</w:t>
      </w:r>
      <w:r>
        <w:rPr>
          <w:color w:val="auto"/>
        </w:rPr>
        <w:t>m</w:t>
      </w:r>
      <w:r>
        <w:rPr>
          <w:color w:val="auto"/>
          <w:vertAlign w:val="superscript"/>
        </w:rPr>
        <w:t>3</w:t>
      </w:r>
      <w:r>
        <w:rPr>
          <w:color w:val="auto"/>
        </w:rPr>
        <w:t>/d</w:t>
      </w:r>
      <w:r>
        <w:rPr>
          <w:rFonts w:hint="eastAsia"/>
          <w:color w:val="auto"/>
        </w:rPr>
        <w:t>，经场内污水站处理后作为农肥施用于工程配套种植农田。废水全部消纳利用，不外排。工程的生产运营不会对评价区地表水环境造成污染影响。</w:t>
      </w:r>
    </w:p>
    <w:p>
      <w:pPr>
        <w:ind w:firstLine="480"/>
        <w:outlineLvl w:val="3"/>
        <w:rPr>
          <w:color w:val="auto"/>
        </w:rPr>
      </w:pPr>
      <w:r>
        <w:rPr>
          <w:color w:val="auto"/>
        </w:rPr>
        <w:t>5.</w:t>
      </w:r>
      <w:r>
        <w:rPr>
          <w:rFonts w:hint="eastAsia"/>
          <w:color w:val="auto"/>
        </w:rPr>
        <w:t>2</w:t>
      </w:r>
      <w:r>
        <w:rPr>
          <w:color w:val="auto"/>
        </w:rPr>
        <w:t>.2.2</w:t>
      </w:r>
      <w:r>
        <w:rPr>
          <w:rFonts w:hint="eastAsia"/>
          <w:color w:val="auto"/>
        </w:rPr>
        <w:t>雨季及非施肥期</w:t>
      </w:r>
    </w:p>
    <w:p>
      <w:pPr>
        <w:ind w:firstLine="480"/>
        <w:rPr>
          <w:color w:val="auto"/>
        </w:rPr>
      </w:pPr>
      <w:r>
        <w:rPr>
          <w:rFonts w:hint="eastAsia"/>
          <w:color w:val="auto"/>
        </w:rPr>
        <w:t>雨季及非施肥期，工程所产生的沼液（夏季166.381</w:t>
      </w:r>
      <w:r>
        <w:rPr>
          <w:color w:val="auto"/>
        </w:rPr>
        <w:t>m</w:t>
      </w:r>
      <w:r>
        <w:rPr>
          <w:color w:val="auto"/>
          <w:vertAlign w:val="superscript"/>
        </w:rPr>
        <w:t>3</w:t>
      </w:r>
      <w:r>
        <w:rPr>
          <w:color w:val="auto"/>
        </w:rPr>
        <w:t>/d</w:t>
      </w:r>
      <w:r>
        <w:rPr>
          <w:rFonts w:hint="eastAsia"/>
          <w:color w:val="auto"/>
        </w:rPr>
        <w:t>，其他季节105.061</w:t>
      </w:r>
      <w:r>
        <w:rPr>
          <w:color w:val="auto"/>
        </w:rPr>
        <w:t>m</w:t>
      </w:r>
      <w:r>
        <w:rPr>
          <w:color w:val="auto"/>
          <w:vertAlign w:val="superscript"/>
        </w:rPr>
        <w:t>3</w:t>
      </w:r>
      <w:r>
        <w:rPr>
          <w:color w:val="auto"/>
        </w:rPr>
        <w:t>/d</w:t>
      </w:r>
      <w:r>
        <w:rPr>
          <w:rFonts w:hint="eastAsia"/>
          <w:color w:val="auto"/>
        </w:rPr>
        <w:t>）无法及时消纳，拟全部暂存于</w:t>
      </w:r>
      <w:r>
        <w:rPr>
          <w:rFonts w:hint="eastAsia"/>
          <w:color w:val="auto"/>
          <w:lang w:eastAsia="zh-CN"/>
        </w:rPr>
        <w:t>黑膜沼气池（兼做沼液储存池）</w:t>
      </w:r>
      <w:r>
        <w:rPr>
          <w:rFonts w:hint="eastAsia"/>
          <w:color w:val="auto"/>
        </w:rPr>
        <w:t>。</w:t>
      </w:r>
    </w:p>
    <w:p>
      <w:pPr>
        <w:ind w:firstLine="480"/>
        <w:rPr>
          <w:bCs/>
          <w:color w:val="auto"/>
        </w:rPr>
      </w:pPr>
      <w:r>
        <w:rPr>
          <w:rFonts w:hint="eastAsia"/>
          <w:color w:val="auto"/>
        </w:rPr>
        <w:t>针对本项目废水水质情况，本项目废水经相应污染防治措施处理后可得到综合利用，不外排。因此，本项目地表水</w:t>
      </w:r>
      <w:r>
        <w:rPr>
          <w:color w:val="auto"/>
        </w:rPr>
        <w:t>环境质量预测评价为</w:t>
      </w:r>
      <w:r>
        <w:rPr>
          <w:rFonts w:hint="eastAsia"/>
          <w:color w:val="auto"/>
        </w:rPr>
        <w:t>三</w:t>
      </w:r>
      <w:r>
        <w:rPr>
          <w:color w:val="auto"/>
        </w:rPr>
        <w:t>级</w:t>
      </w:r>
      <w:r>
        <w:rPr>
          <w:rFonts w:hint="eastAsia"/>
          <w:color w:val="auto"/>
        </w:rPr>
        <w:t>B</w:t>
      </w:r>
      <w:r>
        <w:rPr>
          <w:color w:val="auto"/>
        </w:rPr>
        <w:t>评价。</w:t>
      </w:r>
      <w:r>
        <w:rPr>
          <w:rFonts w:hint="eastAsia"/>
          <w:bCs/>
          <w:color w:val="auto"/>
        </w:rPr>
        <w:t>根据《环境影响评价技术导则--地表水环境》（HJ2.3—2018），三级</w:t>
      </w:r>
      <w:r>
        <w:rPr>
          <w:rFonts w:hint="eastAsia"/>
          <w:color w:val="auto"/>
        </w:rPr>
        <w:t>B</w:t>
      </w:r>
      <w:r>
        <w:rPr>
          <w:rFonts w:hint="eastAsia"/>
          <w:bCs/>
          <w:color w:val="auto"/>
        </w:rPr>
        <w:t>评价项目可不进行水环境影响预测，因此仅进行上述简单分析。本项目产生的沼液作为肥料喷施与项目周围的农田，故本次评价对沼液消纳进行分析。</w:t>
      </w:r>
    </w:p>
    <w:p>
      <w:pPr>
        <w:ind w:firstLine="480"/>
        <w:rPr>
          <w:color w:val="auto"/>
        </w:rPr>
      </w:pPr>
      <w:r>
        <w:rPr>
          <w:rFonts w:hint="eastAsia"/>
          <w:color w:val="auto"/>
        </w:rPr>
        <w:t>沼液利用可行性分析：</w:t>
      </w:r>
    </w:p>
    <w:p>
      <w:pPr>
        <w:ind w:firstLine="480"/>
        <w:rPr>
          <w:color w:val="auto"/>
        </w:rPr>
      </w:pPr>
      <w:r>
        <w:rPr>
          <w:rFonts w:hint="eastAsia"/>
          <w:color w:val="auto"/>
        </w:rPr>
        <w:t>（</w:t>
      </w:r>
      <w:r>
        <w:rPr>
          <w:color w:val="auto"/>
        </w:rPr>
        <w:t>1</w:t>
      </w:r>
      <w:r>
        <w:rPr>
          <w:rFonts w:hint="eastAsia"/>
          <w:color w:val="auto"/>
        </w:rPr>
        <w:t>）农田消纳可行性分析</w:t>
      </w:r>
    </w:p>
    <w:p>
      <w:pPr>
        <w:ind w:firstLine="480"/>
        <w:rPr>
          <w:color w:val="auto"/>
        </w:rPr>
      </w:pPr>
      <w:r>
        <w:rPr>
          <w:rFonts w:hint="eastAsia"/>
          <w:color w:val="auto"/>
        </w:rPr>
        <w:t>根据农业部办公厅印发的《畜禽粪污土地承载力测算技术指南》（农办牧【</w:t>
      </w:r>
      <w:r>
        <w:rPr>
          <w:color w:val="auto"/>
        </w:rPr>
        <w:t>2018</w:t>
      </w:r>
      <w:r>
        <w:rPr>
          <w:rFonts w:hint="eastAsia"/>
          <w:color w:val="auto"/>
        </w:rPr>
        <w:t>】</w:t>
      </w:r>
      <w:r>
        <w:rPr>
          <w:color w:val="auto"/>
        </w:rPr>
        <w:t>1</w:t>
      </w:r>
      <w:r>
        <w:rPr>
          <w:rFonts w:hint="eastAsia"/>
          <w:color w:val="auto"/>
        </w:rPr>
        <w:t>号）中的核算方法，核算本项目沼液需要的消纳面积。主要核算方法如下：</w:t>
      </w:r>
    </w:p>
    <w:p>
      <w:pPr>
        <w:ind w:firstLine="480"/>
        <w:rPr>
          <w:color w:val="auto"/>
        </w:rPr>
      </w:pPr>
      <w:r>
        <w:rPr>
          <w:rFonts w:hint="eastAsia"/>
          <w:color w:val="auto"/>
        </w:rPr>
        <w:t>粪肥养分供给量</w:t>
      </w:r>
      <w:r>
        <w:rPr>
          <w:color w:val="auto"/>
        </w:rPr>
        <w:t>=</w:t>
      </w:r>
      <w:r>
        <w:rPr>
          <w:rFonts w:hint="eastAsia"/>
          <w:color w:val="auto"/>
        </w:rPr>
        <w:t>∑（各种畜禽存栏量×各种畜禽氮排泄量）×养分留存率本项目取值：存栏量20000头，氮排泄量7.0kg，养分留存率取65%，经计算得粪肥养分供给量为91t。本项目仅沼液进行农田施肥，分离出来的粪便等发酵后外售，故仅需要核算沼液的养分供给，沼液的养分供给取总养分供给量的50%，为45.5t。</w:t>
      </w:r>
    </w:p>
    <w:p>
      <w:pPr>
        <w:ind w:firstLine="480"/>
        <w:rPr>
          <w:color w:val="auto"/>
        </w:rPr>
      </w:pPr>
      <w:r>
        <w:rPr>
          <w:rFonts w:hint="eastAsia"/>
          <w:color w:val="auto"/>
        </w:rPr>
        <w:t>单位土地粪肥养分需求量</w:t>
      </w:r>
      <w:r>
        <w:rPr>
          <w:color w:val="auto"/>
        </w:rPr>
        <w:t>=</w:t>
      </w:r>
      <w:r>
        <w:rPr>
          <w:rFonts w:hint="eastAsia"/>
          <w:color w:val="auto"/>
        </w:rPr>
        <w:t>（单位土地养分需求量×施肥供给养分占比×粪肥占施肥比例）</w:t>
      </w:r>
      <w:r>
        <w:rPr>
          <w:color w:val="auto"/>
        </w:rPr>
        <w:t>/</w:t>
      </w:r>
      <w:r>
        <w:rPr>
          <w:rFonts w:hint="eastAsia"/>
          <w:color w:val="auto"/>
        </w:rPr>
        <w:t>粪肥当季利用率</w:t>
      </w:r>
    </w:p>
    <w:p>
      <w:pPr>
        <w:ind w:firstLine="480"/>
        <w:rPr>
          <w:color w:val="auto"/>
        </w:rPr>
      </w:pPr>
      <w:r>
        <w:rPr>
          <w:rFonts w:hint="eastAsia"/>
          <w:color w:val="auto"/>
        </w:rPr>
        <w:t>本项目取值：项目所处为华北平原农业区，常年以小麦</w:t>
      </w:r>
      <w:r>
        <w:rPr>
          <w:color w:val="auto"/>
        </w:rPr>
        <w:t>—</w:t>
      </w:r>
      <w:r>
        <w:rPr>
          <w:rFonts w:hint="eastAsia"/>
          <w:color w:val="auto"/>
        </w:rPr>
        <w:t>玉米轮作为主，根据农业部办公厅文件农办农【</w:t>
      </w:r>
      <w:r>
        <w:rPr>
          <w:color w:val="auto"/>
        </w:rPr>
        <w:t>2013</w:t>
      </w:r>
      <w:r>
        <w:rPr>
          <w:rFonts w:hint="eastAsia"/>
          <w:color w:val="auto"/>
        </w:rPr>
        <w:t>】</w:t>
      </w:r>
      <w:r>
        <w:rPr>
          <w:color w:val="auto"/>
        </w:rPr>
        <w:t>45</w:t>
      </w:r>
      <w:r>
        <w:rPr>
          <w:rFonts w:hint="eastAsia"/>
          <w:color w:val="auto"/>
        </w:rPr>
        <w:t>号</w:t>
      </w:r>
      <w:r>
        <w:rPr>
          <w:color w:val="auto"/>
        </w:rPr>
        <w:t>——</w:t>
      </w:r>
      <w:r>
        <w:rPr>
          <w:rFonts w:hint="eastAsia"/>
          <w:color w:val="auto"/>
        </w:rPr>
        <w:t>农业部办公厅关于印发《小麦、玉米、水稻三大粮食作物区域大配方与施肥建议（</w:t>
      </w:r>
      <w:r>
        <w:rPr>
          <w:color w:val="auto"/>
        </w:rPr>
        <w:t>2013</w:t>
      </w:r>
      <w:r>
        <w:rPr>
          <w:rFonts w:hint="eastAsia"/>
          <w:color w:val="auto"/>
        </w:rPr>
        <w:t>）》的通知，对于河南省中北部夏玉米区产量水平为</w:t>
      </w:r>
      <w:r>
        <w:rPr>
          <w:color w:val="auto"/>
        </w:rPr>
        <w:t>450~550kg/</w:t>
      </w:r>
      <w:r>
        <w:rPr>
          <w:rFonts w:hint="eastAsia"/>
          <w:color w:val="auto"/>
        </w:rPr>
        <w:t>亩，本项目取</w:t>
      </w:r>
      <w:r>
        <w:rPr>
          <w:color w:val="auto"/>
        </w:rPr>
        <w:t>500kg/</w:t>
      </w:r>
      <w:r>
        <w:rPr>
          <w:rFonts w:hint="eastAsia"/>
          <w:color w:val="auto"/>
        </w:rPr>
        <w:t>亩。经查《畜禽粪污土地承载力测算技术指南》附表</w:t>
      </w:r>
      <w:r>
        <w:rPr>
          <w:color w:val="auto"/>
        </w:rPr>
        <w:t>1</w:t>
      </w:r>
      <w:r>
        <w:rPr>
          <w:rFonts w:hint="eastAsia"/>
          <w:color w:val="auto"/>
        </w:rPr>
        <w:t>，小麦</w:t>
      </w:r>
      <w:r>
        <w:rPr>
          <w:color w:val="auto"/>
        </w:rPr>
        <w:t>100kg</w:t>
      </w:r>
      <w:r>
        <w:rPr>
          <w:rFonts w:hint="eastAsia"/>
          <w:color w:val="auto"/>
        </w:rPr>
        <w:t>产量需要吸收氮量为</w:t>
      </w:r>
      <w:r>
        <w:rPr>
          <w:color w:val="auto"/>
        </w:rPr>
        <w:t>3.0kg</w:t>
      </w:r>
      <w:r>
        <w:rPr>
          <w:rFonts w:hint="eastAsia"/>
          <w:color w:val="auto"/>
        </w:rPr>
        <w:t>，玉米为</w:t>
      </w:r>
      <w:r>
        <w:rPr>
          <w:color w:val="auto"/>
        </w:rPr>
        <w:t>2.3kg</w:t>
      </w:r>
      <w:r>
        <w:rPr>
          <w:rFonts w:hint="eastAsia"/>
          <w:color w:val="auto"/>
        </w:rPr>
        <w:t>。农田一亩需要吸收的氮量为</w:t>
      </w:r>
      <w:r>
        <w:rPr>
          <w:color w:val="auto"/>
        </w:rPr>
        <w:t>26.5kg</w:t>
      </w:r>
      <w:r>
        <w:rPr>
          <w:rFonts w:hint="eastAsia"/>
          <w:color w:val="auto"/>
        </w:rPr>
        <w:t>。</w:t>
      </w:r>
    </w:p>
    <w:p>
      <w:pPr>
        <w:ind w:firstLine="480"/>
        <w:rPr>
          <w:color w:val="auto"/>
        </w:rPr>
      </w:pPr>
      <w:r>
        <w:rPr>
          <w:rFonts w:hint="eastAsia"/>
          <w:color w:val="auto"/>
        </w:rPr>
        <w:t>施肥供给养分占比为取值</w:t>
      </w:r>
      <w:r>
        <w:rPr>
          <w:color w:val="auto"/>
        </w:rPr>
        <w:t>45%</w:t>
      </w:r>
      <w:r>
        <w:rPr>
          <w:rFonts w:hint="eastAsia"/>
          <w:color w:val="auto"/>
        </w:rPr>
        <w:t>，粪肥占施肥比例为</w:t>
      </w:r>
      <w:r>
        <w:rPr>
          <w:color w:val="auto"/>
        </w:rPr>
        <w:t>1</w:t>
      </w:r>
      <w:r>
        <w:rPr>
          <w:rFonts w:hint="eastAsia"/>
          <w:color w:val="auto"/>
        </w:rPr>
        <w:t>，粪肥当季利用率取值为</w:t>
      </w:r>
      <w:r>
        <w:rPr>
          <w:color w:val="auto"/>
        </w:rPr>
        <w:t>30%</w:t>
      </w:r>
      <w:r>
        <w:rPr>
          <w:rFonts w:hint="eastAsia"/>
          <w:color w:val="auto"/>
        </w:rPr>
        <w:t>。经计算单位土地粪肥养分需求量为</w:t>
      </w:r>
      <w:r>
        <w:rPr>
          <w:color w:val="auto"/>
        </w:rPr>
        <w:t>39.75kg</w:t>
      </w:r>
      <w:r>
        <w:rPr>
          <w:rFonts w:hint="eastAsia"/>
          <w:color w:val="auto"/>
        </w:rPr>
        <w:t>。养殖场共产生45.5</w:t>
      </w:r>
      <w:r>
        <w:rPr>
          <w:color w:val="auto"/>
        </w:rPr>
        <w:t>t</w:t>
      </w:r>
      <w:r>
        <w:rPr>
          <w:rFonts w:hint="eastAsia"/>
          <w:color w:val="auto"/>
        </w:rPr>
        <w:t>供给氮养分，需要1144.65亩农田消纳。</w:t>
      </w:r>
    </w:p>
    <w:p>
      <w:pPr>
        <w:ind w:firstLine="480"/>
        <w:rPr>
          <w:color w:val="auto"/>
        </w:rPr>
      </w:pPr>
      <w:r>
        <w:rPr>
          <w:rFonts w:hint="eastAsia"/>
          <w:color w:val="auto"/>
        </w:rPr>
        <w:t>牧原公司采用配套农田模式来推进沼液消纳。公司与周围村庄签订协议，利用附近村庄农田共1300亩农田，消纳项目产生的沼液。项目产生的沼液可全部被消纳。</w:t>
      </w:r>
    </w:p>
    <w:p>
      <w:pPr>
        <w:numPr>
          <w:ilvl w:val="0"/>
          <w:numId w:val="9"/>
        </w:numPr>
        <w:ind w:firstLine="480"/>
        <w:rPr>
          <w:color w:val="auto"/>
        </w:rPr>
      </w:pPr>
      <w:r>
        <w:rPr>
          <w:rFonts w:hint="eastAsia"/>
          <w:color w:val="auto"/>
        </w:rPr>
        <w:t>沼液输送可行性分析</w:t>
      </w:r>
    </w:p>
    <w:p>
      <w:pPr>
        <w:ind w:firstLine="480"/>
        <w:rPr>
          <w:color w:val="auto"/>
        </w:rPr>
      </w:pPr>
      <w:r>
        <w:rPr>
          <w:rFonts w:hint="eastAsia"/>
          <w:color w:val="auto"/>
        </w:rPr>
        <w:t>为了沼能够顺利进入农田，养殖厂由厂区黑魔沼气池引出主管线，并分开为支管将沼液配送的农田中，根据消纳面积1300亩。由厂区黑膜沼气池引至施肥农田配套管道主干管长度为</w:t>
      </w:r>
      <w:r>
        <w:rPr>
          <w:rFonts w:hint="eastAsia"/>
          <w:color w:val="auto"/>
          <w:lang w:val="en-US" w:eastAsia="zh-CN"/>
        </w:rPr>
        <w:t>2k</w:t>
      </w:r>
      <w:r>
        <w:rPr>
          <w:rFonts w:hint="eastAsia"/>
          <w:color w:val="auto"/>
        </w:rPr>
        <w:t>m，支管长度为</w:t>
      </w:r>
      <w:r>
        <w:rPr>
          <w:rFonts w:hint="eastAsia"/>
          <w:color w:val="auto"/>
          <w:lang w:val="en-US" w:eastAsia="zh-CN"/>
        </w:rPr>
        <w:t>3800</w:t>
      </w:r>
      <w:r>
        <w:rPr>
          <w:rFonts w:hint="eastAsia"/>
          <w:color w:val="auto"/>
        </w:rPr>
        <w:t>m，主干管直径为160mm，支管直径分别为110mm和75mm。支管上设有阀门及施肥口，每两个施肥口间隔</w:t>
      </w:r>
      <w:r>
        <w:rPr>
          <w:color w:val="auto"/>
        </w:rPr>
        <w:t>50-80m</w:t>
      </w:r>
      <w:r>
        <w:rPr>
          <w:rFonts w:hint="eastAsia"/>
          <w:color w:val="auto"/>
        </w:rPr>
        <w:t>，主管网不超过2km，农肥利用季节农民根据自身需要由牧原公司人员配合开启阀门进行合理施用。项目沼液输送方式可行。</w:t>
      </w:r>
    </w:p>
    <w:p>
      <w:pPr>
        <w:pStyle w:val="51"/>
        <w:ind w:left="-2" w:right="-105" w:firstLine="542" w:firstLineChars="225"/>
        <w:jc w:val="center"/>
        <w:rPr>
          <w:rFonts w:ascii="Times New Roman" w:hAnsi="Times New Roman"/>
          <w:b/>
          <w:bCs/>
          <w:color w:val="auto"/>
        </w:rPr>
      </w:pPr>
      <w:r>
        <w:rPr>
          <w:rFonts w:hint="eastAsia" w:ascii="Times New Roman" w:hAnsi="Times New Roman"/>
          <w:b/>
          <w:bCs/>
          <w:color w:val="auto"/>
        </w:rPr>
        <w:t>表5.2-19  建设项目废水污染物排放信信息表</w:t>
      </w:r>
    </w:p>
    <w:tbl>
      <w:tblPr>
        <w:tblStyle w:val="28"/>
        <w:tblW w:w="0" w:type="auto"/>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63"/>
        <w:gridCol w:w="706"/>
        <w:gridCol w:w="663"/>
        <w:gridCol w:w="763"/>
        <w:gridCol w:w="713"/>
        <w:gridCol w:w="813"/>
        <w:gridCol w:w="938"/>
        <w:gridCol w:w="1014"/>
        <w:gridCol w:w="713"/>
        <w:gridCol w:w="851"/>
        <w:gridCol w:w="165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463" w:type="dxa"/>
            <w:vMerge w:val="restart"/>
            <w:tcBorders>
              <w:tl2br w:val="nil"/>
              <w:tr2bl w:val="nil"/>
            </w:tcBorders>
            <w:vAlign w:val="center"/>
          </w:tcPr>
          <w:p>
            <w:pPr>
              <w:spacing w:line="240" w:lineRule="auto"/>
              <w:ind w:firstLine="0" w:firstLineChars="0"/>
              <w:jc w:val="center"/>
              <w:rPr>
                <w:b/>
                <w:bCs/>
                <w:color w:val="auto"/>
                <w:sz w:val="18"/>
                <w:szCs w:val="18"/>
              </w:rPr>
            </w:pPr>
            <w:r>
              <w:rPr>
                <w:rFonts w:hint="eastAsia"/>
                <w:b/>
                <w:bCs/>
                <w:color w:val="auto"/>
                <w:sz w:val="18"/>
                <w:szCs w:val="18"/>
              </w:rPr>
              <w:t>序号</w:t>
            </w:r>
          </w:p>
        </w:tc>
        <w:tc>
          <w:tcPr>
            <w:tcW w:w="706" w:type="dxa"/>
            <w:vMerge w:val="restart"/>
            <w:tcBorders>
              <w:tl2br w:val="nil"/>
              <w:tr2bl w:val="nil"/>
            </w:tcBorders>
            <w:vAlign w:val="center"/>
          </w:tcPr>
          <w:p>
            <w:pPr>
              <w:spacing w:line="240" w:lineRule="auto"/>
              <w:ind w:firstLine="0" w:firstLineChars="0"/>
              <w:jc w:val="center"/>
              <w:rPr>
                <w:b/>
                <w:bCs/>
                <w:color w:val="auto"/>
                <w:sz w:val="18"/>
                <w:szCs w:val="18"/>
              </w:rPr>
            </w:pPr>
            <w:r>
              <w:rPr>
                <w:rFonts w:hint="eastAsia"/>
                <w:b/>
                <w:bCs/>
                <w:color w:val="auto"/>
                <w:sz w:val="18"/>
                <w:szCs w:val="18"/>
              </w:rPr>
              <w:t>废水类比</w:t>
            </w:r>
          </w:p>
        </w:tc>
        <w:tc>
          <w:tcPr>
            <w:tcW w:w="663" w:type="dxa"/>
            <w:vMerge w:val="restart"/>
            <w:tcBorders>
              <w:tl2br w:val="nil"/>
              <w:tr2bl w:val="nil"/>
            </w:tcBorders>
            <w:vAlign w:val="center"/>
          </w:tcPr>
          <w:p>
            <w:pPr>
              <w:spacing w:line="240" w:lineRule="auto"/>
              <w:ind w:firstLine="0" w:firstLineChars="0"/>
              <w:jc w:val="center"/>
              <w:rPr>
                <w:b/>
                <w:bCs/>
                <w:color w:val="auto"/>
                <w:sz w:val="18"/>
                <w:szCs w:val="18"/>
              </w:rPr>
            </w:pPr>
            <w:r>
              <w:rPr>
                <w:rFonts w:hint="eastAsia"/>
                <w:b/>
                <w:bCs/>
                <w:color w:val="auto"/>
                <w:sz w:val="18"/>
                <w:szCs w:val="18"/>
              </w:rPr>
              <w:t>污染物类别</w:t>
            </w:r>
          </w:p>
        </w:tc>
        <w:tc>
          <w:tcPr>
            <w:tcW w:w="763" w:type="dxa"/>
            <w:vMerge w:val="restart"/>
            <w:tcBorders>
              <w:tl2br w:val="nil"/>
              <w:tr2bl w:val="nil"/>
            </w:tcBorders>
            <w:vAlign w:val="center"/>
          </w:tcPr>
          <w:p>
            <w:pPr>
              <w:spacing w:line="240" w:lineRule="auto"/>
              <w:ind w:firstLine="0" w:firstLineChars="0"/>
              <w:jc w:val="center"/>
              <w:rPr>
                <w:b/>
                <w:bCs/>
                <w:color w:val="auto"/>
                <w:sz w:val="18"/>
                <w:szCs w:val="18"/>
              </w:rPr>
            </w:pPr>
            <w:r>
              <w:rPr>
                <w:rFonts w:hint="eastAsia"/>
                <w:b/>
                <w:bCs/>
                <w:color w:val="auto"/>
                <w:sz w:val="18"/>
                <w:szCs w:val="18"/>
              </w:rPr>
              <w:t>排放去向</w:t>
            </w:r>
          </w:p>
        </w:tc>
        <w:tc>
          <w:tcPr>
            <w:tcW w:w="713" w:type="dxa"/>
            <w:vMerge w:val="restart"/>
            <w:tcBorders>
              <w:tl2br w:val="nil"/>
              <w:tr2bl w:val="nil"/>
            </w:tcBorders>
            <w:vAlign w:val="center"/>
          </w:tcPr>
          <w:p>
            <w:pPr>
              <w:spacing w:line="240" w:lineRule="auto"/>
              <w:ind w:firstLine="0" w:firstLineChars="0"/>
              <w:jc w:val="center"/>
              <w:rPr>
                <w:b/>
                <w:bCs/>
                <w:color w:val="auto"/>
                <w:sz w:val="18"/>
                <w:szCs w:val="18"/>
              </w:rPr>
            </w:pPr>
            <w:r>
              <w:rPr>
                <w:rFonts w:hint="eastAsia"/>
                <w:b/>
                <w:bCs/>
                <w:color w:val="auto"/>
                <w:sz w:val="18"/>
                <w:szCs w:val="18"/>
              </w:rPr>
              <w:t>排放规律</w:t>
            </w:r>
          </w:p>
        </w:tc>
        <w:tc>
          <w:tcPr>
            <w:tcW w:w="2765" w:type="dxa"/>
            <w:gridSpan w:val="3"/>
            <w:tcBorders>
              <w:tl2br w:val="nil"/>
              <w:tr2bl w:val="nil"/>
            </w:tcBorders>
            <w:vAlign w:val="center"/>
          </w:tcPr>
          <w:p>
            <w:pPr>
              <w:spacing w:line="240" w:lineRule="auto"/>
              <w:ind w:firstLine="0" w:firstLineChars="0"/>
              <w:jc w:val="center"/>
              <w:rPr>
                <w:b/>
                <w:bCs/>
                <w:color w:val="auto"/>
                <w:sz w:val="18"/>
                <w:szCs w:val="18"/>
              </w:rPr>
            </w:pPr>
            <w:r>
              <w:rPr>
                <w:rFonts w:hint="eastAsia"/>
                <w:b/>
                <w:bCs/>
                <w:color w:val="auto"/>
                <w:sz w:val="18"/>
                <w:szCs w:val="18"/>
              </w:rPr>
              <w:t>污染治理设施</w:t>
            </w:r>
          </w:p>
        </w:tc>
        <w:tc>
          <w:tcPr>
            <w:tcW w:w="713" w:type="dxa"/>
            <w:vMerge w:val="restart"/>
            <w:tcBorders>
              <w:tl2br w:val="nil"/>
              <w:tr2bl w:val="nil"/>
            </w:tcBorders>
            <w:vAlign w:val="center"/>
          </w:tcPr>
          <w:p>
            <w:pPr>
              <w:spacing w:line="240" w:lineRule="auto"/>
              <w:ind w:firstLine="0" w:firstLineChars="0"/>
              <w:jc w:val="center"/>
              <w:rPr>
                <w:b/>
                <w:bCs/>
                <w:color w:val="auto"/>
                <w:sz w:val="18"/>
                <w:szCs w:val="18"/>
              </w:rPr>
            </w:pPr>
            <w:r>
              <w:rPr>
                <w:rFonts w:hint="eastAsia"/>
                <w:b/>
                <w:bCs/>
                <w:color w:val="auto"/>
                <w:sz w:val="18"/>
                <w:szCs w:val="18"/>
              </w:rPr>
              <w:t>排放口编号</w:t>
            </w:r>
          </w:p>
        </w:tc>
        <w:tc>
          <w:tcPr>
            <w:tcW w:w="851" w:type="dxa"/>
            <w:vMerge w:val="restart"/>
            <w:tcBorders>
              <w:tl2br w:val="nil"/>
              <w:tr2bl w:val="nil"/>
            </w:tcBorders>
            <w:vAlign w:val="center"/>
          </w:tcPr>
          <w:p>
            <w:pPr>
              <w:spacing w:line="240" w:lineRule="auto"/>
              <w:ind w:firstLine="0" w:firstLineChars="0"/>
              <w:jc w:val="center"/>
              <w:rPr>
                <w:b/>
                <w:bCs/>
                <w:color w:val="auto"/>
                <w:sz w:val="18"/>
                <w:szCs w:val="18"/>
              </w:rPr>
            </w:pPr>
            <w:r>
              <w:rPr>
                <w:rFonts w:hint="eastAsia"/>
                <w:b/>
                <w:bCs/>
                <w:color w:val="auto"/>
                <w:sz w:val="18"/>
                <w:szCs w:val="18"/>
              </w:rPr>
              <w:t>排放口设置是否符合要求</w:t>
            </w:r>
          </w:p>
        </w:tc>
        <w:tc>
          <w:tcPr>
            <w:tcW w:w="1651" w:type="dxa"/>
            <w:vMerge w:val="restart"/>
            <w:tcBorders>
              <w:tl2br w:val="nil"/>
              <w:tr2bl w:val="nil"/>
            </w:tcBorders>
            <w:vAlign w:val="center"/>
          </w:tcPr>
          <w:p>
            <w:pPr>
              <w:spacing w:line="240" w:lineRule="auto"/>
              <w:ind w:firstLine="0" w:firstLineChars="0"/>
              <w:jc w:val="center"/>
              <w:rPr>
                <w:b/>
                <w:bCs/>
                <w:color w:val="auto"/>
                <w:sz w:val="18"/>
                <w:szCs w:val="18"/>
              </w:rPr>
            </w:pPr>
            <w:r>
              <w:rPr>
                <w:rFonts w:hint="eastAsia"/>
                <w:b/>
                <w:bCs/>
                <w:color w:val="auto"/>
                <w:sz w:val="18"/>
                <w:szCs w:val="18"/>
              </w:rPr>
              <w:t>排放类型</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463" w:type="dxa"/>
            <w:vMerge w:val="continue"/>
            <w:tcBorders>
              <w:tl2br w:val="nil"/>
              <w:tr2bl w:val="nil"/>
            </w:tcBorders>
            <w:vAlign w:val="center"/>
          </w:tcPr>
          <w:p>
            <w:pPr>
              <w:spacing w:line="240" w:lineRule="auto"/>
              <w:ind w:firstLine="0" w:firstLineChars="0"/>
              <w:jc w:val="center"/>
              <w:rPr>
                <w:color w:val="auto"/>
                <w:sz w:val="18"/>
                <w:szCs w:val="18"/>
              </w:rPr>
            </w:pPr>
          </w:p>
        </w:tc>
        <w:tc>
          <w:tcPr>
            <w:tcW w:w="706" w:type="dxa"/>
            <w:vMerge w:val="continue"/>
            <w:tcBorders>
              <w:tl2br w:val="nil"/>
              <w:tr2bl w:val="nil"/>
            </w:tcBorders>
            <w:vAlign w:val="center"/>
          </w:tcPr>
          <w:p>
            <w:pPr>
              <w:spacing w:line="240" w:lineRule="auto"/>
              <w:ind w:firstLine="0" w:firstLineChars="0"/>
              <w:jc w:val="center"/>
              <w:rPr>
                <w:color w:val="auto"/>
                <w:sz w:val="18"/>
                <w:szCs w:val="18"/>
              </w:rPr>
            </w:pPr>
          </w:p>
        </w:tc>
        <w:tc>
          <w:tcPr>
            <w:tcW w:w="663" w:type="dxa"/>
            <w:vMerge w:val="continue"/>
            <w:tcBorders>
              <w:tl2br w:val="nil"/>
              <w:tr2bl w:val="nil"/>
            </w:tcBorders>
            <w:vAlign w:val="center"/>
          </w:tcPr>
          <w:p>
            <w:pPr>
              <w:spacing w:line="240" w:lineRule="auto"/>
              <w:ind w:firstLine="0" w:firstLineChars="0"/>
              <w:jc w:val="center"/>
              <w:rPr>
                <w:color w:val="auto"/>
                <w:sz w:val="18"/>
                <w:szCs w:val="18"/>
              </w:rPr>
            </w:pPr>
          </w:p>
        </w:tc>
        <w:tc>
          <w:tcPr>
            <w:tcW w:w="763" w:type="dxa"/>
            <w:vMerge w:val="continue"/>
            <w:tcBorders>
              <w:tl2br w:val="nil"/>
              <w:tr2bl w:val="nil"/>
            </w:tcBorders>
            <w:vAlign w:val="center"/>
          </w:tcPr>
          <w:p>
            <w:pPr>
              <w:spacing w:line="240" w:lineRule="auto"/>
              <w:ind w:firstLine="0" w:firstLineChars="0"/>
              <w:jc w:val="center"/>
              <w:rPr>
                <w:color w:val="auto"/>
                <w:sz w:val="18"/>
                <w:szCs w:val="18"/>
              </w:rPr>
            </w:pPr>
          </w:p>
        </w:tc>
        <w:tc>
          <w:tcPr>
            <w:tcW w:w="713" w:type="dxa"/>
            <w:vMerge w:val="continue"/>
            <w:tcBorders>
              <w:tl2br w:val="nil"/>
              <w:tr2bl w:val="nil"/>
            </w:tcBorders>
            <w:vAlign w:val="center"/>
          </w:tcPr>
          <w:p>
            <w:pPr>
              <w:spacing w:line="240" w:lineRule="auto"/>
              <w:ind w:firstLine="0" w:firstLineChars="0"/>
              <w:jc w:val="center"/>
              <w:rPr>
                <w:color w:val="auto"/>
                <w:sz w:val="18"/>
                <w:szCs w:val="18"/>
              </w:rPr>
            </w:pPr>
          </w:p>
        </w:tc>
        <w:tc>
          <w:tcPr>
            <w:tcW w:w="813" w:type="dxa"/>
            <w:tcBorders>
              <w:tl2br w:val="nil"/>
              <w:tr2bl w:val="nil"/>
            </w:tcBorders>
            <w:vAlign w:val="center"/>
          </w:tcPr>
          <w:p>
            <w:pPr>
              <w:spacing w:line="240" w:lineRule="auto"/>
              <w:ind w:firstLine="0" w:firstLineChars="0"/>
              <w:jc w:val="center"/>
              <w:rPr>
                <w:b/>
                <w:bCs/>
                <w:color w:val="auto"/>
                <w:sz w:val="18"/>
                <w:szCs w:val="18"/>
              </w:rPr>
            </w:pPr>
            <w:r>
              <w:rPr>
                <w:rFonts w:hint="eastAsia"/>
                <w:b/>
                <w:bCs/>
                <w:color w:val="auto"/>
                <w:sz w:val="18"/>
                <w:szCs w:val="18"/>
              </w:rPr>
              <w:t>污染物治理编号</w:t>
            </w:r>
          </w:p>
        </w:tc>
        <w:tc>
          <w:tcPr>
            <w:tcW w:w="938" w:type="dxa"/>
            <w:tcBorders>
              <w:tl2br w:val="nil"/>
              <w:tr2bl w:val="nil"/>
            </w:tcBorders>
            <w:vAlign w:val="center"/>
          </w:tcPr>
          <w:p>
            <w:pPr>
              <w:spacing w:line="240" w:lineRule="auto"/>
              <w:ind w:firstLine="0" w:firstLineChars="0"/>
              <w:jc w:val="center"/>
              <w:rPr>
                <w:b/>
                <w:bCs/>
                <w:color w:val="auto"/>
                <w:sz w:val="18"/>
                <w:szCs w:val="18"/>
              </w:rPr>
            </w:pPr>
            <w:r>
              <w:rPr>
                <w:rFonts w:hint="eastAsia"/>
                <w:b/>
                <w:bCs/>
                <w:color w:val="auto"/>
                <w:sz w:val="18"/>
                <w:szCs w:val="18"/>
              </w:rPr>
              <w:t>污染物治理设施名称</w:t>
            </w:r>
          </w:p>
        </w:tc>
        <w:tc>
          <w:tcPr>
            <w:tcW w:w="1014" w:type="dxa"/>
            <w:tcBorders>
              <w:tl2br w:val="nil"/>
              <w:tr2bl w:val="nil"/>
            </w:tcBorders>
            <w:vAlign w:val="center"/>
          </w:tcPr>
          <w:p>
            <w:pPr>
              <w:spacing w:line="240" w:lineRule="auto"/>
              <w:ind w:firstLine="0" w:firstLineChars="0"/>
              <w:jc w:val="center"/>
              <w:rPr>
                <w:b/>
                <w:bCs/>
                <w:color w:val="auto"/>
                <w:sz w:val="18"/>
                <w:szCs w:val="18"/>
              </w:rPr>
            </w:pPr>
            <w:r>
              <w:rPr>
                <w:rFonts w:hint="eastAsia"/>
                <w:b/>
                <w:bCs/>
                <w:color w:val="auto"/>
                <w:sz w:val="18"/>
                <w:szCs w:val="18"/>
              </w:rPr>
              <w:t>污染物治理设施工艺</w:t>
            </w:r>
          </w:p>
        </w:tc>
        <w:tc>
          <w:tcPr>
            <w:tcW w:w="713" w:type="dxa"/>
            <w:vMerge w:val="continue"/>
            <w:tcBorders>
              <w:tl2br w:val="nil"/>
              <w:tr2bl w:val="nil"/>
            </w:tcBorders>
            <w:vAlign w:val="center"/>
          </w:tcPr>
          <w:p>
            <w:pPr>
              <w:spacing w:line="240" w:lineRule="auto"/>
              <w:ind w:firstLine="0" w:firstLineChars="0"/>
              <w:jc w:val="center"/>
              <w:rPr>
                <w:color w:val="auto"/>
                <w:sz w:val="18"/>
                <w:szCs w:val="18"/>
              </w:rPr>
            </w:pPr>
          </w:p>
        </w:tc>
        <w:tc>
          <w:tcPr>
            <w:tcW w:w="851" w:type="dxa"/>
            <w:vMerge w:val="continue"/>
            <w:tcBorders>
              <w:tl2br w:val="nil"/>
              <w:tr2bl w:val="nil"/>
            </w:tcBorders>
            <w:vAlign w:val="center"/>
          </w:tcPr>
          <w:p>
            <w:pPr>
              <w:spacing w:line="240" w:lineRule="auto"/>
              <w:ind w:firstLine="0" w:firstLineChars="0"/>
              <w:jc w:val="center"/>
              <w:rPr>
                <w:color w:val="auto"/>
                <w:sz w:val="18"/>
                <w:szCs w:val="18"/>
              </w:rPr>
            </w:pPr>
          </w:p>
        </w:tc>
        <w:tc>
          <w:tcPr>
            <w:tcW w:w="1651" w:type="dxa"/>
            <w:vMerge w:val="continue"/>
            <w:tcBorders>
              <w:tl2br w:val="nil"/>
              <w:tr2bl w:val="nil"/>
            </w:tcBorders>
            <w:vAlign w:val="center"/>
          </w:tcPr>
          <w:p>
            <w:pPr>
              <w:spacing w:line="240" w:lineRule="auto"/>
              <w:ind w:firstLine="0" w:firstLineChars="0"/>
              <w:jc w:val="center"/>
              <w:rPr>
                <w:color w:val="auto"/>
                <w:sz w:val="18"/>
                <w:szCs w:val="18"/>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94" w:hRule="atLeast"/>
        </w:trPr>
        <w:tc>
          <w:tcPr>
            <w:tcW w:w="463"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1</w:t>
            </w:r>
          </w:p>
        </w:tc>
        <w:tc>
          <w:tcPr>
            <w:tcW w:w="706"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生活污水</w:t>
            </w:r>
          </w:p>
        </w:tc>
        <w:tc>
          <w:tcPr>
            <w:tcW w:w="663"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生活</w:t>
            </w:r>
          </w:p>
        </w:tc>
        <w:tc>
          <w:tcPr>
            <w:tcW w:w="763"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不外排</w:t>
            </w:r>
          </w:p>
        </w:tc>
        <w:tc>
          <w:tcPr>
            <w:tcW w:w="713"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w:t>
            </w:r>
          </w:p>
        </w:tc>
        <w:tc>
          <w:tcPr>
            <w:tcW w:w="813"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w:t>
            </w:r>
          </w:p>
        </w:tc>
        <w:tc>
          <w:tcPr>
            <w:tcW w:w="938"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黑膜沼气池</w:t>
            </w:r>
          </w:p>
        </w:tc>
        <w:tc>
          <w:tcPr>
            <w:tcW w:w="1014"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厌氧发酵</w:t>
            </w:r>
          </w:p>
        </w:tc>
        <w:tc>
          <w:tcPr>
            <w:tcW w:w="713"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w:t>
            </w:r>
          </w:p>
        </w:tc>
        <w:tc>
          <w:tcPr>
            <w:tcW w:w="851"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w:t>
            </w:r>
          </w:p>
        </w:tc>
        <w:tc>
          <w:tcPr>
            <w:tcW w:w="1651"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sym w:font="Wingdings" w:char="00A8"/>
            </w:r>
            <w:r>
              <w:rPr>
                <w:rFonts w:hint="eastAsia"/>
                <w:color w:val="auto"/>
                <w:sz w:val="18"/>
                <w:szCs w:val="18"/>
              </w:rPr>
              <w:t>企业总排</w:t>
            </w:r>
          </w:p>
          <w:p>
            <w:pPr>
              <w:spacing w:line="240" w:lineRule="auto"/>
              <w:ind w:firstLine="0" w:firstLineChars="0"/>
              <w:jc w:val="center"/>
              <w:rPr>
                <w:color w:val="auto"/>
                <w:sz w:val="18"/>
                <w:szCs w:val="18"/>
              </w:rPr>
            </w:pPr>
            <w:r>
              <w:rPr>
                <w:rFonts w:hint="eastAsia"/>
                <w:color w:val="auto"/>
                <w:sz w:val="18"/>
                <w:szCs w:val="18"/>
              </w:rPr>
              <w:sym w:font="Wingdings" w:char="00A8"/>
            </w:r>
            <w:r>
              <w:rPr>
                <w:rFonts w:hint="eastAsia"/>
                <w:color w:val="auto"/>
                <w:sz w:val="18"/>
                <w:szCs w:val="18"/>
              </w:rPr>
              <w:t>雨水排放</w:t>
            </w:r>
          </w:p>
          <w:p>
            <w:pPr>
              <w:spacing w:line="240" w:lineRule="auto"/>
              <w:ind w:firstLine="0" w:firstLineChars="0"/>
              <w:jc w:val="center"/>
              <w:rPr>
                <w:color w:val="auto"/>
                <w:sz w:val="18"/>
                <w:szCs w:val="18"/>
              </w:rPr>
            </w:pPr>
            <w:r>
              <w:rPr>
                <w:rFonts w:hint="eastAsia"/>
                <w:color w:val="auto"/>
                <w:sz w:val="18"/>
                <w:szCs w:val="18"/>
              </w:rPr>
              <w:sym w:font="Wingdings" w:char="00A8"/>
            </w:r>
            <w:r>
              <w:rPr>
                <w:rFonts w:hint="eastAsia"/>
                <w:color w:val="auto"/>
                <w:sz w:val="18"/>
                <w:szCs w:val="18"/>
              </w:rPr>
              <w:t>清洁下水排放</w:t>
            </w:r>
          </w:p>
          <w:p>
            <w:pPr>
              <w:spacing w:line="240" w:lineRule="auto"/>
              <w:ind w:firstLine="0" w:firstLineChars="0"/>
              <w:jc w:val="center"/>
              <w:rPr>
                <w:color w:val="auto"/>
                <w:sz w:val="18"/>
                <w:szCs w:val="18"/>
              </w:rPr>
            </w:pPr>
            <w:r>
              <w:rPr>
                <w:rFonts w:hint="eastAsia"/>
                <w:color w:val="auto"/>
                <w:sz w:val="18"/>
                <w:szCs w:val="18"/>
              </w:rPr>
              <w:sym w:font="Wingdings" w:char="00A8"/>
            </w:r>
            <w:r>
              <w:rPr>
                <w:rFonts w:hint="eastAsia"/>
                <w:color w:val="auto"/>
                <w:sz w:val="18"/>
                <w:szCs w:val="18"/>
              </w:rPr>
              <w:t>温排水排放</w:t>
            </w:r>
          </w:p>
          <w:p>
            <w:pPr>
              <w:spacing w:line="240" w:lineRule="auto"/>
              <w:ind w:firstLine="0" w:firstLineChars="0"/>
              <w:jc w:val="center"/>
              <w:rPr>
                <w:color w:val="auto"/>
                <w:sz w:val="18"/>
                <w:szCs w:val="18"/>
              </w:rPr>
            </w:pPr>
            <w:r>
              <w:rPr>
                <w:rFonts w:hint="eastAsia"/>
                <w:color w:val="auto"/>
                <w:sz w:val="18"/>
                <w:szCs w:val="18"/>
              </w:rPr>
              <w:sym w:font="Wingdings" w:char="00A8"/>
            </w:r>
            <w:r>
              <w:rPr>
                <w:rFonts w:hint="eastAsia"/>
                <w:color w:val="auto"/>
                <w:sz w:val="18"/>
                <w:szCs w:val="18"/>
              </w:rPr>
              <w:t>车间或车间处理设施排放口</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3"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2</w:t>
            </w:r>
          </w:p>
        </w:tc>
        <w:tc>
          <w:tcPr>
            <w:tcW w:w="706"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生产废水</w:t>
            </w:r>
          </w:p>
        </w:tc>
        <w:tc>
          <w:tcPr>
            <w:tcW w:w="663"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生产</w:t>
            </w:r>
          </w:p>
        </w:tc>
        <w:tc>
          <w:tcPr>
            <w:tcW w:w="763"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不外排</w:t>
            </w:r>
          </w:p>
        </w:tc>
        <w:tc>
          <w:tcPr>
            <w:tcW w:w="713"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w:t>
            </w:r>
          </w:p>
        </w:tc>
        <w:tc>
          <w:tcPr>
            <w:tcW w:w="813"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w:t>
            </w:r>
          </w:p>
        </w:tc>
        <w:tc>
          <w:tcPr>
            <w:tcW w:w="938"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黑膜沼气池</w:t>
            </w:r>
          </w:p>
        </w:tc>
        <w:tc>
          <w:tcPr>
            <w:tcW w:w="1014"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厌氧发酵</w:t>
            </w:r>
          </w:p>
        </w:tc>
        <w:tc>
          <w:tcPr>
            <w:tcW w:w="713"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w:t>
            </w:r>
          </w:p>
        </w:tc>
        <w:tc>
          <w:tcPr>
            <w:tcW w:w="851"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w:t>
            </w:r>
          </w:p>
        </w:tc>
        <w:tc>
          <w:tcPr>
            <w:tcW w:w="1651"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sym w:font="Wingdings" w:char="00A8"/>
            </w:r>
            <w:r>
              <w:rPr>
                <w:rFonts w:hint="eastAsia"/>
                <w:color w:val="auto"/>
                <w:sz w:val="18"/>
                <w:szCs w:val="18"/>
              </w:rPr>
              <w:t>企业总排</w:t>
            </w:r>
          </w:p>
          <w:p>
            <w:pPr>
              <w:spacing w:line="240" w:lineRule="auto"/>
              <w:ind w:firstLine="0" w:firstLineChars="0"/>
              <w:jc w:val="center"/>
              <w:rPr>
                <w:color w:val="auto"/>
                <w:sz w:val="18"/>
                <w:szCs w:val="18"/>
              </w:rPr>
            </w:pPr>
            <w:r>
              <w:rPr>
                <w:rFonts w:hint="eastAsia"/>
                <w:color w:val="auto"/>
                <w:sz w:val="18"/>
                <w:szCs w:val="18"/>
              </w:rPr>
              <w:sym w:font="Wingdings" w:char="00A8"/>
            </w:r>
            <w:r>
              <w:rPr>
                <w:rFonts w:hint="eastAsia"/>
                <w:color w:val="auto"/>
                <w:sz w:val="18"/>
                <w:szCs w:val="18"/>
              </w:rPr>
              <w:t>雨水排放</w:t>
            </w:r>
          </w:p>
          <w:p>
            <w:pPr>
              <w:spacing w:line="240" w:lineRule="auto"/>
              <w:ind w:firstLine="0" w:firstLineChars="0"/>
              <w:jc w:val="center"/>
              <w:rPr>
                <w:color w:val="auto"/>
                <w:sz w:val="18"/>
                <w:szCs w:val="18"/>
              </w:rPr>
            </w:pPr>
            <w:r>
              <w:rPr>
                <w:rFonts w:hint="eastAsia"/>
                <w:color w:val="auto"/>
                <w:sz w:val="18"/>
                <w:szCs w:val="18"/>
              </w:rPr>
              <w:sym w:font="Wingdings" w:char="00A8"/>
            </w:r>
            <w:r>
              <w:rPr>
                <w:rFonts w:hint="eastAsia"/>
                <w:color w:val="auto"/>
                <w:sz w:val="18"/>
                <w:szCs w:val="18"/>
              </w:rPr>
              <w:t>清洁下水排放</w:t>
            </w:r>
          </w:p>
          <w:p>
            <w:pPr>
              <w:spacing w:line="240" w:lineRule="auto"/>
              <w:ind w:firstLine="0" w:firstLineChars="0"/>
              <w:jc w:val="center"/>
              <w:rPr>
                <w:color w:val="auto"/>
                <w:sz w:val="18"/>
                <w:szCs w:val="18"/>
              </w:rPr>
            </w:pPr>
            <w:r>
              <w:rPr>
                <w:rFonts w:hint="eastAsia"/>
                <w:color w:val="auto"/>
                <w:sz w:val="18"/>
                <w:szCs w:val="18"/>
              </w:rPr>
              <w:sym w:font="Wingdings" w:char="00A8"/>
            </w:r>
            <w:r>
              <w:rPr>
                <w:rFonts w:hint="eastAsia"/>
                <w:color w:val="auto"/>
                <w:sz w:val="18"/>
                <w:szCs w:val="18"/>
              </w:rPr>
              <w:t>温排水排放</w:t>
            </w:r>
          </w:p>
          <w:p>
            <w:pPr>
              <w:spacing w:line="240" w:lineRule="auto"/>
              <w:ind w:firstLine="0" w:firstLineChars="0"/>
              <w:jc w:val="center"/>
              <w:rPr>
                <w:color w:val="auto"/>
                <w:sz w:val="18"/>
                <w:szCs w:val="18"/>
              </w:rPr>
            </w:pPr>
            <w:r>
              <w:rPr>
                <w:rFonts w:hint="eastAsia"/>
                <w:color w:val="auto"/>
                <w:sz w:val="18"/>
                <w:szCs w:val="18"/>
              </w:rPr>
              <w:sym w:font="Wingdings" w:char="00A8"/>
            </w:r>
            <w:r>
              <w:rPr>
                <w:rFonts w:hint="eastAsia"/>
                <w:color w:val="auto"/>
                <w:sz w:val="18"/>
                <w:szCs w:val="18"/>
              </w:rPr>
              <w:t>车间或车间处理设施排放口</w:t>
            </w:r>
          </w:p>
        </w:tc>
      </w:tr>
    </w:tbl>
    <w:p>
      <w:pPr>
        <w:pStyle w:val="51"/>
        <w:ind w:left="-2" w:right="-105" w:firstLine="542" w:firstLineChars="225"/>
        <w:jc w:val="center"/>
        <w:rPr>
          <w:rFonts w:ascii="Times New Roman" w:hAnsi="Times New Roman"/>
          <w:color w:val="auto"/>
          <w:sz w:val="32"/>
          <w:szCs w:val="32"/>
        </w:rPr>
      </w:pPr>
      <w:r>
        <w:rPr>
          <w:rFonts w:hint="eastAsia" w:ascii="Times New Roman" w:hAnsi="Times New Roman"/>
          <w:b/>
          <w:bCs/>
          <w:color w:val="auto"/>
        </w:rPr>
        <w:t>表5.2-20  地表水环境影响评价自查表</w:t>
      </w:r>
    </w:p>
    <w:tbl>
      <w:tblPr>
        <w:tblStyle w:val="28"/>
        <w:tblW w:w="0" w:type="auto"/>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99"/>
        <w:gridCol w:w="60"/>
        <w:gridCol w:w="1051"/>
        <w:gridCol w:w="2005"/>
        <w:gridCol w:w="1857"/>
        <w:gridCol w:w="1485"/>
        <w:gridCol w:w="1106"/>
        <w:gridCol w:w="112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10" w:type="dxa"/>
            <w:gridSpan w:val="3"/>
            <w:tcBorders>
              <w:tl2br w:val="nil"/>
              <w:tr2bl w:val="nil"/>
            </w:tcBorders>
            <w:vAlign w:val="center"/>
          </w:tcPr>
          <w:p>
            <w:pPr>
              <w:spacing w:line="240" w:lineRule="auto"/>
              <w:ind w:firstLine="0" w:firstLineChars="0"/>
              <w:jc w:val="center"/>
              <w:rPr>
                <w:b/>
                <w:bCs/>
                <w:color w:val="auto"/>
                <w:sz w:val="18"/>
                <w:szCs w:val="18"/>
              </w:rPr>
            </w:pPr>
            <w:r>
              <w:rPr>
                <w:rFonts w:hint="eastAsia"/>
                <w:b/>
                <w:bCs/>
                <w:color w:val="auto"/>
                <w:sz w:val="18"/>
                <w:szCs w:val="18"/>
              </w:rPr>
              <w:t>工作内容</w:t>
            </w:r>
          </w:p>
        </w:tc>
        <w:tc>
          <w:tcPr>
            <w:tcW w:w="7578" w:type="dxa"/>
            <w:gridSpan w:val="5"/>
            <w:tcBorders>
              <w:tl2br w:val="nil"/>
              <w:tr2bl w:val="nil"/>
            </w:tcBorders>
            <w:vAlign w:val="center"/>
          </w:tcPr>
          <w:p>
            <w:pPr>
              <w:spacing w:line="240" w:lineRule="auto"/>
              <w:ind w:firstLine="0" w:firstLineChars="0"/>
              <w:jc w:val="center"/>
              <w:rPr>
                <w:b/>
                <w:bCs/>
                <w:color w:val="auto"/>
                <w:sz w:val="18"/>
                <w:szCs w:val="18"/>
              </w:rPr>
            </w:pPr>
            <w:r>
              <w:rPr>
                <w:rFonts w:hint="eastAsia"/>
                <w:b/>
                <w:bCs/>
                <w:color w:val="auto"/>
                <w:sz w:val="18"/>
                <w:szCs w:val="18"/>
              </w:rPr>
              <w:t>自查项目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99" w:type="dxa"/>
            <w:vMerge w:val="restart"/>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环环境识别</w:t>
            </w:r>
          </w:p>
        </w:tc>
        <w:tc>
          <w:tcPr>
            <w:tcW w:w="1111" w:type="dxa"/>
            <w:gridSpan w:val="2"/>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环境类型</w:t>
            </w:r>
          </w:p>
        </w:tc>
        <w:tc>
          <w:tcPr>
            <w:tcW w:w="7578" w:type="dxa"/>
            <w:gridSpan w:val="5"/>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水污染影响型</w:t>
            </w:r>
            <w:r>
              <w:rPr>
                <w:rFonts w:hint="eastAsia"/>
                <w:color w:val="auto"/>
                <w:sz w:val="18"/>
                <w:szCs w:val="18"/>
              </w:rPr>
              <w:sym w:font="Wingdings" w:char="00FE"/>
            </w:r>
            <w:r>
              <w:rPr>
                <w:rFonts w:hint="eastAsia"/>
                <w:color w:val="auto"/>
                <w:sz w:val="18"/>
                <w:szCs w:val="18"/>
              </w:rPr>
              <w:t xml:space="preserve">  水文要素影响型</w:t>
            </w:r>
            <w:r>
              <w:rPr>
                <w:rFonts w:hint="eastAsia"/>
                <w:color w:val="auto"/>
                <w:sz w:val="18"/>
                <w:szCs w:val="18"/>
              </w:rPr>
              <w:sym w:font="Wingdings" w:char="00A8"/>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99" w:type="dxa"/>
            <w:vMerge w:val="continue"/>
            <w:tcBorders>
              <w:tl2br w:val="nil"/>
              <w:tr2bl w:val="nil"/>
            </w:tcBorders>
            <w:vAlign w:val="center"/>
          </w:tcPr>
          <w:p>
            <w:pPr>
              <w:spacing w:line="240" w:lineRule="auto"/>
              <w:ind w:firstLine="0" w:firstLineChars="0"/>
              <w:jc w:val="center"/>
              <w:rPr>
                <w:color w:val="auto"/>
                <w:sz w:val="18"/>
                <w:szCs w:val="18"/>
              </w:rPr>
            </w:pPr>
          </w:p>
        </w:tc>
        <w:tc>
          <w:tcPr>
            <w:tcW w:w="1111" w:type="dxa"/>
            <w:gridSpan w:val="2"/>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水环境保护目标</w:t>
            </w:r>
          </w:p>
        </w:tc>
        <w:tc>
          <w:tcPr>
            <w:tcW w:w="7578" w:type="dxa"/>
            <w:gridSpan w:val="5"/>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饮用水域保护区</w:t>
            </w:r>
            <w:r>
              <w:rPr>
                <w:rFonts w:hint="eastAsia"/>
                <w:color w:val="auto"/>
                <w:sz w:val="18"/>
                <w:szCs w:val="18"/>
              </w:rPr>
              <w:sym w:font="Wingdings" w:char="00A8"/>
            </w:r>
            <w:r>
              <w:rPr>
                <w:rFonts w:hint="eastAsia"/>
                <w:color w:val="auto"/>
                <w:sz w:val="18"/>
                <w:szCs w:val="18"/>
              </w:rPr>
              <w:t>；饮用水取水</w:t>
            </w:r>
            <w:r>
              <w:rPr>
                <w:rFonts w:hint="eastAsia"/>
                <w:color w:val="auto"/>
                <w:sz w:val="18"/>
                <w:szCs w:val="18"/>
              </w:rPr>
              <w:sym w:font="Wingdings" w:char="00A8"/>
            </w:r>
            <w:r>
              <w:rPr>
                <w:rFonts w:hint="eastAsia"/>
                <w:color w:val="auto"/>
                <w:sz w:val="18"/>
                <w:szCs w:val="18"/>
              </w:rPr>
              <w:t>；涉水的自然保护区</w:t>
            </w:r>
            <w:r>
              <w:rPr>
                <w:rFonts w:hint="eastAsia"/>
                <w:color w:val="auto"/>
                <w:sz w:val="18"/>
                <w:szCs w:val="18"/>
              </w:rPr>
              <w:sym w:font="Wingdings" w:char="00A8"/>
            </w:r>
            <w:r>
              <w:rPr>
                <w:rFonts w:hint="eastAsia"/>
                <w:color w:val="auto"/>
                <w:sz w:val="18"/>
                <w:szCs w:val="18"/>
              </w:rPr>
              <w:t>；重要湿地</w:t>
            </w:r>
            <w:r>
              <w:rPr>
                <w:rFonts w:hint="eastAsia"/>
                <w:color w:val="auto"/>
                <w:sz w:val="18"/>
                <w:szCs w:val="18"/>
              </w:rPr>
              <w:sym w:font="Wingdings" w:char="00A8"/>
            </w:r>
            <w:r>
              <w:rPr>
                <w:rFonts w:hint="eastAsia"/>
                <w:color w:val="auto"/>
                <w:sz w:val="18"/>
                <w:szCs w:val="18"/>
              </w:rPr>
              <w:t>；重要保护与珍稀水生生物的栖息地</w:t>
            </w:r>
            <w:r>
              <w:rPr>
                <w:rFonts w:hint="eastAsia"/>
                <w:color w:val="auto"/>
                <w:sz w:val="18"/>
                <w:szCs w:val="18"/>
              </w:rPr>
              <w:sym w:font="Wingdings" w:char="00A8"/>
            </w:r>
            <w:r>
              <w:rPr>
                <w:rFonts w:hint="eastAsia"/>
                <w:color w:val="auto"/>
                <w:sz w:val="18"/>
                <w:szCs w:val="18"/>
              </w:rPr>
              <w:t>；重要水生生物的自然产卵场及索饵场、越冬场洄游通道、天然渔场等渔业水体</w:t>
            </w:r>
            <w:r>
              <w:rPr>
                <w:rFonts w:hint="eastAsia"/>
                <w:color w:val="auto"/>
                <w:sz w:val="18"/>
                <w:szCs w:val="18"/>
              </w:rPr>
              <w:sym w:font="Wingdings" w:char="00A8"/>
            </w:r>
            <w:r>
              <w:rPr>
                <w:rFonts w:hint="eastAsia"/>
                <w:color w:val="auto"/>
                <w:sz w:val="18"/>
                <w:szCs w:val="18"/>
              </w:rPr>
              <w:t>；涉水的风景名胜区</w:t>
            </w:r>
            <w:r>
              <w:rPr>
                <w:rFonts w:hint="eastAsia"/>
                <w:color w:val="auto"/>
                <w:sz w:val="18"/>
                <w:szCs w:val="18"/>
              </w:rPr>
              <w:sym w:font="Wingdings" w:char="00A8"/>
            </w:r>
            <w:r>
              <w:rPr>
                <w:rFonts w:hint="eastAsia"/>
                <w:color w:val="auto"/>
                <w:sz w:val="18"/>
                <w:szCs w:val="18"/>
              </w:rPr>
              <w:t>；其他</w:t>
            </w:r>
            <w:r>
              <w:rPr>
                <w:rFonts w:hint="eastAsia"/>
                <w:color w:val="auto"/>
                <w:sz w:val="18"/>
                <w:szCs w:val="18"/>
              </w:rPr>
              <w:sym w:font="Wingdings" w:char="00FE"/>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99" w:type="dxa"/>
            <w:vMerge w:val="continue"/>
            <w:tcBorders>
              <w:tl2br w:val="nil"/>
              <w:tr2bl w:val="nil"/>
            </w:tcBorders>
            <w:vAlign w:val="center"/>
          </w:tcPr>
          <w:p>
            <w:pPr>
              <w:spacing w:line="240" w:lineRule="auto"/>
              <w:ind w:firstLine="0" w:firstLineChars="0"/>
              <w:jc w:val="center"/>
              <w:rPr>
                <w:color w:val="auto"/>
                <w:sz w:val="18"/>
                <w:szCs w:val="18"/>
              </w:rPr>
            </w:pPr>
          </w:p>
        </w:tc>
        <w:tc>
          <w:tcPr>
            <w:tcW w:w="1111" w:type="dxa"/>
            <w:gridSpan w:val="2"/>
            <w:vMerge w:val="restart"/>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影响途径</w:t>
            </w:r>
          </w:p>
        </w:tc>
        <w:tc>
          <w:tcPr>
            <w:tcW w:w="3862" w:type="dxa"/>
            <w:gridSpan w:val="2"/>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水污染影响型</w:t>
            </w:r>
          </w:p>
        </w:tc>
        <w:tc>
          <w:tcPr>
            <w:tcW w:w="3716" w:type="dxa"/>
            <w:gridSpan w:val="3"/>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水文要素影响型</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99" w:type="dxa"/>
            <w:vMerge w:val="continue"/>
            <w:tcBorders>
              <w:tl2br w:val="nil"/>
              <w:tr2bl w:val="nil"/>
            </w:tcBorders>
            <w:vAlign w:val="center"/>
          </w:tcPr>
          <w:p>
            <w:pPr>
              <w:spacing w:line="240" w:lineRule="auto"/>
              <w:ind w:firstLine="0" w:firstLineChars="0"/>
              <w:jc w:val="center"/>
              <w:rPr>
                <w:color w:val="auto"/>
                <w:sz w:val="18"/>
                <w:szCs w:val="18"/>
              </w:rPr>
            </w:pPr>
          </w:p>
        </w:tc>
        <w:tc>
          <w:tcPr>
            <w:tcW w:w="1111" w:type="dxa"/>
            <w:gridSpan w:val="2"/>
            <w:vMerge w:val="continue"/>
            <w:tcBorders>
              <w:tl2br w:val="nil"/>
              <w:tr2bl w:val="nil"/>
            </w:tcBorders>
            <w:vAlign w:val="center"/>
          </w:tcPr>
          <w:p>
            <w:pPr>
              <w:spacing w:line="240" w:lineRule="auto"/>
              <w:ind w:firstLine="0" w:firstLineChars="0"/>
              <w:jc w:val="center"/>
              <w:rPr>
                <w:color w:val="auto"/>
                <w:sz w:val="18"/>
                <w:szCs w:val="18"/>
              </w:rPr>
            </w:pPr>
          </w:p>
        </w:tc>
        <w:tc>
          <w:tcPr>
            <w:tcW w:w="3862" w:type="dxa"/>
            <w:gridSpan w:val="2"/>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直接排放</w:t>
            </w:r>
            <w:r>
              <w:rPr>
                <w:rFonts w:hint="eastAsia"/>
                <w:color w:val="auto"/>
                <w:sz w:val="18"/>
                <w:szCs w:val="18"/>
              </w:rPr>
              <w:sym w:font="Wingdings" w:char="00A8"/>
            </w:r>
            <w:r>
              <w:rPr>
                <w:rFonts w:hint="eastAsia"/>
                <w:color w:val="auto"/>
                <w:sz w:val="18"/>
                <w:szCs w:val="18"/>
              </w:rPr>
              <w:t>；间接排放</w:t>
            </w:r>
            <w:r>
              <w:rPr>
                <w:rFonts w:hint="eastAsia"/>
                <w:color w:val="auto"/>
                <w:sz w:val="18"/>
                <w:szCs w:val="18"/>
              </w:rPr>
              <w:sym w:font="Wingdings" w:char="00A8"/>
            </w:r>
            <w:r>
              <w:rPr>
                <w:rFonts w:hint="eastAsia"/>
                <w:color w:val="auto"/>
                <w:sz w:val="18"/>
                <w:szCs w:val="18"/>
              </w:rPr>
              <w:t>；其他</w:t>
            </w:r>
            <w:r>
              <w:rPr>
                <w:rFonts w:hint="eastAsia"/>
                <w:color w:val="auto"/>
                <w:sz w:val="18"/>
                <w:szCs w:val="18"/>
              </w:rPr>
              <w:sym w:font="Wingdings" w:char="00FE"/>
            </w:r>
          </w:p>
        </w:tc>
        <w:tc>
          <w:tcPr>
            <w:tcW w:w="3716" w:type="dxa"/>
            <w:gridSpan w:val="3"/>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水文</w:t>
            </w:r>
            <w:r>
              <w:rPr>
                <w:rFonts w:hint="eastAsia"/>
                <w:color w:val="auto"/>
                <w:sz w:val="18"/>
                <w:szCs w:val="18"/>
              </w:rPr>
              <w:sym w:font="Wingdings" w:char="00A8"/>
            </w:r>
            <w:r>
              <w:rPr>
                <w:rFonts w:hint="eastAsia"/>
                <w:color w:val="auto"/>
                <w:sz w:val="18"/>
                <w:szCs w:val="18"/>
              </w:rPr>
              <w:t>；径流</w:t>
            </w:r>
            <w:r>
              <w:rPr>
                <w:rFonts w:hint="eastAsia"/>
                <w:color w:val="auto"/>
                <w:sz w:val="18"/>
                <w:szCs w:val="18"/>
              </w:rPr>
              <w:sym w:font="Wingdings" w:char="00A8"/>
            </w:r>
            <w:r>
              <w:rPr>
                <w:rFonts w:hint="eastAsia"/>
                <w:color w:val="auto"/>
                <w:sz w:val="18"/>
                <w:szCs w:val="18"/>
              </w:rPr>
              <w:t>；水域面积</w:t>
            </w:r>
            <w:r>
              <w:rPr>
                <w:rFonts w:hint="eastAsia"/>
                <w:color w:val="auto"/>
                <w:sz w:val="18"/>
                <w:szCs w:val="18"/>
              </w:rPr>
              <w:sym w:font="Wingdings" w:char="00A8"/>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99" w:type="dxa"/>
            <w:vMerge w:val="continue"/>
            <w:tcBorders>
              <w:tl2br w:val="nil"/>
              <w:tr2bl w:val="nil"/>
            </w:tcBorders>
            <w:vAlign w:val="center"/>
          </w:tcPr>
          <w:p>
            <w:pPr>
              <w:spacing w:line="240" w:lineRule="auto"/>
              <w:ind w:firstLine="0" w:firstLineChars="0"/>
              <w:jc w:val="center"/>
              <w:rPr>
                <w:color w:val="auto"/>
                <w:sz w:val="18"/>
                <w:szCs w:val="18"/>
              </w:rPr>
            </w:pPr>
          </w:p>
        </w:tc>
        <w:tc>
          <w:tcPr>
            <w:tcW w:w="1111" w:type="dxa"/>
            <w:gridSpan w:val="2"/>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影响因子</w:t>
            </w:r>
          </w:p>
        </w:tc>
        <w:tc>
          <w:tcPr>
            <w:tcW w:w="3862" w:type="dxa"/>
            <w:gridSpan w:val="2"/>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持久性污染源</w:t>
            </w:r>
            <w:r>
              <w:rPr>
                <w:rFonts w:hint="eastAsia"/>
                <w:color w:val="auto"/>
                <w:sz w:val="18"/>
                <w:szCs w:val="18"/>
              </w:rPr>
              <w:sym w:font="Wingdings" w:char="00A8"/>
            </w:r>
            <w:r>
              <w:rPr>
                <w:rFonts w:hint="eastAsia"/>
                <w:color w:val="auto"/>
                <w:sz w:val="18"/>
                <w:szCs w:val="18"/>
              </w:rPr>
              <w:t>；有毒有害污染源</w:t>
            </w:r>
            <w:r>
              <w:rPr>
                <w:rFonts w:hint="eastAsia"/>
                <w:color w:val="auto"/>
                <w:sz w:val="18"/>
                <w:szCs w:val="18"/>
              </w:rPr>
              <w:sym w:font="Wingdings" w:char="00A8"/>
            </w:r>
            <w:r>
              <w:rPr>
                <w:rFonts w:hint="eastAsia"/>
                <w:color w:val="auto"/>
                <w:sz w:val="18"/>
                <w:szCs w:val="18"/>
              </w:rPr>
              <w:t>；非持久性污染源</w:t>
            </w:r>
            <w:r>
              <w:rPr>
                <w:rFonts w:hint="eastAsia"/>
                <w:color w:val="auto"/>
                <w:sz w:val="18"/>
                <w:szCs w:val="18"/>
              </w:rPr>
              <w:sym w:font="Wingdings" w:char="00A8"/>
            </w:r>
            <w:r>
              <w:rPr>
                <w:rFonts w:hint="eastAsia"/>
                <w:color w:val="auto"/>
                <w:sz w:val="18"/>
                <w:szCs w:val="18"/>
              </w:rPr>
              <w:t>；PH值</w:t>
            </w:r>
            <w:r>
              <w:rPr>
                <w:rFonts w:hint="eastAsia"/>
                <w:color w:val="auto"/>
                <w:sz w:val="18"/>
                <w:szCs w:val="18"/>
              </w:rPr>
              <w:sym w:font="Wingdings" w:char="00A8"/>
            </w:r>
            <w:r>
              <w:rPr>
                <w:rFonts w:hint="eastAsia"/>
                <w:color w:val="auto"/>
                <w:sz w:val="18"/>
                <w:szCs w:val="18"/>
              </w:rPr>
              <w:t>；热污染</w:t>
            </w:r>
            <w:r>
              <w:rPr>
                <w:rFonts w:hint="eastAsia"/>
                <w:color w:val="auto"/>
                <w:sz w:val="18"/>
                <w:szCs w:val="18"/>
              </w:rPr>
              <w:sym w:font="Wingdings" w:char="00A8"/>
            </w:r>
            <w:r>
              <w:rPr>
                <w:rFonts w:hint="eastAsia"/>
                <w:color w:val="auto"/>
                <w:sz w:val="18"/>
                <w:szCs w:val="18"/>
              </w:rPr>
              <w:t>；富营养化</w:t>
            </w:r>
            <w:r>
              <w:rPr>
                <w:rFonts w:hint="eastAsia"/>
                <w:color w:val="auto"/>
                <w:sz w:val="18"/>
                <w:szCs w:val="18"/>
              </w:rPr>
              <w:sym w:font="Wingdings" w:char="00A8"/>
            </w:r>
            <w:r>
              <w:rPr>
                <w:rFonts w:hint="eastAsia"/>
                <w:color w:val="auto"/>
                <w:sz w:val="18"/>
                <w:szCs w:val="18"/>
              </w:rPr>
              <w:t>；其他</w:t>
            </w:r>
            <w:r>
              <w:rPr>
                <w:rFonts w:hint="eastAsia"/>
                <w:color w:val="auto"/>
                <w:sz w:val="18"/>
                <w:szCs w:val="18"/>
              </w:rPr>
              <w:sym w:font="Wingdings" w:char="00A8"/>
            </w:r>
          </w:p>
        </w:tc>
        <w:tc>
          <w:tcPr>
            <w:tcW w:w="3716" w:type="dxa"/>
            <w:gridSpan w:val="3"/>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水温</w:t>
            </w:r>
            <w:r>
              <w:rPr>
                <w:rFonts w:hint="eastAsia"/>
                <w:color w:val="auto"/>
                <w:sz w:val="18"/>
                <w:szCs w:val="18"/>
              </w:rPr>
              <w:sym w:font="Wingdings" w:char="00A8"/>
            </w:r>
            <w:r>
              <w:rPr>
                <w:rFonts w:hint="eastAsia"/>
                <w:color w:val="auto"/>
                <w:sz w:val="18"/>
                <w:szCs w:val="18"/>
              </w:rPr>
              <w:t>；水位（水深）</w:t>
            </w:r>
            <w:r>
              <w:rPr>
                <w:rFonts w:hint="eastAsia"/>
                <w:color w:val="auto"/>
                <w:sz w:val="18"/>
                <w:szCs w:val="18"/>
              </w:rPr>
              <w:sym w:font="Wingdings" w:char="00A8"/>
            </w:r>
            <w:r>
              <w:rPr>
                <w:rFonts w:hint="eastAsia"/>
                <w:color w:val="auto"/>
                <w:sz w:val="18"/>
                <w:szCs w:val="18"/>
              </w:rPr>
              <w:t>；流速</w:t>
            </w:r>
            <w:r>
              <w:rPr>
                <w:rFonts w:hint="eastAsia"/>
                <w:color w:val="auto"/>
                <w:sz w:val="18"/>
                <w:szCs w:val="18"/>
              </w:rPr>
              <w:sym w:font="Wingdings" w:char="00A8"/>
            </w:r>
            <w:r>
              <w:rPr>
                <w:rFonts w:hint="eastAsia"/>
                <w:color w:val="auto"/>
                <w:sz w:val="18"/>
                <w:szCs w:val="18"/>
              </w:rPr>
              <w:t>；流量</w:t>
            </w:r>
            <w:r>
              <w:rPr>
                <w:rFonts w:hint="eastAsia"/>
                <w:color w:val="auto"/>
                <w:sz w:val="18"/>
                <w:szCs w:val="18"/>
              </w:rPr>
              <w:sym w:font="Wingdings" w:char="00A8"/>
            </w:r>
            <w:r>
              <w:rPr>
                <w:rFonts w:hint="eastAsia"/>
                <w:color w:val="auto"/>
                <w:sz w:val="18"/>
                <w:szCs w:val="18"/>
              </w:rPr>
              <w:t>；其他</w:t>
            </w:r>
            <w:r>
              <w:rPr>
                <w:rFonts w:hint="eastAsia"/>
                <w:color w:val="auto"/>
                <w:sz w:val="18"/>
                <w:szCs w:val="18"/>
              </w:rPr>
              <w:sym w:font="Wingdings" w:char="00A8"/>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10" w:type="dxa"/>
            <w:gridSpan w:val="3"/>
            <w:vMerge w:val="restart"/>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评价等级</w:t>
            </w:r>
          </w:p>
        </w:tc>
        <w:tc>
          <w:tcPr>
            <w:tcW w:w="3862" w:type="dxa"/>
            <w:gridSpan w:val="2"/>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水污染影响型</w:t>
            </w:r>
          </w:p>
        </w:tc>
        <w:tc>
          <w:tcPr>
            <w:tcW w:w="3716" w:type="dxa"/>
            <w:gridSpan w:val="3"/>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水文要素影响型</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10" w:type="dxa"/>
            <w:gridSpan w:val="3"/>
            <w:vMerge w:val="continue"/>
            <w:tcBorders>
              <w:tl2br w:val="nil"/>
              <w:tr2bl w:val="nil"/>
            </w:tcBorders>
            <w:vAlign w:val="center"/>
          </w:tcPr>
          <w:p>
            <w:pPr>
              <w:spacing w:line="240" w:lineRule="auto"/>
              <w:ind w:firstLine="0" w:firstLineChars="0"/>
              <w:jc w:val="center"/>
              <w:rPr>
                <w:color w:val="auto"/>
                <w:sz w:val="18"/>
                <w:szCs w:val="18"/>
              </w:rPr>
            </w:pPr>
          </w:p>
        </w:tc>
        <w:tc>
          <w:tcPr>
            <w:tcW w:w="3862" w:type="dxa"/>
            <w:gridSpan w:val="2"/>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一级</w:t>
            </w:r>
            <w:r>
              <w:rPr>
                <w:rFonts w:hint="eastAsia"/>
                <w:color w:val="auto"/>
                <w:sz w:val="18"/>
                <w:szCs w:val="18"/>
              </w:rPr>
              <w:sym w:font="Wingdings" w:char="00A8"/>
            </w:r>
            <w:r>
              <w:rPr>
                <w:rFonts w:hint="eastAsia"/>
                <w:color w:val="auto"/>
                <w:sz w:val="18"/>
                <w:szCs w:val="18"/>
              </w:rPr>
              <w:t>；二级</w:t>
            </w:r>
            <w:r>
              <w:rPr>
                <w:rFonts w:hint="eastAsia"/>
                <w:color w:val="auto"/>
                <w:sz w:val="18"/>
                <w:szCs w:val="18"/>
              </w:rPr>
              <w:sym w:font="Wingdings" w:char="00A8"/>
            </w:r>
            <w:r>
              <w:rPr>
                <w:rFonts w:hint="eastAsia"/>
                <w:color w:val="auto"/>
                <w:sz w:val="18"/>
                <w:szCs w:val="18"/>
              </w:rPr>
              <w:t>；三级A</w:t>
            </w:r>
            <w:r>
              <w:rPr>
                <w:rFonts w:hint="eastAsia"/>
                <w:color w:val="auto"/>
                <w:sz w:val="18"/>
                <w:szCs w:val="18"/>
              </w:rPr>
              <w:sym w:font="Wingdings" w:char="00A8"/>
            </w:r>
            <w:r>
              <w:rPr>
                <w:rFonts w:hint="eastAsia"/>
                <w:color w:val="auto"/>
                <w:sz w:val="18"/>
                <w:szCs w:val="18"/>
              </w:rPr>
              <w:t>；三级B</w:t>
            </w:r>
            <w:r>
              <w:rPr>
                <w:rFonts w:hint="eastAsia"/>
                <w:color w:val="auto"/>
                <w:sz w:val="18"/>
                <w:szCs w:val="18"/>
              </w:rPr>
              <w:sym w:font="Wingdings" w:char="00FE"/>
            </w:r>
            <w:r>
              <w:rPr>
                <w:rFonts w:hint="eastAsia"/>
                <w:color w:val="auto"/>
                <w:sz w:val="18"/>
                <w:szCs w:val="18"/>
              </w:rPr>
              <w:t>；</w:t>
            </w:r>
          </w:p>
        </w:tc>
        <w:tc>
          <w:tcPr>
            <w:tcW w:w="3716" w:type="dxa"/>
            <w:gridSpan w:val="3"/>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一级</w:t>
            </w:r>
            <w:r>
              <w:rPr>
                <w:rFonts w:hint="eastAsia"/>
                <w:color w:val="auto"/>
                <w:sz w:val="18"/>
                <w:szCs w:val="18"/>
              </w:rPr>
              <w:sym w:font="Wingdings" w:char="00A8"/>
            </w:r>
            <w:r>
              <w:rPr>
                <w:rFonts w:hint="eastAsia"/>
                <w:color w:val="auto"/>
                <w:sz w:val="18"/>
                <w:szCs w:val="18"/>
              </w:rPr>
              <w:t>；二级</w:t>
            </w:r>
            <w:r>
              <w:rPr>
                <w:rFonts w:hint="eastAsia"/>
                <w:color w:val="auto"/>
                <w:sz w:val="18"/>
                <w:szCs w:val="18"/>
              </w:rPr>
              <w:sym w:font="Wingdings" w:char="00A8"/>
            </w:r>
            <w:r>
              <w:rPr>
                <w:rFonts w:hint="eastAsia"/>
                <w:color w:val="auto"/>
                <w:sz w:val="18"/>
                <w:szCs w:val="18"/>
              </w:rPr>
              <w:t>；三级</w:t>
            </w:r>
            <w:r>
              <w:rPr>
                <w:rFonts w:hint="eastAsia"/>
                <w:color w:val="auto"/>
                <w:sz w:val="18"/>
                <w:szCs w:val="18"/>
              </w:rPr>
              <w:sym w:font="Wingdings" w:char="00A8"/>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9" w:type="dxa"/>
            <w:gridSpan w:val="2"/>
            <w:vMerge w:val="restart"/>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现状调查</w:t>
            </w:r>
          </w:p>
        </w:tc>
        <w:tc>
          <w:tcPr>
            <w:tcW w:w="1051" w:type="dxa"/>
            <w:vMerge w:val="restart"/>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区域污染源</w:t>
            </w:r>
          </w:p>
        </w:tc>
        <w:tc>
          <w:tcPr>
            <w:tcW w:w="3862" w:type="dxa"/>
            <w:gridSpan w:val="2"/>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调查项目</w:t>
            </w:r>
          </w:p>
        </w:tc>
        <w:tc>
          <w:tcPr>
            <w:tcW w:w="3716" w:type="dxa"/>
            <w:gridSpan w:val="3"/>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数据来源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9" w:type="dxa"/>
            <w:gridSpan w:val="2"/>
            <w:vMerge w:val="continue"/>
            <w:tcBorders>
              <w:tl2br w:val="nil"/>
              <w:tr2bl w:val="nil"/>
            </w:tcBorders>
            <w:vAlign w:val="center"/>
          </w:tcPr>
          <w:p>
            <w:pPr>
              <w:spacing w:line="240" w:lineRule="auto"/>
              <w:ind w:firstLine="0" w:firstLineChars="0"/>
              <w:jc w:val="center"/>
              <w:rPr>
                <w:color w:val="auto"/>
                <w:sz w:val="18"/>
                <w:szCs w:val="18"/>
              </w:rPr>
            </w:pPr>
          </w:p>
        </w:tc>
        <w:tc>
          <w:tcPr>
            <w:tcW w:w="1051" w:type="dxa"/>
            <w:vMerge w:val="continue"/>
            <w:tcBorders>
              <w:tl2br w:val="nil"/>
              <w:tr2bl w:val="nil"/>
            </w:tcBorders>
            <w:vAlign w:val="center"/>
          </w:tcPr>
          <w:p>
            <w:pPr>
              <w:spacing w:line="240" w:lineRule="auto"/>
              <w:ind w:firstLine="0" w:firstLineChars="0"/>
              <w:jc w:val="center"/>
              <w:rPr>
                <w:color w:val="auto"/>
                <w:sz w:val="18"/>
                <w:szCs w:val="18"/>
              </w:rPr>
            </w:pPr>
          </w:p>
        </w:tc>
        <w:tc>
          <w:tcPr>
            <w:tcW w:w="2005"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已建</w:t>
            </w:r>
            <w:r>
              <w:rPr>
                <w:rFonts w:hint="eastAsia"/>
                <w:color w:val="auto"/>
                <w:sz w:val="18"/>
                <w:szCs w:val="18"/>
              </w:rPr>
              <w:sym w:font="Wingdings" w:char="00A8"/>
            </w:r>
            <w:r>
              <w:rPr>
                <w:rFonts w:hint="eastAsia"/>
                <w:color w:val="auto"/>
                <w:sz w:val="18"/>
                <w:szCs w:val="18"/>
              </w:rPr>
              <w:t>；在建</w:t>
            </w:r>
            <w:r>
              <w:rPr>
                <w:rFonts w:hint="eastAsia"/>
                <w:color w:val="auto"/>
                <w:sz w:val="18"/>
                <w:szCs w:val="18"/>
              </w:rPr>
              <w:sym w:font="Wingdings" w:char="00A8"/>
            </w:r>
            <w:r>
              <w:rPr>
                <w:rFonts w:hint="eastAsia"/>
                <w:color w:val="auto"/>
                <w:sz w:val="18"/>
                <w:szCs w:val="18"/>
              </w:rPr>
              <w:t>；拟建</w:t>
            </w:r>
            <w:r>
              <w:rPr>
                <w:rFonts w:hint="eastAsia"/>
                <w:color w:val="auto"/>
                <w:sz w:val="18"/>
                <w:szCs w:val="18"/>
              </w:rPr>
              <w:sym w:font="Wingdings" w:char="00A8"/>
            </w:r>
            <w:r>
              <w:rPr>
                <w:rFonts w:hint="eastAsia"/>
                <w:color w:val="auto"/>
                <w:sz w:val="18"/>
                <w:szCs w:val="18"/>
              </w:rPr>
              <w:t>；其他</w:t>
            </w:r>
            <w:r>
              <w:rPr>
                <w:rFonts w:hint="eastAsia"/>
                <w:color w:val="auto"/>
                <w:sz w:val="18"/>
                <w:szCs w:val="18"/>
              </w:rPr>
              <w:sym w:font="Wingdings" w:char="00A8"/>
            </w:r>
          </w:p>
        </w:tc>
        <w:tc>
          <w:tcPr>
            <w:tcW w:w="1857"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拟替代污染源</w:t>
            </w:r>
            <w:r>
              <w:rPr>
                <w:rFonts w:hint="eastAsia"/>
                <w:color w:val="auto"/>
                <w:sz w:val="18"/>
                <w:szCs w:val="18"/>
              </w:rPr>
              <w:sym w:font="Wingdings" w:char="00A8"/>
            </w:r>
          </w:p>
        </w:tc>
        <w:tc>
          <w:tcPr>
            <w:tcW w:w="3716" w:type="dxa"/>
            <w:gridSpan w:val="3"/>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排污许可证</w:t>
            </w:r>
            <w:r>
              <w:rPr>
                <w:rFonts w:hint="eastAsia"/>
                <w:color w:val="auto"/>
                <w:sz w:val="18"/>
                <w:szCs w:val="18"/>
              </w:rPr>
              <w:sym w:font="Wingdings" w:char="00A8"/>
            </w:r>
            <w:r>
              <w:rPr>
                <w:rFonts w:hint="eastAsia"/>
                <w:color w:val="auto"/>
                <w:sz w:val="18"/>
                <w:szCs w:val="18"/>
              </w:rPr>
              <w:t>；环评</w:t>
            </w:r>
            <w:r>
              <w:rPr>
                <w:rFonts w:hint="eastAsia"/>
                <w:color w:val="auto"/>
                <w:sz w:val="18"/>
                <w:szCs w:val="18"/>
              </w:rPr>
              <w:sym w:font="Wingdings" w:char="00A8"/>
            </w:r>
            <w:r>
              <w:rPr>
                <w:rFonts w:hint="eastAsia"/>
                <w:color w:val="auto"/>
                <w:sz w:val="18"/>
                <w:szCs w:val="18"/>
              </w:rPr>
              <w:t>；环保验收</w:t>
            </w:r>
            <w:r>
              <w:rPr>
                <w:rFonts w:hint="eastAsia"/>
                <w:color w:val="auto"/>
                <w:sz w:val="18"/>
                <w:szCs w:val="18"/>
              </w:rPr>
              <w:sym w:font="Wingdings" w:char="00A8"/>
            </w:r>
            <w:r>
              <w:rPr>
                <w:rFonts w:hint="eastAsia"/>
                <w:color w:val="auto"/>
                <w:sz w:val="18"/>
                <w:szCs w:val="18"/>
              </w:rPr>
              <w:t>；既有实测</w:t>
            </w:r>
            <w:r>
              <w:rPr>
                <w:rFonts w:hint="eastAsia"/>
                <w:color w:val="auto"/>
                <w:sz w:val="18"/>
                <w:szCs w:val="18"/>
              </w:rPr>
              <w:sym w:font="Wingdings" w:char="00A8"/>
            </w:r>
            <w:r>
              <w:rPr>
                <w:rFonts w:hint="eastAsia"/>
                <w:color w:val="auto"/>
                <w:sz w:val="18"/>
                <w:szCs w:val="18"/>
              </w:rPr>
              <w:t>；现场检测</w:t>
            </w:r>
            <w:r>
              <w:rPr>
                <w:rFonts w:hint="eastAsia"/>
                <w:color w:val="auto"/>
                <w:sz w:val="18"/>
                <w:szCs w:val="18"/>
              </w:rPr>
              <w:sym w:font="Wingdings" w:char="00A8"/>
            </w:r>
            <w:r>
              <w:rPr>
                <w:rFonts w:hint="eastAsia"/>
                <w:color w:val="auto"/>
                <w:sz w:val="18"/>
                <w:szCs w:val="18"/>
              </w:rPr>
              <w:t>；入河排放口数据</w:t>
            </w:r>
            <w:r>
              <w:rPr>
                <w:rFonts w:hint="eastAsia"/>
                <w:color w:val="auto"/>
                <w:sz w:val="18"/>
                <w:szCs w:val="18"/>
              </w:rPr>
              <w:sym w:font="Wingdings" w:char="00A8"/>
            </w:r>
            <w:r>
              <w:rPr>
                <w:rFonts w:hint="eastAsia"/>
                <w:color w:val="auto"/>
                <w:sz w:val="18"/>
                <w:szCs w:val="18"/>
              </w:rPr>
              <w:t>；其他</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9" w:type="dxa"/>
            <w:gridSpan w:val="2"/>
            <w:vMerge w:val="continue"/>
            <w:tcBorders>
              <w:tl2br w:val="nil"/>
              <w:tr2bl w:val="nil"/>
            </w:tcBorders>
            <w:vAlign w:val="center"/>
          </w:tcPr>
          <w:p>
            <w:pPr>
              <w:spacing w:line="240" w:lineRule="auto"/>
              <w:ind w:firstLine="0" w:firstLineChars="0"/>
              <w:jc w:val="center"/>
              <w:rPr>
                <w:color w:val="auto"/>
                <w:sz w:val="18"/>
                <w:szCs w:val="18"/>
              </w:rPr>
            </w:pPr>
          </w:p>
        </w:tc>
        <w:tc>
          <w:tcPr>
            <w:tcW w:w="1051" w:type="dxa"/>
            <w:vMerge w:val="restart"/>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受环境水体水环境质量</w:t>
            </w:r>
          </w:p>
        </w:tc>
        <w:tc>
          <w:tcPr>
            <w:tcW w:w="3862" w:type="dxa"/>
            <w:gridSpan w:val="2"/>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调查时期</w:t>
            </w:r>
          </w:p>
        </w:tc>
        <w:tc>
          <w:tcPr>
            <w:tcW w:w="3716" w:type="dxa"/>
            <w:gridSpan w:val="3"/>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数据来源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9" w:type="dxa"/>
            <w:gridSpan w:val="2"/>
            <w:vMerge w:val="continue"/>
            <w:tcBorders>
              <w:tl2br w:val="nil"/>
              <w:tr2bl w:val="nil"/>
            </w:tcBorders>
            <w:vAlign w:val="center"/>
          </w:tcPr>
          <w:p>
            <w:pPr>
              <w:spacing w:line="240" w:lineRule="auto"/>
              <w:ind w:firstLine="0" w:firstLineChars="0"/>
              <w:jc w:val="center"/>
              <w:rPr>
                <w:color w:val="auto"/>
                <w:sz w:val="18"/>
                <w:szCs w:val="18"/>
              </w:rPr>
            </w:pPr>
          </w:p>
        </w:tc>
        <w:tc>
          <w:tcPr>
            <w:tcW w:w="1051" w:type="dxa"/>
            <w:vMerge w:val="continue"/>
            <w:tcBorders>
              <w:tl2br w:val="nil"/>
              <w:tr2bl w:val="nil"/>
            </w:tcBorders>
            <w:vAlign w:val="center"/>
          </w:tcPr>
          <w:p>
            <w:pPr>
              <w:spacing w:line="240" w:lineRule="auto"/>
              <w:ind w:firstLine="0" w:firstLineChars="0"/>
              <w:jc w:val="center"/>
              <w:rPr>
                <w:color w:val="auto"/>
                <w:sz w:val="18"/>
                <w:szCs w:val="18"/>
              </w:rPr>
            </w:pPr>
          </w:p>
        </w:tc>
        <w:tc>
          <w:tcPr>
            <w:tcW w:w="3862" w:type="dxa"/>
            <w:gridSpan w:val="2"/>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丰水期</w:t>
            </w:r>
            <w:r>
              <w:rPr>
                <w:rFonts w:hint="eastAsia"/>
                <w:color w:val="auto"/>
                <w:sz w:val="18"/>
                <w:szCs w:val="18"/>
              </w:rPr>
              <w:sym w:font="Wingdings" w:char="00A8"/>
            </w:r>
            <w:r>
              <w:rPr>
                <w:rFonts w:hint="eastAsia"/>
                <w:color w:val="auto"/>
                <w:sz w:val="18"/>
                <w:szCs w:val="18"/>
              </w:rPr>
              <w:t>；平水期</w:t>
            </w:r>
            <w:r>
              <w:rPr>
                <w:rFonts w:hint="eastAsia"/>
                <w:color w:val="auto"/>
                <w:sz w:val="18"/>
                <w:szCs w:val="18"/>
              </w:rPr>
              <w:sym w:font="Wingdings" w:char="00A8"/>
            </w:r>
            <w:r>
              <w:rPr>
                <w:rFonts w:hint="eastAsia"/>
                <w:color w:val="auto"/>
                <w:sz w:val="18"/>
                <w:szCs w:val="18"/>
              </w:rPr>
              <w:t>；枯水期</w:t>
            </w:r>
            <w:r>
              <w:rPr>
                <w:rFonts w:hint="eastAsia"/>
                <w:color w:val="auto"/>
                <w:sz w:val="18"/>
                <w:szCs w:val="18"/>
              </w:rPr>
              <w:sym w:font="Wingdings" w:char="00A8"/>
            </w:r>
            <w:r>
              <w:rPr>
                <w:rFonts w:hint="eastAsia"/>
                <w:color w:val="auto"/>
                <w:sz w:val="18"/>
                <w:szCs w:val="18"/>
              </w:rPr>
              <w:t>；冰封期</w:t>
            </w:r>
            <w:r>
              <w:rPr>
                <w:rFonts w:hint="eastAsia"/>
                <w:color w:val="auto"/>
                <w:sz w:val="18"/>
                <w:szCs w:val="18"/>
              </w:rPr>
              <w:sym w:font="Wingdings" w:char="00A8"/>
            </w:r>
            <w:r>
              <w:rPr>
                <w:rFonts w:hint="eastAsia"/>
                <w:color w:val="auto"/>
                <w:sz w:val="18"/>
                <w:szCs w:val="18"/>
              </w:rPr>
              <w:t>；春季</w:t>
            </w:r>
            <w:r>
              <w:rPr>
                <w:rFonts w:hint="eastAsia"/>
                <w:color w:val="auto"/>
                <w:sz w:val="18"/>
                <w:szCs w:val="18"/>
              </w:rPr>
              <w:sym w:font="Wingdings" w:char="00A8"/>
            </w:r>
            <w:r>
              <w:rPr>
                <w:rFonts w:hint="eastAsia"/>
                <w:color w:val="auto"/>
                <w:sz w:val="18"/>
                <w:szCs w:val="18"/>
              </w:rPr>
              <w:t>；夏季</w:t>
            </w:r>
            <w:r>
              <w:rPr>
                <w:rFonts w:hint="eastAsia"/>
                <w:color w:val="auto"/>
                <w:sz w:val="18"/>
                <w:szCs w:val="18"/>
              </w:rPr>
              <w:sym w:font="Wingdings" w:char="00A8"/>
            </w:r>
            <w:r>
              <w:rPr>
                <w:rFonts w:hint="eastAsia"/>
                <w:color w:val="auto"/>
                <w:sz w:val="18"/>
                <w:szCs w:val="18"/>
              </w:rPr>
              <w:t>；秋季</w:t>
            </w:r>
            <w:r>
              <w:rPr>
                <w:rFonts w:hint="eastAsia"/>
                <w:color w:val="auto"/>
                <w:sz w:val="18"/>
                <w:szCs w:val="18"/>
              </w:rPr>
              <w:sym w:font="Wingdings" w:char="00A8"/>
            </w:r>
            <w:r>
              <w:rPr>
                <w:rFonts w:hint="eastAsia"/>
                <w:color w:val="auto"/>
                <w:sz w:val="18"/>
                <w:szCs w:val="18"/>
              </w:rPr>
              <w:t>；冬季</w:t>
            </w:r>
            <w:r>
              <w:rPr>
                <w:rFonts w:hint="eastAsia"/>
                <w:color w:val="auto"/>
                <w:sz w:val="18"/>
                <w:szCs w:val="18"/>
              </w:rPr>
              <w:sym w:font="Wingdings" w:char="00A8"/>
            </w:r>
          </w:p>
        </w:tc>
        <w:tc>
          <w:tcPr>
            <w:tcW w:w="3716" w:type="dxa"/>
            <w:gridSpan w:val="3"/>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生态环境保护主管部门</w:t>
            </w:r>
            <w:r>
              <w:rPr>
                <w:rFonts w:hint="eastAsia"/>
                <w:color w:val="auto"/>
                <w:sz w:val="18"/>
                <w:szCs w:val="18"/>
              </w:rPr>
              <w:sym w:font="Wingdings" w:char="00A8"/>
            </w:r>
            <w:r>
              <w:rPr>
                <w:rFonts w:hint="eastAsia"/>
                <w:color w:val="auto"/>
                <w:sz w:val="18"/>
                <w:szCs w:val="18"/>
              </w:rPr>
              <w:t>；补充监测</w:t>
            </w:r>
            <w:r>
              <w:rPr>
                <w:rFonts w:hint="eastAsia"/>
                <w:color w:val="auto"/>
                <w:sz w:val="18"/>
                <w:szCs w:val="18"/>
              </w:rPr>
              <w:sym w:font="Wingdings" w:char="00A8"/>
            </w:r>
            <w:r>
              <w:rPr>
                <w:rFonts w:hint="eastAsia"/>
                <w:color w:val="auto"/>
                <w:sz w:val="18"/>
                <w:szCs w:val="18"/>
              </w:rPr>
              <w:t>；其他</w:t>
            </w:r>
            <w:r>
              <w:rPr>
                <w:rFonts w:hint="eastAsia"/>
                <w:color w:val="auto"/>
                <w:sz w:val="18"/>
                <w:szCs w:val="18"/>
              </w:rPr>
              <w:sym w:font="Wingdings" w:char="00A8"/>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9" w:type="dxa"/>
            <w:gridSpan w:val="2"/>
            <w:vMerge w:val="continue"/>
            <w:tcBorders>
              <w:tl2br w:val="nil"/>
              <w:tr2bl w:val="nil"/>
            </w:tcBorders>
            <w:vAlign w:val="center"/>
          </w:tcPr>
          <w:p>
            <w:pPr>
              <w:spacing w:line="240" w:lineRule="auto"/>
              <w:ind w:firstLine="0" w:firstLineChars="0"/>
              <w:jc w:val="center"/>
              <w:rPr>
                <w:color w:val="auto"/>
                <w:sz w:val="18"/>
                <w:szCs w:val="18"/>
              </w:rPr>
            </w:pPr>
          </w:p>
        </w:tc>
        <w:tc>
          <w:tcPr>
            <w:tcW w:w="1051"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区域水资源开发利用状况</w:t>
            </w:r>
          </w:p>
        </w:tc>
        <w:tc>
          <w:tcPr>
            <w:tcW w:w="7578" w:type="dxa"/>
            <w:gridSpan w:val="5"/>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未开发</w:t>
            </w:r>
            <w:r>
              <w:rPr>
                <w:rFonts w:hint="eastAsia"/>
                <w:color w:val="auto"/>
                <w:sz w:val="18"/>
                <w:szCs w:val="18"/>
              </w:rPr>
              <w:sym w:font="Wingdings" w:char="00A8"/>
            </w:r>
            <w:r>
              <w:rPr>
                <w:rFonts w:hint="eastAsia"/>
                <w:color w:val="auto"/>
                <w:sz w:val="18"/>
                <w:szCs w:val="18"/>
              </w:rPr>
              <w:t>；开发量40%以下</w:t>
            </w:r>
            <w:r>
              <w:rPr>
                <w:rFonts w:hint="eastAsia"/>
                <w:color w:val="auto"/>
                <w:sz w:val="18"/>
                <w:szCs w:val="18"/>
              </w:rPr>
              <w:sym w:font="Wingdings" w:char="00A8"/>
            </w:r>
            <w:r>
              <w:rPr>
                <w:rFonts w:hint="eastAsia"/>
                <w:color w:val="auto"/>
                <w:sz w:val="18"/>
                <w:szCs w:val="18"/>
              </w:rPr>
              <w:t>；开发量40%以上</w:t>
            </w:r>
            <w:r>
              <w:rPr>
                <w:rFonts w:hint="eastAsia"/>
                <w:color w:val="auto"/>
                <w:sz w:val="18"/>
                <w:szCs w:val="18"/>
              </w:rPr>
              <w:sym w:font="Wingdings" w:char="00A8"/>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9" w:type="dxa"/>
            <w:gridSpan w:val="2"/>
            <w:vMerge w:val="continue"/>
            <w:tcBorders>
              <w:tl2br w:val="nil"/>
              <w:tr2bl w:val="nil"/>
            </w:tcBorders>
            <w:vAlign w:val="center"/>
          </w:tcPr>
          <w:p>
            <w:pPr>
              <w:spacing w:line="240" w:lineRule="auto"/>
              <w:ind w:firstLine="0" w:firstLineChars="0"/>
              <w:jc w:val="center"/>
              <w:rPr>
                <w:color w:val="auto"/>
                <w:sz w:val="18"/>
                <w:szCs w:val="18"/>
              </w:rPr>
            </w:pPr>
          </w:p>
        </w:tc>
        <w:tc>
          <w:tcPr>
            <w:tcW w:w="1051" w:type="dxa"/>
            <w:vMerge w:val="restart"/>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水文情势调查</w:t>
            </w:r>
          </w:p>
        </w:tc>
        <w:tc>
          <w:tcPr>
            <w:tcW w:w="3862" w:type="dxa"/>
            <w:gridSpan w:val="2"/>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调查时期</w:t>
            </w:r>
          </w:p>
        </w:tc>
        <w:tc>
          <w:tcPr>
            <w:tcW w:w="3716" w:type="dxa"/>
            <w:gridSpan w:val="3"/>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数据来源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9" w:type="dxa"/>
            <w:gridSpan w:val="2"/>
            <w:vMerge w:val="continue"/>
            <w:tcBorders>
              <w:tl2br w:val="nil"/>
              <w:tr2bl w:val="nil"/>
            </w:tcBorders>
            <w:vAlign w:val="center"/>
          </w:tcPr>
          <w:p>
            <w:pPr>
              <w:spacing w:line="240" w:lineRule="auto"/>
              <w:ind w:firstLine="0" w:firstLineChars="0"/>
              <w:jc w:val="center"/>
              <w:rPr>
                <w:color w:val="auto"/>
                <w:sz w:val="18"/>
                <w:szCs w:val="18"/>
              </w:rPr>
            </w:pPr>
          </w:p>
        </w:tc>
        <w:tc>
          <w:tcPr>
            <w:tcW w:w="1051" w:type="dxa"/>
            <w:vMerge w:val="continue"/>
            <w:tcBorders>
              <w:tl2br w:val="nil"/>
              <w:tr2bl w:val="nil"/>
            </w:tcBorders>
            <w:vAlign w:val="center"/>
          </w:tcPr>
          <w:p>
            <w:pPr>
              <w:spacing w:line="240" w:lineRule="auto"/>
              <w:ind w:firstLine="0" w:firstLineChars="0"/>
              <w:jc w:val="center"/>
              <w:rPr>
                <w:color w:val="auto"/>
                <w:sz w:val="18"/>
                <w:szCs w:val="18"/>
              </w:rPr>
            </w:pPr>
          </w:p>
        </w:tc>
        <w:tc>
          <w:tcPr>
            <w:tcW w:w="3862" w:type="dxa"/>
            <w:gridSpan w:val="2"/>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丰水期</w:t>
            </w:r>
            <w:r>
              <w:rPr>
                <w:rFonts w:hint="eastAsia"/>
                <w:color w:val="auto"/>
                <w:sz w:val="18"/>
                <w:szCs w:val="18"/>
              </w:rPr>
              <w:sym w:font="Wingdings" w:char="00A8"/>
            </w:r>
            <w:r>
              <w:rPr>
                <w:rFonts w:hint="eastAsia"/>
                <w:color w:val="auto"/>
                <w:sz w:val="18"/>
                <w:szCs w:val="18"/>
              </w:rPr>
              <w:t>；平水期</w:t>
            </w:r>
            <w:r>
              <w:rPr>
                <w:rFonts w:hint="eastAsia"/>
                <w:color w:val="auto"/>
                <w:sz w:val="18"/>
                <w:szCs w:val="18"/>
              </w:rPr>
              <w:sym w:font="Wingdings" w:char="00A8"/>
            </w:r>
            <w:r>
              <w:rPr>
                <w:rFonts w:hint="eastAsia"/>
                <w:color w:val="auto"/>
                <w:sz w:val="18"/>
                <w:szCs w:val="18"/>
              </w:rPr>
              <w:t>；枯水期</w:t>
            </w:r>
            <w:r>
              <w:rPr>
                <w:rFonts w:hint="eastAsia"/>
                <w:color w:val="auto"/>
                <w:sz w:val="18"/>
                <w:szCs w:val="18"/>
              </w:rPr>
              <w:sym w:font="Wingdings" w:char="00A8"/>
            </w:r>
            <w:r>
              <w:rPr>
                <w:rFonts w:hint="eastAsia"/>
                <w:color w:val="auto"/>
                <w:sz w:val="18"/>
                <w:szCs w:val="18"/>
              </w:rPr>
              <w:t>；冰封期</w:t>
            </w:r>
            <w:r>
              <w:rPr>
                <w:rFonts w:hint="eastAsia"/>
                <w:color w:val="auto"/>
                <w:sz w:val="18"/>
                <w:szCs w:val="18"/>
              </w:rPr>
              <w:sym w:font="Wingdings" w:char="00A8"/>
            </w:r>
            <w:r>
              <w:rPr>
                <w:rFonts w:hint="eastAsia"/>
                <w:color w:val="auto"/>
                <w:sz w:val="18"/>
                <w:szCs w:val="18"/>
              </w:rPr>
              <w:t>；春季</w:t>
            </w:r>
            <w:r>
              <w:rPr>
                <w:rFonts w:hint="eastAsia"/>
                <w:color w:val="auto"/>
                <w:sz w:val="18"/>
                <w:szCs w:val="18"/>
              </w:rPr>
              <w:sym w:font="Wingdings" w:char="00A8"/>
            </w:r>
            <w:r>
              <w:rPr>
                <w:rFonts w:hint="eastAsia"/>
                <w:color w:val="auto"/>
                <w:sz w:val="18"/>
                <w:szCs w:val="18"/>
              </w:rPr>
              <w:t>；夏季</w:t>
            </w:r>
            <w:r>
              <w:rPr>
                <w:rFonts w:hint="eastAsia"/>
                <w:color w:val="auto"/>
                <w:sz w:val="18"/>
                <w:szCs w:val="18"/>
              </w:rPr>
              <w:sym w:font="Wingdings" w:char="00A8"/>
            </w:r>
            <w:r>
              <w:rPr>
                <w:rFonts w:hint="eastAsia"/>
                <w:color w:val="auto"/>
                <w:sz w:val="18"/>
                <w:szCs w:val="18"/>
              </w:rPr>
              <w:t>；秋季</w:t>
            </w:r>
            <w:r>
              <w:rPr>
                <w:rFonts w:hint="eastAsia"/>
                <w:color w:val="auto"/>
                <w:sz w:val="18"/>
                <w:szCs w:val="18"/>
              </w:rPr>
              <w:sym w:font="Wingdings" w:char="00A8"/>
            </w:r>
            <w:r>
              <w:rPr>
                <w:rFonts w:hint="eastAsia"/>
                <w:color w:val="auto"/>
                <w:sz w:val="18"/>
                <w:szCs w:val="18"/>
              </w:rPr>
              <w:t>；冬季</w:t>
            </w:r>
            <w:r>
              <w:rPr>
                <w:rFonts w:hint="eastAsia"/>
                <w:color w:val="auto"/>
                <w:sz w:val="18"/>
                <w:szCs w:val="18"/>
              </w:rPr>
              <w:sym w:font="Wingdings" w:char="00A8"/>
            </w:r>
          </w:p>
        </w:tc>
        <w:tc>
          <w:tcPr>
            <w:tcW w:w="3716" w:type="dxa"/>
            <w:gridSpan w:val="3"/>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生态环境保护主管部门</w:t>
            </w:r>
            <w:r>
              <w:rPr>
                <w:rFonts w:hint="eastAsia"/>
                <w:color w:val="auto"/>
                <w:sz w:val="18"/>
                <w:szCs w:val="18"/>
              </w:rPr>
              <w:sym w:font="Wingdings" w:char="00FE"/>
            </w:r>
            <w:r>
              <w:rPr>
                <w:rFonts w:hint="eastAsia"/>
                <w:color w:val="auto"/>
                <w:sz w:val="18"/>
                <w:szCs w:val="18"/>
              </w:rPr>
              <w:t>；补充监测</w:t>
            </w:r>
            <w:r>
              <w:rPr>
                <w:rFonts w:hint="eastAsia"/>
                <w:color w:val="auto"/>
                <w:sz w:val="18"/>
                <w:szCs w:val="18"/>
              </w:rPr>
              <w:sym w:font="Wingdings" w:char="00A8"/>
            </w:r>
            <w:r>
              <w:rPr>
                <w:rFonts w:hint="eastAsia"/>
                <w:color w:val="auto"/>
                <w:sz w:val="18"/>
                <w:szCs w:val="18"/>
              </w:rPr>
              <w:t>；其他</w:t>
            </w:r>
            <w:r>
              <w:rPr>
                <w:rFonts w:hint="eastAsia"/>
                <w:color w:val="auto"/>
                <w:sz w:val="18"/>
                <w:szCs w:val="18"/>
              </w:rPr>
              <w:sym w:font="Wingdings" w:char="00A8"/>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trPr>
        <w:tc>
          <w:tcPr>
            <w:tcW w:w="659" w:type="dxa"/>
            <w:gridSpan w:val="2"/>
            <w:vMerge w:val="continue"/>
            <w:tcBorders>
              <w:tl2br w:val="nil"/>
              <w:tr2bl w:val="nil"/>
            </w:tcBorders>
            <w:vAlign w:val="center"/>
          </w:tcPr>
          <w:p>
            <w:pPr>
              <w:spacing w:line="240" w:lineRule="auto"/>
              <w:ind w:firstLine="0" w:firstLineChars="0"/>
              <w:jc w:val="center"/>
              <w:rPr>
                <w:color w:val="auto"/>
                <w:sz w:val="18"/>
                <w:szCs w:val="18"/>
              </w:rPr>
            </w:pPr>
          </w:p>
        </w:tc>
        <w:tc>
          <w:tcPr>
            <w:tcW w:w="1051" w:type="dxa"/>
            <w:vMerge w:val="restart"/>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补充监测</w:t>
            </w:r>
          </w:p>
        </w:tc>
        <w:tc>
          <w:tcPr>
            <w:tcW w:w="3862" w:type="dxa"/>
            <w:gridSpan w:val="2"/>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监测时期</w:t>
            </w:r>
          </w:p>
        </w:tc>
        <w:tc>
          <w:tcPr>
            <w:tcW w:w="2591" w:type="dxa"/>
            <w:gridSpan w:val="2"/>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监测因子</w:t>
            </w:r>
          </w:p>
        </w:tc>
        <w:tc>
          <w:tcPr>
            <w:tcW w:w="1125"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监测断面或点数</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659" w:type="dxa"/>
            <w:gridSpan w:val="2"/>
            <w:vMerge w:val="continue"/>
            <w:tcBorders>
              <w:tl2br w:val="nil"/>
              <w:tr2bl w:val="nil"/>
            </w:tcBorders>
            <w:vAlign w:val="center"/>
          </w:tcPr>
          <w:p>
            <w:pPr>
              <w:spacing w:line="240" w:lineRule="auto"/>
              <w:ind w:firstLine="0" w:firstLineChars="0"/>
              <w:jc w:val="center"/>
              <w:rPr>
                <w:color w:val="auto"/>
                <w:sz w:val="18"/>
                <w:szCs w:val="18"/>
              </w:rPr>
            </w:pPr>
          </w:p>
        </w:tc>
        <w:tc>
          <w:tcPr>
            <w:tcW w:w="1051" w:type="dxa"/>
            <w:vMerge w:val="continue"/>
            <w:tcBorders>
              <w:tl2br w:val="nil"/>
              <w:tr2bl w:val="nil"/>
            </w:tcBorders>
            <w:vAlign w:val="center"/>
          </w:tcPr>
          <w:p>
            <w:pPr>
              <w:spacing w:line="240" w:lineRule="auto"/>
              <w:ind w:firstLine="0" w:firstLineChars="0"/>
              <w:jc w:val="center"/>
              <w:rPr>
                <w:color w:val="auto"/>
                <w:sz w:val="18"/>
                <w:szCs w:val="18"/>
              </w:rPr>
            </w:pPr>
          </w:p>
        </w:tc>
        <w:tc>
          <w:tcPr>
            <w:tcW w:w="3862" w:type="dxa"/>
            <w:gridSpan w:val="2"/>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丰水期</w:t>
            </w:r>
            <w:r>
              <w:rPr>
                <w:rFonts w:hint="eastAsia"/>
                <w:color w:val="auto"/>
                <w:sz w:val="18"/>
                <w:szCs w:val="18"/>
              </w:rPr>
              <w:sym w:font="Wingdings" w:char="00A8"/>
            </w:r>
            <w:r>
              <w:rPr>
                <w:rFonts w:hint="eastAsia"/>
                <w:color w:val="auto"/>
                <w:sz w:val="18"/>
                <w:szCs w:val="18"/>
              </w:rPr>
              <w:t>；平水期</w:t>
            </w:r>
            <w:r>
              <w:rPr>
                <w:rFonts w:hint="eastAsia"/>
                <w:color w:val="auto"/>
                <w:sz w:val="18"/>
                <w:szCs w:val="18"/>
              </w:rPr>
              <w:sym w:font="Wingdings" w:char="00A8"/>
            </w:r>
            <w:r>
              <w:rPr>
                <w:rFonts w:hint="eastAsia"/>
                <w:color w:val="auto"/>
                <w:sz w:val="18"/>
                <w:szCs w:val="18"/>
              </w:rPr>
              <w:t>；枯水期</w:t>
            </w:r>
            <w:r>
              <w:rPr>
                <w:rFonts w:hint="eastAsia"/>
                <w:color w:val="auto"/>
                <w:sz w:val="18"/>
                <w:szCs w:val="18"/>
              </w:rPr>
              <w:sym w:font="Wingdings" w:char="00A8"/>
            </w:r>
            <w:r>
              <w:rPr>
                <w:rFonts w:hint="eastAsia"/>
                <w:color w:val="auto"/>
                <w:sz w:val="18"/>
                <w:szCs w:val="18"/>
              </w:rPr>
              <w:t>；冰封期</w:t>
            </w:r>
            <w:r>
              <w:rPr>
                <w:rFonts w:hint="eastAsia"/>
                <w:color w:val="auto"/>
                <w:sz w:val="18"/>
                <w:szCs w:val="18"/>
              </w:rPr>
              <w:sym w:font="Wingdings" w:char="00A8"/>
            </w:r>
            <w:r>
              <w:rPr>
                <w:rFonts w:hint="eastAsia"/>
                <w:color w:val="auto"/>
                <w:sz w:val="18"/>
                <w:szCs w:val="18"/>
              </w:rPr>
              <w:t>；春季</w:t>
            </w:r>
            <w:r>
              <w:rPr>
                <w:rFonts w:hint="eastAsia"/>
                <w:color w:val="auto"/>
                <w:sz w:val="18"/>
                <w:szCs w:val="18"/>
              </w:rPr>
              <w:sym w:font="Wingdings" w:char="00A8"/>
            </w:r>
            <w:r>
              <w:rPr>
                <w:rFonts w:hint="eastAsia"/>
                <w:color w:val="auto"/>
                <w:sz w:val="18"/>
                <w:szCs w:val="18"/>
              </w:rPr>
              <w:t>；夏季</w:t>
            </w:r>
            <w:r>
              <w:rPr>
                <w:rFonts w:hint="eastAsia"/>
                <w:color w:val="auto"/>
                <w:sz w:val="18"/>
                <w:szCs w:val="18"/>
              </w:rPr>
              <w:sym w:font="Wingdings" w:char="00A8"/>
            </w:r>
            <w:r>
              <w:rPr>
                <w:rFonts w:hint="eastAsia"/>
                <w:color w:val="auto"/>
                <w:sz w:val="18"/>
                <w:szCs w:val="18"/>
              </w:rPr>
              <w:t>；秋季</w:t>
            </w:r>
            <w:r>
              <w:rPr>
                <w:rFonts w:hint="eastAsia"/>
                <w:color w:val="auto"/>
                <w:sz w:val="18"/>
                <w:szCs w:val="18"/>
              </w:rPr>
              <w:sym w:font="Wingdings" w:char="00A8"/>
            </w:r>
            <w:r>
              <w:rPr>
                <w:rFonts w:hint="eastAsia"/>
                <w:color w:val="auto"/>
                <w:sz w:val="18"/>
                <w:szCs w:val="18"/>
              </w:rPr>
              <w:t>；冬季</w:t>
            </w:r>
            <w:r>
              <w:rPr>
                <w:rFonts w:hint="eastAsia"/>
                <w:color w:val="auto"/>
                <w:sz w:val="18"/>
                <w:szCs w:val="18"/>
              </w:rPr>
              <w:sym w:font="Wingdings" w:char="00A8"/>
            </w:r>
          </w:p>
        </w:tc>
        <w:tc>
          <w:tcPr>
            <w:tcW w:w="2591" w:type="dxa"/>
            <w:gridSpan w:val="2"/>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w:t>
            </w:r>
          </w:p>
        </w:tc>
        <w:tc>
          <w:tcPr>
            <w:tcW w:w="1125"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9" w:type="dxa"/>
            <w:gridSpan w:val="2"/>
            <w:vMerge w:val="restart"/>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现状评价</w:t>
            </w:r>
          </w:p>
        </w:tc>
        <w:tc>
          <w:tcPr>
            <w:tcW w:w="1051"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评价范围</w:t>
            </w:r>
          </w:p>
        </w:tc>
        <w:tc>
          <w:tcPr>
            <w:tcW w:w="7578" w:type="dxa"/>
            <w:gridSpan w:val="5"/>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9" w:type="dxa"/>
            <w:gridSpan w:val="2"/>
            <w:vMerge w:val="continue"/>
            <w:tcBorders>
              <w:tl2br w:val="nil"/>
              <w:tr2bl w:val="nil"/>
            </w:tcBorders>
            <w:vAlign w:val="center"/>
          </w:tcPr>
          <w:p>
            <w:pPr>
              <w:spacing w:line="240" w:lineRule="auto"/>
              <w:ind w:firstLine="0" w:firstLineChars="0"/>
              <w:jc w:val="center"/>
              <w:rPr>
                <w:color w:val="auto"/>
                <w:sz w:val="18"/>
                <w:szCs w:val="18"/>
              </w:rPr>
            </w:pPr>
          </w:p>
        </w:tc>
        <w:tc>
          <w:tcPr>
            <w:tcW w:w="1051"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评价因子</w:t>
            </w:r>
          </w:p>
        </w:tc>
        <w:tc>
          <w:tcPr>
            <w:tcW w:w="7578" w:type="dxa"/>
            <w:gridSpan w:val="5"/>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9" w:type="dxa"/>
            <w:gridSpan w:val="2"/>
            <w:vMerge w:val="continue"/>
            <w:tcBorders>
              <w:tl2br w:val="nil"/>
              <w:tr2bl w:val="nil"/>
            </w:tcBorders>
            <w:vAlign w:val="center"/>
          </w:tcPr>
          <w:p>
            <w:pPr>
              <w:spacing w:line="240" w:lineRule="auto"/>
              <w:ind w:firstLine="0" w:firstLineChars="0"/>
              <w:jc w:val="center"/>
              <w:rPr>
                <w:color w:val="auto"/>
                <w:sz w:val="18"/>
                <w:szCs w:val="18"/>
              </w:rPr>
            </w:pPr>
          </w:p>
        </w:tc>
        <w:tc>
          <w:tcPr>
            <w:tcW w:w="1051"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评价标准</w:t>
            </w:r>
          </w:p>
        </w:tc>
        <w:tc>
          <w:tcPr>
            <w:tcW w:w="7578" w:type="dxa"/>
            <w:gridSpan w:val="5"/>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河流、湖库、河口：I类</w:t>
            </w:r>
            <w:r>
              <w:rPr>
                <w:rFonts w:hint="eastAsia"/>
                <w:color w:val="auto"/>
                <w:sz w:val="18"/>
                <w:szCs w:val="18"/>
              </w:rPr>
              <w:sym w:font="Wingdings" w:char="00A8"/>
            </w:r>
            <w:r>
              <w:rPr>
                <w:rFonts w:hint="eastAsia"/>
                <w:color w:val="auto"/>
                <w:sz w:val="18"/>
                <w:szCs w:val="18"/>
              </w:rPr>
              <w:t>；II</w:t>
            </w:r>
            <w:r>
              <w:rPr>
                <w:rFonts w:hint="eastAsia"/>
                <w:color w:val="auto"/>
                <w:sz w:val="18"/>
                <w:szCs w:val="18"/>
              </w:rPr>
              <w:sym w:font="Wingdings" w:char="00A8"/>
            </w:r>
            <w:r>
              <w:rPr>
                <w:rFonts w:hint="eastAsia"/>
                <w:color w:val="auto"/>
                <w:sz w:val="18"/>
                <w:szCs w:val="18"/>
              </w:rPr>
              <w:t>；III</w:t>
            </w:r>
            <w:r>
              <w:rPr>
                <w:rFonts w:hint="eastAsia"/>
                <w:color w:val="auto"/>
                <w:sz w:val="18"/>
                <w:szCs w:val="18"/>
              </w:rPr>
              <w:sym w:font="Wingdings" w:char="00A8"/>
            </w:r>
            <w:r>
              <w:rPr>
                <w:rFonts w:hint="eastAsia"/>
                <w:color w:val="auto"/>
                <w:sz w:val="18"/>
                <w:szCs w:val="18"/>
              </w:rPr>
              <w:t>；IV</w:t>
            </w:r>
            <w:r>
              <w:rPr>
                <w:rFonts w:hint="eastAsia"/>
                <w:color w:val="auto"/>
                <w:sz w:val="18"/>
                <w:szCs w:val="18"/>
              </w:rPr>
              <w:sym w:font="Wingdings" w:char="00A8"/>
            </w:r>
            <w:r>
              <w:rPr>
                <w:rFonts w:hint="eastAsia"/>
                <w:color w:val="auto"/>
                <w:sz w:val="18"/>
                <w:szCs w:val="18"/>
              </w:rPr>
              <w:t>；V</w:t>
            </w:r>
            <w:r>
              <w:rPr>
                <w:rFonts w:hint="eastAsia"/>
                <w:color w:val="auto"/>
                <w:sz w:val="18"/>
                <w:szCs w:val="18"/>
              </w:rPr>
              <w:sym w:font="Wingdings" w:char="00A8"/>
            </w:r>
            <w:r>
              <w:rPr>
                <w:rFonts w:hint="eastAsia"/>
                <w:color w:val="auto"/>
                <w:sz w:val="18"/>
                <w:szCs w:val="18"/>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9" w:type="dxa"/>
            <w:gridSpan w:val="2"/>
            <w:vMerge w:val="continue"/>
            <w:tcBorders>
              <w:tl2br w:val="nil"/>
              <w:tr2bl w:val="nil"/>
            </w:tcBorders>
            <w:vAlign w:val="center"/>
          </w:tcPr>
          <w:p>
            <w:pPr>
              <w:spacing w:line="240" w:lineRule="auto"/>
              <w:ind w:firstLine="0" w:firstLineChars="0"/>
              <w:jc w:val="center"/>
              <w:rPr>
                <w:color w:val="auto"/>
                <w:sz w:val="18"/>
                <w:szCs w:val="18"/>
              </w:rPr>
            </w:pPr>
          </w:p>
        </w:tc>
        <w:tc>
          <w:tcPr>
            <w:tcW w:w="1051"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评价时期</w:t>
            </w:r>
          </w:p>
        </w:tc>
        <w:tc>
          <w:tcPr>
            <w:tcW w:w="7578" w:type="dxa"/>
            <w:gridSpan w:val="5"/>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丰水期</w:t>
            </w:r>
            <w:r>
              <w:rPr>
                <w:rFonts w:hint="eastAsia"/>
                <w:color w:val="auto"/>
                <w:sz w:val="18"/>
                <w:szCs w:val="18"/>
              </w:rPr>
              <w:sym w:font="Wingdings" w:char="00A8"/>
            </w:r>
            <w:r>
              <w:rPr>
                <w:rFonts w:hint="eastAsia"/>
                <w:color w:val="auto"/>
                <w:sz w:val="18"/>
                <w:szCs w:val="18"/>
              </w:rPr>
              <w:t>；平水期</w:t>
            </w:r>
            <w:r>
              <w:rPr>
                <w:rFonts w:hint="eastAsia"/>
                <w:color w:val="auto"/>
                <w:sz w:val="18"/>
                <w:szCs w:val="18"/>
              </w:rPr>
              <w:sym w:font="Wingdings" w:char="00FE"/>
            </w:r>
            <w:r>
              <w:rPr>
                <w:rFonts w:hint="eastAsia"/>
                <w:color w:val="auto"/>
                <w:sz w:val="18"/>
                <w:szCs w:val="18"/>
              </w:rPr>
              <w:t>；枯水期</w:t>
            </w:r>
            <w:r>
              <w:rPr>
                <w:rFonts w:hint="eastAsia"/>
                <w:color w:val="auto"/>
                <w:sz w:val="18"/>
                <w:szCs w:val="18"/>
              </w:rPr>
              <w:sym w:font="Wingdings" w:char="00A8"/>
            </w:r>
            <w:r>
              <w:rPr>
                <w:rFonts w:hint="eastAsia"/>
                <w:color w:val="auto"/>
                <w:sz w:val="18"/>
                <w:szCs w:val="18"/>
              </w:rPr>
              <w:t>；冰封期</w:t>
            </w:r>
            <w:r>
              <w:rPr>
                <w:rFonts w:hint="eastAsia"/>
                <w:color w:val="auto"/>
                <w:sz w:val="18"/>
                <w:szCs w:val="18"/>
              </w:rPr>
              <w:sym w:font="Wingdings" w:char="00A8"/>
            </w:r>
            <w:r>
              <w:rPr>
                <w:rFonts w:hint="eastAsia"/>
                <w:color w:val="auto"/>
                <w:sz w:val="18"/>
                <w:szCs w:val="18"/>
              </w:rPr>
              <w:t>；春季</w:t>
            </w:r>
            <w:r>
              <w:rPr>
                <w:rFonts w:hint="eastAsia"/>
                <w:color w:val="auto"/>
                <w:sz w:val="18"/>
                <w:szCs w:val="18"/>
              </w:rPr>
              <w:sym w:font="Wingdings" w:char="00A8"/>
            </w:r>
            <w:r>
              <w:rPr>
                <w:rFonts w:hint="eastAsia"/>
                <w:color w:val="auto"/>
                <w:sz w:val="18"/>
                <w:szCs w:val="18"/>
              </w:rPr>
              <w:t>；夏季</w:t>
            </w:r>
            <w:r>
              <w:rPr>
                <w:rFonts w:hint="eastAsia"/>
                <w:color w:val="auto"/>
                <w:sz w:val="18"/>
                <w:szCs w:val="18"/>
              </w:rPr>
              <w:sym w:font="Wingdings" w:char="00A8"/>
            </w:r>
            <w:r>
              <w:rPr>
                <w:rFonts w:hint="eastAsia"/>
                <w:color w:val="auto"/>
                <w:sz w:val="18"/>
                <w:szCs w:val="18"/>
              </w:rPr>
              <w:t>；秋季</w:t>
            </w:r>
            <w:r>
              <w:rPr>
                <w:rFonts w:hint="eastAsia"/>
                <w:color w:val="auto"/>
                <w:sz w:val="18"/>
                <w:szCs w:val="18"/>
              </w:rPr>
              <w:sym w:font="Wingdings" w:char="00A8"/>
            </w:r>
            <w:r>
              <w:rPr>
                <w:rFonts w:hint="eastAsia"/>
                <w:color w:val="auto"/>
                <w:sz w:val="18"/>
                <w:szCs w:val="18"/>
              </w:rPr>
              <w:t>；冬季</w:t>
            </w:r>
            <w:r>
              <w:rPr>
                <w:rFonts w:hint="eastAsia"/>
                <w:color w:val="auto"/>
                <w:sz w:val="18"/>
                <w:szCs w:val="18"/>
              </w:rPr>
              <w:sym w:font="Wingdings" w:char="00A8"/>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9" w:type="dxa"/>
            <w:gridSpan w:val="2"/>
            <w:vMerge w:val="continue"/>
            <w:tcBorders>
              <w:tl2br w:val="nil"/>
              <w:tr2bl w:val="nil"/>
            </w:tcBorders>
            <w:vAlign w:val="center"/>
          </w:tcPr>
          <w:p>
            <w:pPr>
              <w:spacing w:line="240" w:lineRule="auto"/>
              <w:ind w:firstLine="0" w:firstLineChars="0"/>
              <w:jc w:val="center"/>
              <w:rPr>
                <w:color w:val="auto"/>
                <w:sz w:val="18"/>
                <w:szCs w:val="18"/>
              </w:rPr>
            </w:pPr>
          </w:p>
        </w:tc>
        <w:tc>
          <w:tcPr>
            <w:tcW w:w="1051"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评价结论</w:t>
            </w:r>
          </w:p>
        </w:tc>
        <w:tc>
          <w:tcPr>
            <w:tcW w:w="6453" w:type="dxa"/>
            <w:gridSpan w:val="4"/>
            <w:tcBorders>
              <w:tl2br w:val="nil"/>
              <w:tr2bl w:val="nil"/>
            </w:tcBorders>
            <w:vAlign w:val="center"/>
          </w:tcPr>
          <w:p>
            <w:pPr>
              <w:spacing w:line="240" w:lineRule="auto"/>
              <w:ind w:firstLine="0" w:firstLineChars="0"/>
              <w:jc w:val="left"/>
              <w:rPr>
                <w:color w:val="auto"/>
                <w:sz w:val="18"/>
                <w:szCs w:val="18"/>
              </w:rPr>
            </w:pPr>
            <w:r>
              <w:rPr>
                <w:rFonts w:hint="eastAsia"/>
                <w:color w:val="auto"/>
                <w:sz w:val="18"/>
                <w:szCs w:val="18"/>
              </w:rPr>
              <w:t>水环境功能区、近岸海域环境功能区水质达标状况丰水期</w:t>
            </w:r>
            <w:r>
              <w:rPr>
                <w:rFonts w:hint="eastAsia"/>
                <w:color w:val="auto"/>
                <w:sz w:val="18"/>
                <w:szCs w:val="18"/>
              </w:rPr>
              <w:sym w:font="Wingdings" w:char="00A8"/>
            </w:r>
            <w:r>
              <w:rPr>
                <w:rFonts w:hint="eastAsia"/>
                <w:color w:val="auto"/>
                <w:sz w:val="18"/>
                <w:szCs w:val="18"/>
              </w:rPr>
              <w:t>；达标</w:t>
            </w:r>
            <w:r>
              <w:rPr>
                <w:rFonts w:hint="eastAsia"/>
                <w:color w:val="auto"/>
                <w:sz w:val="18"/>
                <w:szCs w:val="18"/>
              </w:rPr>
              <w:sym w:font="Wingdings" w:char="00A8"/>
            </w:r>
            <w:r>
              <w:rPr>
                <w:rFonts w:hint="eastAsia"/>
                <w:color w:val="auto"/>
                <w:sz w:val="18"/>
                <w:szCs w:val="18"/>
              </w:rPr>
              <w:t>、不达标</w:t>
            </w:r>
            <w:r>
              <w:rPr>
                <w:rFonts w:hint="eastAsia"/>
                <w:color w:val="auto"/>
                <w:sz w:val="18"/>
                <w:szCs w:val="18"/>
              </w:rPr>
              <w:sym w:font="Wingdings" w:char="00A8"/>
            </w:r>
          </w:p>
          <w:p>
            <w:pPr>
              <w:spacing w:line="240" w:lineRule="auto"/>
              <w:ind w:firstLine="0" w:firstLineChars="0"/>
              <w:jc w:val="left"/>
              <w:rPr>
                <w:color w:val="auto"/>
                <w:sz w:val="18"/>
                <w:szCs w:val="18"/>
              </w:rPr>
            </w:pPr>
            <w:r>
              <w:rPr>
                <w:rFonts w:hint="eastAsia"/>
                <w:color w:val="auto"/>
                <w:sz w:val="18"/>
                <w:szCs w:val="18"/>
              </w:rPr>
              <w:t>水环境控制单元或断面水质达标状况</w:t>
            </w:r>
            <w:r>
              <w:rPr>
                <w:rFonts w:hint="eastAsia"/>
                <w:color w:val="auto"/>
                <w:sz w:val="18"/>
                <w:szCs w:val="18"/>
              </w:rPr>
              <w:sym w:font="Wingdings" w:char="00FE"/>
            </w:r>
            <w:r>
              <w:rPr>
                <w:rFonts w:hint="eastAsia"/>
                <w:color w:val="auto"/>
                <w:sz w:val="18"/>
                <w:szCs w:val="18"/>
              </w:rPr>
              <w:t>；达标</w:t>
            </w:r>
            <w:r>
              <w:rPr>
                <w:rFonts w:hint="eastAsia"/>
                <w:color w:val="auto"/>
                <w:sz w:val="18"/>
                <w:szCs w:val="18"/>
              </w:rPr>
              <w:sym w:font="Wingdings" w:char="00FE"/>
            </w:r>
            <w:r>
              <w:rPr>
                <w:rFonts w:hint="eastAsia"/>
                <w:color w:val="auto"/>
                <w:sz w:val="18"/>
                <w:szCs w:val="18"/>
              </w:rPr>
              <w:t>、不达标</w:t>
            </w:r>
            <w:r>
              <w:rPr>
                <w:rFonts w:hint="eastAsia"/>
                <w:color w:val="auto"/>
                <w:sz w:val="18"/>
                <w:szCs w:val="18"/>
              </w:rPr>
              <w:sym w:font="Wingdings" w:char="00A8"/>
            </w:r>
          </w:p>
          <w:p>
            <w:pPr>
              <w:spacing w:line="240" w:lineRule="auto"/>
              <w:ind w:firstLine="0" w:firstLineChars="0"/>
              <w:jc w:val="left"/>
              <w:rPr>
                <w:color w:val="auto"/>
                <w:sz w:val="18"/>
                <w:szCs w:val="18"/>
              </w:rPr>
            </w:pPr>
            <w:r>
              <w:rPr>
                <w:rFonts w:hint="eastAsia"/>
                <w:color w:val="auto"/>
                <w:sz w:val="18"/>
                <w:szCs w:val="18"/>
              </w:rPr>
              <w:t>水环境保护目标质量状况</w:t>
            </w:r>
            <w:r>
              <w:rPr>
                <w:rFonts w:hint="eastAsia"/>
                <w:color w:val="auto"/>
                <w:sz w:val="18"/>
                <w:szCs w:val="18"/>
              </w:rPr>
              <w:sym w:font="Wingdings" w:char="00A8"/>
            </w:r>
            <w:r>
              <w:rPr>
                <w:rFonts w:hint="eastAsia"/>
                <w:color w:val="auto"/>
                <w:sz w:val="18"/>
                <w:szCs w:val="18"/>
              </w:rPr>
              <w:t>；达标</w:t>
            </w:r>
            <w:r>
              <w:rPr>
                <w:rFonts w:hint="eastAsia"/>
                <w:color w:val="auto"/>
                <w:sz w:val="18"/>
                <w:szCs w:val="18"/>
              </w:rPr>
              <w:sym w:font="Wingdings" w:char="00A8"/>
            </w:r>
            <w:r>
              <w:rPr>
                <w:rFonts w:hint="eastAsia"/>
                <w:color w:val="auto"/>
                <w:sz w:val="18"/>
                <w:szCs w:val="18"/>
              </w:rPr>
              <w:t>、不达标</w:t>
            </w:r>
            <w:r>
              <w:rPr>
                <w:rFonts w:hint="eastAsia"/>
                <w:color w:val="auto"/>
                <w:sz w:val="18"/>
                <w:szCs w:val="18"/>
              </w:rPr>
              <w:sym w:font="Wingdings" w:char="00A8"/>
            </w:r>
          </w:p>
          <w:p>
            <w:pPr>
              <w:spacing w:line="240" w:lineRule="auto"/>
              <w:ind w:firstLine="0" w:firstLineChars="0"/>
              <w:jc w:val="left"/>
              <w:rPr>
                <w:color w:val="auto"/>
                <w:sz w:val="18"/>
                <w:szCs w:val="18"/>
              </w:rPr>
            </w:pPr>
            <w:r>
              <w:rPr>
                <w:rFonts w:hint="eastAsia"/>
                <w:color w:val="auto"/>
                <w:sz w:val="18"/>
                <w:szCs w:val="18"/>
              </w:rPr>
              <w:t>对照断面、控制断面等代表性断面的水质状况</w:t>
            </w:r>
            <w:r>
              <w:rPr>
                <w:rFonts w:hint="eastAsia"/>
                <w:color w:val="auto"/>
                <w:sz w:val="18"/>
                <w:szCs w:val="18"/>
              </w:rPr>
              <w:sym w:font="Wingdings" w:char="00A8"/>
            </w:r>
            <w:r>
              <w:rPr>
                <w:rFonts w:hint="eastAsia"/>
                <w:color w:val="auto"/>
                <w:sz w:val="18"/>
                <w:szCs w:val="18"/>
              </w:rPr>
              <w:t>；达标</w:t>
            </w:r>
            <w:r>
              <w:rPr>
                <w:rFonts w:hint="eastAsia"/>
                <w:color w:val="auto"/>
                <w:sz w:val="18"/>
                <w:szCs w:val="18"/>
              </w:rPr>
              <w:sym w:font="Wingdings" w:char="00A8"/>
            </w:r>
            <w:r>
              <w:rPr>
                <w:rFonts w:hint="eastAsia"/>
                <w:color w:val="auto"/>
                <w:sz w:val="18"/>
                <w:szCs w:val="18"/>
              </w:rPr>
              <w:t>、不达标</w:t>
            </w:r>
            <w:r>
              <w:rPr>
                <w:rFonts w:hint="eastAsia"/>
                <w:color w:val="auto"/>
                <w:sz w:val="18"/>
                <w:szCs w:val="18"/>
              </w:rPr>
              <w:sym w:font="Wingdings" w:char="00A8"/>
            </w:r>
          </w:p>
          <w:p>
            <w:pPr>
              <w:spacing w:line="240" w:lineRule="auto"/>
              <w:ind w:firstLine="0" w:firstLineChars="0"/>
              <w:jc w:val="left"/>
              <w:rPr>
                <w:color w:val="auto"/>
                <w:sz w:val="18"/>
                <w:szCs w:val="18"/>
              </w:rPr>
            </w:pPr>
            <w:r>
              <w:rPr>
                <w:rFonts w:hint="eastAsia"/>
                <w:color w:val="auto"/>
                <w:sz w:val="18"/>
                <w:szCs w:val="18"/>
              </w:rPr>
              <w:t>底泥污染评价</w:t>
            </w:r>
            <w:r>
              <w:rPr>
                <w:rFonts w:hint="eastAsia"/>
                <w:color w:val="auto"/>
                <w:sz w:val="18"/>
                <w:szCs w:val="18"/>
              </w:rPr>
              <w:sym w:font="Wingdings" w:char="00A8"/>
            </w:r>
          </w:p>
          <w:p>
            <w:pPr>
              <w:spacing w:line="240" w:lineRule="auto"/>
              <w:ind w:firstLine="0" w:firstLineChars="0"/>
              <w:jc w:val="left"/>
              <w:rPr>
                <w:color w:val="auto"/>
                <w:sz w:val="18"/>
                <w:szCs w:val="18"/>
              </w:rPr>
            </w:pPr>
            <w:r>
              <w:rPr>
                <w:rFonts w:hint="eastAsia"/>
                <w:color w:val="auto"/>
                <w:sz w:val="18"/>
                <w:szCs w:val="18"/>
              </w:rPr>
              <w:t>水资源与开发利用程度及水文情势评价</w:t>
            </w:r>
            <w:r>
              <w:rPr>
                <w:rFonts w:hint="eastAsia"/>
                <w:color w:val="auto"/>
                <w:sz w:val="18"/>
                <w:szCs w:val="18"/>
              </w:rPr>
              <w:sym w:font="Wingdings" w:char="00A8"/>
            </w:r>
          </w:p>
          <w:p>
            <w:pPr>
              <w:spacing w:line="240" w:lineRule="auto"/>
              <w:ind w:firstLine="0" w:firstLineChars="0"/>
              <w:jc w:val="left"/>
              <w:rPr>
                <w:color w:val="auto"/>
                <w:sz w:val="18"/>
                <w:szCs w:val="18"/>
              </w:rPr>
            </w:pPr>
            <w:r>
              <w:rPr>
                <w:rFonts w:hint="eastAsia"/>
                <w:color w:val="auto"/>
                <w:sz w:val="18"/>
                <w:szCs w:val="18"/>
              </w:rPr>
              <w:t>水环境质量回顾评价</w:t>
            </w:r>
            <w:r>
              <w:rPr>
                <w:rFonts w:hint="eastAsia"/>
                <w:color w:val="auto"/>
                <w:sz w:val="18"/>
                <w:szCs w:val="18"/>
              </w:rPr>
              <w:sym w:font="Wingdings" w:char="00A8"/>
            </w:r>
          </w:p>
          <w:p>
            <w:pPr>
              <w:spacing w:line="240" w:lineRule="auto"/>
              <w:ind w:firstLine="0" w:firstLineChars="0"/>
              <w:jc w:val="left"/>
              <w:rPr>
                <w:color w:val="auto"/>
                <w:sz w:val="18"/>
                <w:szCs w:val="18"/>
              </w:rPr>
            </w:pPr>
            <w:r>
              <w:rPr>
                <w:rFonts w:hint="eastAsia"/>
                <w:color w:val="auto"/>
                <w:sz w:val="18"/>
                <w:szCs w:val="18"/>
              </w:rPr>
              <w:t>流域（区域）水资源（包括水能资源）与开发利用总体状况、生态流量管理与现状满足程度、建设项目沾用水域空间的水流状况与河湖演变状况</w:t>
            </w:r>
            <w:r>
              <w:rPr>
                <w:rFonts w:hint="eastAsia"/>
                <w:color w:val="auto"/>
                <w:sz w:val="18"/>
                <w:szCs w:val="18"/>
              </w:rPr>
              <w:sym w:font="Wingdings" w:char="00A8"/>
            </w:r>
          </w:p>
        </w:tc>
        <w:tc>
          <w:tcPr>
            <w:tcW w:w="1125"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达标区</w:t>
            </w:r>
            <w:r>
              <w:rPr>
                <w:rFonts w:hint="eastAsia"/>
                <w:color w:val="auto"/>
                <w:sz w:val="18"/>
                <w:szCs w:val="18"/>
              </w:rPr>
              <w:sym w:font="Wingdings" w:char="00A8"/>
            </w:r>
          </w:p>
          <w:p>
            <w:pPr>
              <w:spacing w:line="240" w:lineRule="auto"/>
              <w:ind w:firstLine="0" w:firstLineChars="0"/>
              <w:jc w:val="center"/>
              <w:rPr>
                <w:color w:val="auto"/>
                <w:sz w:val="18"/>
                <w:szCs w:val="18"/>
              </w:rPr>
            </w:pPr>
            <w:r>
              <w:rPr>
                <w:rFonts w:hint="eastAsia"/>
                <w:color w:val="auto"/>
                <w:sz w:val="18"/>
                <w:szCs w:val="18"/>
              </w:rPr>
              <w:t>不达标区</w:t>
            </w:r>
            <w:r>
              <w:rPr>
                <w:rFonts w:hint="eastAsia"/>
                <w:color w:val="auto"/>
                <w:sz w:val="18"/>
                <w:szCs w:val="18"/>
              </w:rPr>
              <w:sym w:font="Wingdings" w:char="00A8"/>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9" w:type="dxa"/>
            <w:gridSpan w:val="2"/>
            <w:vMerge w:val="restart"/>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影响评价</w:t>
            </w:r>
          </w:p>
        </w:tc>
        <w:tc>
          <w:tcPr>
            <w:tcW w:w="1051"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水污染控制和水环境影响减缓措施有效性评价</w:t>
            </w:r>
          </w:p>
        </w:tc>
        <w:tc>
          <w:tcPr>
            <w:tcW w:w="7578" w:type="dxa"/>
            <w:gridSpan w:val="5"/>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区（流）域环境质量改善目标</w:t>
            </w:r>
            <w:r>
              <w:rPr>
                <w:rFonts w:hint="eastAsia"/>
                <w:color w:val="auto"/>
                <w:sz w:val="18"/>
                <w:szCs w:val="18"/>
              </w:rPr>
              <w:sym w:font="Wingdings" w:char="00A8"/>
            </w:r>
            <w:r>
              <w:rPr>
                <w:rFonts w:hint="eastAsia"/>
                <w:color w:val="auto"/>
                <w:sz w:val="18"/>
                <w:szCs w:val="18"/>
              </w:rPr>
              <w:t>；替代削减源</w:t>
            </w:r>
            <w:r>
              <w:rPr>
                <w:rFonts w:hint="eastAsia"/>
                <w:color w:val="auto"/>
                <w:sz w:val="18"/>
                <w:szCs w:val="18"/>
              </w:rPr>
              <w:sym w:font="Wingdings" w:char="00A8"/>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9" w:type="dxa"/>
            <w:gridSpan w:val="2"/>
            <w:vMerge w:val="continue"/>
            <w:tcBorders>
              <w:tl2br w:val="nil"/>
              <w:tr2bl w:val="nil"/>
            </w:tcBorders>
            <w:vAlign w:val="center"/>
          </w:tcPr>
          <w:p>
            <w:pPr>
              <w:spacing w:line="240" w:lineRule="auto"/>
              <w:ind w:firstLine="0" w:firstLineChars="0"/>
              <w:jc w:val="center"/>
              <w:rPr>
                <w:color w:val="auto"/>
                <w:sz w:val="18"/>
                <w:szCs w:val="18"/>
              </w:rPr>
            </w:pPr>
          </w:p>
        </w:tc>
        <w:tc>
          <w:tcPr>
            <w:tcW w:w="1051"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水环境影响评价</w:t>
            </w:r>
          </w:p>
        </w:tc>
        <w:tc>
          <w:tcPr>
            <w:tcW w:w="7578" w:type="dxa"/>
            <w:gridSpan w:val="5"/>
            <w:tcBorders>
              <w:tl2br w:val="nil"/>
              <w:tr2bl w:val="nil"/>
            </w:tcBorders>
            <w:vAlign w:val="center"/>
          </w:tcPr>
          <w:p>
            <w:pPr>
              <w:spacing w:line="240" w:lineRule="auto"/>
              <w:ind w:firstLine="0" w:firstLineChars="0"/>
              <w:jc w:val="left"/>
              <w:rPr>
                <w:color w:val="auto"/>
                <w:sz w:val="18"/>
                <w:szCs w:val="18"/>
              </w:rPr>
            </w:pPr>
            <w:r>
              <w:rPr>
                <w:rFonts w:hint="eastAsia"/>
                <w:color w:val="auto"/>
                <w:sz w:val="18"/>
                <w:szCs w:val="18"/>
              </w:rPr>
              <w:t>排放口混合区外满足水环境管理要求</w:t>
            </w:r>
            <w:r>
              <w:rPr>
                <w:rFonts w:hint="eastAsia"/>
                <w:color w:val="auto"/>
                <w:sz w:val="18"/>
                <w:szCs w:val="18"/>
              </w:rPr>
              <w:sym w:font="Wingdings" w:char="00A8"/>
            </w:r>
          </w:p>
          <w:p>
            <w:pPr>
              <w:spacing w:line="240" w:lineRule="auto"/>
              <w:ind w:firstLine="0" w:firstLineChars="0"/>
              <w:jc w:val="left"/>
              <w:rPr>
                <w:color w:val="auto"/>
                <w:sz w:val="18"/>
                <w:szCs w:val="18"/>
              </w:rPr>
            </w:pPr>
            <w:r>
              <w:rPr>
                <w:rFonts w:hint="eastAsia"/>
                <w:color w:val="auto"/>
                <w:sz w:val="18"/>
                <w:szCs w:val="18"/>
              </w:rPr>
              <w:t>水环境功能区或水功能区、近岸海域环境功能区水质达标</w:t>
            </w:r>
            <w:r>
              <w:rPr>
                <w:rFonts w:hint="eastAsia"/>
                <w:color w:val="auto"/>
                <w:sz w:val="18"/>
                <w:szCs w:val="18"/>
              </w:rPr>
              <w:sym w:font="Wingdings" w:char="00FE"/>
            </w:r>
          </w:p>
          <w:p>
            <w:pPr>
              <w:spacing w:line="240" w:lineRule="auto"/>
              <w:ind w:firstLine="0" w:firstLineChars="0"/>
              <w:jc w:val="left"/>
              <w:rPr>
                <w:color w:val="auto"/>
                <w:sz w:val="18"/>
                <w:szCs w:val="18"/>
              </w:rPr>
            </w:pPr>
            <w:r>
              <w:rPr>
                <w:rFonts w:hint="eastAsia"/>
                <w:color w:val="auto"/>
                <w:sz w:val="18"/>
                <w:szCs w:val="18"/>
              </w:rPr>
              <w:t>满足水环境保护目标水域水环境质量要求</w:t>
            </w:r>
            <w:r>
              <w:rPr>
                <w:rFonts w:hint="eastAsia"/>
                <w:color w:val="auto"/>
                <w:sz w:val="18"/>
                <w:szCs w:val="18"/>
              </w:rPr>
              <w:sym w:font="Wingdings" w:char="00A8"/>
            </w:r>
          </w:p>
          <w:p>
            <w:pPr>
              <w:spacing w:line="240" w:lineRule="auto"/>
              <w:ind w:firstLine="0" w:firstLineChars="0"/>
              <w:jc w:val="left"/>
              <w:rPr>
                <w:color w:val="auto"/>
                <w:sz w:val="18"/>
                <w:szCs w:val="18"/>
              </w:rPr>
            </w:pPr>
            <w:r>
              <w:rPr>
                <w:rFonts w:hint="eastAsia"/>
                <w:color w:val="auto"/>
                <w:sz w:val="18"/>
                <w:szCs w:val="18"/>
              </w:rPr>
              <w:t>水环境控制单元或断面水质达标</w:t>
            </w:r>
            <w:r>
              <w:rPr>
                <w:rFonts w:hint="eastAsia"/>
                <w:color w:val="auto"/>
                <w:sz w:val="18"/>
                <w:szCs w:val="18"/>
              </w:rPr>
              <w:sym w:font="Wingdings" w:char="00A8"/>
            </w:r>
          </w:p>
          <w:p>
            <w:pPr>
              <w:spacing w:line="240" w:lineRule="auto"/>
              <w:ind w:firstLine="0" w:firstLineChars="0"/>
              <w:jc w:val="left"/>
              <w:rPr>
                <w:color w:val="auto"/>
                <w:sz w:val="18"/>
                <w:szCs w:val="18"/>
              </w:rPr>
            </w:pPr>
            <w:r>
              <w:rPr>
                <w:rFonts w:hint="eastAsia"/>
                <w:color w:val="auto"/>
                <w:sz w:val="18"/>
                <w:szCs w:val="18"/>
              </w:rPr>
              <w:t>满足重点水污染物排放总量控制指标的要求，重点行业建设项目，主要污染物排放满足等量或减量替代要求</w:t>
            </w:r>
            <w:r>
              <w:rPr>
                <w:rFonts w:hint="eastAsia"/>
                <w:color w:val="auto"/>
                <w:sz w:val="18"/>
                <w:szCs w:val="18"/>
              </w:rPr>
              <w:sym w:font="Wingdings" w:char="00A8"/>
            </w:r>
          </w:p>
          <w:p>
            <w:pPr>
              <w:spacing w:line="240" w:lineRule="auto"/>
              <w:ind w:firstLine="0" w:firstLineChars="0"/>
              <w:jc w:val="left"/>
              <w:rPr>
                <w:color w:val="auto"/>
                <w:sz w:val="18"/>
                <w:szCs w:val="18"/>
              </w:rPr>
            </w:pPr>
            <w:r>
              <w:rPr>
                <w:rFonts w:hint="eastAsia"/>
                <w:color w:val="auto"/>
                <w:sz w:val="18"/>
                <w:szCs w:val="18"/>
              </w:rPr>
              <w:t>满足区（流）域水环境质量改善目标要求</w:t>
            </w:r>
            <w:r>
              <w:rPr>
                <w:rFonts w:hint="eastAsia"/>
                <w:color w:val="auto"/>
                <w:sz w:val="18"/>
                <w:szCs w:val="18"/>
              </w:rPr>
              <w:sym w:font="Wingdings" w:char="00A8"/>
            </w:r>
          </w:p>
          <w:p>
            <w:pPr>
              <w:spacing w:line="240" w:lineRule="auto"/>
              <w:ind w:firstLine="0" w:firstLineChars="0"/>
              <w:jc w:val="left"/>
              <w:rPr>
                <w:color w:val="auto"/>
                <w:sz w:val="18"/>
                <w:szCs w:val="18"/>
              </w:rPr>
            </w:pPr>
            <w:r>
              <w:rPr>
                <w:rFonts w:hint="eastAsia"/>
                <w:color w:val="auto"/>
                <w:sz w:val="18"/>
                <w:szCs w:val="18"/>
              </w:rPr>
              <w:t>水文要素影响型建设项目同时应包括水文情势变化评价、主要水文特征值影响评价、生态流量符合性评价</w:t>
            </w:r>
            <w:r>
              <w:rPr>
                <w:rFonts w:hint="eastAsia"/>
                <w:color w:val="auto"/>
                <w:sz w:val="18"/>
                <w:szCs w:val="18"/>
              </w:rPr>
              <w:sym w:font="Wingdings" w:char="00A8"/>
            </w:r>
          </w:p>
          <w:p>
            <w:pPr>
              <w:spacing w:line="240" w:lineRule="auto"/>
              <w:ind w:firstLine="0" w:firstLineChars="0"/>
              <w:jc w:val="left"/>
              <w:rPr>
                <w:color w:val="auto"/>
                <w:sz w:val="18"/>
                <w:szCs w:val="18"/>
              </w:rPr>
            </w:pPr>
            <w:r>
              <w:rPr>
                <w:rFonts w:hint="eastAsia"/>
                <w:color w:val="auto"/>
                <w:sz w:val="18"/>
                <w:szCs w:val="18"/>
              </w:rPr>
              <w:t>对于新设或调整入河（湖库、近岸海域）排放口的建设项目，应包括排放口设置的环境合理性评价</w:t>
            </w:r>
            <w:r>
              <w:rPr>
                <w:rFonts w:hint="eastAsia"/>
                <w:color w:val="auto"/>
                <w:sz w:val="18"/>
                <w:szCs w:val="18"/>
              </w:rPr>
              <w:sym w:font="Wingdings" w:char="00A8"/>
            </w:r>
          </w:p>
          <w:p>
            <w:pPr>
              <w:spacing w:line="240" w:lineRule="auto"/>
              <w:ind w:firstLine="0" w:firstLineChars="0"/>
              <w:jc w:val="left"/>
              <w:rPr>
                <w:color w:val="auto"/>
                <w:sz w:val="18"/>
                <w:szCs w:val="18"/>
              </w:rPr>
            </w:pPr>
            <w:r>
              <w:rPr>
                <w:rFonts w:hint="eastAsia"/>
                <w:color w:val="auto"/>
                <w:sz w:val="18"/>
                <w:szCs w:val="18"/>
              </w:rPr>
              <w:t>满足生态保护红线、水环境质量底线、资源利用上线和环境准入清单管理要求</w:t>
            </w:r>
            <w:r>
              <w:rPr>
                <w:rFonts w:hint="eastAsia"/>
                <w:color w:val="auto"/>
                <w:sz w:val="18"/>
                <w:szCs w:val="18"/>
              </w:rPr>
              <w:sym w:font="Wingdings" w:char="00A8"/>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9" w:type="dxa"/>
            <w:gridSpan w:val="2"/>
            <w:vMerge w:val="continue"/>
            <w:tcBorders>
              <w:tl2br w:val="nil"/>
              <w:tr2bl w:val="nil"/>
            </w:tcBorders>
            <w:vAlign w:val="center"/>
          </w:tcPr>
          <w:p>
            <w:pPr>
              <w:spacing w:line="240" w:lineRule="auto"/>
              <w:ind w:firstLine="0" w:firstLineChars="0"/>
              <w:jc w:val="center"/>
              <w:rPr>
                <w:color w:val="auto"/>
                <w:sz w:val="18"/>
                <w:szCs w:val="18"/>
              </w:rPr>
            </w:pPr>
          </w:p>
        </w:tc>
        <w:tc>
          <w:tcPr>
            <w:tcW w:w="1051" w:type="dxa"/>
            <w:vMerge w:val="restart"/>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污染源排放量核算</w:t>
            </w:r>
          </w:p>
        </w:tc>
        <w:tc>
          <w:tcPr>
            <w:tcW w:w="2005"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污染名称</w:t>
            </w:r>
          </w:p>
        </w:tc>
        <w:tc>
          <w:tcPr>
            <w:tcW w:w="1857"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排放量</w:t>
            </w:r>
          </w:p>
        </w:tc>
        <w:tc>
          <w:tcPr>
            <w:tcW w:w="3716" w:type="dxa"/>
            <w:gridSpan w:val="3"/>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排放浓度mg/L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9" w:type="dxa"/>
            <w:gridSpan w:val="2"/>
            <w:vMerge w:val="continue"/>
            <w:tcBorders>
              <w:tl2br w:val="nil"/>
              <w:tr2bl w:val="nil"/>
            </w:tcBorders>
            <w:vAlign w:val="center"/>
          </w:tcPr>
          <w:p>
            <w:pPr>
              <w:spacing w:line="240" w:lineRule="auto"/>
              <w:ind w:firstLine="0" w:firstLineChars="0"/>
              <w:jc w:val="center"/>
              <w:rPr>
                <w:color w:val="auto"/>
                <w:sz w:val="18"/>
                <w:szCs w:val="18"/>
              </w:rPr>
            </w:pPr>
          </w:p>
        </w:tc>
        <w:tc>
          <w:tcPr>
            <w:tcW w:w="1051" w:type="dxa"/>
            <w:vMerge w:val="continue"/>
            <w:tcBorders>
              <w:tl2br w:val="nil"/>
              <w:tr2bl w:val="nil"/>
            </w:tcBorders>
            <w:vAlign w:val="center"/>
          </w:tcPr>
          <w:p>
            <w:pPr>
              <w:spacing w:line="240" w:lineRule="auto"/>
              <w:ind w:firstLine="0" w:firstLineChars="0"/>
              <w:jc w:val="center"/>
              <w:rPr>
                <w:color w:val="auto"/>
                <w:sz w:val="18"/>
                <w:szCs w:val="18"/>
              </w:rPr>
            </w:pPr>
          </w:p>
        </w:tc>
        <w:tc>
          <w:tcPr>
            <w:tcW w:w="2005"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COD、氨氮</w:t>
            </w:r>
          </w:p>
        </w:tc>
        <w:tc>
          <w:tcPr>
            <w:tcW w:w="1857"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w:t>
            </w:r>
          </w:p>
        </w:tc>
        <w:tc>
          <w:tcPr>
            <w:tcW w:w="2591" w:type="dxa"/>
            <w:gridSpan w:val="2"/>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w:t>
            </w:r>
          </w:p>
        </w:tc>
        <w:tc>
          <w:tcPr>
            <w:tcW w:w="1125" w:type="dxa"/>
            <w:tcBorders>
              <w:tl2br w:val="nil"/>
              <w:tr2bl w:val="nil"/>
            </w:tcBorders>
            <w:vAlign w:val="center"/>
          </w:tcPr>
          <w:p>
            <w:pPr>
              <w:spacing w:line="240" w:lineRule="auto"/>
              <w:ind w:firstLine="0" w:firstLineChars="0"/>
              <w:jc w:val="center"/>
              <w:rPr>
                <w:color w:val="auto"/>
                <w:sz w:val="18"/>
                <w:szCs w:val="18"/>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9" w:type="dxa"/>
            <w:gridSpan w:val="2"/>
            <w:vMerge w:val="continue"/>
            <w:tcBorders>
              <w:tl2br w:val="nil"/>
              <w:tr2bl w:val="nil"/>
            </w:tcBorders>
            <w:vAlign w:val="center"/>
          </w:tcPr>
          <w:p>
            <w:pPr>
              <w:spacing w:line="240" w:lineRule="auto"/>
              <w:ind w:firstLine="0" w:firstLineChars="0"/>
              <w:jc w:val="center"/>
              <w:rPr>
                <w:color w:val="auto"/>
                <w:sz w:val="18"/>
                <w:szCs w:val="18"/>
              </w:rPr>
            </w:pPr>
          </w:p>
        </w:tc>
        <w:tc>
          <w:tcPr>
            <w:tcW w:w="1051" w:type="dxa"/>
            <w:vMerge w:val="restart"/>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替代源排放情况</w:t>
            </w:r>
          </w:p>
        </w:tc>
        <w:tc>
          <w:tcPr>
            <w:tcW w:w="2005"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污染源名称</w:t>
            </w:r>
          </w:p>
        </w:tc>
        <w:tc>
          <w:tcPr>
            <w:tcW w:w="1857"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排污许可证编号</w:t>
            </w:r>
          </w:p>
        </w:tc>
        <w:tc>
          <w:tcPr>
            <w:tcW w:w="1485"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污染物名称</w:t>
            </w:r>
          </w:p>
        </w:tc>
        <w:tc>
          <w:tcPr>
            <w:tcW w:w="1106"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排放量t/a</w:t>
            </w:r>
          </w:p>
        </w:tc>
        <w:tc>
          <w:tcPr>
            <w:tcW w:w="1125"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排放浓度mg/L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9" w:type="dxa"/>
            <w:gridSpan w:val="2"/>
            <w:vMerge w:val="continue"/>
            <w:tcBorders>
              <w:tl2br w:val="nil"/>
              <w:tr2bl w:val="nil"/>
            </w:tcBorders>
            <w:vAlign w:val="center"/>
          </w:tcPr>
          <w:p>
            <w:pPr>
              <w:spacing w:line="240" w:lineRule="auto"/>
              <w:ind w:firstLine="0" w:firstLineChars="0"/>
              <w:jc w:val="center"/>
              <w:rPr>
                <w:color w:val="auto"/>
                <w:sz w:val="18"/>
                <w:szCs w:val="18"/>
              </w:rPr>
            </w:pPr>
          </w:p>
        </w:tc>
        <w:tc>
          <w:tcPr>
            <w:tcW w:w="1051" w:type="dxa"/>
            <w:vMerge w:val="continue"/>
            <w:tcBorders>
              <w:tl2br w:val="nil"/>
              <w:tr2bl w:val="nil"/>
            </w:tcBorders>
            <w:vAlign w:val="center"/>
          </w:tcPr>
          <w:p>
            <w:pPr>
              <w:spacing w:line="240" w:lineRule="auto"/>
              <w:ind w:firstLine="0" w:firstLineChars="0"/>
              <w:jc w:val="center"/>
              <w:rPr>
                <w:color w:val="auto"/>
                <w:sz w:val="18"/>
                <w:szCs w:val="18"/>
              </w:rPr>
            </w:pPr>
          </w:p>
        </w:tc>
        <w:tc>
          <w:tcPr>
            <w:tcW w:w="2005"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w:t>
            </w:r>
          </w:p>
        </w:tc>
        <w:tc>
          <w:tcPr>
            <w:tcW w:w="1857"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w:t>
            </w:r>
          </w:p>
        </w:tc>
        <w:tc>
          <w:tcPr>
            <w:tcW w:w="1485"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w:t>
            </w:r>
          </w:p>
        </w:tc>
        <w:tc>
          <w:tcPr>
            <w:tcW w:w="1106"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w:t>
            </w:r>
          </w:p>
        </w:tc>
        <w:tc>
          <w:tcPr>
            <w:tcW w:w="1125"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9" w:type="dxa"/>
            <w:gridSpan w:val="2"/>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防治措施</w:t>
            </w:r>
          </w:p>
        </w:tc>
        <w:tc>
          <w:tcPr>
            <w:tcW w:w="1051"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环保措施</w:t>
            </w:r>
          </w:p>
        </w:tc>
        <w:tc>
          <w:tcPr>
            <w:tcW w:w="7578" w:type="dxa"/>
            <w:gridSpan w:val="5"/>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污水处理设施</w:t>
            </w:r>
            <w:r>
              <w:rPr>
                <w:rFonts w:hint="eastAsia"/>
                <w:color w:val="auto"/>
                <w:sz w:val="18"/>
                <w:szCs w:val="18"/>
              </w:rPr>
              <w:sym w:font="Wingdings" w:char="00A8"/>
            </w:r>
            <w:r>
              <w:rPr>
                <w:rFonts w:hint="eastAsia"/>
                <w:color w:val="auto"/>
                <w:sz w:val="18"/>
                <w:szCs w:val="18"/>
              </w:rPr>
              <w:t>；水文减缓设施</w:t>
            </w:r>
            <w:r>
              <w:rPr>
                <w:rFonts w:hint="eastAsia"/>
                <w:color w:val="auto"/>
                <w:sz w:val="18"/>
                <w:szCs w:val="18"/>
              </w:rPr>
              <w:sym w:font="Wingdings" w:char="00A8"/>
            </w:r>
            <w:r>
              <w:rPr>
                <w:rFonts w:hint="eastAsia"/>
                <w:color w:val="auto"/>
                <w:sz w:val="18"/>
                <w:szCs w:val="18"/>
              </w:rPr>
              <w:t>；生态流量保障设施</w:t>
            </w:r>
            <w:r>
              <w:rPr>
                <w:rFonts w:hint="eastAsia"/>
                <w:color w:val="auto"/>
                <w:sz w:val="18"/>
                <w:szCs w:val="18"/>
              </w:rPr>
              <w:sym w:font="Wingdings" w:char="00A8"/>
            </w:r>
            <w:r>
              <w:rPr>
                <w:rFonts w:hint="eastAsia"/>
                <w:color w:val="auto"/>
                <w:sz w:val="18"/>
                <w:szCs w:val="18"/>
              </w:rPr>
              <w:t>；区域消减</w:t>
            </w:r>
            <w:r>
              <w:rPr>
                <w:rFonts w:hint="eastAsia"/>
                <w:color w:val="auto"/>
                <w:sz w:val="18"/>
                <w:szCs w:val="18"/>
              </w:rPr>
              <w:sym w:font="Wingdings" w:char="00A8"/>
            </w:r>
            <w:r>
              <w:rPr>
                <w:rFonts w:hint="eastAsia"/>
                <w:color w:val="auto"/>
                <w:sz w:val="18"/>
                <w:szCs w:val="18"/>
              </w:rPr>
              <w:t>；依托其他工程措施</w:t>
            </w:r>
            <w:r>
              <w:rPr>
                <w:rFonts w:hint="eastAsia"/>
                <w:color w:val="auto"/>
                <w:sz w:val="18"/>
                <w:szCs w:val="18"/>
              </w:rPr>
              <w:sym w:font="Wingdings" w:char="00A8"/>
            </w:r>
            <w:r>
              <w:rPr>
                <w:rFonts w:hint="eastAsia"/>
                <w:color w:val="auto"/>
                <w:sz w:val="18"/>
                <w:szCs w:val="18"/>
              </w:rPr>
              <w:t>；其他</w:t>
            </w:r>
            <w:r>
              <w:rPr>
                <w:rFonts w:hint="eastAsia"/>
                <w:color w:val="auto"/>
                <w:sz w:val="18"/>
                <w:szCs w:val="18"/>
              </w:rPr>
              <w:sym w:font="Wingdings" w:char="00A8"/>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659" w:type="dxa"/>
            <w:gridSpan w:val="2"/>
            <w:vMerge w:val="restart"/>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防治措施</w:t>
            </w:r>
          </w:p>
        </w:tc>
        <w:tc>
          <w:tcPr>
            <w:tcW w:w="1051" w:type="dxa"/>
            <w:vMerge w:val="restart"/>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监测计划</w:t>
            </w:r>
          </w:p>
        </w:tc>
        <w:tc>
          <w:tcPr>
            <w:tcW w:w="2005"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w:t>
            </w:r>
          </w:p>
        </w:tc>
        <w:tc>
          <w:tcPr>
            <w:tcW w:w="1857"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环境质量</w:t>
            </w:r>
          </w:p>
        </w:tc>
        <w:tc>
          <w:tcPr>
            <w:tcW w:w="3716" w:type="dxa"/>
            <w:gridSpan w:val="3"/>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污染源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2" w:hRule="atLeast"/>
        </w:trPr>
        <w:tc>
          <w:tcPr>
            <w:tcW w:w="659" w:type="dxa"/>
            <w:gridSpan w:val="2"/>
            <w:vMerge w:val="continue"/>
            <w:tcBorders>
              <w:tl2br w:val="nil"/>
              <w:tr2bl w:val="nil"/>
            </w:tcBorders>
            <w:vAlign w:val="center"/>
          </w:tcPr>
          <w:p>
            <w:pPr>
              <w:spacing w:line="240" w:lineRule="auto"/>
              <w:ind w:firstLine="0" w:firstLineChars="0"/>
              <w:jc w:val="center"/>
              <w:rPr>
                <w:color w:val="auto"/>
                <w:sz w:val="18"/>
                <w:szCs w:val="18"/>
              </w:rPr>
            </w:pPr>
          </w:p>
        </w:tc>
        <w:tc>
          <w:tcPr>
            <w:tcW w:w="1051" w:type="dxa"/>
            <w:vMerge w:val="continue"/>
            <w:tcBorders>
              <w:tl2br w:val="nil"/>
              <w:tr2bl w:val="nil"/>
            </w:tcBorders>
            <w:vAlign w:val="center"/>
          </w:tcPr>
          <w:p>
            <w:pPr>
              <w:spacing w:line="240" w:lineRule="auto"/>
              <w:ind w:firstLine="0" w:firstLineChars="0"/>
              <w:jc w:val="center"/>
              <w:rPr>
                <w:color w:val="auto"/>
                <w:sz w:val="18"/>
                <w:szCs w:val="18"/>
              </w:rPr>
            </w:pPr>
          </w:p>
        </w:tc>
        <w:tc>
          <w:tcPr>
            <w:tcW w:w="2005"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监测方式</w:t>
            </w:r>
          </w:p>
        </w:tc>
        <w:tc>
          <w:tcPr>
            <w:tcW w:w="1857"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手动</w:t>
            </w:r>
            <w:r>
              <w:rPr>
                <w:rFonts w:hint="eastAsia"/>
                <w:color w:val="auto"/>
                <w:sz w:val="18"/>
                <w:szCs w:val="18"/>
              </w:rPr>
              <w:sym w:font="Wingdings" w:char="00A8"/>
            </w:r>
            <w:r>
              <w:rPr>
                <w:rFonts w:hint="eastAsia"/>
                <w:color w:val="auto"/>
                <w:sz w:val="18"/>
                <w:szCs w:val="18"/>
              </w:rPr>
              <w:t>自动</w:t>
            </w:r>
            <w:r>
              <w:rPr>
                <w:rFonts w:hint="eastAsia"/>
                <w:color w:val="auto"/>
                <w:sz w:val="18"/>
                <w:szCs w:val="18"/>
              </w:rPr>
              <w:sym w:font="Wingdings" w:char="00A8"/>
            </w:r>
            <w:r>
              <w:rPr>
                <w:rFonts w:hint="eastAsia"/>
                <w:color w:val="auto"/>
                <w:sz w:val="18"/>
                <w:szCs w:val="18"/>
              </w:rPr>
              <w:t>无检测</w:t>
            </w:r>
            <w:r>
              <w:rPr>
                <w:rFonts w:hint="eastAsia"/>
                <w:color w:val="auto"/>
                <w:sz w:val="18"/>
                <w:szCs w:val="18"/>
              </w:rPr>
              <w:sym w:font="Wingdings" w:char="00A8"/>
            </w:r>
          </w:p>
        </w:tc>
        <w:tc>
          <w:tcPr>
            <w:tcW w:w="2591" w:type="dxa"/>
            <w:gridSpan w:val="2"/>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手动</w:t>
            </w:r>
            <w:r>
              <w:rPr>
                <w:rFonts w:hint="eastAsia"/>
                <w:color w:val="auto"/>
                <w:sz w:val="18"/>
                <w:szCs w:val="18"/>
              </w:rPr>
              <w:sym w:font="Wingdings" w:char="00A8"/>
            </w:r>
            <w:r>
              <w:rPr>
                <w:rFonts w:hint="eastAsia"/>
                <w:color w:val="auto"/>
                <w:sz w:val="18"/>
                <w:szCs w:val="18"/>
              </w:rPr>
              <w:t>自动</w:t>
            </w:r>
            <w:r>
              <w:rPr>
                <w:rFonts w:hint="eastAsia"/>
                <w:color w:val="auto"/>
                <w:sz w:val="18"/>
                <w:szCs w:val="18"/>
              </w:rPr>
              <w:sym w:font="Wingdings" w:char="00A8"/>
            </w:r>
            <w:r>
              <w:rPr>
                <w:rFonts w:hint="eastAsia"/>
                <w:color w:val="auto"/>
                <w:sz w:val="18"/>
                <w:szCs w:val="18"/>
              </w:rPr>
              <w:t>无检测</w:t>
            </w:r>
            <w:r>
              <w:rPr>
                <w:rFonts w:hint="eastAsia"/>
                <w:color w:val="auto"/>
                <w:sz w:val="18"/>
                <w:szCs w:val="18"/>
              </w:rPr>
              <w:sym w:font="Wingdings" w:char="00A8"/>
            </w:r>
          </w:p>
        </w:tc>
        <w:tc>
          <w:tcPr>
            <w:tcW w:w="1125" w:type="dxa"/>
            <w:tcBorders>
              <w:tl2br w:val="nil"/>
              <w:tr2bl w:val="nil"/>
            </w:tcBorders>
            <w:vAlign w:val="center"/>
          </w:tcPr>
          <w:p>
            <w:pPr>
              <w:spacing w:line="240" w:lineRule="auto"/>
              <w:ind w:firstLine="0" w:firstLineChars="0"/>
              <w:jc w:val="center"/>
              <w:rPr>
                <w:color w:val="auto"/>
                <w:sz w:val="18"/>
                <w:szCs w:val="18"/>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9" w:hRule="atLeast"/>
        </w:trPr>
        <w:tc>
          <w:tcPr>
            <w:tcW w:w="659" w:type="dxa"/>
            <w:gridSpan w:val="2"/>
            <w:vMerge w:val="continue"/>
            <w:tcBorders>
              <w:tl2br w:val="nil"/>
              <w:tr2bl w:val="nil"/>
            </w:tcBorders>
            <w:vAlign w:val="center"/>
          </w:tcPr>
          <w:p>
            <w:pPr>
              <w:spacing w:line="240" w:lineRule="auto"/>
              <w:ind w:firstLine="0" w:firstLineChars="0"/>
              <w:jc w:val="center"/>
              <w:rPr>
                <w:color w:val="auto"/>
                <w:sz w:val="18"/>
                <w:szCs w:val="18"/>
              </w:rPr>
            </w:pPr>
          </w:p>
        </w:tc>
        <w:tc>
          <w:tcPr>
            <w:tcW w:w="1051" w:type="dxa"/>
            <w:vMerge w:val="continue"/>
            <w:tcBorders>
              <w:tl2br w:val="nil"/>
              <w:tr2bl w:val="nil"/>
            </w:tcBorders>
            <w:vAlign w:val="center"/>
          </w:tcPr>
          <w:p>
            <w:pPr>
              <w:spacing w:line="240" w:lineRule="auto"/>
              <w:ind w:firstLine="0" w:firstLineChars="0"/>
              <w:jc w:val="center"/>
              <w:rPr>
                <w:color w:val="auto"/>
                <w:sz w:val="18"/>
                <w:szCs w:val="18"/>
              </w:rPr>
            </w:pPr>
          </w:p>
        </w:tc>
        <w:tc>
          <w:tcPr>
            <w:tcW w:w="2005"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监测点位</w:t>
            </w:r>
          </w:p>
        </w:tc>
        <w:tc>
          <w:tcPr>
            <w:tcW w:w="1857"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w:t>
            </w:r>
          </w:p>
        </w:tc>
        <w:tc>
          <w:tcPr>
            <w:tcW w:w="2591" w:type="dxa"/>
            <w:gridSpan w:val="2"/>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w:t>
            </w:r>
          </w:p>
        </w:tc>
        <w:tc>
          <w:tcPr>
            <w:tcW w:w="1125" w:type="dxa"/>
            <w:tcBorders>
              <w:tl2br w:val="nil"/>
              <w:tr2bl w:val="nil"/>
            </w:tcBorders>
            <w:vAlign w:val="center"/>
          </w:tcPr>
          <w:p>
            <w:pPr>
              <w:spacing w:line="240" w:lineRule="auto"/>
              <w:ind w:firstLine="0" w:firstLineChars="0"/>
              <w:jc w:val="center"/>
              <w:rPr>
                <w:color w:val="auto"/>
                <w:sz w:val="18"/>
                <w:szCs w:val="18"/>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4" w:hRule="atLeast"/>
        </w:trPr>
        <w:tc>
          <w:tcPr>
            <w:tcW w:w="659" w:type="dxa"/>
            <w:gridSpan w:val="2"/>
            <w:vMerge w:val="continue"/>
            <w:tcBorders>
              <w:tl2br w:val="nil"/>
              <w:tr2bl w:val="nil"/>
            </w:tcBorders>
            <w:vAlign w:val="center"/>
          </w:tcPr>
          <w:p>
            <w:pPr>
              <w:spacing w:line="240" w:lineRule="auto"/>
              <w:ind w:firstLine="0" w:firstLineChars="0"/>
              <w:jc w:val="center"/>
              <w:rPr>
                <w:color w:val="auto"/>
                <w:sz w:val="18"/>
                <w:szCs w:val="18"/>
              </w:rPr>
            </w:pPr>
          </w:p>
        </w:tc>
        <w:tc>
          <w:tcPr>
            <w:tcW w:w="1051" w:type="dxa"/>
            <w:vMerge w:val="continue"/>
            <w:tcBorders>
              <w:tl2br w:val="nil"/>
              <w:tr2bl w:val="nil"/>
            </w:tcBorders>
            <w:vAlign w:val="center"/>
          </w:tcPr>
          <w:p>
            <w:pPr>
              <w:spacing w:line="240" w:lineRule="auto"/>
              <w:ind w:firstLine="0" w:firstLineChars="0"/>
              <w:jc w:val="center"/>
              <w:rPr>
                <w:color w:val="auto"/>
                <w:sz w:val="18"/>
                <w:szCs w:val="18"/>
              </w:rPr>
            </w:pPr>
          </w:p>
        </w:tc>
        <w:tc>
          <w:tcPr>
            <w:tcW w:w="2005"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监测因子</w:t>
            </w:r>
          </w:p>
        </w:tc>
        <w:tc>
          <w:tcPr>
            <w:tcW w:w="1857"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w:t>
            </w:r>
          </w:p>
        </w:tc>
        <w:tc>
          <w:tcPr>
            <w:tcW w:w="2591" w:type="dxa"/>
            <w:gridSpan w:val="2"/>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w:t>
            </w:r>
          </w:p>
        </w:tc>
        <w:tc>
          <w:tcPr>
            <w:tcW w:w="1125" w:type="dxa"/>
            <w:tcBorders>
              <w:tl2br w:val="nil"/>
              <w:tr2bl w:val="nil"/>
            </w:tcBorders>
            <w:vAlign w:val="center"/>
          </w:tcPr>
          <w:p>
            <w:pPr>
              <w:spacing w:line="240" w:lineRule="auto"/>
              <w:ind w:firstLine="0" w:firstLineChars="0"/>
              <w:jc w:val="center"/>
              <w:rPr>
                <w:color w:val="auto"/>
                <w:sz w:val="18"/>
                <w:szCs w:val="18"/>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9" w:type="dxa"/>
            <w:gridSpan w:val="2"/>
            <w:vMerge w:val="continue"/>
            <w:tcBorders>
              <w:tl2br w:val="nil"/>
              <w:tr2bl w:val="nil"/>
            </w:tcBorders>
            <w:vAlign w:val="center"/>
          </w:tcPr>
          <w:p>
            <w:pPr>
              <w:spacing w:line="240" w:lineRule="auto"/>
              <w:ind w:firstLine="0" w:firstLineChars="0"/>
              <w:jc w:val="center"/>
              <w:rPr>
                <w:color w:val="auto"/>
                <w:sz w:val="18"/>
                <w:szCs w:val="18"/>
              </w:rPr>
            </w:pPr>
          </w:p>
        </w:tc>
        <w:tc>
          <w:tcPr>
            <w:tcW w:w="1051" w:type="dxa"/>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污染物排放清单</w:t>
            </w:r>
          </w:p>
        </w:tc>
        <w:tc>
          <w:tcPr>
            <w:tcW w:w="7578" w:type="dxa"/>
            <w:gridSpan w:val="5"/>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10" w:type="dxa"/>
            <w:gridSpan w:val="3"/>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评价结论</w:t>
            </w:r>
          </w:p>
        </w:tc>
        <w:tc>
          <w:tcPr>
            <w:tcW w:w="7578" w:type="dxa"/>
            <w:gridSpan w:val="5"/>
            <w:tcBorders>
              <w:tl2br w:val="nil"/>
              <w:tr2bl w:val="nil"/>
            </w:tcBorders>
            <w:vAlign w:val="center"/>
          </w:tcPr>
          <w:p>
            <w:pPr>
              <w:spacing w:line="240" w:lineRule="auto"/>
              <w:ind w:firstLine="0" w:firstLineChars="0"/>
              <w:jc w:val="center"/>
              <w:rPr>
                <w:color w:val="auto"/>
                <w:sz w:val="18"/>
                <w:szCs w:val="18"/>
              </w:rPr>
            </w:pPr>
            <w:r>
              <w:rPr>
                <w:rFonts w:hint="eastAsia"/>
                <w:color w:val="auto"/>
                <w:sz w:val="18"/>
                <w:szCs w:val="18"/>
              </w:rPr>
              <w:t>可以接受</w:t>
            </w:r>
            <w:r>
              <w:rPr>
                <w:rFonts w:hint="eastAsia"/>
                <w:color w:val="auto"/>
                <w:sz w:val="18"/>
                <w:szCs w:val="18"/>
              </w:rPr>
              <w:sym w:font="Wingdings" w:char="00FE"/>
            </w:r>
            <w:r>
              <w:rPr>
                <w:rFonts w:hint="eastAsia"/>
                <w:color w:val="auto"/>
                <w:sz w:val="18"/>
                <w:szCs w:val="18"/>
              </w:rPr>
              <w:t>；不可以接受</w:t>
            </w:r>
            <w:r>
              <w:rPr>
                <w:rFonts w:hint="eastAsia"/>
                <w:color w:val="auto"/>
                <w:sz w:val="18"/>
                <w:szCs w:val="18"/>
              </w:rPr>
              <w:sym w:font="Wingdings" w:char="00A8"/>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288" w:type="dxa"/>
            <w:gridSpan w:val="8"/>
            <w:tcBorders>
              <w:tl2br w:val="nil"/>
              <w:tr2bl w:val="nil"/>
            </w:tcBorders>
            <w:vAlign w:val="center"/>
          </w:tcPr>
          <w:p>
            <w:pPr>
              <w:spacing w:line="240" w:lineRule="auto"/>
              <w:ind w:firstLine="0" w:firstLineChars="0"/>
              <w:jc w:val="left"/>
              <w:rPr>
                <w:color w:val="auto"/>
                <w:sz w:val="18"/>
                <w:szCs w:val="18"/>
              </w:rPr>
            </w:pPr>
            <w:r>
              <w:rPr>
                <w:rFonts w:hint="eastAsia"/>
                <w:color w:val="auto"/>
                <w:sz w:val="18"/>
                <w:szCs w:val="18"/>
              </w:rPr>
              <w:t>注：</w:t>
            </w:r>
            <w:r>
              <w:rPr>
                <w:rFonts w:hint="eastAsia"/>
                <w:color w:val="auto"/>
                <w:sz w:val="18"/>
                <w:szCs w:val="18"/>
              </w:rPr>
              <w:sym w:font="Wingdings" w:char="00A8"/>
            </w:r>
            <w:r>
              <w:rPr>
                <w:rFonts w:hint="eastAsia"/>
                <w:color w:val="auto"/>
                <w:sz w:val="18"/>
                <w:szCs w:val="18"/>
              </w:rPr>
              <w:t>为勾选内容（）填写内容“备注”为其他补充内容</w:t>
            </w:r>
          </w:p>
        </w:tc>
      </w:tr>
    </w:tbl>
    <w:p>
      <w:pPr>
        <w:pStyle w:val="6"/>
        <w:rPr>
          <w:color w:val="auto"/>
          <w:kern w:val="44"/>
        </w:rPr>
      </w:pPr>
      <w:bookmarkStart w:id="544" w:name="_Toc354421686"/>
      <w:bookmarkStart w:id="545" w:name="_Toc477187435"/>
      <w:bookmarkStart w:id="546" w:name="_Toc476923287"/>
      <w:bookmarkStart w:id="547" w:name="_Toc477357250"/>
      <w:bookmarkStart w:id="548" w:name="_Toc366760263"/>
      <w:bookmarkStart w:id="549" w:name="_Toc476921969"/>
      <w:bookmarkStart w:id="550" w:name="_Toc193113483"/>
      <w:bookmarkStart w:id="551" w:name="_Toc327476610"/>
      <w:bookmarkStart w:id="552" w:name="_Toc327741259"/>
      <w:r>
        <w:rPr>
          <w:rFonts w:hint="eastAsia"/>
          <w:color w:val="auto"/>
          <w:kern w:val="44"/>
        </w:rPr>
        <w:t>5.2.3</w:t>
      </w:r>
      <w:r>
        <w:rPr>
          <w:color w:val="auto"/>
          <w:kern w:val="44"/>
        </w:rPr>
        <w:t>地下水环境影响</w:t>
      </w:r>
      <w:bookmarkEnd w:id="544"/>
      <w:r>
        <w:rPr>
          <w:color w:val="auto"/>
          <w:kern w:val="44"/>
        </w:rPr>
        <w:t>分析</w:t>
      </w:r>
      <w:bookmarkEnd w:id="545"/>
      <w:bookmarkEnd w:id="546"/>
      <w:bookmarkEnd w:id="547"/>
      <w:bookmarkEnd w:id="548"/>
      <w:bookmarkEnd w:id="549"/>
    </w:p>
    <w:p>
      <w:pPr>
        <w:ind w:firstLine="480"/>
        <w:outlineLvl w:val="3"/>
        <w:rPr>
          <w:color w:val="auto"/>
        </w:rPr>
      </w:pPr>
      <w:r>
        <w:rPr>
          <w:color w:val="auto"/>
        </w:rPr>
        <w:t>5.</w:t>
      </w:r>
      <w:r>
        <w:rPr>
          <w:rFonts w:hint="eastAsia"/>
          <w:color w:val="auto"/>
        </w:rPr>
        <w:t>2</w:t>
      </w:r>
      <w:r>
        <w:rPr>
          <w:color w:val="auto"/>
        </w:rPr>
        <w:t>.3.</w:t>
      </w:r>
      <w:r>
        <w:rPr>
          <w:rFonts w:hint="eastAsia"/>
          <w:color w:val="auto"/>
        </w:rPr>
        <w:t>1</w:t>
      </w:r>
      <w:r>
        <w:rPr>
          <w:color w:val="auto"/>
        </w:rPr>
        <w:t>区域环境水文地质条件</w:t>
      </w:r>
    </w:p>
    <w:p>
      <w:pPr>
        <w:ind w:firstLine="480"/>
        <w:rPr>
          <w:color w:val="auto"/>
        </w:rPr>
      </w:pPr>
      <w:r>
        <w:rPr>
          <w:color w:val="auto"/>
        </w:rPr>
        <w:t>濮阳县位于东濮凹陷和内黄隆起与东淮凹陷的接合过渡带，自新生代以来，在北区域500m范围内沉积了巨厚的松散地层，为地下水的储存和运移提供了良好条件。区内以河湖相沉积为主，形成一大套的以中细砂为主，并有粘土、亚粘土互层的含水岩系。随后，不同时期的黄河摆动、决溢、泛滥带来了粗细不同的沉积物，在古河道内，河间地段及泛流区，由于水流搬运作用不同，使区内含水砂层与弱透水或隔水的黏土层在空间的分布十分复杂。根据含水层的岩性结构，埋藏条件及动力特征，项目所在区域松散沉积物空隙含水系统可划分为潜水含水系统、浅层承压含水系统和深层承压含水系统，浅层承压含水系统由上更新统黄河冲积物所组成，其底板厚度为80~103m，顶部有一层粘土、亚粘土、亚砂土所组成的4~20m后的隔水层，与潜水含水层系统隔开。</w:t>
      </w:r>
    </w:p>
    <w:p>
      <w:pPr>
        <w:ind w:firstLine="480"/>
        <w:rPr>
          <w:color w:val="auto"/>
        </w:rPr>
      </w:pPr>
      <w:r>
        <w:rPr>
          <w:color w:val="auto"/>
        </w:rPr>
        <w:t>根据地下水的形成条件和地下水混合开采层的岩性、厚度、富水性以及埋藏条件等，项目所在区域的水文地质参数详见表5.2-</w:t>
      </w:r>
      <w:r>
        <w:rPr>
          <w:rFonts w:hint="eastAsia"/>
          <w:color w:val="auto"/>
        </w:rPr>
        <w:t>20</w:t>
      </w:r>
      <w:r>
        <w:rPr>
          <w:color w:val="auto"/>
        </w:rPr>
        <w:t>。</w:t>
      </w:r>
    </w:p>
    <w:p>
      <w:pPr>
        <w:pStyle w:val="51"/>
        <w:spacing w:line="360" w:lineRule="auto"/>
        <w:ind w:left="-2" w:right="-105" w:firstLine="542" w:firstLineChars="225"/>
        <w:jc w:val="center"/>
        <w:rPr>
          <w:rFonts w:ascii="Times New Roman" w:hAnsi="Times New Roman"/>
          <w:b/>
          <w:bCs/>
          <w:color w:val="auto"/>
        </w:rPr>
      </w:pPr>
      <w:r>
        <w:rPr>
          <w:rFonts w:hint="eastAsia" w:ascii="Times New Roman" w:hAnsi="Times New Roman"/>
          <w:b/>
          <w:bCs/>
          <w:color w:val="auto"/>
        </w:rPr>
        <w:t>表 5.2-20  项目所在区域的水文地质参数一览表</w:t>
      </w:r>
    </w:p>
    <w:tbl>
      <w:tblPr>
        <w:tblStyle w:val="27"/>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000000" w:sz="4" w:space="0"/>
        </w:tblBorders>
        <w:tblLayout w:type="autofit"/>
        <w:tblCellMar>
          <w:top w:w="0" w:type="dxa"/>
          <w:left w:w="108" w:type="dxa"/>
          <w:bottom w:w="0" w:type="dxa"/>
          <w:right w:w="108" w:type="dxa"/>
        </w:tblCellMar>
      </w:tblPr>
      <w:tblGrid>
        <w:gridCol w:w="1478"/>
        <w:gridCol w:w="2106"/>
        <w:gridCol w:w="1786"/>
        <w:gridCol w:w="1786"/>
        <w:gridCol w:w="1790"/>
      </w:tblGrid>
      <w:tr>
        <w:tblPrEx>
          <w:tblBorders>
            <w:top w:val="single" w:color="auto" w:sz="4" w:space="0"/>
            <w:left w:val="none" w:color="auto" w:sz="0" w:space="0"/>
            <w:bottom w:val="single" w:color="auto" w:sz="4" w:space="0"/>
            <w:right w:val="none" w:color="auto" w:sz="0" w:space="0"/>
            <w:insideH w:val="single" w:color="auto" w:sz="4" w:space="0"/>
            <w:insideV w:val="single" w:color="000000" w:sz="4" w:space="0"/>
          </w:tblBorders>
          <w:tblCellMar>
            <w:top w:w="0" w:type="dxa"/>
            <w:left w:w="108" w:type="dxa"/>
            <w:bottom w:w="0" w:type="dxa"/>
            <w:right w:w="108" w:type="dxa"/>
          </w:tblCellMar>
        </w:tblPrEx>
        <w:trPr>
          <w:trHeight w:val="434" w:hRule="exact"/>
        </w:trPr>
        <w:tc>
          <w:tcPr>
            <w:tcW w:w="826" w:type="pct"/>
            <w:vMerge w:val="restar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color w:val="auto"/>
                <w:sz w:val="21"/>
              </w:rPr>
              <w:t>松散岩石</w:t>
            </w:r>
          </w:p>
        </w:tc>
        <w:tc>
          <w:tcPr>
            <w:tcW w:w="1177" w:type="pct"/>
            <w:vMerge w:val="restar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color w:val="auto"/>
                <w:sz w:val="21"/>
              </w:rPr>
              <w:t>渗透系数</w:t>
            </w:r>
            <w:r>
              <w:rPr>
                <w:rFonts w:eastAsia="Times New Roman"/>
                <w:color w:val="auto"/>
                <w:sz w:val="21"/>
              </w:rPr>
              <w:t>K</w:t>
            </w:r>
            <w:r>
              <w:rPr>
                <w:color w:val="auto"/>
                <w:sz w:val="21"/>
              </w:rPr>
              <w:t>（</w:t>
            </w:r>
            <w:r>
              <w:rPr>
                <w:rFonts w:eastAsia="Times New Roman"/>
                <w:color w:val="auto"/>
                <w:sz w:val="21"/>
              </w:rPr>
              <w:t>m/d</w:t>
            </w:r>
            <w:r>
              <w:rPr>
                <w:color w:val="auto"/>
                <w:sz w:val="21"/>
              </w:rPr>
              <w:t>）</w:t>
            </w:r>
          </w:p>
        </w:tc>
        <w:tc>
          <w:tcPr>
            <w:tcW w:w="2996" w:type="pct"/>
            <w:gridSpan w:val="3"/>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color w:val="auto"/>
                <w:sz w:val="21"/>
              </w:rPr>
              <w:t>给水度</w:t>
            </w:r>
            <w:r>
              <w:rPr>
                <w:rFonts w:eastAsia="Times New Roman"/>
                <w:color w:val="auto"/>
                <w:sz w:val="21"/>
              </w:rPr>
              <w:t>µ</w:t>
            </w:r>
          </w:p>
        </w:tc>
      </w:tr>
      <w:tr>
        <w:tblPrEx>
          <w:tblBorders>
            <w:top w:val="single" w:color="auto" w:sz="4" w:space="0"/>
            <w:left w:val="none" w:color="auto" w:sz="0" w:space="0"/>
            <w:bottom w:val="single" w:color="auto" w:sz="4" w:space="0"/>
            <w:right w:val="none" w:color="auto" w:sz="0" w:space="0"/>
            <w:insideH w:val="single" w:color="auto" w:sz="4" w:space="0"/>
            <w:insideV w:val="single" w:color="000000" w:sz="4" w:space="0"/>
          </w:tblBorders>
          <w:tblCellMar>
            <w:top w:w="0" w:type="dxa"/>
            <w:left w:w="108" w:type="dxa"/>
            <w:bottom w:w="0" w:type="dxa"/>
            <w:right w:w="108" w:type="dxa"/>
          </w:tblCellMar>
        </w:tblPrEx>
        <w:trPr>
          <w:trHeight w:val="425" w:hRule="exact"/>
        </w:trPr>
        <w:tc>
          <w:tcPr>
            <w:tcW w:w="826" w:type="pct"/>
            <w:vMerge w:val="continue"/>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p>
        </w:tc>
        <w:tc>
          <w:tcPr>
            <w:tcW w:w="1177" w:type="pct"/>
            <w:vMerge w:val="continue"/>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p>
        </w:tc>
        <w:tc>
          <w:tcPr>
            <w:tcW w:w="998"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color w:val="auto"/>
                <w:sz w:val="21"/>
              </w:rPr>
              <w:t>最大</w:t>
            </w:r>
          </w:p>
        </w:tc>
        <w:tc>
          <w:tcPr>
            <w:tcW w:w="998"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color w:val="auto"/>
                <w:sz w:val="21"/>
              </w:rPr>
              <w:t>最小</w:t>
            </w:r>
          </w:p>
        </w:tc>
        <w:tc>
          <w:tcPr>
            <w:tcW w:w="1000"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color w:val="auto"/>
                <w:sz w:val="21"/>
              </w:rPr>
              <w:t>平均</w:t>
            </w:r>
          </w:p>
        </w:tc>
      </w:tr>
      <w:tr>
        <w:tblPrEx>
          <w:tblBorders>
            <w:top w:val="single" w:color="auto" w:sz="4" w:space="0"/>
            <w:left w:val="none" w:color="auto" w:sz="0" w:space="0"/>
            <w:bottom w:val="single" w:color="auto" w:sz="4" w:space="0"/>
            <w:right w:val="none" w:color="auto" w:sz="0" w:space="0"/>
            <w:insideH w:val="single" w:color="auto" w:sz="4" w:space="0"/>
            <w:insideV w:val="single" w:color="000000" w:sz="4" w:space="0"/>
          </w:tblBorders>
          <w:tblCellMar>
            <w:top w:w="0" w:type="dxa"/>
            <w:left w:w="108" w:type="dxa"/>
            <w:bottom w:w="0" w:type="dxa"/>
            <w:right w:w="108" w:type="dxa"/>
          </w:tblCellMar>
        </w:tblPrEx>
        <w:trPr>
          <w:trHeight w:val="424" w:hRule="exact"/>
        </w:trPr>
        <w:tc>
          <w:tcPr>
            <w:tcW w:w="826"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color w:val="auto"/>
                <w:sz w:val="21"/>
              </w:rPr>
              <w:t>粘土</w:t>
            </w:r>
          </w:p>
        </w:tc>
        <w:tc>
          <w:tcPr>
            <w:tcW w:w="1177"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w:t>
            </w:r>
          </w:p>
        </w:tc>
        <w:tc>
          <w:tcPr>
            <w:tcW w:w="998"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0.05</w:t>
            </w:r>
          </w:p>
        </w:tc>
        <w:tc>
          <w:tcPr>
            <w:tcW w:w="998"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0.00</w:t>
            </w:r>
          </w:p>
        </w:tc>
        <w:tc>
          <w:tcPr>
            <w:tcW w:w="1000"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0.02</w:t>
            </w:r>
          </w:p>
        </w:tc>
      </w:tr>
      <w:tr>
        <w:tblPrEx>
          <w:tblBorders>
            <w:top w:val="single" w:color="auto" w:sz="4" w:space="0"/>
            <w:left w:val="none" w:color="auto" w:sz="0" w:space="0"/>
            <w:bottom w:val="single" w:color="auto" w:sz="4" w:space="0"/>
            <w:right w:val="none" w:color="auto" w:sz="0" w:space="0"/>
            <w:insideH w:val="single" w:color="auto" w:sz="4" w:space="0"/>
            <w:insideV w:val="single" w:color="000000" w:sz="4" w:space="0"/>
          </w:tblBorders>
          <w:tblCellMar>
            <w:top w:w="0" w:type="dxa"/>
            <w:left w:w="108" w:type="dxa"/>
            <w:bottom w:w="0" w:type="dxa"/>
            <w:right w:w="108" w:type="dxa"/>
          </w:tblCellMar>
        </w:tblPrEx>
        <w:trPr>
          <w:trHeight w:val="424" w:hRule="exact"/>
        </w:trPr>
        <w:tc>
          <w:tcPr>
            <w:tcW w:w="826"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color w:val="auto"/>
                <w:sz w:val="21"/>
              </w:rPr>
              <w:t>亚粘土</w:t>
            </w:r>
          </w:p>
        </w:tc>
        <w:tc>
          <w:tcPr>
            <w:tcW w:w="1177"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0.001~0.10</w:t>
            </w:r>
          </w:p>
        </w:tc>
        <w:tc>
          <w:tcPr>
            <w:tcW w:w="998"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w:t>
            </w:r>
          </w:p>
        </w:tc>
        <w:tc>
          <w:tcPr>
            <w:tcW w:w="998"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w:t>
            </w:r>
          </w:p>
        </w:tc>
        <w:tc>
          <w:tcPr>
            <w:tcW w:w="1000"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000000" w:sz="4" w:space="0"/>
          </w:tblBorders>
          <w:tblCellMar>
            <w:top w:w="0" w:type="dxa"/>
            <w:left w:w="108" w:type="dxa"/>
            <w:bottom w:w="0" w:type="dxa"/>
            <w:right w:w="108" w:type="dxa"/>
          </w:tblCellMar>
        </w:tblPrEx>
        <w:trPr>
          <w:trHeight w:val="425" w:hRule="exact"/>
        </w:trPr>
        <w:tc>
          <w:tcPr>
            <w:tcW w:w="826"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color w:val="auto"/>
                <w:sz w:val="21"/>
              </w:rPr>
              <w:t>亚砂土</w:t>
            </w:r>
          </w:p>
        </w:tc>
        <w:tc>
          <w:tcPr>
            <w:tcW w:w="1177"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0.10~0.50</w:t>
            </w:r>
          </w:p>
        </w:tc>
        <w:tc>
          <w:tcPr>
            <w:tcW w:w="998"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w:t>
            </w:r>
          </w:p>
        </w:tc>
        <w:tc>
          <w:tcPr>
            <w:tcW w:w="998"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w:t>
            </w:r>
          </w:p>
        </w:tc>
        <w:tc>
          <w:tcPr>
            <w:tcW w:w="1000"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000000" w:sz="4" w:space="0"/>
          </w:tblBorders>
          <w:tblCellMar>
            <w:top w:w="0" w:type="dxa"/>
            <w:left w:w="108" w:type="dxa"/>
            <w:bottom w:w="0" w:type="dxa"/>
            <w:right w:w="108" w:type="dxa"/>
          </w:tblCellMar>
        </w:tblPrEx>
        <w:trPr>
          <w:trHeight w:val="424" w:hRule="exact"/>
        </w:trPr>
        <w:tc>
          <w:tcPr>
            <w:tcW w:w="826"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color w:val="auto"/>
                <w:sz w:val="21"/>
              </w:rPr>
              <w:t>砂黏</w:t>
            </w:r>
          </w:p>
        </w:tc>
        <w:tc>
          <w:tcPr>
            <w:tcW w:w="1177"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w:t>
            </w:r>
          </w:p>
        </w:tc>
        <w:tc>
          <w:tcPr>
            <w:tcW w:w="998"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0.12</w:t>
            </w:r>
          </w:p>
        </w:tc>
        <w:tc>
          <w:tcPr>
            <w:tcW w:w="998"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0.03</w:t>
            </w:r>
          </w:p>
        </w:tc>
        <w:tc>
          <w:tcPr>
            <w:tcW w:w="1000"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0.07</w:t>
            </w:r>
          </w:p>
        </w:tc>
      </w:tr>
      <w:tr>
        <w:tblPrEx>
          <w:tblBorders>
            <w:top w:val="single" w:color="auto" w:sz="4" w:space="0"/>
            <w:left w:val="none" w:color="auto" w:sz="0" w:space="0"/>
            <w:bottom w:val="single" w:color="auto" w:sz="4" w:space="0"/>
            <w:right w:val="none" w:color="auto" w:sz="0" w:space="0"/>
            <w:insideH w:val="single" w:color="auto" w:sz="4" w:space="0"/>
            <w:insideV w:val="single" w:color="000000" w:sz="4" w:space="0"/>
          </w:tblBorders>
          <w:tblCellMar>
            <w:top w:w="0" w:type="dxa"/>
            <w:left w:w="108" w:type="dxa"/>
            <w:bottom w:w="0" w:type="dxa"/>
            <w:right w:w="108" w:type="dxa"/>
          </w:tblCellMar>
        </w:tblPrEx>
        <w:trPr>
          <w:trHeight w:val="424" w:hRule="exact"/>
        </w:trPr>
        <w:tc>
          <w:tcPr>
            <w:tcW w:w="826"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color w:val="auto"/>
                <w:sz w:val="21"/>
              </w:rPr>
              <w:t>粉砂</w:t>
            </w:r>
          </w:p>
        </w:tc>
        <w:tc>
          <w:tcPr>
            <w:tcW w:w="1177"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0.50~1.00</w:t>
            </w:r>
          </w:p>
        </w:tc>
        <w:tc>
          <w:tcPr>
            <w:tcW w:w="998"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0.19</w:t>
            </w:r>
          </w:p>
        </w:tc>
        <w:tc>
          <w:tcPr>
            <w:tcW w:w="998"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0.03</w:t>
            </w:r>
          </w:p>
        </w:tc>
        <w:tc>
          <w:tcPr>
            <w:tcW w:w="1000"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0.18</w:t>
            </w:r>
          </w:p>
        </w:tc>
      </w:tr>
      <w:tr>
        <w:tblPrEx>
          <w:tblBorders>
            <w:top w:val="single" w:color="auto" w:sz="4" w:space="0"/>
            <w:left w:val="none" w:color="auto" w:sz="0" w:space="0"/>
            <w:bottom w:val="single" w:color="auto" w:sz="4" w:space="0"/>
            <w:right w:val="none" w:color="auto" w:sz="0" w:space="0"/>
            <w:insideH w:val="single" w:color="auto" w:sz="4" w:space="0"/>
            <w:insideV w:val="single" w:color="000000" w:sz="4" w:space="0"/>
          </w:tblBorders>
          <w:tblCellMar>
            <w:top w:w="0" w:type="dxa"/>
            <w:left w:w="108" w:type="dxa"/>
            <w:bottom w:w="0" w:type="dxa"/>
            <w:right w:w="108" w:type="dxa"/>
          </w:tblCellMar>
        </w:tblPrEx>
        <w:trPr>
          <w:trHeight w:val="425" w:hRule="exact"/>
        </w:trPr>
        <w:tc>
          <w:tcPr>
            <w:tcW w:w="826"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color w:val="auto"/>
                <w:sz w:val="21"/>
              </w:rPr>
              <w:t>细砂</w:t>
            </w:r>
          </w:p>
        </w:tc>
        <w:tc>
          <w:tcPr>
            <w:tcW w:w="1177"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1.00~5.00</w:t>
            </w:r>
          </w:p>
        </w:tc>
        <w:tc>
          <w:tcPr>
            <w:tcW w:w="998"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0.28</w:t>
            </w:r>
          </w:p>
        </w:tc>
        <w:tc>
          <w:tcPr>
            <w:tcW w:w="998"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0.10</w:t>
            </w:r>
          </w:p>
        </w:tc>
        <w:tc>
          <w:tcPr>
            <w:tcW w:w="1000"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0.21</w:t>
            </w:r>
          </w:p>
        </w:tc>
      </w:tr>
      <w:tr>
        <w:tblPrEx>
          <w:tblBorders>
            <w:top w:val="single" w:color="auto" w:sz="4" w:space="0"/>
            <w:left w:val="none" w:color="auto" w:sz="0" w:space="0"/>
            <w:bottom w:val="single" w:color="auto" w:sz="4" w:space="0"/>
            <w:right w:val="none" w:color="auto" w:sz="0" w:space="0"/>
            <w:insideH w:val="single" w:color="auto" w:sz="4" w:space="0"/>
            <w:insideV w:val="single" w:color="000000" w:sz="4" w:space="0"/>
          </w:tblBorders>
          <w:tblCellMar>
            <w:top w:w="0" w:type="dxa"/>
            <w:left w:w="108" w:type="dxa"/>
            <w:bottom w:w="0" w:type="dxa"/>
            <w:right w:w="108" w:type="dxa"/>
          </w:tblCellMar>
        </w:tblPrEx>
        <w:trPr>
          <w:trHeight w:val="424" w:hRule="exact"/>
        </w:trPr>
        <w:tc>
          <w:tcPr>
            <w:tcW w:w="826"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color w:val="auto"/>
                <w:sz w:val="21"/>
              </w:rPr>
              <w:t>中砂</w:t>
            </w:r>
          </w:p>
        </w:tc>
        <w:tc>
          <w:tcPr>
            <w:tcW w:w="1177"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5.00~20.0</w:t>
            </w:r>
          </w:p>
        </w:tc>
        <w:tc>
          <w:tcPr>
            <w:tcW w:w="998"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0.32</w:t>
            </w:r>
          </w:p>
        </w:tc>
        <w:tc>
          <w:tcPr>
            <w:tcW w:w="998"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0.15</w:t>
            </w:r>
          </w:p>
        </w:tc>
        <w:tc>
          <w:tcPr>
            <w:tcW w:w="1000"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0.26</w:t>
            </w:r>
          </w:p>
        </w:tc>
      </w:tr>
      <w:tr>
        <w:tblPrEx>
          <w:tblBorders>
            <w:top w:val="single" w:color="auto" w:sz="4" w:space="0"/>
            <w:left w:val="none" w:color="auto" w:sz="0" w:space="0"/>
            <w:bottom w:val="single" w:color="auto" w:sz="4" w:space="0"/>
            <w:right w:val="none" w:color="auto" w:sz="0" w:space="0"/>
            <w:insideH w:val="single" w:color="auto" w:sz="4" w:space="0"/>
            <w:insideV w:val="single" w:color="000000" w:sz="4" w:space="0"/>
          </w:tblBorders>
          <w:tblCellMar>
            <w:top w:w="0" w:type="dxa"/>
            <w:left w:w="108" w:type="dxa"/>
            <w:bottom w:w="0" w:type="dxa"/>
            <w:right w:w="108" w:type="dxa"/>
          </w:tblCellMar>
        </w:tblPrEx>
        <w:trPr>
          <w:trHeight w:val="424" w:hRule="exact"/>
        </w:trPr>
        <w:tc>
          <w:tcPr>
            <w:tcW w:w="826"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color w:val="auto"/>
                <w:sz w:val="21"/>
              </w:rPr>
              <w:t>粗砂</w:t>
            </w:r>
          </w:p>
        </w:tc>
        <w:tc>
          <w:tcPr>
            <w:tcW w:w="1177"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20.0~50.0</w:t>
            </w:r>
          </w:p>
        </w:tc>
        <w:tc>
          <w:tcPr>
            <w:tcW w:w="998"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0.35</w:t>
            </w:r>
          </w:p>
        </w:tc>
        <w:tc>
          <w:tcPr>
            <w:tcW w:w="998"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0.20</w:t>
            </w:r>
          </w:p>
        </w:tc>
        <w:tc>
          <w:tcPr>
            <w:tcW w:w="1000"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0.27</w:t>
            </w:r>
          </w:p>
        </w:tc>
      </w:tr>
      <w:tr>
        <w:tblPrEx>
          <w:tblBorders>
            <w:top w:val="single" w:color="auto" w:sz="4" w:space="0"/>
            <w:left w:val="none" w:color="auto" w:sz="0" w:space="0"/>
            <w:bottom w:val="single" w:color="auto" w:sz="4" w:space="0"/>
            <w:right w:val="none" w:color="auto" w:sz="0" w:space="0"/>
            <w:insideH w:val="single" w:color="auto" w:sz="4" w:space="0"/>
            <w:insideV w:val="single" w:color="000000" w:sz="4" w:space="0"/>
          </w:tblBorders>
          <w:tblCellMar>
            <w:top w:w="0" w:type="dxa"/>
            <w:left w:w="108" w:type="dxa"/>
            <w:bottom w:w="0" w:type="dxa"/>
            <w:right w:w="108" w:type="dxa"/>
          </w:tblCellMar>
        </w:tblPrEx>
        <w:trPr>
          <w:trHeight w:val="425" w:hRule="exact"/>
        </w:trPr>
        <w:tc>
          <w:tcPr>
            <w:tcW w:w="826"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color w:val="auto"/>
                <w:sz w:val="21"/>
              </w:rPr>
              <w:t>砾砂</w:t>
            </w:r>
          </w:p>
        </w:tc>
        <w:tc>
          <w:tcPr>
            <w:tcW w:w="1177"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50.0~150.0</w:t>
            </w:r>
          </w:p>
        </w:tc>
        <w:tc>
          <w:tcPr>
            <w:tcW w:w="998"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0.35</w:t>
            </w:r>
          </w:p>
        </w:tc>
        <w:tc>
          <w:tcPr>
            <w:tcW w:w="998"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0.20</w:t>
            </w:r>
          </w:p>
        </w:tc>
        <w:tc>
          <w:tcPr>
            <w:tcW w:w="1000"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0.25</w:t>
            </w:r>
          </w:p>
        </w:tc>
      </w:tr>
      <w:tr>
        <w:tblPrEx>
          <w:tblBorders>
            <w:top w:val="single" w:color="auto" w:sz="4" w:space="0"/>
            <w:left w:val="none" w:color="auto" w:sz="0" w:space="0"/>
            <w:bottom w:val="single" w:color="auto" w:sz="4" w:space="0"/>
            <w:right w:val="none" w:color="auto" w:sz="0" w:space="0"/>
            <w:insideH w:val="single" w:color="auto" w:sz="4" w:space="0"/>
            <w:insideV w:val="single" w:color="000000" w:sz="4" w:space="0"/>
          </w:tblBorders>
          <w:tblCellMar>
            <w:top w:w="0" w:type="dxa"/>
            <w:left w:w="108" w:type="dxa"/>
            <w:bottom w:w="0" w:type="dxa"/>
            <w:right w:w="108" w:type="dxa"/>
          </w:tblCellMar>
        </w:tblPrEx>
        <w:trPr>
          <w:trHeight w:val="424" w:hRule="exact"/>
        </w:trPr>
        <w:tc>
          <w:tcPr>
            <w:tcW w:w="826"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color w:val="auto"/>
                <w:sz w:val="21"/>
              </w:rPr>
              <w:t>卵石</w:t>
            </w:r>
          </w:p>
        </w:tc>
        <w:tc>
          <w:tcPr>
            <w:tcW w:w="1177"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100.0~500.0</w:t>
            </w:r>
          </w:p>
        </w:tc>
        <w:tc>
          <w:tcPr>
            <w:tcW w:w="998"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w:t>
            </w:r>
          </w:p>
        </w:tc>
        <w:tc>
          <w:tcPr>
            <w:tcW w:w="998"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w:t>
            </w:r>
          </w:p>
        </w:tc>
        <w:tc>
          <w:tcPr>
            <w:tcW w:w="1000"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000000" w:sz="4" w:space="0"/>
          </w:tblBorders>
          <w:tblCellMar>
            <w:top w:w="0" w:type="dxa"/>
            <w:left w:w="108" w:type="dxa"/>
            <w:bottom w:w="0" w:type="dxa"/>
            <w:right w:w="108" w:type="dxa"/>
          </w:tblCellMar>
        </w:tblPrEx>
        <w:trPr>
          <w:trHeight w:val="424" w:hRule="exact"/>
        </w:trPr>
        <w:tc>
          <w:tcPr>
            <w:tcW w:w="826"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color w:val="auto"/>
                <w:sz w:val="21"/>
              </w:rPr>
              <w:t>细砾</w:t>
            </w:r>
          </w:p>
        </w:tc>
        <w:tc>
          <w:tcPr>
            <w:tcW w:w="1177"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w:t>
            </w:r>
          </w:p>
        </w:tc>
        <w:tc>
          <w:tcPr>
            <w:tcW w:w="998"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0.35</w:t>
            </w:r>
          </w:p>
        </w:tc>
        <w:tc>
          <w:tcPr>
            <w:tcW w:w="998"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0.21</w:t>
            </w:r>
          </w:p>
        </w:tc>
        <w:tc>
          <w:tcPr>
            <w:tcW w:w="1000"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0.25</w:t>
            </w:r>
          </w:p>
        </w:tc>
      </w:tr>
      <w:tr>
        <w:tblPrEx>
          <w:tblBorders>
            <w:top w:val="single" w:color="auto" w:sz="4" w:space="0"/>
            <w:left w:val="none" w:color="auto" w:sz="0" w:space="0"/>
            <w:bottom w:val="single" w:color="auto" w:sz="4" w:space="0"/>
            <w:right w:val="none" w:color="auto" w:sz="0" w:space="0"/>
            <w:insideH w:val="single" w:color="auto" w:sz="4" w:space="0"/>
            <w:insideV w:val="single" w:color="000000" w:sz="4" w:space="0"/>
          </w:tblBorders>
          <w:tblCellMar>
            <w:top w:w="0" w:type="dxa"/>
            <w:left w:w="108" w:type="dxa"/>
            <w:bottom w:w="0" w:type="dxa"/>
            <w:right w:w="108" w:type="dxa"/>
          </w:tblCellMar>
        </w:tblPrEx>
        <w:trPr>
          <w:trHeight w:val="425" w:hRule="exact"/>
        </w:trPr>
        <w:tc>
          <w:tcPr>
            <w:tcW w:w="826"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color w:val="auto"/>
                <w:sz w:val="21"/>
              </w:rPr>
              <w:t>中砾</w:t>
            </w:r>
          </w:p>
        </w:tc>
        <w:tc>
          <w:tcPr>
            <w:tcW w:w="1177"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w:t>
            </w:r>
          </w:p>
        </w:tc>
        <w:tc>
          <w:tcPr>
            <w:tcW w:w="998"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0.26</w:t>
            </w:r>
          </w:p>
        </w:tc>
        <w:tc>
          <w:tcPr>
            <w:tcW w:w="998"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0.13</w:t>
            </w:r>
          </w:p>
        </w:tc>
        <w:tc>
          <w:tcPr>
            <w:tcW w:w="1000"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0.23</w:t>
            </w:r>
          </w:p>
        </w:tc>
      </w:tr>
      <w:tr>
        <w:tblPrEx>
          <w:tblBorders>
            <w:top w:val="single" w:color="auto" w:sz="4" w:space="0"/>
            <w:left w:val="none" w:color="auto" w:sz="0" w:space="0"/>
            <w:bottom w:val="single" w:color="auto" w:sz="4" w:space="0"/>
            <w:right w:val="none" w:color="auto" w:sz="0" w:space="0"/>
            <w:insideH w:val="single" w:color="auto" w:sz="4" w:space="0"/>
            <w:insideV w:val="single" w:color="000000" w:sz="4" w:space="0"/>
          </w:tblBorders>
          <w:tblCellMar>
            <w:top w:w="0" w:type="dxa"/>
            <w:left w:w="108" w:type="dxa"/>
            <w:bottom w:w="0" w:type="dxa"/>
            <w:right w:w="108" w:type="dxa"/>
          </w:tblCellMar>
        </w:tblPrEx>
        <w:trPr>
          <w:trHeight w:val="434" w:hRule="exact"/>
        </w:trPr>
        <w:tc>
          <w:tcPr>
            <w:tcW w:w="826"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color w:val="auto"/>
                <w:sz w:val="21"/>
              </w:rPr>
              <w:t>粗砾</w:t>
            </w:r>
          </w:p>
        </w:tc>
        <w:tc>
          <w:tcPr>
            <w:tcW w:w="1177"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w:t>
            </w:r>
          </w:p>
        </w:tc>
        <w:tc>
          <w:tcPr>
            <w:tcW w:w="998"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0.26</w:t>
            </w:r>
          </w:p>
        </w:tc>
        <w:tc>
          <w:tcPr>
            <w:tcW w:w="998"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0.12</w:t>
            </w:r>
          </w:p>
        </w:tc>
        <w:tc>
          <w:tcPr>
            <w:tcW w:w="1000" w:type="pct"/>
            <w:tcBorders>
              <w:tl2br w:val="nil"/>
              <w:tr2bl w:val="nil"/>
            </w:tcBorders>
            <w:vAlign w:val="center"/>
          </w:tcPr>
          <w:p>
            <w:pPr>
              <w:pStyle w:val="42"/>
              <w:kinsoku w:val="0"/>
              <w:overflowPunct w:val="0"/>
              <w:autoSpaceDE w:val="0"/>
              <w:autoSpaceDN w:val="0"/>
              <w:snapToGrid/>
              <w:spacing w:line="240" w:lineRule="auto"/>
              <w:ind w:firstLine="0" w:firstLineChars="0"/>
              <w:jc w:val="center"/>
              <w:rPr>
                <w:color w:val="auto"/>
              </w:rPr>
            </w:pPr>
            <w:r>
              <w:rPr>
                <w:rFonts w:eastAsia="Times New Roman"/>
                <w:color w:val="auto"/>
                <w:sz w:val="21"/>
              </w:rPr>
              <w:t>0.22</w:t>
            </w:r>
          </w:p>
        </w:tc>
      </w:tr>
    </w:tbl>
    <w:p>
      <w:pPr>
        <w:pStyle w:val="7"/>
        <w:keepNext w:val="0"/>
        <w:keepLines w:val="0"/>
        <w:kinsoku w:val="0"/>
        <w:overflowPunct w:val="0"/>
        <w:autoSpaceDE w:val="0"/>
        <w:autoSpaceDN w:val="0"/>
        <w:snapToGrid/>
        <w:spacing w:before="0" w:line="360" w:lineRule="auto"/>
        <w:ind w:left="0" w:firstLine="480" w:firstLineChars="200"/>
        <w:rPr>
          <w:rFonts w:ascii="Times New Roman" w:hAnsi="Times New Roman" w:eastAsia="宋体"/>
          <w:color w:val="auto"/>
          <w:szCs w:val="24"/>
        </w:rPr>
      </w:pPr>
      <w:r>
        <w:rPr>
          <w:rFonts w:ascii="Times New Roman" w:hAnsi="Times New Roman" w:eastAsia="宋体"/>
          <w:color w:val="auto"/>
          <w:szCs w:val="24"/>
        </w:rPr>
        <w:t>从上表5.2-</w:t>
      </w:r>
      <w:r>
        <w:rPr>
          <w:rFonts w:hint="eastAsia" w:ascii="Times New Roman" w:hAnsi="Times New Roman" w:eastAsia="宋体"/>
          <w:color w:val="auto"/>
          <w:szCs w:val="24"/>
        </w:rPr>
        <w:t>20</w:t>
      </w:r>
      <w:r>
        <w:rPr>
          <w:rFonts w:ascii="Times New Roman" w:hAnsi="Times New Roman" w:eastAsia="宋体"/>
          <w:color w:val="auto"/>
          <w:szCs w:val="24"/>
        </w:rPr>
        <w:t>中可以看出，粘土、亚粘土与亚砂土层渗透性能很弱，隔水隔污作用较强，污染物一般不会渗入到含水层中。</w:t>
      </w:r>
    </w:p>
    <w:p>
      <w:pPr>
        <w:pStyle w:val="11"/>
        <w:kinsoku w:val="0"/>
        <w:overflowPunct w:val="0"/>
        <w:autoSpaceDE w:val="0"/>
        <w:autoSpaceDN w:val="0"/>
        <w:snapToGrid/>
        <w:ind w:firstLine="480"/>
        <w:rPr>
          <w:color w:val="auto"/>
        </w:rPr>
      </w:pPr>
      <w:r>
        <w:rPr>
          <w:color w:val="auto"/>
        </w:rPr>
        <w:t>场地地层属第四纪黄河冲堆积的粉土，粉质粘土，粉砂，自上至下共分为五个工程地质单元主层。具体见表</w:t>
      </w:r>
      <w:r>
        <w:rPr>
          <w:rFonts w:eastAsia="Times New Roman"/>
          <w:color w:val="auto"/>
        </w:rPr>
        <w:t>5.</w:t>
      </w:r>
      <w:r>
        <w:rPr>
          <w:color w:val="auto"/>
        </w:rPr>
        <w:t>2-</w:t>
      </w:r>
      <w:r>
        <w:rPr>
          <w:rFonts w:hint="eastAsia"/>
          <w:color w:val="auto"/>
        </w:rPr>
        <w:t>21</w:t>
      </w:r>
      <w:r>
        <w:rPr>
          <w:color w:val="auto"/>
        </w:rPr>
        <w:t>。</w:t>
      </w:r>
    </w:p>
    <w:p>
      <w:pPr>
        <w:pStyle w:val="11"/>
        <w:tabs>
          <w:tab w:val="left" w:pos="4372"/>
        </w:tabs>
        <w:kinsoku w:val="0"/>
        <w:overflowPunct w:val="0"/>
        <w:spacing w:before="26"/>
        <w:ind w:left="2011" w:right="235" w:firstLine="480"/>
        <w:rPr>
          <w:rFonts w:eastAsia="黑体"/>
          <w:color w:val="auto"/>
        </w:rPr>
      </w:pPr>
    </w:p>
    <w:p>
      <w:pPr>
        <w:pStyle w:val="11"/>
        <w:tabs>
          <w:tab w:val="left" w:pos="4372"/>
        </w:tabs>
        <w:kinsoku w:val="0"/>
        <w:overflowPunct w:val="0"/>
        <w:spacing w:before="26"/>
        <w:ind w:left="2011" w:right="235" w:firstLine="480"/>
        <w:rPr>
          <w:rFonts w:eastAsia="黑体"/>
          <w:color w:val="auto"/>
        </w:rPr>
      </w:pPr>
    </w:p>
    <w:p>
      <w:pPr>
        <w:pStyle w:val="11"/>
        <w:tabs>
          <w:tab w:val="left" w:pos="4372"/>
        </w:tabs>
        <w:kinsoku w:val="0"/>
        <w:overflowPunct w:val="0"/>
        <w:spacing w:before="26"/>
        <w:ind w:left="2011" w:right="235" w:firstLine="480"/>
        <w:rPr>
          <w:rFonts w:eastAsia="黑体"/>
          <w:color w:val="auto"/>
        </w:rPr>
      </w:pPr>
    </w:p>
    <w:p>
      <w:pPr>
        <w:pStyle w:val="11"/>
        <w:tabs>
          <w:tab w:val="left" w:pos="4372"/>
        </w:tabs>
        <w:kinsoku w:val="0"/>
        <w:overflowPunct w:val="0"/>
        <w:spacing w:before="26"/>
        <w:ind w:left="2011" w:right="235" w:firstLine="480"/>
        <w:rPr>
          <w:rFonts w:eastAsia="黑体"/>
          <w:color w:val="auto"/>
        </w:rPr>
      </w:pPr>
      <w:r>
        <w:rPr>
          <w:rFonts w:eastAsia="黑体"/>
          <w:color w:val="auto"/>
        </w:rPr>
        <w:t>表</w:t>
      </w:r>
      <w:r>
        <w:rPr>
          <w:rFonts w:eastAsia="黑体"/>
          <w:color w:val="auto"/>
          <w:spacing w:val="-55"/>
        </w:rPr>
        <w:t xml:space="preserve"> </w:t>
      </w:r>
      <w:r>
        <w:rPr>
          <w:rFonts w:eastAsia="Times New Roman"/>
          <w:color w:val="auto"/>
        </w:rPr>
        <w:t>5.</w:t>
      </w:r>
      <w:r>
        <w:rPr>
          <w:color w:val="auto"/>
        </w:rPr>
        <w:t>2-</w:t>
      </w:r>
      <w:r>
        <w:rPr>
          <w:rFonts w:hint="eastAsia"/>
          <w:color w:val="auto"/>
        </w:rPr>
        <w:t>21</w:t>
      </w:r>
      <w:r>
        <w:rPr>
          <w:color w:val="auto"/>
        </w:rPr>
        <w:t xml:space="preserve">  </w:t>
      </w:r>
      <w:r>
        <w:rPr>
          <w:rFonts w:eastAsia="黑体"/>
          <w:color w:val="auto"/>
        </w:rPr>
        <w:t>地勘地质单元主层一览表</w:t>
      </w:r>
    </w:p>
    <w:tbl>
      <w:tblPr>
        <w:tblStyle w:val="27"/>
        <w:tblW w:w="4999" w:type="pct"/>
        <w:tblInd w:w="0" w:type="dxa"/>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176"/>
        <w:gridCol w:w="1478"/>
        <w:gridCol w:w="6290"/>
      </w:tblGrid>
      <w:tr>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09" w:hRule="exact"/>
        </w:trPr>
        <w:tc>
          <w:tcPr>
            <w:tcW w:w="657" w:type="pct"/>
            <w:tcBorders>
              <w:tl2br w:val="nil"/>
              <w:tr2bl w:val="nil"/>
            </w:tcBorders>
            <w:vAlign w:val="center"/>
          </w:tcPr>
          <w:p>
            <w:pPr>
              <w:pStyle w:val="42"/>
              <w:kinsoku w:val="0"/>
              <w:overflowPunct w:val="0"/>
              <w:adjustRightInd/>
              <w:snapToGrid/>
              <w:spacing w:line="320" w:lineRule="exact"/>
              <w:ind w:firstLine="0" w:firstLineChars="0"/>
              <w:jc w:val="center"/>
              <w:rPr>
                <w:color w:val="auto"/>
              </w:rPr>
            </w:pPr>
            <w:r>
              <w:rPr>
                <w:color w:val="auto"/>
                <w:sz w:val="21"/>
              </w:rPr>
              <w:t>地层编号</w:t>
            </w:r>
          </w:p>
        </w:tc>
        <w:tc>
          <w:tcPr>
            <w:tcW w:w="826" w:type="pct"/>
            <w:tcBorders>
              <w:tl2br w:val="nil"/>
              <w:tr2bl w:val="nil"/>
            </w:tcBorders>
            <w:vAlign w:val="center"/>
          </w:tcPr>
          <w:p>
            <w:pPr>
              <w:pStyle w:val="42"/>
              <w:kinsoku w:val="0"/>
              <w:overflowPunct w:val="0"/>
              <w:adjustRightInd/>
              <w:snapToGrid/>
              <w:spacing w:line="320" w:lineRule="exact"/>
              <w:ind w:firstLine="0" w:firstLineChars="0"/>
              <w:jc w:val="center"/>
              <w:rPr>
                <w:color w:val="auto"/>
              </w:rPr>
            </w:pPr>
            <w:r>
              <w:rPr>
                <w:color w:val="auto"/>
                <w:sz w:val="21"/>
              </w:rPr>
              <w:t>地层名称</w:t>
            </w:r>
          </w:p>
        </w:tc>
        <w:tc>
          <w:tcPr>
            <w:tcW w:w="3515" w:type="pct"/>
            <w:tcBorders>
              <w:tl2br w:val="nil"/>
              <w:tr2bl w:val="nil"/>
            </w:tcBorders>
            <w:vAlign w:val="center"/>
          </w:tcPr>
          <w:p>
            <w:pPr>
              <w:pStyle w:val="42"/>
              <w:kinsoku w:val="0"/>
              <w:overflowPunct w:val="0"/>
              <w:adjustRightInd/>
              <w:snapToGrid/>
              <w:spacing w:line="320" w:lineRule="exact"/>
              <w:ind w:firstLine="0" w:firstLineChars="0"/>
              <w:jc w:val="center"/>
              <w:rPr>
                <w:color w:val="auto"/>
              </w:rPr>
            </w:pPr>
            <w:r>
              <w:rPr>
                <w:color w:val="auto"/>
                <w:sz w:val="21"/>
              </w:rPr>
              <w:t>地层描述</w:t>
            </w:r>
          </w:p>
        </w:tc>
      </w:tr>
      <w:tr>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74" w:hRule="exact"/>
        </w:trPr>
        <w:tc>
          <w:tcPr>
            <w:tcW w:w="657" w:type="pct"/>
            <w:tcBorders>
              <w:tl2br w:val="nil"/>
              <w:tr2bl w:val="nil"/>
            </w:tcBorders>
            <w:vAlign w:val="center"/>
          </w:tcPr>
          <w:p>
            <w:pPr>
              <w:pStyle w:val="42"/>
              <w:kinsoku w:val="0"/>
              <w:overflowPunct w:val="0"/>
              <w:adjustRightInd/>
              <w:snapToGrid/>
              <w:spacing w:line="320" w:lineRule="exact"/>
              <w:ind w:firstLine="0" w:firstLineChars="0"/>
              <w:jc w:val="center"/>
              <w:rPr>
                <w:color w:val="auto"/>
              </w:rPr>
            </w:pPr>
            <w:r>
              <w:rPr>
                <w:color w:val="auto"/>
                <w:sz w:val="21"/>
              </w:rPr>
              <w:t>①</w:t>
            </w:r>
          </w:p>
        </w:tc>
        <w:tc>
          <w:tcPr>
            <w:tcW w:w="826" w:type="pct"/>
            <w:tcBorders>
              <w:tl2br w:val="nil"/>
              <w:tr2bl w:val="nil"/>
            </w:tcBorders>
            <w:vAlign w:val="center"/>
          </w:tcPr>
          <w:p>
            <w:pPr>
              <w:pStyle w:val="42"/>
              <w:kinsoku w:val="0"/>
              <w:overflowPunct w:val="0"/>
              <w:adjustRightInd/>
              <w:snapToGrid/>
              <w:spacing w:line="320" w:lineRule="exact"/>
              <w:ind w:firstLine="0" w:firstLineChars="0"/>
              <w:jc w:val="center"/>
              <w:rPr>
                <w:color w:val="auto"/>
              </w:rPr>
            </w:pPr>
            <w:r>
              <w:rPr>
                <w:color w:val="auto"/>
                <w:sz w:val="21"/>
              </w:rPr>
              <w:t>粉土</w:t>
            </w:r>
          </w:p>
        </w:tc>
        <w:tc>
          <w:tcPr>
            <w:tcW w:w="3515" w:type="pct"/>
            <w:tcBorders>
              <w:tl2br w:val="nil"/>
              <w:tr2bl w:val="nil"/>
            </w:tcBorders>
            <w:vAlign w:val="center"/>
          </w:tcPr>
          <w:p>
            <w:pPr>
              <w:pStyle w:val="42"/>
              <w:kinsoku w:val="0"/>
              <w:overflowPunct w:val="0"/>
              <w:adjustRightInd/>
              <w:snapToGrid/>
              <w:spacing w:line="320" w:lineRule="exact"/>
              <w:ind w:firstLine="0" w:firstLineChars="0"/>
              <w:jc w:val="center"/>
              <w:rPr>
                <w:color w:val="auto"/>
              </w:rPr>
            </w:pPr>
            <w:r>
              <w:rPr>
                <w:color w:val="auto"/>
                <w:spacing w:val="-1"/>
                <w:sz w:val="21"/>
              </w:rPr>
              <w:t>黄褐色；稍密</w:t>
            </w:r>
            <w:r>
              <w:rPr>
                <w:rFonts w:eastAsia="Times New Roman"/>
                <w:color w:val="auto"/>
                <w:spacing w:val="-1"/>
                <w:sz w:val="21"/>
              </w:rPr>
              <w:t>-</w:t>
            </w:r>
            <w:r>
              <w:rPr>
                <w:color w:val="auto"/>
                <w:spacing w:val="-1"/>
                <w:sz w:val="21"/>
              </w:rPr>
              <w:t>中密；湿；包含植物根；夹粘土，摇振反应中等，无</w:t>
            </w:r>
            <w:r>
              <w:rPr>
                <w:color w:val="auto"/>
                <w:spacing w:val="-90"/>
                <w:sz w:val="21"/>
              </w:rPr>
              <w:t xml:space="preserve"> </w:t>
            </w:r>
            <w:r>
              <w:rPr>
                <w:color w:val="auto"/>
                <w:sz w:val="21"/>
              </w:rPr>
              <w:t>光泽反应，干强度及韧性低；层厚</w:t>
            </w:r>
            <w:r>
              <w:rPr>
                <w:color w:val="auto"/>
                <w:spacing w:val="-57"/>
                <w:sz w:val="21"/>
              </w:rPr>
              <w:t xml:space="preserve"> </w:t>
            </w:r>
            <w:r>
              <w:rPr>
                <w:rFonts w:eastAsia="Times New Roman"/>
                <w:color w:val="auto"/>
                <w:sz w:val="21"/>
              </w:rPr>
              <w:t>0.6-3.1m</w:t>
            </w:r>
          </w:p>
        </w:tc>
      </w:tr>
      <w:tr>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74" w:hRule="exact"/>
        </w:trPr>
        <w:tc>
          <w:tcPr>
            <w:tcW w:w="657" w:type="pct"/>
            <w:tcBorders>
              <w:tl2br w:val="nil"/>
              <w:tr2bl w:val="nil"/>
            </w:tcBorders>
            <w:vAlign w:val="center"/>
          </w:tcPr>
          <w:p>
            <w:pPr>
              <w:pStyle w:val="42"/>
              <w:kinsoku w:val="0"/>
              <w:overflowPunct w:val="0"/>
              <w:adjustRightInd/>
              <w:snapToGrid/>
              <w:spacing w:line="320" w:lineRule="exact"/>
              <w:ind w:firstLine="0" w:firstLineChars="0"/>
              <w:jc w:val="center"/>
              <w:rPr>
                <w:color w:val="auto"/>
              </w:rPr>
            </w:pPr>
            <w:r>
              <w:rPr>
                <w:color w:val="auto"/>
                <w:sz w:val="21"/>
              </w:rPr>
              <w:t>②</w:t>
            </w:r>
          </w:p>
        </w:tc>
        <w:tc>
          <w:tcPr>
            <w:tcW w:w="826" w:type="pct"/>
            <w:tcBorders>
              <w:tl2br w:val="nil"/>
              <w:tr2bl w:val="nil"/>
            </w:tcBorders>
            <w:vAlign w:val="center"/>
          </w:tcPr>
          <w:p>
            <w:pPr>
              <w:pStyle w:val="42"/>
              <w:kinsoku w:val="0"/>
              <w:overflowPunct w:val="0"/>
              <w:adjustRightInd/>
              <w:snapToGrid/>
              <w:spacing w:line="320" w:lineRule="exact"/>
              <w:ind w:firstLine="0" w:firstLineChars="0"/>
              <w:jc w:val="center"/>
              <w:rPr>
                <w:color w:val="auto"/>
              </w:rPr>
            </w:pPr>
            <w:r>
              <w:rPr>
                <w:color w:val="auto"/>
                <w:sz w:val="21"/>
              </w:rPr>
              <w:t>粉质粘土</w:t>
            </w:r>
          </w:p>
        </w:tc>
        <w:tc>
          <w:tcPr>
            <w:tcW w:w="3515" w:type="pct"/>
            <w:tcBorders>
              <w:tl2br w:val="nil"/>
              <w:tr2bl w:val="nil"/>
            </w:tcBorders>
            <w:vAlign w:val="center"/>
          </w:tcPr>
          <w:p>
            <w:pPr>
              <w:pStyle w:val="42"/>
              <w:kinsoku w:val="0"/>
              <w:overflowPunct w:val="0"/>
              <w:adjustRightInd/>
              <w:snapToGrid/>
              <w:spacing w:line="320" w:lineRule="exact"/>
              <w:ind w:firstLine="0" w:firstLineChars="0"/>
              <w:jc w:val="center"/>
              <w:rPr>
                <w:color w:val="auto"/>
              </w:rPr>
            </w:pPr>
            <w:r>
              <w:rPr>
                <w:color w:val="auto"/>
                <w:spacing w:val="-1"/>
                <w:sz w:val="21"/>
              </w:rPr>
              <w:t>棕褐色；软塑</w:t>
            </w:r>
            <w:r>
              <w:rPr>
                <w:rFonts w:eastAsia="Times New Roman"/>
                <w:color w:val="auto"/>
                <w:spacing w:val="-1"/>
                <w:sz w:val="21"/>
              </w:rPr>
              <w:t>-</w:t>
            </w:r>
            <w:r>
              <w:rPr>
                <w:color w:val="auto"/>
                <w:spacing w:val="-1"/>
                <w:sz w:val="21"/>
              </w:rPr>
              <w:t>可塑；包含腐殖质；无摇振反应，切面光滑，干强度</w:t>
            </w:r>
            <w:r>
              <w:rPr>
                <w:color w:val="auto"/>
                <w:spacing w:val="-90"/>
                <w:sz w:val="21"/>
              </w:rPr>
              <w:t xml:space="preserve"> </w:t>
            </w:r>
            <w:r>
              <w:rPr>
                <w:color w:val="auto"/>
                <w:sz w:val="21"/>
              </w:rPr>
              <w:t>及韧性中等；层厚</w:t>
            </w:r>
            <w:r>
              <w:rPr>
                <w:color w:val="auto"/>
                <w:spacing w:val="-55"/>
                <w:sz w:val="21"/>
              </w:rPr>
              <w:t xml:space="preserve"> </w:t>
            </w:r>
            <w:r>
              <w:rPr>
                <w:rFonts w:eastAsia="Times New Roman"/>
                <w:color w:val="auto"/>
                <w:sz w:val="21"/>
              </w:rPr>
              <w:t>0.6-1.9m</w:t>
            </w:r>
            <w:r>
              <w:rPr>
                <w:color w:val="auto"/>
                <w:sz w:val="21"/>
              </w:rPr>
              <w:t>，部分缺失</w:t>
            </w:r>
          </w:p>
        </w:tc>
      </w:tr>
      <w:tr>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73" w:hRule="exact"/>
        </w:trPr>
        <w:tc>
          <w:tcPr>
            <w:tcW w:w="657" w:type="pct"/>
            <w:tcBorders>
              <w:tl2br w:val="nil"/>
              <w:tr2bl w:val="nil"/>
            </w:tcBorders>
            <w:vAlign w:val="center"/>
          </w:tcPr>
          <w:p>
            <w:pPr>
              <w:pStyle w:val="42"/>
              <w:kinsoku w:val="0"/>
              <w:overflowPunct w:val="0"/>
              <w:adjustRightInd/>
              <w:snapToGrid/>
              <w:spacing w:line="320" w:lineRule="exact"/>
              <w:ind w:firstLine="0" w:firstLineChars="0"/>
              <w:jc w:val="center"/>
              <w:rPr>
                <w:color w:val="auto"/>
              </w:rPr>
            </w:pPr>
            <w:r>
              <w:rPr>
                <w:color w:val="auto"/>
                <w:sz w:val="21"/>
              </w:rPr>
              <w:t>③</w:t>
            </w:r>
          </w:p>
        </w:tc>
        <w:tc>
          <w:tcPr>
            <w:tcW w:w="826" w:type="pct"/>
            <w:tcBorders>
              <w:tl2br w:val="nil"/>
              <w:tr2bl w:val="nil"/>
            </w:tcBorders>
            <w:vAlign w:val="center"/>
          </w:tcPr>
          <w:p>
            <w:pPr>
              <w:pStyle w:val="42"/>
              <w:kinsoku w:val="0"/>
              <w:overflowPunct w:val="0"/>
              <w:adjustRightInd/>
              <w:snapToGrid/>
              <w:spacing w:line="320" w:lineRule="exact"/>
              <w:ind w:firstLine="0" w:firstLineChars="0"/>
              <w:jc w:val="center"/>
              <w:rPr>
                <w:color w:val="auto"/>
              </w:rPr>
            </w:pPr>
            <w:r>
              <w:rPr>
                <w:color w:val="auto"/>
                <w:sz w:val="21"/>
              </w:rPr>
              <w:t>粉土</w:t>
            </w:r>
          </w:p>
        </w:tc>
        <w:tc>
          <w:tcPr>
            <w:tcW w:w="3515" w:type="pct"/>
            <w:tcBorders>
              <w:tl2br w:val="nil"/>
              <w:tr2bl w:val="nil"/>
            </w:tcBorders>
            <w:vAlign w:val="center"/>
          </w:tcPr>
          <w:p>
            <w:pPr>
              <w:pStyle w:val="42"/>
              <w:kinsoku w:val="0"/>
              <w:overflowPunct w:val="0"/>
              <w:adjustRightInd/>
              <w:snapToGrid/>
              <w:spacing w:line="320" w:lineRule="exact"/>
              <w:ind w:firstLine="0" w:firstLineChars="0"/>
              <w:jc w:val="center"/>
              <w:rPr>
                <w:color w:val="auto"/>
              </w:rPr>
            </w:pPr>
            <w:r>
              <w:rPr>
                <w:color w:val="auto"/>
                <w:spacing w:val="-1"/>
                <w:sz w:val="21"/>
              </w:rPr>
              <w:t>灰褐色；稍密</w:t>
            </w:r>
            <w:r>
              <w:rPr>
                <w:rFonts w:eastAsia="Times New Roman"/>
                <w:color w:val="auto"/>
                <w:spacing w:val="-1"/>
                <w:sz w:val="21"/>
              </w:rPr>
              <w:t>-</w:t>
            </w:r>
            <w:r>
              <w:rPr>
                <w:color w:val="auto"/>
                <w:spacing w:val="-1"/>
                <w:sz w:val="21"/>
              </w:rPr>
              <w:t>中密；湿；包含腐殖质；摇振反应中等，无光泽反应，</w:t>
            </w:r>
            <w:r>
              <w:rPr>
                <w:color w:val="auto"/>
                <w:spacing w:val="-89"/>
                <w:sz w:val="21"/>
              </w:rPr>
              <w:t xml:space="preserve"> </w:t>
            </w:r>
            <w:r>
              <w:rPr>
                <w:color w:val="auto"/>
                <w:sz w:val="21"/>
              </w:rPr>
              <w:t>干强度及韧性低；层厚</w:t>
            </w:r>
            <w:r>
              <w:rPr>
                <w:color w:val="auto"/>
                <w:spacing w:val="-57"/>
                <w:sz w:val="21"/>
              </w:rPr>
              <w:t xml:space="preserve"> </w:t>
            </w:r>
            <w:r>
              <w:rPr>
                <w:rFonts w:eastAsia="Times New Roman"/>
                <w:color w:val="auto"/>
                <w:sz w:val="21"/>
              </w:rPr>
              <w:t>0.7-2.4m</w:t>
            </w:r>
          </w:p>
        </w:tc>
      </w:tr>
      <w:tr>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74" w:hRule="exact"/>
        </w:trPr>
        <w:tc>
          <w:tcPr>
            <w:tcW w:w="657" w:type="pct"/>
            <w:tcBorders>
              <w:tl2br w:val="nil"/>
              <w:tr2bl w:val="nil"/>
            </w:tcBorders>
            <w:vAlign w:val="center"/>
          </w:tcPr>
          <w:p>
            <w:pPr>
              <w:pStyle w:val="42"/>
              <w:kinsoku w:val="0"/>
              <w:overflowPunct w:val="0"/>
              <w:adjustRightInd/>
              <w:snapToGrid/>
              <w:spacing w:line="320" w:lineRule="exact"/>
              <w:ind w:firstLine="0" w:firstLineChars="0"/>
              <w:jc w:val="center"/>
              <w:rPr>
                <w:color w:val="auto"/>
              </w:rPr>
            </w:pPr>
            <w:r>
              <w:rPr>
                <w:color w:val="auto"/>
                <w:sz w:val="21"/>
              </w:rPr>
              <w:t>④</w:t>
            </w:r>
          </w:p>
        </w:tc>
        <w:tc>
          <w:tcPr>
            <w:tcW w:w="826" w:type="pct"/>
            <w:tcBorders>
              <w:tl2br w:val="nil"/>
              <w:tr2bl w:val="nil"/>
            </w:tcBorders>
            <w:vAlign w:val="center"/>
          </w:tcPr>
          <w:p>
            <w:pPr>
              <w:pStyle w:val="42"/>
              <w:kinsoku w:val="0"/>
              <w:overflowPunct w:val="0"/>
              <w:adjustRightInd/>
              <w:snapToGrid/>
              <w:spacing w:line="320" w:lineRule="exact"/>
              <w:ind w:firstLine="0" w:firstLineChars="0"/>
              <w:jc w:val="center"/>
              <w:rPr>
                <w:color w:val="auto"/>
              </w:rPr>
            </w:pPr>
            <w:r>
              <w:rPr>
                <w:color w:val="auto"/>
                <w:sz w:val="21"/>
              </w:rPr>
              <w:t>粉质粘土</w:t>
            </w:r>
          </w:p>
        </w:tc>
        <w:tc>
          <w:tcPr>
            <w:tcW w:w="3515" w:type="pct"/>
            <w:tcBorders>
              <w:tl2br w:val="nil"/>
              <w:tr2bl w:val="nil"/>
            </w:tcBorders>
            <w:vAlign w:val="center"/>
          </w:tcPr>
          <w:p>
            <w:pPr>
              <w:pStyle w:val="42"/>
              <w:kinsoku w:val="0"/>
              <w:overflowPunct w:val="0"/>
              <w:adjustRightInd/>
              <w:snapToGrid/>
              <w:spacing w:line="320" w:lineRule="exact"/>
              <w:ind w:firstLine="0" w:firstLineChars="0"/>
              <w:jc w:val="center"/>
              <w:rPr>
                <w:color w:val="auto"/>
              </w:rPr>
            </w:pPr>
            <w:r>
              <w:rPr>
                <w:color w:val="auto"/>
                <w:spacing w:val="-1"/>
                <w:sz w:val="21"/>
              </w:rPr>
              <w:t>灰褐色；软塑</w:t>
            </w:r>
            <w:r>
              <w:rPr>
                <w:rFonts w:eastAsia="Times New Roman"/>
                <w:color w:val="auto"/>
                <w:spacing w:val="-1"/>
                <w:sz w:val="21"/>
              </w:rPr>
              <w:t>-</w:t>
            </w:r>
            <w:r>
              <w:rPr>
                <w:color w:val="auto"/>
                <w:spacing w:val="-1"/>
                <w:sz w:val="21"/>
              </w:rPr>
              <w:t>可塑；包含氧化铁；夹粉土薄层，无摇振反应，切面</w:t>
            </w:r>
            <w:r>
              <w:rPr>
                <w:color w:val="auto"/>
                <w:spacing w:val="-90"/>
                <w:sz w:val="21"/>
              </w:rPr>
              <w:t xml:space="preserve"> </w:t>
            </w:r>
            <w:r>
              <w:rPr>
                <w:color w:val="auto"/>
                <w:sz w:val="21"/>
              </w:rPr>
              <w:t>光滑，干强度及韧性中等；层厚</w:t>
            </w:r>
            <w:r>
              <w:rPr>
                <w:color w:val="auto"/>
                <w:spacing w:val="-57"/>
                <w:sz w:val="21"/>
              </w:rPr>
              <w:t xml:space="preserve"> </w:t>
            </w:r>
            <w:r>
              <w:rPr>
                <w:rFonts w:eastAsia="Times New Roman"/>
                <w:color w:val="auto"/>
                <w:sz w:val="21"/>
              </w:rPr>
              <w:t>2.2-6.0m</w:t>
            </w:r>
          </w:p>
        </w:tc>
      </w:tr>
      <w:tr>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81" w:hRule="exact"/>
        </w:trPr>
        <w:tc>
          <w:tcPr>
            <w:tcW w:w="657" w:type="pct"/>
            <w:tcBorders>
              <w:tl2br w:val="nil"/>
              <w:tr2bl w:val="nil"/>
            </w:tcBorders>
            <w:vAlign w:val="center"/>
          </w:tcPr>
          <w:p>
            <w:pPr>
              <w:pStyle w:val="42"/>
              <w:kinsoku w:val="0"/>
              <w:overflowPunct w:val="0"/>
              <w:adjustRightInd/>
              <w:snapToGrid/>
              <w:spacing w:line="320" w:lineRule="exact"/>
              <w:ind w:firstLine="0" w:firstLineChars="0"/>
              <w:jc w:val="center"/>
              <w:rPr>
                <w:color w:val="auto"/>
              </w:rPr>
            </w:pPr>
            <w:r>
              <w:rPr>
                <w:color w:val="auto"/>
                <w:sz w:val="21"/>
              </w:rPr>
              <w:t>⑤</w:t>
            </w:r>
          </w:p>
        </w:tc>
        <w:tc>
          <w:tcPr>
            <w:tcW w:w="826" w:type="pct"/>
            <w:tcBorders>
              <w:tl2br w:val="nil"/>
              <w:tr2bl w:val="nil"/>
            </w:tcBorders>
            <w:vAlign w:val="center"/>
          </w:tcPr>
          <w:p>
            <w:pPr>
              <w:pStyle w:val="42"/>
              <w:kinsoku w:val="0"/>
              <w:overflowPunct w:val="0"/>
              <w:adjustRightInd/>
              <w:snapToGrid/>
              <w:spacing w:line="320" w:lineRule="exact"/>
              <w:ind w:firstLine="0" w:firstLineChars="0"/>
              <w:jc w:val="center"/>
              <w:rPr>
                <w:color w:val="auto"/>
              </w:rPr>
            </w:pPr>
            <w:r>
              <w:rPr>
                <w:color w:val="auto"/>
                <w:sz w:val="21"/>
              </w:rPr>
              <w:t>粉砂</w:t>
            </w:r>
          </w:p>
        </w:tc>
        <w:tc>
          <w:tcPr>
            <w:tcW w:w="3515" w:type="pct"/>
            <w:tcBorders>
              <w:tl2br w:val="nil"/>
              <w:tr2bl w:val="nil"/>
            </w:tcBorders>
            <w:vAlign w:val="center"/>
          </w:tcPr>
          <w:p>
            <w:pPr>
              <w:pStyle w:val="42"/>
              <w:kinsoku w:val="0"/>
              <w:overflowPunct w:val="0"/>
              <w:adjustRightInd/>
              <w:snapToGrid/>
              <w:spacing w:line="320" w:lineRule="exact"/>
              <w:ind w:firstLine="0" w:firstLineChars="0"/>
              <w:jc w:val="center"/>
              <w:rPr>
                <w:color w:val="auto"/>
              </w:rPr>
            </w:pPr>
            <w:r>
              <w:rPr>
                <w:color w:val="auto"/>
                <w:spacing w:val="-1"/>
                <w:sz w:val="21"/>
              </w:rPr>
              <w:t>黄色；中密</w:t>
            </w:r>
            <w:r>
              <w:rPr>
                <w:rFonts w:eastAsia="Times New Roman"/>
                <w:color w:val="auto"/>
                <w:spacing w:val="-1"/>
                <w:sz w:val="21"/>
              </w:rPr>
              <w:t>-</w:t>
            </w:r>
            <w:r>
              <w:rPr>
                <w:color w:val="auto"/>
                <w:spacing w:val="-1"/>
                <w:sz w:val="21"/>
              </w:rPr>
              <w:t>密实；湿；包含云母；夹粘土薄层，主要成分为石英长</w:t>
            </w:r>
            <w:r>
              <w:rPr>
                <w:color w:val="auto"/>
                <w:spacing w:val="-85"/>
                <w:sz w:val="21"/>
              </w:rPr>
              <w:t xml:space="preserve"> </w:t>
            </w:r>
            <w:r>
              <w:rPr>
                <w:color w:val="auto"/>
                <w:sz w:val="21"/>
              </w:rPr>
              <w:t>石少量云母；颗粒级配良好，未揭穿</w:t>
            </w:r>
          </w:p>
        </w:tc>
      </w:tr>
    </w:tbl>
    <w:p>
      <w:pPr>
        <w:ind w:firstLine="480"/>
        <w:rPr>
          <w:color w:val="auto"/>
        </w:rPr>
      </w:pPr>
      <w:r>
        <w:rPr>
          <w:color w:val="auto"/>
        </w:rPr>
        <w:t>评价区域水文地质分区见图 5.2-4。</w:t>
      </w:r>
    </w:p>
    <w:p>
      <w:pPr>
        <w:pStyle w:val="11"/>
        <w:kinsoku w:val="0"/>
        <w:overflowPunct w:val="0"/>
        <w:ind w:firstLine="480"/>
        <w:jc w:val="center"/>
        <w:rPr>
          <w:color w:val="auto"/>
          <w:sz w:val="20"/>
        </w:rPr>
      </w:pPr>
      <w:r>
        <w:rPr>
          <w:color w:val="auto"/>
        </w:rPr>
        <w:pict>
          <v:shape id="自选图形 2427" o:spid="_x0000_s1033" o:spt="62" type="#_x0000_t62" style="position:absolute;left:0pt;margin-left:352.05pt;margin-top:30.6pt;height:26.85pt;width:61.9pt;z-index:251664384;mso-width-relative:page;mso-height-relative:page;" filled="f" coordsize="21600,21600" adj="-9438,8286">
            <v:path/>
            <v:fill on="f" focussize="0,0"/>
            <v:stroke joinstyle="miter"/>
            <v:imagedata o:title=""/>
            <o:lock v:ext="edit"/>
            <v:textbox>
              <w:txbxContent>
                <w:p>
                  <w:pPr>
                    <w:adjustRightInd/>
                    <w:snapToGrid/>
                    <w:spacing w:line="240" w:lineRule="exact"/>
                    <w:ind w:firstLine="0" w:firstLineChars="0"/>
                  </w:pPr>
                  <w:r>
                    <w:rPr>
                      <w:rFonts w:hint="eastAsia"/>
                    </w:rPr>
                    <w:t>本项目</w:t>
                  </w:r>
                </w:p>
              </w:txbxContent>
            </v:textbox>
          </v:shape>
        </w:pict>
      </w:r>
      <w:r>
        <w:rPr>
          <w:color w:val="auto"/>
        </w:rPr>
        <w:pict>
          <v:rect id="矩形 2426" o:spid="_x0000_s1034" o:spt="1" style="position:absolute;left:0pt;margin-left:317.7pt;margin-top:37.45pt;height:6.25pt;width:10pt;z-index:251663360;mso-width-relative:page;mso-height-relative:page;" fillcolor="#00B0F0" filled="t" stroked="t" coordsize="21600,21600">
            <v:path/>
            <v:fill on="t" focussize="0,0"/>
            <v:stroke color="#00B0F0"/>
            <v:imagedata o:title=""/>
            <o:lock v:ext="edit"/>
            <v:textbox>
              <w:txbxContent>
                <w:p>
                  <w:pPr>
                    <w:ind w:firstLine="480"/>
                  </w:pPr>
                </w:p>
              </w:txbxContent>
            </v:textbox>
          </v:rect>
        </w:pict>
      </w:r>
      <w:r>
        <w:rPr>
          <w:color w:val="auto"/>
        </w:rPr>
        <w:drawing>
          <wp:inline distT="0" distB="0" distL="114300" distR="114300">
            <wp:extent cx="5328920" cy="3710940"/>
            <wp:effectExtent l="0" t="0" r="5080" b="3810"/>
            <wp:docPr id="1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0"/>
                    <pic:cNvPicPr>
                      <a:picLocks noChangeAspect="1"/>
                    </pic:cNvPicPr>
                  </pic:nvPicPr>
                  <pic:blipFill>
                    <a:blip r:embed="rId66"/>
                    <a:stretch>
                      <a:fillRect/>
                    </a:stretch>
                  </pic:blipFill>
                  <pic:spPr>
                    <a:xfrm>
                      <a:off x="0" y="0"/>
                      <a:ext cx="5328920" cy="3710940"/>
                    </a:xfrm>
                    <a:prstGeom prst="rect">
                      <a:avLst/>
                    </a:prstGeom>
                    <a:noFill/>
                    <a:ln>
                      <a:noFill/>
                    </a:ln>
                  </pic:spPr>
                </pic:pic>
              </a:graphicData>
            </a:graphic>
          </wp:inline>
        </w:drawing>
      </w:r>
    </w:p>
    <w:p>
      <w:pPr>
        <w:pStyle w:val="11"/>
        <w:tabs>
          <w:tab w:val="left" w:pos="3575"/>
        </w:tabs>
        <w:kinsoku w:val="0"/>
        <w:overflowPunct w:val="0"/>
        <w:spacing w:before="17"/>
        <w:ind w:left="2625" w:firstLine="480"/>
        <w:rPr>
          <w:rFonts w:eastAsia="黑体"/>
          <w:color w:val="auto"/>
        </w:rPr>
      </w:pPr>
      <w:r>
        <w:rPr>
          <w:rFonts w:eastAsia="黑体"/>
          <w:color w:val="auto"/>
        </w:rPr>
        <w:t>图</w:t>
      </w:r>
      <w:r>
        <w:rPr>
          <w:rFonts w:eastAsia="Times New Roman"/>
          <w:color w:val="auto"/>
        </w:rPr>
        <w:t>5</w:t>
      </w:r>
      <w:r>
        <w:rPr>
          <w:color w:val="auto"/>
        </w:rPr>
        <w:t>.2</w:t>
      </w:r>
      <w:r>
        <w:rPr>
          <w:rFonts w:eastAsia="Times New Roman"/>
          <w:color w:val="auto"/>
        </w:rPr>
        <w:t>-4</w:t>
      </w:r>
      <w:r>
        <w:rPr>
          <w:color w:val="auto"/>
        </w:rPr>
        <w:t xml:space="preserve">  </w:t>
      </w:r>
      <w:r>
        <w:rPr>
          <w:rFonts w:eastAsia="黑体"/>
          <w:color w:val="auto"/>
        </w:rPr>
        <w:t>评价区域水文地质分区图</w:t>
      </w:r>
    </w:p>
    <w:p>
      <w:pPr>
        <w:ind w:firstLine="480"/>
        <w:outlineLvl w:val="3"/>
        <w:rPr>
          <w:color w:val="auto"/>
        </w:rPr>
      </w:pPr>
      <w:r>
        <w:rPr>
          <w:color w:val="auto"/>
        </w:rPr>
        <w:t>5.</w:t>
      </w:r>
      <w:r>
        <w:rPr>
          <w:rFonts w:hint="eastAsia"/>
          <w:color w:val="auto"/>
        </w:rPr>
        <w:t>2</w:t>
      </w:r>
      <w:r>
        <w:rPr>
          <w:color w:val="auto"/>
        </w:rPr>
        <w:t>.3.</w:t>
      </w:r>
      <w:r>
        <w:rPr>
          <w:rFonts w:hint="eastAsia"/>
          <w:color w:val="auto"/>
        </w:rPr>
        <w:t>2本项目周边地下水开采利用现状</w:t>
      </w:r>
    </w:p>
    <w:p>
      <w:pPr>
        <w:ind w:firstLine="480"/>
        <w:rPr>
          <w:color w:val="auto"/>
          <w:kern w:val="0"/>
        </w:rPr>
      </w:pPr>
      <w:r>
        <w:rPr>
          <w:rFonts w:hint="eastAsia"/>
          <w:color w:val="auto"/>
        </w:rPr>
        <w:t>距离本项目最近的为李子园地下水井群（共23眼井）饮用水水源一级保护区：取水井外50米的区域。本项目位于李子园地下水井群准保护区边界东侧2.6km，不在其准保护区范围内。</w:t>
      </w:r>
      <w:r>
        <w:rPr>
          <w:color w:val="auto"/>
        </w:rPr>
        <w:t>含水层岩性以细砂、</w:t>
      </w:r>
      <w:r>
        <w:rPr>
          <w:rFonts w:hint="eastAsia"/>
          <w:color w:val="auto"/>
        </w:rPr>
        <w:t>中西</w:t>
      </w:r>
      <w:r>
        <w:rPr>
          <w:color w:val="auto"/>
        </w:rPr>
        <w:t>细砂为主，含水岩组为松散岩类孔隙水</w:t>
      </w:r>
      <w:r>
        <w:rPr>
          <w:rFonts w:hint="eastAsia"/>
          <w:color w:val="auto"/>
        </w:rPr>
        <w:t>。</w:t>
      </w:r>
      <w:r>
        <w:rPr>
          <w:rFonts w:hint="eastAsia"/>
          <w:color w:val="auto"/>
          <w:kern w:val="0"/>
        </w:rPr>
        <w:t>本项目附近村民生活</w:t>
      </w:r>
      <w:r>
        <w:rPr>
          <w:color w:val="auto"/>
          <w:kern w:val="0"/>
        </w:rPr>
        <w:t>用水</w:t>
      </w:r>
      <w:r>
        <w:rPr>
          <w:rFonts w:hint="eastAsia"/>
          <w:color w:val="auto"/>
          <w:kern w:val="0"/>
        </w:rPr>
        <w:t>采用村庄集中</w:t>
      </w:r>
      <w:r>
        <w:rPr>
          <w:color w:val="auto"/>
          <w:kern w:val="0"/>
        </w:rPr>
        <w:t>供水，</w:t>
      </w:r>
      <w:r>
        <w:rPr>
          <w:rFonts w:hint="eastAsia"/>
          <w:color w:val="auto"/>
          <w:kern w:val="0"/>
        </w:rPr>
        <w:t>一般</w:t>
      </w:r>
      <w:r>
        <w:rPr>
          <w:color w:val="auto"/>
          <w:kern w:val="0"/>
        </w:rPr>
        <w:t>分布在村庄中间，</w:t>
      </w:r>
      <w:r>
        <w:rPr>
          <w:rFonts w:hint="eastAsia"/>
          <w:color w:val="auto"/>
          <w:kern w:val="0"/>
        </w:rPr>
        <w:t>取水井井深</w:t>
      </w:r>
      <w:r>
        <w:rPr>
          <w:color w:val="auto"/>
          <w:kern w:val="0"/>
        </w:rPr>
        <w:t>100</w:t>
      </w:r>
      <w:r>
        <w:rPr>
          <w:rFonts w:hint="eastAsia"/>
          <w:color w:val="auto"/>
          <w:kern w:val="0"/>
        </w:rPr>
        <w:t>m以上；村民分散</w:t>
      </w:r>
      <w:r>
        <w:rPr>
          <w:color w:val="auto"/>
          <w:kern w:val="0"/>
        </w:rPr>
        <w:t>的</w:t>
      </w:r>
      <w:r>
        <w:rPr>
          <w:rFonts w:hint="eastAsia"/>
          <w:color w:val="auto"/>
          <w:kern w:val="0"/>
        </w:rPr>
        <w:t>自备</w:t>
      </w:r>
      <w:r>
        <w:rPr>
          <w:color w:val="auto"/>
          <w:kern w:val="0"/>
        </w:rPr>
        <w:t>水井，多用来</w:t>
      </w:r>
      <w:r>
        <w:rPr>
          <w:rFonts w:hint="eastAsia"/>
          <w:color w:val="auto"/>
          <w:kern w:val="0"/>
        </w:rPr>
        <w:t>提供</w:t>
      </w:r>
      <w:r>
        <w:rPr>
          <w:color w:val="auto"/>
          <w:kern w:val="0"/>
        </w:rPr>
        <w:t>洗衣服</w:t>
      </w:r>
      <w:r>
        <w:rPr>
          <w:rFonts w:hint="eastAsia"/>
          <w:color w:val="auto"/>
          <w:kern w:val="0"/>
        </w:rPr>
        <w:t>及</w:t>
      </w:r>
      <w:r>
        <w:rPr>
          <w:color w:val="auto"/>
          <w:kern w:val="0"/>
        </w:rPr>
        <w:t>灌溉等其他用水。</w:t>
      </w:r>
    </w:p>
    <w:p>
      <w:pPr>
        <w:ind w:firstLine="480"/>
        <w:outlineLvl w:val="3"/>
        <w:rPr>
          <w:color w:val="auto"/>
        </w:rPr>
      </w:pPr>
      <w:r>
        <w:rPr>
          <w:rFonts w:hint="eastAsia"/>
          <w:color w:val="auto"/>
        </w:rPr>
        <w:t>5.2.3.3污染源调查</w:t>
      </w:r>
    </w:p>
    <w:p>
      <w:pPr>
        <w:ind w:firstLine="480"/>
        <w:rPr>
          <w:color w:val="auto"/>
        </w:rPr>
      </w:pPr>
      <w:r>
        <w:rPr>
          <w:rFonts w:hint="eastAsia"/>
          <w:color w:val="auto"/>
        </w:rPr>
        <w:t>本</w:t>
      </w:r>
      <w:r>
        <w:rPr>
          <w:color w:val="auto"/>
        </w:rPr>
        <w:t>项目区地处农村，区域没有工业污染源存在</w:t>
      </w:r>
      <w:r>
        <w:rPr>
          <w:rFonts w:hint="eastAsia"/>
          <w:color w:val="auto"/>
        </w:rPr>
        <w:t>，区域污染源主要为农村面源污染。农村</w:t>
      </w:r>
      <w:r>
        <w:rPr>
          <w:color w:val="auto"/>
        </w:rPr>
        <w:fldChar w:fldCharType="begin"/>
      </w:r>
      <w:r>
        <w:rPr>
          <w:color w:val="auto"/>
        </w:rPr>
        <w:instrText xml:space="preserve"> HYPERLINK "http://www.baike.com/sowiki/%E9%9D%A2%E6%BA%90%E6%B1%A1%E6%9F%93?prd=content_doc_search" \t "_blank" \o "面源污染" </w:instrText>
      </w:r>
      <w:r>
        <w:rPr>
          <w:color w:val="auto"/>
        </w:rPr>
        <w:fldChar w:fldCharType="separate"/>
      </w:r>
      <w:r>
        <w:rPr>
          <w:rFonts w:hint="eastAsia"/>
          <w:color w:val="auto"/>
        </w:rPr>
        <w:t>面源污染</w:t>
      </w:r>
      <w:r>
        <w:rPr>
          <w:rFonts w:hint="eastAsia"/>
          <w:color w:val="auto"/>
        </w:rPr>
        <w:fldChar w:fldCharType="end"/>
      </w:r>
      <w:r>
        <w:rPr>
          <w:color w:val="auto"/>
        </w:rPr>
        <w:t>农田中大量使用化肥和农药，生活污水无组织排放</w:t>
      </w:r>
      <w:r>
        <w:rPr>
          <w:rFonts w:hint="eastAsia"/>
          <w:color w:val="auto"/>
        </w:rPr>
        <w:t>。</w:t>
      </w:r>
    </w:p>
    <w:p>
      <w:pPr>
        <w:ind w:firstLine="480"/>
        <w:outlineLvl w:val="3"/>
        <w:rPr>
          <w:color w:val="auto"/>
        </w:rPr>
      </w:pPr>
      <w:r>
        <w:rPr>
          <w:color w:val="auto"/>
        </w:rPr>
        <w:t>5.</w:t>
      </w:r>
      <w:r>
        <w:rPr>
          <w:rFonts w:hint="eastAsia"/>
          <w:color w:val="auto"/>
        </w:rPr>
        <w:t>2</w:t>
      </w:r>
      <w:r>
        <w:rPr>
          <w:color w:val="auto"/>
        </w:rPr>
        <w:t>.3.</w:t>
      </w:r>
      <w:r>
        <w:rPr>
          <w:rFonts w:hint="eastAsia"/>
          <w:color w:val="auto"/>
        </w:rPr>
        <w:t>4</w:t>
      </w:r>
      <w:r>
        <w:rPr>
          <w:color w:val="auto"/>
        </w:rPr>
        <w:t>评价工作等级的确定</w:t>
      </w:r>
    </w:p>
    <w:p>
      <w:pPr>
        <w:ind w:firstLine="480"/>
        <w:rPr>
          <w:rFonts w:ascii="黑体" w:hAnsi="黑体" w:eastAsia="黑体"/>
          <w:color w:val="auto"/>
          <w:szCs w:val="21"/>
        </w:rPr>
      </w:pPr>
      <w:r>
        <w:rPr>
          <w:color w:val="auto"/>
        </w:rPr>
        <w:t>根据《环境影响评价技术导则（地下水环境）》（HJ610-201</w:t>
      </w:r>
      <w:r>
        <w:rPr>
          <w:rFonts w:hint="eastAsia"/>
          <w:color w:val="auto"/>
        </w:rPr>
        <w:t>6</w:t>
      </w:r>
      <w:r>
        <w:rPr>
          <w:color w:val="auto"/>
        </w:rPr>
        <w:t>）</w:t>
      </w:r>
      <w:r>
        <w:rPr>
          <w:rFonts w:hint="eastAsia"/>
          <w:color w:val="auto"/>
        </w:rPr>
        <w:t>地下水环境影响评价行业分类表（附录A）</w:t>
      </w:r>
      <w:r>
        <w:rPr>
          <w:color w:val="auto"/>
        </w:rPr>
        <w:t>，</w:t>
      </w:r>
      <w:r>
        <w:rPr>
          <w:rFonts w:hint="eastAsia"/>
          <w:color w:val="auto"/>
        </w:rPr>
        <w:t>本</w:t>
      </w:r>
      <w:r>
        <w:rPr>
          <w:color w:val="auto"/>
        </w:rPr>
        <w:t>项目属于B</w:t>
      </w:r>
      <w:r>
        <w:rPr>
          <w:rFonts w:hint="eastAsia"/>
          <w:color w:val="auto"/>
        </w:rPr>
        <w:t>农、林、牧、渔、海洋类中第</w:t>
      </w:r>
      <w:r>
        <w:rPr>
          <w:color w:val="auto"/>
        </w:rPr>
        <w:t>14</w:t>
      </w:r>
      <w:r>
        <w:rPr>
          <w:rFonts w:hint="eastAsia"/>
          <w:color w:val="auto"/>
        </w:rPr>
        <w:t>条“畜禽养殖场</w:t>
      </w:r>
      <w:r>
        <w:rPr>
          <w:color w:val="auto"/>
        </w:rPr>
        <w:t>、养殖小区</w:t>
      </w:r>
      <w:r>
        <w:rPr>
          <w:rFonts w:hint="eastAsia"/>
          <w:color w:val="auto"/>
        </w:rPr>
        <w:t>”类，为</w:t>
      </w:r>
      <w:r>
        <w:rPr>
          <w:color w:val="auto"/>
        </w:rPr>
        <w:fldChar w:fldCharType="begin"/>
      </w:r>
      <w:r>
        <w:rPr>
          <w:color w:val="auto"/>
        </w:rPr>
        <w:instrText xml:space="preserve"> </w:instrText>
      </w:r>
      <w:r>
        <w:rPr>
          <w:rFonts w:hint="eastAsia"/>
          <w:color w:val="auto"/>
        </w:rPr>
        <w:instrText xml:space="preserve">= 3 \* ROMAN</w:instrText>
      </w:r>
      <w:r>
        <w:rPr>
          <w:color w:val="auto"/>
        </w:rPr>
        <w:instrText xml:space="preserve"> </w:instrText>
      </w:r>
      <w:r>
        <w:rPr>
          <w:color w:val="auto"/>
        </w:rPr>
        <w:fldChar w:fldCharType="separate"/>
      </w:r>
      <w:r>
        <w:rPr>
          <w:color w:val="auto"/>
        </w:rPr>
        <w:t>III</w:t>
      </w:r>
      <w:r>
        <w:rPr>
          <w:color w:val="auto"/>
        </w:rPr>
        <w:fldChar w:fldCharType="end"/>
      </w:r>
      <w:r>
        <w:rPr>
          <w:rFonts w:hint="eastAsia"/>
          <w:color w:val="auto"/>
        </w:rPr>
        <w:t>类项目，本项目地下水敏感程度为较敏感，根据评价工作等级划分表，本项目地下水评价等级为二级，评价范围以项目区西南侧1km，项目两侧1km，东北侧（下游）2km的区域，约6km</w:t>
      </w:r>
      <w:r>
        <w:rPr>
          <w:rFonts w:hint="eastAsia"/>
          <w:color w:val="auto"/>
          <w:vertAlign w:val="superscript"/>
        </w:rPr>
        <w:t>2</w:t>
      </w:r>
      <w:r>
        <w:rPr>
          <w:rFonts w:hint="eastAsia"/>
          <w:color w:val="auto"/>
        </w:rPr>
        <w:t>范围。地下水划分工作等级表详见表5.2-22。</w:t>
      </w:r>
    </w:p>
    <w:p>
      <w:pPr>
        <w:spacing w:after="93" w:afterLines="30" w:line="500" w:lineRule="exact"/>
        <w:ind w:left="851" w:firstLine="482"/>
        <w:jc w:val="center"/>
        <w:rPr>
          <w:b/>
          <w:color w:val="auto"/>
          <w:szCs w:val="21"/>
        </w:rPr>
      </w:pPr>
      <w:r>
        <w:rPr>
          <w:rFonts w:hint="eastAsia"/>
          <w:b/>
          <w:color w:val="auto"/>
          <w:szCs w:val="21"/>
        </w:rPr>
        <w:t xml:space="preserve">表5.2-22    </w:t>
      </w:r>
      <w:r>
        <w:rPr>
          <w:b/>
          <w:color w:val="auto"/>
          <w:szCs w:val="21"/>
        </w:rPr>
        <w:t xml:space="preserve"> </w:t>
      </w:r>
      <w:r>
        <w:rPr>
          <w:rFonts w:hint="eastAsia"/>
          <w:b/>
          <w:color w:val="auto"/>
          <w:szCs w:val="21"/>
        </w:rPr>
        <w:t>评价工作等级分级别</w:t>
      </w:r>
    </w:p>
    <w:tbl>
      <w:tblPr>
        <w:tblStyle w:val="27"/>
        <w:tblW w:w="0" w:type="auto"/>
        <w:tblInd w:w="0" w:type="dxa"/>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265"/>
        <w:gridCol w:w="2265"/>
        <w:gridCol w:w="2265"/>
        <w:gridCol w:w="2265"/>
      </w:tblGrid>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265"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 xml:space="preserve">      项目类别</w:t>
            </w:r>
          </w:p>
          <w:p>
            <w:pPr>
              <w:spacing w:line="240" w:lineRule="auto"/>
              <w:ind w:firstLine="0" w:firstLineChars="0"/>
              <w:rPr>
                <w:color w:val="auto"/>
                <w:sz w:val="21"/>
                <w:szCs w:val="21"/>
              </w:rPr>
            </w:pPr>
            <w:r>
              <w:rPr>
                <w:rFonts w:hint="eastAsia"/>
                <w:color w:val="auto"/>
                <w:sz w:val="21"/>
                <w:szCs w:val="21"/>
              </w:rPr>
              <w:t>环境敏感程度</w:t>
            </w:r>
          </w:p>
        </w:tc>
        <w:tc>
          <w:tcPr>
            <w:tcW w:w="2265"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fldChar w:fldCharType="begin"/>
            </w:r>
            <w:r>
              <w:rPr>
                <w:color w:val="auto"/>
                <w:sz w:val="21"/>
                <w:szCs w:val="21"/>
              </w:rPr>
              <w:instrText xml:space="preserve"> </w:instrText>
            </w:r>
            <w:r>
              <w:rPr>
                <w:rFonts w:hint="eastAsia"/>
                <w:color w:val="auto"/>
                <w:sz w:val="21"/>
                <w:szCs w:val="21"/>
              </w:rPr>
              <w:instrText xml:space="preserve">= 1 \* ROMAN</w:instrText>
            </w:r>
            <w:r>
              <w:rPr>
                <w:color w:val="auto"/>
                <w:sz w:val="21"/>
                <w:szCs w:val="21"/>
              </w:rPr>
              <w:instrText xml:space="preserve"> </w:instrText>
            </w:r>
            <w:r>
              <w:rPr>
                <w:color w:val="auto"/>
                <w:sz w:val="21"/>
                <w:szCs w:val="21"/>
              </w:rPr>
              <w:fldChar w:fldCharType="separate"/>
            </w:r>
            <w:r>
              <w:rPr>
                <w:color w:val="auto"/>
                <w:sz w:val="21"/>
                <w:szCs w:val="21"/>
              </w:rPr>
              <w:t>I</w:t>
            </w:r>
            <w:r>
              <w:rPr>
                <w:color w:val="auto"/>
                <w:sz w:val="21"/>
                <w:szCs w:val="21"/>
              </w:rPr>
              <w:fldChar w:fldCharType="end"/>
            </w:r>
            <w:r>
              <w:rPr>
                <w:rFonts w:hint="eastAsia"/>
                <w:color w:val="auto"/>
                <w:sz w:val="21"/>
                <w:szCs w:val="21"/>
              </w:rPr>
              <w:t>类项目</w:t>
            </w:r>
          </w:p>
        </w:tc>
        <w:tc>
          <w:tcPr>
            <w:tcW w:w="2265"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fldChar w:fldCharType="begin"/>
            </w:r>
            <w:r>
              <w:rPr>
                <w:color w:val="auto"/>
                <w:sz w:val="21"/>
                <w:szCs w:val="21"/>
              </w:rPr>
              <w:instrText xml:space="preserve"> </w:instrText>
            </w:r>
            <w:r>
              <w:rPr>
                <w:rFonts w:hint="eastAsia"/>
                <w:color w:val="auto"/>
                <w:sz w:val="21"/>
                <w:szCs w:val="21"/>
              </w:rPr>
              <w:instrText xml:space="preserve">= 2 \* ROMAN</w:instrText>
            </w:r>
            <w:r>
              <w:rPr>
                <w:color w:val="auto"/>
                <w:sz w:val="21"/>
                <w:szCs w:val="21"/>
              </w:rPr>
              <w:instrText xml:space="preserve"> </w:instrText>
            </w:r>
            <w:r>
              <w:rPr>
                <w:color w:val="auto"/>
                <w:sz w:val="21"/>
                <w:szCs w:val="21"/>
              </w:rPr>
              <w:fldChar w:fldCharType="separate"/>
            </w:r>
            <w:r>
              <w:rPr>
                <w:color w:val="auto"/>
                <w:sz w:val="21"/>
                <w:szCs w:val="21"/>
              </w:rPr>
              <w:t>II</w:t>
            </w:r>
            <w:r>
              <w:rPr>
                <w:color w:val="auto"/>
                <w:sz w:val="21"/>
                <w:szCs w:val="21"/>
              </w:rPr>
              <w:fldChar w:fldCharType="end"/>
            </w:r>
            <w:r>
              <w:rPr>
                <w:rFonts w:hint="eastAsia"/>
                <w:color w:val="auto"/>
                <w:sz w:val="21"/>
                <w:szCs w:val="21"/>
              </w:rPr>
              <w:t>类项目</w:t>
            </w:r>
          </w:p>
        </w:tc>
        <w:tc>
          <w:tcPr>
            <w:tcW w:w="2265"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fldChar w:fldCharType="begin"/>
            </w:r>
            <w:r>
              <w:rPr>
                <w:color w:val="auto"/>
                <w:sz w:val="21"/>
                <w:szCs w:val="21"/>
              </w:rPr>
              <w:instrText xml:space="preserve"> </w:instrText>
            </w:r>
            <w:r>
              <w:rPr>
                <w:rFonts w:hint="eastAsia"/>
                <w:color w:val="auto"/>
                <w:sz w:val="21"/>
                <w:szCs w:val="21"/>
              </w:rPr>
              <w:instrText xml:space="preserve">= 3 \* ROMAN</w:instrText>
            </w:r>
            <w:r>
              <w:rPr>
                <w:color w:val="auto"/>
                <w:sz w:val="21"/>
                <w:szCs w:val="21"/>
              </w:rPr>
              <w:instrText xml:space="preserve"> </w:instrText>
            </w:r>
            <w:r>
              <w:rPr>
                <w:color w:val="auto"/>
                <w:sz w:val="21"/>
                <w:szCs w:val="21"/>
              </w:rPr>
              <w:fldChar w:fldCharType="separate"/>
            </w:r>
            <w:r>
              <w:rPr>
                <w:color w:val="auto"/>
                <w:sz w:val="21"/>
                <w:szCs w:val="21"/>
              </w:rPr>
              <w:t>III</w:t>
            </w:r>
            <w:r>
              <w:rPr>
                <w:color w:val="auto"/>
                <w:sz w:val="21"/>
                <w:szCs w:val="21"/>
              </w:rPr>
              <w:fldChar w:fldCharType="end"/>
            </w:r>
            <w:r>
              <w:rPr>
                <w:rFonts w:hint="eastAsia"/>
                <w:color w:val="auto"/>
                <w:sz w:val="21"/>
                <w:szCs w:val="21"/>
              </w:rPr>
              <w:t>类项目</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265"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敏感</w:t>
            </w:r>
          </w:p>
        </w:tc>
        <w:tc>
          <w:tcPr>
            <w:tcW w:w="2265"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一</w:t>
            </w:r>
          </w:p>
        </w:tc>
        <w:tc>
          <w:tcPr>
            <w:tcW w:w="2265"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一</w:t>
            </w:r>
          </w:p>
        </w:tc>
        <w:tc>
          <w:tcPr>
            <w:tcW w:w="2265"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二</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265"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较敏感</w:t>
            </w:r>
          </w:p>
        </w:tc>
        <w:tc>
          <w:tcPr>
            <w:tcW w:w="2265"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一</w:t>
            </w:r>
          </w:p>
        </w:tc>
        <w:tc>
          <w:tcPr>
            <w:tcW w:w="2265"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二</w:t>
            </w:r>
          </w:p>
        </w:tc>
        <w:tc>
          <w:tcPr>
            <w:tcW w:w="2265"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三</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265"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不敏感</w:t>
            </w:r>
          </w:p>
        </w:tc>
        <w:tc>
          <w:tcPr>
            <w:tcW w:w="2265"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二</w:t>
            </w:r>
          </w:p>
        </w:tc>
        <w:tc>
          <w:tcPr>
            <w:tcW w:w="2265"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三</w:t>
            </w:r>
          </w:p>
        </w:tc>
        <w:tc>
          <w:tcPr>
            <w:tcW w:w="2265"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三</w:t>
            </w:r>
          </w:p>
        </w:tc>
      </w:tr>
    </w:tbl>
    <w:p>
      <w:pPr>
        <w:spacing w:line="500" w:lineRule="exact"/>
        <w:ind w:firstLine="482"/>
        <w:outlineLvl w:val="2"/>
        <w:rPr>
          <w:b/>
          <w:color w:val="auto"/>
        </w:rPr>
      </w:pPr>
      <w:r>
        <w:rPr>
          <w:rFonts w:hint="eastAsia"/>
          <w:b/>
          <w:color w:val="auto"/>
        </w:rPr>
        <w:t>5.2.3.4地下水环境影响预测</w:t>
      </w:r>
    </w:p>
    <w:p>
      <w:pPr>
        <w:spacing w:line="500" w:lineRule="exact"/>
        <w:ind w:firstLine="480"/>
        <w:rPr>
          <w:bCs/>
          <w:color w:val="auto"/>
        </w:rPr>
      </w:pPr>
      <w:r>
        <w:rPr>
          <w:rFonts w:hint="eastAsia"/>
          <w:bCs/>
          <w:color w:val="auto"/>
        </w:rPr>
        <w:t>本项目为生猪养殖项目，营运期间无废水排放，项目对地下水的影响主要为黑膜沼气池防渗衬层达不到防渗效果时沼液泄漏对地下水的影响。</w:t>
      </w:r>
    </w:p>
    <w:p>
      <w:pPr>
        <w:spacing w:line="500" w:lineRule="exact"/>
        <w:ind w:firstLine="480"/>
        <w:rPr>
          <w:bCs/>
          <w:color w:val="auto"/>
        </w:rPr>
      </w:pPr>
      <w:r>
        <w:rPr>
          <w:rFonts w:hint="eastAsia"/>
          <w:bCs/>
          <w:color w:val="auto"/>
        </w:rPr>
        <w:t>（1）预测范围</w:t>
      </w:r>
    </w:p>
    <w:p>
      <w:pPr>
        <w:spacing w:line="500" w:lineRule="exact"/>
        <w:ind w:firstLine="480"/>
        <w:rPr>
          <w:bCs/>
          <w:color w:val="auto"/>
        </w:rPr>
      </w:pPr>
      <w:r>
        <w:rPr>
          <w:rFonts w:hint="eastAsia"/>
          <w:bCs/>
          <w:color w:val="auto"/>
        </w:rPr>
        <w:t>根据《环境影响评价技术导则</w:t>
      </w:r>
      <w:r>
        <w:rPr>
          <w:rFonts w:hint="eastAsia"/>
          <w:bCs/>
          <w:color w:val="auto"/>
          <w:lang w:val="en-US" w:eastAsia="zh-CN"/>
        </w:rPr>
        <w:t xml:space="preserve"> </w:t>
      </w:r>
      <w:r>
        <w:rPr>
          <w:rFonts w:hint="eastAsia"/>
          <w:bCs/>
          <w:color w:val="auto"/>
        </w:rPr>
        <w:t>地下水环境》（HJ610</w:t>
      </w:r>
      <w:r>
        <w:rPr>
          <w:bCs/>
          <w:color w:val="auto"/>
        </w:rPr>
        <w:t>-</w:t>
      </w:r>
      <w:r>
        <w:rPr>
          <w:rFonts w:hint="eastAsia"/>
          <w:bCs/>
          <w:color w:val="auto"/>
        </w:rPr>
        <w:t>2016）的要求，本次地下水环境影响评价预测范围与地下水现状</w:t>
      </w:r>
      <w:bookmarkStart w:id="828" w:name="_GoBack"/>
      <w:bookmarkEnd w:id="828"/>
      <w:r>
        <w:rPr>
          <w:rFonts w:hint="eastAsia"/>
          <w:bCs/>
          <w:color w:val="auto"/>
        </w:rPr>
        <w:t>调查范围一致，即：以本项目猪舍和粪污处置场地为中心6km</w:t>
      </w:r>
      <w:r>
        <w:rPr>
          <w:rFonts w:hint="eastAsia"/>
          <w:bCs/>
          <w:color w:val="auto"/>
          <w:vertAlign w:val="superscript"/>
        </w:rPr>
        <w:t>2</w:t>
      </w:r>
      <w:r>
        <w:rPr>
          <w:rFonts w:hint="eastAsia"/>
          <w:bCs/>
          <w:color w:val="auto"/>
        </w:rPr>
        <w:t>的区域。预测层位为地下水的潜水含水层。</w:t>
      </w:r>
    </w:p>
    <w:p>
      <w:pPr>
        <w:spacing w:line="500" w:lineRule="exact"/>
        <w:ind w:firstLine="480"/>
        <w:rPr>
          <w:bCs/>
          <w:color w:val="auto"/>
        </w:rPr>
      </w:pPr>
      <w:r>
        <w:rPr>
          <w:rFonts w:hint="eastAsia"/>
          <w:bCs/>
          <w:color w:val="auto"/>
        </w:rPr>
        <w:t>（2）预测时段</w:t>
      </w:r>
    </w:p>
    <w:p>
      <w:pPr>
        <w:spacing w:line="500" w:lineRule="exact"/>
        <w:ind w:firstLine="480"/>
        <w:rPr>
          <w:bCs/>
          <w:color w:val="auto"/>
        </w:rPr>
      </w:pPr>
      <w:r>
        <w:rPr>
          <w:rFonts w:hint="eastAsia"/>
          <w:bCs/>
          <w:color w:val="auto"/>
        </w:rPr>
        <w:t>结合地下水跟踪监测的频率（1次/季度），预测时段设定为发生泄漏后的100天和1000天。</w:t>
      </w:r>
    </w:p>
    <w:p>
      <w:pPr>
        <w:spacing w:line="500" w:lineRule="exact"/>
        <w:ind w:firstLine="480"/>
        <w:rPr>
          <w:bCs/>
          <w:color w:val="auto"/>
        </w:rPr>
      </w:pPr>
      <w:r>
        <w:rPr>
          <w:rFonts w:hint="eastAsia"/>
          <w:bCs/>
          <w:color w:val="auto"/>
        </w:rPr>
        <w:t>3、情景设置</w:t>
      </w:r>
    </w:p>
    <w:p>
      <w:pPr>
        <w:spacing w:line="500" w:lineRule="exact"/>
        <w:ind w:firstLine="480"/>
        <w:rPr>
          <w:bCs/>
          <w:color w:val="auto"/>
        </w:rPr>
      </w:pPr>
      <w:r>
        <w:rPr>
          <w:rFonts w:hint="eastAsia"/>
          <w:bCs/>
          <w:color w:val="auto"/>
        </w:rPr>
        <w:t>根据《环境影响评价技术导则 地下水环境》（HJ610-2016），本项目厂区划分为重点防渗区及一般防渗区，根据防渗级别采取不同的防渗材料，地下水防渗措施均为目前养殖行业普遍采用的成熟措施，黑膜沼气池在清场夯压的基础上铺设HDPE膜防渗，渗透系数1.0×10</w:t>
      </w:r>
      <w:r>
        <w:rPr>
          <w:rFonts w:hint="eastAsia"/>
          <w:bCs/>
          <w:color w:val="auto"/>
          <w:vertAlign w:val="superscript"/>
        </w:rPr>
        <w:t>-10</w:t>
      </w:r>
      <w:r>
        <w:rPr>
          <w:rFonts w:hint="eastAsia"/>
          <w:bCs/>
          <w:color w:val="auto"/>
        </w:rPr>
        <w:t>cm/s，符合（GB18597-2001）、（GB18599-2001）的相关规定要求，故仅预测非正常状况下的影响结果。本次情景设置如下：</w:t>
      </w:r>
    </w:p>
    <w:p>
      <w:pPr>
        <w:spacing w:line="500" w:lineRule="exact"/>
        <w:ind w:firstLine="480"/>
        <w:rPr>
          <w:bCs/>
          <w:color w:val="auto"/>
        </w:rPr>
      </w:pPr>
      <w:r>
        <w:rPr>
          <w:rFonts w:hint="eastAsia"/>
          <w:bCs/>
          <w:color w:val="auto"/>
        </w:rPr>
        <w:t>非正常状况下：黑膜沼气池防渗层达不到设计的防渗效果，沼液通过池底、池壁下渗经包气带进入潜层地下水对厂界及下游保护目标进行预测。</w:t>
      </w:r>
    </w:p>
    <w:p>
      <w:pPr>
        <w:spacing w:line="500" w:lineRule="exact"/>
        <w:ind w:firstLine="480"/>
        <w:rPr>
          <w:bCs/>
          <w:color w:val="auto"/>
        </w:rPr>
      </w:pPr>
      <w:r>
        <w:rPr>
          <w:rFonts w:hint="eastAsia"/>
          <w:bCs/>
          <w:color w:val="auto"/>
        </w:rPr>
        <w:t>（</w:t>
      </w:r>
      <w:r>
        <w:rPr>
          <w:bCs/>
          <w:color w:val="auto"/>
        </w:rPr>
        <w:t>3</w:t>
      </w:r>
      <w:r>
        <w:rPr>
          <w:rFonts w:hint="eastAsia"/>
          <w:bCs/>
          <w:color w:val="auto"/>
        </w:rPr>
        <w:t>）预测因子</w:t>
      </w:r>
    </w:p>
    <w:p>
      <w:pPr>
        <w:spacing w:line="500" w:lineRule="exact"/>
        <w:ind w:firstLine="480"/>
        <w:rPr>
          <w:bCs/>
          <w:color w:val="auto"/>
        </w:rPr>
      </w:pPr>
      <w:r>
        <w:rPr>
          <w:rFonts w:hint="eastAsia"/>
          <w:bCs/>
          <w:color w:val="auto"/>
        </w:rPr>
        <w:t>本项目废水污染物特征因子不含重金属，不含持久性有机污染物，废水特征污染因子为</w:t>
      </w:r>
      <w:r>
        <w:rPr>
          <w:bCs/>
          <w:color w:val="auto"/>
        </w:rPr>
        <w:t>COD</w:t>
      </w:r>
      <w:r>
        <w:rPr>
          <w:rFonts w:hint="eastAsia"/>
          <w:bCs/>
          <w:color w:val="auto"/>
        </w:rPr>
        <w:t>、氨氮。</w:t>
      </w:r>
    </w:p>
    <w:p>
      <w:pPr>
        <w:spacing w:line="500" w:lineRule="exact"/>
        <w:ind w:firstLine="480"/>
        <w:rPr>
          <w:bCs/>
          <w:color w:val="auto"/>
        </w:rPr>
      </w:pPr>
      <w:r>
        <w:rPr>
          <w:rFonts w:hint="eastAsia"/>
          <w:bCs/>
          <w:color w:val="auto"/>
        </w:rPr>
        <w:t>（</w:t>
      </w:r>
      <w:r>
        <w:rPr>
          <w:bCs/>
          <w:color w:val="auto"/>
        </w:rPr>
        <w:t>4</w:t>
      </w:r>
      <w:r>
        <w:rPr>
          <w:rFonts w:hint="eastAsia"/>
          <w:bCs/>
          <w:color w:val="auto"/>
        </w:rPr>
        <w:t>）预测源强及预测模式</w:t>
      </w:r>
    </w:p>
    <w:p>
      <w:pPr>
        <w:spacing w:line="500" w:lineRule="exact"/>
        <w:ind w:firstLine="480"/>
        <w:rPr>
          <w:bCs/>
          <w:color w:val="auto"/>
        </w:rPr>
      </w:pPr>
      <w:r>
        <w:rPr>
          <w:bCs/>
          <w:color w:val="auto"/>
        </w:rPr>
        <w:fldChar w:fldCharType="begin"/>
      </w:r>
      <w:r>
        <w:rPr>
          <w:bCs/>
          <w:color w:val="auto"/>
        </w:rPr>
        <w:instrText xml:space="preserve"> </w:instrText>
      </w:r>
      <w:r>
        <w:rPr>
          <w:rFonts w:hint="eastAsia"/>
          <w:bCs/>
          <w:color w:val="auto"/>
        </w:rPr>
        <w:instrText xml:space="preserve">= 1 \* GB3</w:instrText>
      </w:r>
      <w:r>
        <w:rPr>
          <w:bCs/>
          <w:color w:val="auto"/>
        </w:rPr>
        <w:instrText xml:space="preserve"> </w:instrText>
      </w:r>
      <w:r>
        <w:rPr>
          <w:bCs/>
          <w:color w:val="auto"/>
        </w:rPr>
        <w:fldChar w:fldCharType="separate"/>
      </w:r>
      <w:r>
        <w:rPr>
          <w:rFonts w:hint="eastAsia"/>
          <w:bCs/>
          <w:color w:val="auto"/>
        </w:rPr>
        <w:t>①</w:t>
      </w:r>
      <w:r>
        <w:rPr>
          <w:bCs/>
          <w:color w:val="auto"/>
        </w:rPr>
        <w:fldChar w:fldCharType="end"/>
      </w:r>
      <w:r>
        <w:rPr>
          <w:rFonts w:hint="eastAsia"/>
          <w:bCs/>
          <w:color w:val="auto"/>
        </w:rPr>
        <w:t>预测源强</w:t>
      </w:r>
    </w:p>
    <w:p>
      <w:pPr>
        <w:spacing w:line="500" w:lineRule="exact"/>
        <w:ind w:firstLine="480"/>
        <w:rPr>
          <w:bCs/>
          <w:color w:val="auto"/>
        </w:rPr>
      </w:pPr>
      <w:r>
        <w:rPr>
          <w:rFonts w:hint="eastAsia"/>
          <w:bCs/>
          <w:color w:val="auto"/>
        </w:rPr>
        <w:t>参照《给水排水构筑物工程施工及验收规范》（</w:t>
      </w:r>
      <w:r>
        <w:rPr>
          <w:bCs/>
          <w:color w:val="auto"/>
        </w:rPr>
        <w:t>GB50141</w:t>
      </w:r>
      <w:r>
        <w:rPr>
          <w:rFonts w:hint="eastAsia"/>
          <w:bCs/>
          <w:color w:val="auto"/>
        </w:rPr>
        <w:t>）中钢筋混凝土结构渗漏强度、渗漏量计算公式，确定本项目预测源强。其正常状况渗漏强度为：</w:t>
      </w:r>
      <w:r>
        <w:rPr>
          <w:bCs/>
          <w:color w:val="auto"/>
        </w:rPr>
        <w:t>2L/</w:t>
      </w:r>
      <w:r>
        <w:rPr>
          <w:rFonts w:hint="eastAsia"/>
          <w:bCs/>
          <w:color w:val="auto"/>
        </w:rPr>
        <w:t>（</w:t>
      </w:r>
      <w:r>
        <w:rPr>
          <w:bCs/>
          <w:color w:val="auto"/>
        </w:rPr>
        <w:t>m</w:t>
      </w:r>
      <w:r>
        <w:rPr>
          <w:bCs/>
          <w:color w:val="auto"/>
          <w:vertAlign w:val="superscript"/>
        </w:rPr>
        <w:t>2</w:t>
      </w:r>
      <w:r>
        <w:rPr>
          <w:bCs/>
          <w:color w:val="auto"/>
        </w:rPr>
        <w:t>·d</w:t>
      </w:r>
      <w:r>
        <w:rPr>
          <w:rFonts w:hint="eastAsia"/>
          <w:bCs/>
          <w:color w:val="auto"/>
        </w:rPr>
        <w:t>），非正常状况下泄漏强度按照正常状况下泄漏源强的</w:t>
      </w:r>
      <w:r>
        <w:rPr>
          <w:bCs/>
          <w:color w:val="auto"/>
        </w:rPr>
        <w:t>10</w:t>
      </w:r>
      <w:r>
        <w:rPr>
          <w:rFonts w:hint="eastAsia"/>
          <w:bCs/>
          <w:color w:val="auto"/>
        </w:rPr>
        <w:t>倍计，渗漏量（</w:t>
      </w:r>
      <w:r>
        <w:rPr>
          <w:bCs/>
          <w:color w:val="auto"/>
        </w:rPr>
        <w:t>L/d</w:t>
      </w:r>
      <w:r>
        <w:rPr>
          <w:rFonts w:hint="eastAsia"/>
          <w:bCs/>
          <w:color w:val="auto"/>
        </w:rPr>
        <w:t>）</w:t>
      </w:r>
      <w:r>
        <w:rPr>
          <w:bCs/>
          <w:color w:val="auto"/>
        </w:rPr>
        <w:t>=</w:t>
      </w:r>
      <w:r>
        <w:rPr>
          <w:rFonts w:hint="eastAsia"/>
          <w:bCs/>
          <w:color w:val="auto"/>
        </w:rPr>
        <w:t>渗漏面积（池底面积</w:t>
      </w:r>
      <w:r>
        <w:rPr>
          <w:bCs/>
          <w:color w:val="auto"/>
        </w:rPr>
        <w:t>+</w:t>
      </w:r>
      <w:r>
        <w:rPr>
          <w:rFonts w:hint="eastAsia"/>
          <w:bCs/>
          <w:color w:val="auto"/>
        </w:rPr>
        <w:t>池壁面积）</w:t>
      </w:r>
      <w:r>
        <w:rPr>
          <w:bCs/>
          <w:color w:val="auto"/>
        </w:rPr>
        <w:t>×</w:t>
      </w:r>
      <w:r>
        <w:rPr>
          <w:rFonts w:hint="eastAsia"/>
          <w:bCs/>
          <w:color w:val="auto"/>
        </w:rPr>
        <w:t>渗漏强度。考虑到本项目黑膜沼气池占地面积较大，整个黑膜沼气池同时发生防渗层达不到设计的防渗效果的可能性较小，故本项目非正常状况的渗漏面积按照黑膜沼气池有效内表面积的</w:t>
      </w:r>
      <w:r>
        <w:rPr>
          <w:bCs/>
          <w:color w:val="auto"/>
        </w:rPr>
        <w:t>10%</w:t>
      </w:r>
      <w:r>
        <w:rPr>
          <w:rFonts w:hint="eastAsia"/>
          <w:bCs/>
          <w:color w:val="auto"/>
        </w:rPr>
        <w:t>计。</w:t>
      </w:r>
    </w:p>
    <w:p>
      <w:pPr>
        <w:spacing w:line="500" w:lineRule="exact"/>
        <w:ind w:firstLine="480"/>
        <w:rPr>
          <w:bCs/>
          <w:color w:val="auto"/>
        </w:rPr>
      </w:pPr>
      <w:r>
        <w:rPr>
          <w:rFonts w:hint="eastAsia"/>
          <w:bCs/>
          <w:color w:val="auto"/>
        </w:rPr>
        <w:t>本项目养殖废水中</w:t>
      </w:r>
      <w:r>
        <w:rPr>
          <w:bCs/>
          <w:color w:val="auto"/>
        </w:rPr>
        <w:t>COD</w:t>
      </w:r>
      <w:r>
        <w:rPr>
          <w:rFonts w:hint="eastAsia"/>
          <w:bCs/>
          <w:color w:val="auto"/>
        </w:rPr>
        <w:t>浓度为19500</w:t>
      </w:r>
      <w:r>
        <w:rPr>
          <w:bCs/>
          <w:color w:val="auto"/>
        </w:rPr>
        <w:t>mg/L</w:t>
      </w:r>
      <w:r>
        <w:rPr>
          <w:rFonts w:hint="eastAsia"/>
          <w:bCs/>
          <w:color w:val="auto"/>
        </w:rPr>
        <w:t>，氨氮为1200</w:t>
      </w:r>
      <w:r>
        <w:rPr>
          <w:bCs/>
          <w:color w:val="auto"/>
        </w:rPr>
        <w:t>mg/L。</w:t>
      </w:r>
    </w:p>
    <w:p>
      <w:pPr>
        <w:spacing w:line="500" w:lineRule="exact"/>
        <w:ind w:firstLine="480"/>
        <w:rPr>
          <w:bCs/>
          <w:color w:val="auto"/>
        </w:rPr>
      </w:pPr>
      <w:r>
        <w:rPr>
          <w:bCs/>
          <w:color w:val="auto"/>
        </w:rPr>
        <w:fldChar w:fldCharType="begin"/>
      </w:r>
      <w:r>
        <w:rPr>
          <w:bCs/>
          <w:color w:val="auto"/>
        </w:rPr>
        <w:instrText xml:space="preserve"> </w:instrText>
      </w:r>
      <w:r>
        <w:rPr>
          <w:rFonts w:hint="eastAsia"/>
          <w:bCs/>
          <w:color w:val="auto"/>
        </w:rPr>
        <w:instrText xml:space="preserve">= 2 \* GB3</w:instrText>
      </w:r>
      <w:r>
        <w:rPr>
          <w:bCs/>
          <w:color w:val="auto"/>
        </w:rPr>
        <w:instrText xml:space="preserve"> </w:instrText>
      </w:r>
      <w:r>
        <w:rPr>
          <w:bCs/>
          <w:color w:val="auto"/>
        </w:rPr>
        <w:fldChar w:fldCharType="separate"/>
      </w:r>
      <w:r>
        <w:rPr>
          <w:rFonts w:hint="eastAsia"/>
          <w:bCs/>
          <w:color w:val="auto"/>
        </w:rPr>
        <w:t>②</w:t>
      </w:r>
      <w:r>
        <w:rPr>
          <w:bCs/>
          <w:color w:val="auto"/>
        </w:rPr>
        <w:fldChar w:fldCharType="end"/>
      </w:r>
      <w:r>
        <w:rPr>
          <w:rFonts w:hint="eastAsia"/>
          <w:bCs/>
          <w:color w:val="auto"/>
        </w:rPr>
        <w:t>预测模型</w:t>
      </w:r>
    </w:p>
    <w:p>
      <w:pPr>
        <w:spacing w:line="500" w:lineRule="exact"/>
        <w:ind w:firstLine="480"/>
        <w:rPr>
          <w:bCs/>
          <w:color w:val="auto"/>
        </w:rPr>
      </w:pPr>
      <w:r>
        <w:rPr>
          <w:bCs/>
          <w:color w:val="auto"/>
        </w:rPr>
        <w:t>本项目采用地下水溶质运移解析法中的一维稳定流动一维水动力弥散模式进行预测及评价，预测模型如下:</w:t>
      </w:r>
    </w:p>
    <w:p>
      <w:pPr>
        <w:ind w:firstLine="482"/>
        <w:rPr>
          <w:color w:val="auto"/>
        </w:rPr>
      </w:pPr>
      <w:r>
        <w:rPr>
          <w:b/>
          <w:color w:val="auto"/>
        </w:rPr>
        <w:drawing>
          <wp:anchor distT="0" distB="0" distL="114300" distR="114300" simplePos="0" relativeHeight="251648000" behindDoc="0" locked="0" layoutInCell="1" allowOverlap="1">
            <wp:simplePos x="0" y="0"/>
            <wp:positionH relativeFrom="column">
              <wp:posOffset>939165</wp:posOffset>
            </wp:positionH>
            <wp:positionV relativeFrom="paragraph">
              <wp:posOffset>41910</wp:posOffset>
            </wp:positionV>
            <wp:extent cx="3238500" cy="619125"/>
            <wp:effectExtent l="0" t="0" r="0" b="9525"/>
            <wp:wrapNone/>
            <wp:docPr id="411"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348"/>
                    <pic:cNvPicPr>
                      <a:picLocks noChangeAspect="1"/>
                    </pic:cNvPicPr>
                  </pic:nvPicPr>
                  <pic:blipFill>
                    <a:blip r:embed="rId67" cstate="print"/>
                    <a:stretch>
                      <a:fillRect/>
                    </a:stretch>
                  </pic:blipFill>
                  <pic:spPr>
                    <a:xfrm>
                      <a:off x="0" y="0"/>
                      <a:ext cx="3238500" cy="619125"/>
                    </a:xfrm>
                    <a:prstGeom prst="rect">
                      <a:avLst/>
                    </a:prstGeom>
                    <a:noFill/>
                    <a:ln>
                      <a:noFill/>
                    </a:ln>
                  </pic:spPr>
                </pic:pic>
              </a:graphicData>
            </a:graphic>
          </wp:anchor>
        </w:drawing>
      </w:r>
    </w:p>
    <w:p>
      <w:pPr>
        <w:ind w:firstLine="482"/>
        <w:rPr>
          <w:b/>
          <w:color w:val="auto"/>
        </w:rPr>
      </w:pPr>
    </w:p>
    <w:p>
      <w:pPr>
        <w:ind w:firstLine="482"/>
        <w:rPr>
          <w:b/>
          <w:color w:val="auto"/>
          <w:u w:val="single"/>
        </w:rPr>
      </w:pPr>
    </w:p>
    <w:p>
      <w:pPr>
        <w:ind w:firstLine="480"/>
        <w:rPr>
          <w:bCs/>
          <w:color w:val="auto"/>
        </w:rPr>
      </w:pPr>
      <w:r>
        <w:rPr>
          <w:rFonts w:hint="eastAsia"/>
          <w:bCs/>
          <w:color w:val="auto"/>
        </w:rPr>
        <w:t>式中： x—距注入点的距离，m；</w:t>
      </w:r>
    </w:p>
    <w:p>
      <w:pPr>
        <w:ind w:firstLine="1320" w:firstLineChars="550"/>
        <w:rPr>
          <w:bCs/>
          <w:color w:val="auto"/>
        </w:rPr>
      </w:pPr>
      <w:r>
        <w:rPr>
          <w:rFonts w:hint="eastAsia"/>
          <w:bCs/>
          <w:color w:val="auto"/>
        </w:rPr>
        <w:t>t—时间，d；</w:t>
      </w:r>
    </w:p>
    <w:p>
      <w:pPr>
        <w:ind w:firstLine="1320" w:firstLineChars="550"/>
        <w:rPr>
          <w:bCs/>
          <w:color w:val="auto"/>
        </w:rPr>
      </w:pPr>
      <w:r>
        <w:rPr>
          <w:rFonts w:hint="eastAsia"/>
          <w:bCs/>
          <w:color w:val="auto"/>
        </w:rPr>
        <w:t>C（x，t）—t时刻x处的示踪剂浓度，g/L；</w:t>
      </w:r>
    </w:p>
    <w:p>
      <w:pPr>
        <w:ind w:firstLine="1320" w:firstLineChars="550"/>
        <w:rPr>
          <w:bCs/>
          <w:color w:val="auto"/>
        </w:rPr>
      </w:pPr>
      <w:r>
        <w:rPr>
          <w:rFonts w:hint="eastAsia"/>
          <w:bCs/>
          <w:color w:val="auto"/>
        </w:rPr>
        <w:t>C</w:t>
      </w:r>
      <w:r>
        <w:rPr>
          <w:rFonts w:hint="eastAsia"/>
          <w:bCs/>
          <w:color w:val="auto"/>
          <w:vertAlign w:val="subscript"/>
        </w:rPr>
        <w:t>0</w:t>
      </w:r>
      <w:r>
        <w:rPr>
          <w:rFonts w:hint="eastAsia"/>
          <w:bCs/>
          <w:color w:val="auto"/>
        </w:rPr>
        <w:t>—注入的示踪剂浓度，g/L；</w:t>
      </w:r>
    </w:p>
    <w:p>
      <w:pPr>
        <w:ind w:firstLine="1320" w:firstLineChars="550"/>
        <w:rPr>
          <w:bCs/>
          <w:color w:val="auto"/>
        </w:rPr>
      </w:pPr>
      <w:r>
        <w:rPr>
          <w:rFonts w:hint="eastAsia"/>
          <w:bCs/>
          <w:color w:val="auto"/>
        </w:rPr>
        <w:t>u—水流速度，m/d；</w:t>
      </w:r>
    </w:p>
    <w:p>
      <w:pPr>
        <w:ind w:firstLine="1320" w:firstLineChars="550"/>
        <w:rPr>
          <w:bCs/>
          <w:color w:val="auto"/>
        </w:rPr>
      </w:pPr>
      <w:r>
        <w:rPr>
          <w:rFonts w:hint="eastAsia"/>
          <w:bCs/>
          <w:color w:val="auto"/>
        </w:rPr>
        <w:t>DL—纵向弥散系数，m</w:t>
      </w:r>
      <w:r>
        <w:rPr>
          <w:rFonts w:hint="eastAsia"/>
          <w:bCs/>
          <w:color w:val="auto"/>
          <w:vertAlign w:val="superscript"/>
        </w:rPr>
        <w:t>2</w:t>
      </w:r>
      <w:r>
        <w:rPr>
          <w:rFonts w:hint="eastAsia"/>
          <w:bCs/>
          <w:color w:val="auto"/>
        </w:rPr>
        <w:t>/d；</w:t>
      </w:r>
    </w:p>
    <w:p>
      <w:pPr>
        <w:ind w:firstLine="1320" w:firstLineChars="550"/>
        <w:rPr>
          <w:bCs/>
          <w:color w:val="auto"/>
        </w:rPr>
      </w:pPr>
      <w:r>
        <w:rPr>
          <w:rFonts w:hint="eastAsia"/>
          <w:bCs/>
          <w:color w:val="auto"/>
        </w:rPr>
        <w:t>erfc( )—余误差函数。</w:t>
      </w:r>
    </w:p>
    <w:p>
      <w:pPr>
        <w:spacing w:line="500" w:lineRule="exact"/>
        <w:ind w:firstLine="480"/>
        <w:rPr>
          <w:bCs/>
          <w:color w:val="auto"/>
        </w:rPr>
      </w:pPr>
      <w:r>
        <w:rPr>
          <w:bCs/>
          <w:color w:val="auto"/>
        </w:rPr>
        <w:fldChar w:fldCharType="begin"/>
      </w:r>
      <w:r>
        <w:rPr>
          <w:bCs/>
          <w:color w:val="auto"/>
        </w:rPr>
        <w:instrText xml:space="preserve"> </w:instrText>
      </w:r>
      <w:r>
        <w:rPr>
          <w:rFonts w:hint="eastAsia"/>
          <w:bCs/>
          <w:color w:val="auto"/>
        </w:rPr>
        <w:instrText xml:space="preserve">= 3 \* GB3</w:instrText>
      </w:r>
      <w:r>
        <w:rPr>
          <w:bCs/>
          <w:color w:val="auto"/>
        </w:rPr>
        <w:instrText xml:space="preserve"> </w:instrText>
      </w:r>
      <w:r>
        <w:rPr>
          <w:bCs/>
          <w:color w:val="auto"/>
        </w:rPr>
        <w:fldChar w:fldCharType="separate"/>
      </w:r>
      <w:r>
        <w:rPr>
          <w:rFonts w:hint="eastAsia"/>
          <w:bCs/>
          <w:color w:val="auto"/>
        </w:rPr>
        <w:t>③</w:t>
      </w:r>
      <w:r>
        <w:rPr>
          <w:bCs/>
          <w:color w:val="auto"/>
        </w:rPr>
        <w:fldChar w:fldCharType="end"/>
      </w:r>
      <w:r>
        <w:rPr>
          <w:rFonts w:hint="eastAsia"/>
          <w:bCs/>
          <w:color w:val="auto"/>
        </w:rPr>
        <w:t>参数确定</w:t>
      </w:r>
    </w:p>
    <w:p>
      <w:pPr>
        <w:spacing w:line="500" w:lineRule="exact"/>
        <w:ind w:firstLine="480"/>
        <w:rPr>
          <w:bCs/>
          <w:color w:val="auto"/>
        </w:rPr>
      </w:pPr>
      <w:r>
        <w:rPr>
          <w:bCs/>
          <w:color w:val="auto"/>
        </w:rPr>
        <w:t>a.</w:t>
      </w:r>
      <w:r>
        <w:rPr>
          <w:rFonts w:hint="eastAsia"/>
          <w:bCs/>
          <w:color w:val="auto"/>
        </w:rPr>
        <w:t>纵向弥散系数DL</w:t>
      </w:r>
    </w:p>
    <w:p>
      <w:pPr>
        <w:spacing w:line="500" w:lineRule="exact"/>
        <w:ind w:firstLine="480"/>
        <w:rPr>
          <w:bCs/>
          <w:color w:val="auto"/>
        </w:rPr>
      </w:pPr>
      <w:r>
        <w:rPr>
          <w:rFonts w:hint="eastAsia"/>
          <w:bCs/>
          <w:color w:val="auto"/>
        </w:rPr>
        <w:t>根据张红志等人对不同土壤弥散系数的测点（一维土柱水动力弥散试验），可知不同类土壤的弥散系数，详见表</w:t>
      </w:r>
      <w:r>
        <w:rPr>
          <w:bCs/>
          <w:color w:val="auto"/>
        </w:rPr>
        <w:t>5.</w:t>
      </w:r>
      <w:r>
        <w:rPr>
          <w:rFonts w:hint="eastAsia"/>
          <w:bCs/>
          <w:color w:val="auto"/>
        </w:rPr>
        <w:t>2-23。</w:t>
      </w:r>
    </w:p>
    <w:p>
      <w:pPr>
        <w:ind w:firstLine="482"/>
        <w:jc w:val="center"/>
        <w:rPr>
          <w:b/>
          <w:bCs/>
          <w:color w:val="auto"/>
        </w:rPr>
      </w:pPr>
      <w:r>
        <w:rPr>
          <w:rFonts w:hint="eastAsia"/>
          <w:b/>
          <w:bCs/>
          <w:color w:val="auto"/>
        </w:rPr>
        <w:t>表5.2-23</w:t>
      </w:r>
      <w:r>
        <w:rPr>
          <w:b/>
          <w:bCs/>
          <w:color w:val="auto"/>
        </w:rPr>
        <w:t xml:space="preserve">         </w:t>
      </w:r>
      <w:r>
        <w:rPr>
          <w:rFonts w:hint="eastAsia"/>
          <w:b/>
          <w:bCs/>
          <w:color w:val="auto"/>
        </w:rPr>
        <w:t>各类土质弥散系数经验值一览表</w:t>
      </w:r>
    </w:p>
    <w:tbl>
      <w:tblPr>
        <w:tblStyle w:val="27"/>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49"/>
        <w:gridCol w:w="1675"/>
        <w:gridCol w:w="1678"/>
        <w:gridCol w:w="1574"/>
        <w:gridCol w:w="166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13" w:type="pct"/>
            <w:vAlign w:val="center"/>
          </w:tcPr>
          <w:p>
            <w:pPr>
              <w:spacing w:line="240" w:lineRule="auto"/>
              <w:ind w:firstLine="0" w:firstLineChars="0"/>
              <w:jc w:val="center"/>
              <w:rPr>
                <w:bCs/>
                <w:color w:val="auto"/>
                <w:sz w:val="21"/>
                <w:szCs w:val="21"/>
              </w:rPr>
            </w:pPr>
            <w:r>
              <w:rPr>
                <w:rFonts w:hint="eastAsia"/>
                <w:bCs/>
                <w:color w:val="auto"/>
                <w:sz w:val="21"/>
                <w:szCs w:val="21"/>
              </w:rPr>
              <w:t>土壤类型</w:t>
            </w:r>
          </w:p>
        </w:tc>
        <w:tc>
          <w:tcPr>
            <w:tcW w:w="936" w:type="pct"/>
            <w:vAlign w:val="center"/>
          </w:tcPr>
          <w:p>
            <w:pPr>
              <w:spacing w:line="240" w:lineRule="auto"/>
              <w:ind w:firstLine="0" w:firstLineChars="0"/>
              <w:jc w:val="center"/>
              <w:rPr>
                <w:bCs/>
                <w:color w:val="auto"/>
                <w:sz w:val="21"/>
                <w:szCs w:val="21"/>
              </w:rPr>
            </w:pPr>
            <w:r>
              <w:rPr>
                <w:rFonts w:hint="eastAsia"/>
                <w:bCs/>
                <w:color w:val="auto"/>
                <w:sz w:val="21"/>
                <w:szCs w:val="21"/>
              </w:rPr>
              <w:t>砂土</w:t>
            </w:r>
          </w:p>
        </w:tc>
        <w:tc>
          <w:tcPr>
            <w:tcW w:w="938" w:type="pct"/>
            <w:vAlign w:val="center"/>
          </w:tcPr>
          <w:p>
            <w:pPr>
              <w:spacing w:line="240" w:lineRule="auto"/>
              <w:ind w:firstLine="0" w:firstLineChars="0"/>
              <w:jc w:val="center"/>
              <w:rPr>
                <w:bCs/>
                <w:color w:val="auto"/>
                <w:sz w:val="21"/>
                <w:szCs w:val="21"/>
              </w:rPr>
            </w:pPr>
            <w:r>
              <w:rPr>
                <w:rFonts w:hint="eastAsia"/>
                <w:bCs/>
                <w:color w:val="auto"/>
                <w:sz w:val="21"/>
                <w:szCs w:val="21"/>
              </w:rPr>
              <w:t>粉质粘土</w:t>
            </w:r>
          </w:p>
        </w:tc>
        <w:tc>
          <w:tcPr>
            <w:tcW w:w="880" w:type="pct"/>
            <w:vAlign w:val="center"/>
          </w:tcPr>
          <w:p>
            <w:pPr>
              <w:spacing w:line="240" w:lineRule="auto"/>
              <w:ind w:firstLine="0" w:firstLineChars="0"/>
              <w:jc w:val="center"/>
              <w:rPr>
                <w:bCs/>
                <w:color w:val="auto"/>
                <w:sz w:val="21"/>
                <w:szCs w:val="21"/>
              </w:rPr>
            </w:pPr>
            <w:r>
              <w:rPr>
                <w:rFonts w:hint="eastAsia"/>
                <w:bCs/>
                <w:color w:val="auto"/>
                <w:sz w:val="21"/>
                <w:szCs w:val="21"/>
              </w:rPr>
              <w:t>粘质粉土</w:t>
            </w:r>
          </w:p>
        </w:tc>
        <w:tc>
          <w:tcPr>
            <w:tcW w:w="931" w:type="pct"/>
            <w:vAlign w:val="center"/>
          </w:tcPr>
          <w:p>
            <w:pPr>
              <w:spacing w:line="240" w:lineRule="auto"/>
              <w:ind w:firstLine="0" w:firstLineChars="0"/>
              <w:jc w:val="center"/>
              <w:rPr>
                <w:bCs/>
                <w:color w:val="auto"/>
                <w:sz w:val="21"/>
                <w:szCs w:val="21"/>
              </w:rPr>
            </w:pPr>
            <w:r>
              <w:rPr>
                <w:rFonts w:hint="eastAsia"/>
                <w:bCs/>
                <w:color w:val="auto"/>
                <w:sz w:val="21"/>
                <w:szCs w:val="21"/>
              </w:rPr>
              <w:t>粘土</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13" w:type="pct"/>
            <w:vAlign w:val="center"/>
          </w:tcPr>
          <w:p>
            <w:pPr>
              <w:spacing w:line="240" w:lineRule="auto"/>
              <w:ind w:firstLine="0" w:firstLineChars="0"/>
              <w:jc w:val="center"/>
              <w:rPr>
                <w:bCs/>
                <w:color w:val="auto"/>
                <w:sz w:val="21"/>
                <w:szCs w:val="21"/>
              </w:rPr>
            </w:pPr>
            <w:r>
              <w:rPr>
                <w:rFonts w:hint="eastAsia"/>
                <w:bCs/>
                <w:color w:val="auto"/>
                <w:sz w:val="21"/>
                <w:szCs w:val="21"/>
              </w:rPr>
              <w:t>弥散系数（</w:t>
            </w:r>
            <w:r>
              <w:rPr>
                <w:bCs/>
                <w:color w:val="auto"/>
                <w:sz w:val="21"/>
                <w:szCs w:val="21"/>
              </w:rPr>
              <w:t>cm</w:t>
            </w:r>
            <w:r>
              <w:rPr>
                <w:bCs/>
                <w:color w:val="auto"/>
                <w:sz w:val="21"/>
                <w:szCs w:val="21"/>
                <w:vertAlign w:val="superscript"/>
              </w:rPr>
              <w:t>2</w:t>
            </w:r>
            <w:r>
              <w:rPr>
                <w:bCs/>
                <w:color w:val="auto"/>
                <w:sz w:val="21"/>
                <w:szCs w:val="21"/>
              </w:rPr>
              <w:t>/s</w:t>
            </w:r>
            <w:r>
              <w:rPr>
                <w:rFonts w:hint="eastAsia"/>
                <w:bCs/>
                <w:color w:val="auto"/>
                <w:sz w:val="21"/>
                <w:szCs w:val="21"/>
              </w:rPr>
              <w:t>）</w:t>
            </w:r>
          </w:p>
        </w:tc>
        <w:tc>
          <w:tcPr>
            <w:tcW w:w="936" w:type="pct"/>
            <w:vAlign w:val="center"/>
          </w:tcPr>
          <w:p>
            <w:pPr>
              <w:spacing w:line="240" w:lineRule="auto"/>
              <w:ind w:firstLine="0" w:firstLineChars="0"/>
              <w:jc w:val="center"/>
              <w:rPr>
                <w:bCs/>
                <w:color w:val="auto"/>
                <w:sz w:val="21"/>
                <w:szCs w:val="21"/>
              </w:rPr>
            </w:pPr>
            <w:r>
              <w:rPr>
                <w:bCs/>
                <w:color w:val="auto"/>
                <w:sz w:val="21"/>
                <w:szCs w:val="21"/>
              </w:rPr>
              <w:t>1.46×10</w:t>
            </w:r>
            <w:r>
              <w:rPr>
                <w:bCs/>
                <w:color w:val="auto"/>
                <w:sz w:val="21"/>
                <w:szCs w:val="21"/>
                <w:vertAlign w:val="superscript"/>
              </w:rPr>
              <w:t>-3</w:t>
            </w:r>
          </w:p>
        </w:tc>
        <w:tc>
          <w:tcPr>
            <w:tcW w:w="938" w:type="pct"/>
            <w:vAlign w:val="center"/>
          </w:tcPr>
          <w:p>
            <w:pPr>
              <w:spacing w:line="240" w:lineRule="auto"/>
              <w:ind w:firstLine="0" w:firstLineChars="0"/>
              <w:jc w:val="center"/>
              <w:rPr>
                <w:bCs/>
                <w:color w:val="auto"/>
                <w:sz w:val="21"/>
                <w:szCs w:val="21"/>
              </w:rPr>
            </w:pPr>
            <w:r>
              <w:rPr>
                <w:bCs/>
                <w:color w:val="auto"/>
                <w:sz w:val="21"/>
                <w:szCs w:val="21"/>
              </w:rPr>
              <w:t>1.71×10</w:t>
            </w:r>
            <w:r>
              <w:rPr>
                <w:bCs/>
                <w:color w:val="auto"/>
                <w:sz w:val="21"/>
                <w:szCs w:val="21"/>
                <w:vertAlign w:val="superscript"/>
              </w:rPr>
              <w:t>-9</w:t>
            </w:r>
          </w:p>
        </w:tc>
        <w:tc>
          <w:tcPr>
            <w:tcW w:w="880" w:type="pct"/>
            <w:vAlign w:val="center"/>
          </w:tcPr>
          <w:p>
            <w:pPr>
              <w:spacing w:line="240" w:lineRule="auto"/>
              <w:ind w:firstLine="0" w:firstLineChars="0"/>
              <w:jc w:val="center"/>
              <w:rPr>
                <w:bCs/>
                <w:color w:val="auto"/>
                <w:sz w:val="21"/>
                <w:szCs w:val="21"/>
              </w:rPr>
            </w:pPr>
            <w:r>
              <w:rPr>
                <w:bCs/>
                <w:color w:val="auto"/>
                <w:sz w:val="21"/>
                <w:szCs w:val="21"/>
              </w:rPr>
              <w:t>8.46×10</w:t>
            </w:r>
            <w:r>
              <w:rPr>
                <w:bCs/>
                <w:color w:val="auto"/>
                <w:sz w:val="21"/>
                <w:szCs w:val="21"/>
                <w:vertAlign w:val="superscript"/>
              </w:rPr>
              <w:t>-9</w:t>
            </w:r>
          </w:p>
        </w:tc>
        <w:tc>
          <w:tcPr>
            <w:tcW w:w="931" w:type="pct"/>
            <w:vAlign w:val="center"/>
          </w:tcPr>
          <w:p>
            <w:pPr>
              <w:spacing w:line="240" w:lineRule="auto"/>
              <w:ind w:firstLine="0" w:firstLineChars="0"/>
              <w:jc w:val="center"/>
              <w:rPr>
                <w:bCs/>
                <w:color w:val="auto"/>
                <w:sz w:val="21"/>
                <w:szCs w:val="21"/>
              </w:rPr>
            </w:pPr>
            <w:r>
              <w:rPr>
                <w:bCs/>
                <w:color w:val="auto"/>
                <w:sz w:val="21"/>
                <w:szCs w:val="21"/>
              </w:rPr>
              <w:t>2.31×10</w:t>
            </w:r>
            <w:r>
              <w:rPr>
                <w:bCs/>
                <w:color w:val="auto"/>
                <w:sz w:val="21"/>
                <w:szCs w:val="21"/>
                <w:vertAlign w:val="superscript"/>
              </w:rPr>
              <w:t>-11</w:t>
            </w:r>
          </w:p>
        </w:tc>
      </w:tr>
    </w:tbl>
    <w:p>
      <w:pPr>
        <w:ind w:firstLine="480"/>
        <w:rPr>
          <w:b/>
          <w:color w:val="auto"/>
          <w:u w:val="single"/>
        </w:rPr>
      </w:pPr>
      <w:r>
        <w:rPr>
          <w:rFonts w:hint="eastAsia"/>
          <w:bCs/>
          <w:color w:val="auto"/>
        </w:rPr>
        <w:t>根据调查，项目区域地下含水层以以粉细、中细砂为主，确定项目所在区域弥散系数为1.46</w:t>
      </w:r>
      <w:r>
        <w:rPr>
          <w:bCs/>
          <w:color w:val="auto"/>
        </w:rPr>
        <w:t>×10</w:t>
      </w:r>
      <w:r>
        <w:rPr>
          <w:bCs/>
          <w:color w:val="auto"/>
          <w:vertAlign w:val="superscript"/>
        </w:rPr>
        <w:t>-</w:t>
      </w:r>
      <w:r>
        <w:rPr>
          <w:rFonts w:hint="eastAsia"/>
          <w:bCs/>
          <w:color w:val="auto"/>
          <w:vertAlign w:val="superscript"/>
        </w:rPr>
        <w:t>3</w:t>
      </w:r>
      <w:r>
        <w:rPr>
          <w:bCs/>
          <w:color w:val="auto"/>
        </w:rPr>
        <w:t>cm</w:t>
      </w:r>
      <w:r>
        <w:rPr>
          <w:bCs/>
          <w:color w:val="auto"/>
          <w:vertAlign w:val="superscript"/>
        </w:rPr>
        <w:t>2</w:t>
      </w:r>
      <w:r>
        <w:rPr>
          <w:bCs/>
          <w:color w:val="auto"/>
        </w:rPr>
        <w:t>/s</w:t>
      </w:r>
      <w:r>
        <w:rPr>
          <w:rFonts w:hint="eastAsia"/>
          <w:bCs/>
          <w:color w:val="auto"/>
        </w:rPr>
        <w:t>（1.26</w:t>
      </w:r>
      <w:r>
        <w:rPr>
          <w:bCs/>
          <w:color w:val="auto"/>
        </w:rPr>
        <w:t>×10</w:t>
      </w:r>
      <w:r>
        <w:rPr>
          <w:bCs/>
          <w:color w:val="auto"/>
          <w:vertAlign w:val="superscript"/>
        </w:rPr>
        <w:t>-</w:t>
      </w:r>
      <w:r>
        <w:rPr>
          <w:rFonts w:hint="eastAsia"/>
          <w:bCs/>
          <w:color w:val="auto"/>
          <w:vertAlign w:val="superscript"/>
        </w:rPr>
        <w:t>2</w:t>
      </w:r>
      <w:r>
        <w:rPr>
          <w:rFonts w:hint="eastAsia"/>
          <w:bCs/>
          <w:color w:val="auto"/>
        </w:rPr>
        <w:t>m</w:t>
      </w:r>
      <w:r>
        <w:rPr>
          <w:rFonts w:hint="eastAsia"/>
          <w:bCs/>
          <w:color w:val="auto"/>
          <w:vertAlign w:val="superscript"/>
        </w:rPr>
        <w:t>2</w:t>
      </w:r>
      <w:r>
        <w:rPr>
          <w:rFonts w:hint="eastAsia"/>
          <w:bCs/>
          <w:color w:val="auto"/>
        </w:rPr>
        <w:t>/d）。</w:t>
      </w:r>
    </w:p>
    <w:p>
      <w:pPr>
        <w:spacing w:line="500" w:lineRule="exact"/>
        <w:ind w:firstLine="480"/>
        <w:rPr>
          <w:bCs/>
          <w:color w:val="auto"/>
        </w:rPr>
      </w:pPr>
      <w:r>
        <w:rPr>
          <w:bCs/>
          <w:color w:val="auto"/>
        </w:rPr>
        <w:t>b.</w:t>
      </w:r>
      <w:r>
        <w:rPr>
          <w:rFonts w:hint="eastAsia"/>
          <w:bCs/>
          <w:color w:val="auto"/>
        </w:rPr>
        <w:t xml:space="preserve"> 水力坡度</w:t>
      </w:r>
    </w:p>
    <w:p>
      <w:pPr>
        <w:spacing w:line="500" w:lineRule="exact"/>
        <w:ind w:firstLine="480"/>
        <w:rPr>
          <w:bCs/>
          <w:color w:val="auto"/>
        </w:rPr>
      </w:pPr>
      <w:r>
        <w:rPr>
          <w:rFonts w:hint="eastAsia"/>
          <w:bCs/>
          <w:color w:val="auto"/>
        </w:rPr>
        <w:t>根据地下水监测数据，本项目地下水水位为4m-5m，且项目所在区域为黄河下游冲积平原，地形平坦，因此地下水的坡降很小，参考《黄河下游河道工程地质及淤积物物源分析》（黄河水利出版社，</w:t>
      </w:r>
      <w:r>
        <w:rPr>
          <w:bCs/>
          <w:color w:val="auto"/>
        </w:rPr>
        <w:t>1997</w:t>
      </w:r>
      <w:r>
        <w:rPr>
          <w:rFonts w:hint="eastAsia"/>
          <w:bCs/>
          <w:color w:val="auto"/>
        </w:rPr>
        <w:t>年），水力坡降为</w:t>
      </w:r>
      <w:r>
        <w:rPr>
          <w:bCs/>
          <w:color w:val="auto"/>
        </w:rPr>
        <w:t>0.1</w:t>
      </w:r>
      <w:r>
        <w:rPr>
          <w:rFonts w:hint="eastAsia"/>
          <w:bCs/>
          <w:color w:val="auto"/>
        </w:rPr>
        <w:t>‰</w:t>
      </w:r>
      <w:r>
        <w:rPr>
          <w:bCs/>
          <w:color w:val="auto"/>
        </w:rPr>
        <w:t>~0.36</w:t>
      </w:r>
      <w:r>
        <w:rPr>
          <w:rFonts w:hint="eastAsia"/>
          <w:bCs/>
          <w:color w:val="auto"/>
        </w:rPr>
        <w:t>‰，本次预测取</w:t>
      </w:r>
      <w:r>
        <w:rPr>
          <w:bCs/>
          <w:color w:val="auto"/>
        </w:rPr>
        <w:t>0.36</w:t>
      </w:r>
      <w:r>
        <w:rPr>
          <w:rFonts w:hint="eastAsia"/>
          <w:bCs/>
          <w:color w:val="auto"/>
        </w:rPr>
        <w:t>‰</w:t>
      </w:r>
      <w:r>
        <w:rPr>
          <w:bCs/>
          <w:color w:val="auto"/>
        </w:rPr>
        <w:t xml:space="preserve"> </w:t>
      </w:r>
      <w:r>
        <w:rPr>
          <w:rFonts w:hint="eastAsia"/>
          <w:bCs/>
          <w:color w:val="auto"/>
        </w:rPr>
        <w:t>。本项目地下水流向为西南向东北。</w:t>
      </w:r>
    </w:p>
    <w:p>
      <w:pPr>
        <w:spacing w:line="500" w:lineRule="exact"/>
        <w:ind w:firstLine="480"/>
        <w:rPr>
          <w:bCs/>
          <w:color w:val="auto"/>
        </w:rPr>
      </w:pPr>
      <w:r>
        <w:rPr>
          <w:bCs/>
          <w:color w:val="auto"/>
        </w:rPr>
        <w:t>c.</w:t>
      </w:r>
      <w:r>
        <w:rPr>
          <w:rFonts w:hint="eastAsia"/>
          <w:bCs/>
          <w:color w:val="auto"/>
        </w:rPr>
        <w:t>地下水流速</w:t>
      </w:r>
      <w:r>
        <w:rPr>
          <w:bCs/>
          <w:color w:val="auto"/>
        </w:rPr>
        <w:t>u</w:t>
      </w:r>
    </w:p>
    <w:p>
      <w:pPr>
        <w:spacing w:line="500" w:lineRule="exact"/>
        <w:ind w:firstLine="480"/>
        <w:rPr>
          <w:bCs/>
          <w:color w:val="auto"/>
        </w:rPr>
      </w:pPr>
      <w:r>
        <w:rPr>
          <w:bCs/>
          <w:color w:val="auto"/>
        </w:rPr>
        <w:t>地下水流速可以利用水力坡度及渗透系数求出，具体计算公式为：</w:t>
      </w:r>
    </w:p>
    <w:p>
      <w:pPr>
        <w:spacing w:line="500" w:lineRule="exact"/>
        <w:ind w:firstLine="3120" w:firstLineChars="1300"/>
        <w:rPr>
          <w:bCs/>
          <w:color w:val="auto"/>
        </w:rPr>
      </w:pPr>
      <w:r>
        <w:rPr>
          <w:bCs/>
          <w:color w:val="auto"/>
        </w:rPr>
        <w:t>u =kl</w:t>
      </w:r>
      <w:r>
        <w:rPr>
          <w:rFonts w:hint="eastAsia"/>
          <w:bCs/>
          <w:color w:val="auto"/>
        </w:rPr>
        <w:t>/n</w:t>
      </w:r>
    </w:p>
    <w:p>
      <w:pPr>
        <w:spacing w:line="500" w:lineRule="exact"/>
        <w:ind w:firstLine="480"/>
        <w:rPr>
          <w:bCs/>
          <w:color w:val="auto"/>
        </w:rPr>
      </w:pPr>
      <w:r>
        <w:rPr>
          <w:rFonts w:hint="eastAsia"/>
          <w:bCs/>
          <w:color w:val="auto"/>
        </w:rPr>
        <w:t>式中：</w:t>
      </w:r>
      <w:r>
        <w:rPr>
          <w:bCs/>
          <w:color w:val="auto"/>
        </w:rPr>
        <w:t>u—</w:t>
      </w:r>
      <w:r>
        <w:rPr>
          <w:rFonts w:hint="eastAsia"/>
          <w:bCs/>
          <w:color w:val="auto"/>
        </w:rPr>
        <w:t>地下水流速，</w:t>
      </w:r>
      <w:r>
        <w:rPr>
          <w:bCs/>
          <w:color w:val="auto"/>
        </w:rPr>
        <w:t>m/d</w:t>
      </w:r>
      <w:r>
        <w:rPr>
          <w:rFonts w:hint="eastAsia"/>
          <w:bCs/>
          <w:color w:val="auto"/>
        </w:rPr>
        <w:t>；</w:t>
      </w:r>
    </w:p>
    <w:p>
      <w:pPr>
        <w:spacing w:line="500" w:lineRule="exact"/>
        <w:ind w:firstLine="1200" w:firstLineChars="500"/>
        <w:rPr>
          <w:bCs/>
          <w:color w:val="auto"/>
        </w:rPr>
      </w:pPr>
      <w:r>
        <w:rPr>
          <w:bCs/>
          <w:color w:val="auto"/>
        </w:rPr>
        <w:t>k—</w:t>
      </w:r>
      <w:r>
        <w:rPr>
          <w:rFonts w:hint="eastAsia"/>
          <w:bCs/>
          <w:color w:val="auto"/>
        </w:rPr>
        <w:t>渗透系数，</w:t>
      </w:r>
      <w:r>
        <w:rPr>
          <w:bCs/>
          <w:color w:val="auto"/>
        </w:rPr>
        <w:t>m/d</w:t>
      </w:r>
      <w:r>
        <w:rPr>
          <w:rFonts w:hint="eastAsia"/>
          <w:bCs/>
          <w:color w:val="auto"/>
        </w:rPr>
        <w:t>，</w:t>
      </w:r>
      <w:r>
        <w:rPr>
          <w:color w:val="auto"/>
        </w:rPr>
        <w:t>按地下水导则推荐经验值，细砂取7.5m/d</w:t>
      </w:r>
      <w:r>
        <w:rPr>
          <w:rFonts w:hint="eastAsia"/>
          <w:bCs/>
          <w:color w:val="auto"/>
        </w:rPr>
        <w:t>；</w:t>
      </w:r>
    </w:p>
    <w:p>
      <w:pPr>
        <w:spacing w:line="500" w:lineRule="exact"/>
        <w:ind w:firstLine="1200" w:firstLineChars="500"/>
        <w:rPr>
          <w:bCs/>
          <w:color w:val="auto"/>
        </w:rPr>
      </w:pPr>
      <w:r>
        <w:rPr>
          <w:bCs/>
          <w:color w:val="auto"/>
        </w:rPr>
        <w:t>l—</w:t>
      </w:r>
      <w:r>
        <w:rPr>
          <w:rFonts w:hint="eastAsia"/>
          <w:bCs/>
          <w:color w:val="auto"/>
        </w:rPr>
        <w:t>水力坡度，取值</w:t>
      </w:r>
      <w:r>
        <w:rPr>
          <w:bCs/>
          <w:color w:val="auto"/>
        </w:rPr>
        <w:t>0.36</w:t>
      </w:r>
      <w:r>
        <w:rPr>
          <w:rFonts w:hint="eastAsia"/>
          <w:bCs/>
          <w:color w:val="auto"/>
        </w:rPr>
        <w:t>‰；</w:t>
      </w:r>
    </w:p>
    <w:p>
      <w:pPr>
        <w:spacing w:line="500" w:lineRule="exact"/>
        <w:ind w:firstLine="1200" w:firstLineChars="500"/>
        <w:rPr>
          <w:bCs/>
          <w:color w:val="auto"/>
        </w:rPr>
      </w:pPr>
      <w:r>
        <w:rPr>
          <w:bCs/>
          <w:color w:val="auto"/>
        </w:rPr>
        <w:t>n</w:t>
      </w:r>
      <w:r>
        <w:rPr>
          <w:rFonts w:hint="eastAsia"/>
          <w:bCs/>
          <w:color w:val="auto"/>
        </w:rPr>
        <w:t>—孔隙度，取值</w:t>
      </w:r>
      <w:r>
        <w:rPr>
          <w:bCs/>
          <w:color w:val="auto"/>
        </w:rPr>
        <w:t>30%</w:t>
      </w:r>
    </w:p>
    <w:p>
      <w:pPr>
        <w:ind w:firstLine="480"/>
        <w:rPr>
          <w:bCs/>
          <w:color w:val="auto"/>
        </w:rPr>
      </w:pPr>
      <w:r>
        <w:rPr>
          <w:bCs/>
          <w:color w:val="auto"/>
        </w:rPr>
        <w:t>d.</w:t>
      </w:r>
      <w:r>
        <w:rPr>
          <w:rFonts w:hint="eastAsia"/>
          <w:bCs/>
          <w:color w:val="auto"/>
        </w:rPr>
        <w:t>参数确定</w:t>
      </w:r>
    </w:p>
    <w:p>
      <w:pPr>
        <w:ind w:firstLine="480"/>
        <w:rPr>
          <w:bCs/>
          <w:color w:val="auto"/>
        </w:rPr>
      </w:pPr>
      <w:r>
        <w:rPr>
          <w:rFonts w:hint="eastAsia"/>
          <w:bCs/>
          <w:color w:val="auto"/>
        </w:rPr>
        <w:t>根据以上结论，确定本次地下水预测参数，详见表</w:t>
      </w:r>
      <w:r>
        <w:rPr>
          <w:bCs/>
          <w:color w:val="auto"/>
        </w:rPr>
        <w:t>5.</w:t>
      </w:r>
      <w:r>
        <w:rPr>
          <w:rFonts w:hint="eastAsia"/>
          <w:bCs/>
          <w:color w:val="auto"/>
        </w:rPr>
        <w:t>2-24。</w:t>
      </w:r>
    </w:p>
    <w:p>
      <w:pPr>
        <w:ind w:firstLine="482"/>
        <w:jc w:val="center"/>
        <w:rPr>
          <w:b/>
          <w:bCs/>
          <w:color w:val="auto"/>
        </w:rPr>
      </w:pPr>
      <w:r>
        <w:rPr>
          <w:rFonts w:hint="eastAsia"/>
          <w:b/>
          <w:bCs/>
          <w:color w:val="auto"/>
        </w:rPr>
        <w:t>表5.2-24</w:t>
      </w:r>
      <w:r>
        <w:rPr>
          <w:b/>
          <w:bCs/>
          <w:color w:val="auto"/>
        </w:rPr>
        <w:t xml:space="preserve">          </w:t>
      </w:r>
      <w:r>
        <w:rPr>
          <w:rFonts w:hint="eastAsia"/>
          <w:b/>
          <w:bCs/>
          <w:color w:val="auto"/>
        </w:rPr>
        <w:t>地下水预测参数选取一览表</w:t>
      </w:r>
    </w:p>
    <w:tbl>
      <w:tblPr>
        <w:tblStyle w:val="27"/>
        <w:tblW w:w="4997"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51"/>
        <w:gridCol w:w="984"/>
        <w:gridCol w:w="2629"/>
        <w:gridCol w:w="1385"/>
        <w:gridCol w:w="1385"/>
        <w:gridCol w:w="120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5" w:type="pct"/>
            <w:vAlign w:val="center"/>
          </w:tcPr>
          <w:p>
            <w:pPr>
              <w:spacing w:line="240" w:lineRule="auto"/>
              <w:ind w:firstLine="0" w:firstLineChars="0"/>
              <w:jc w:val="center"/>
              <w:rPr>
                <w:bCs/>
                <w:color w:val="auto"/>
                <w:sz w:val="21"/>
                <w:szCs w:val="21"/>
              </w:rPr>
            </w:pPr>
            <w:r>
              <w:rPr>
                <w:bCs/>
                <w:color w:val="auto"/>
                <w:sz w:val="21"/>
                <w:szCs w:val="21"/>
              </w:rPr>
              <w:t>参数</w:t>
            </w:r>
          </w:p>
        </w:tc>
        <w:tc>
          <w:tcPr>
            <w:tcW w:w="550" w:type="pct"/>
            <w:vAlign w:val="center"/>
          </w:tcPr>
          <w:p>
            <w:pPr>
              <w:spacing w:line="240" w:lineRule="auto"/>
              <w:ind w:firstLine="0" w:firstLineChars="0"/>
              <w:jc w:val="center"/>
              <w:rPr>
                <w:bCs/>
                <w:color w:val="auto"/>
                <w:sz w:val="21"/>
                <w:szCs w:val="21"/>
              </w:rPr>
            </w:pPr>
            <w:r>
              <w:rPr>
                <w:bCs/>
                <w:color w:val="auto"/>
                <w:sz w:val="21"/>
                <w:szCs w:val="21"/>
              </w:rPr>
              <w:t>x（m）</w:t>
            </w:r>
          </w:p>
        </w:tc>
        <w:tc>
          <w:tcPr>
            <w:tcW w:w="1469" w:type="pct"/>
            <w:vAlign w:val="center"/>
          </w:tcPr>
          <w:p>
            <w:pPr>
              <w:spacing w:line="240" w:lineRule="auto"/>
              <w:ind w:firstLine="0" w:firstLineChars="0"/>
              <w:jc w:val="center"/>
              <w:rPr>
                <w:bCs/>
                <w:color w:val="auto"/>
                <w:sz w:val="21"/>
                <w:szCs w:val="21"/>
              </w:rPr>
            </w:pPr>
            <w:r>
              <w:rPr>
                <w:bCs/>
                <w:color w:val="auto"/>
                <w:sz w:val="21"/>
                <w:szCs w:val="21"/>
              </w:rPr>
              <w:t>C</w:t>
            </w:r>
            <w:r>
              <w:rPr>
                <w:bCs/>
                <w:color w:val="auto"/>
                <w:sz w:val="21"/>
                <w:szCs w:val="21"/>
                <w:vertAlign w:val="subscript"/>
              </w:rPr>
              <w:t>0</w:t>
            </w:r>
            <w:r>
              <w:rPr>
                <w:bCs/>
                <w:color w:val="auto"/>
                <w:sz w:val="21"/>
                <w:szCs w:val="21"/>
              </w:rPr>
              <w:t>（mg/l）</w:t>
            </w:r>
          </w:p>
        </w:tc>
        <w:tc>
          <w:tcPr>
            <w:tcW w:w="774" w:type="pct"/>
            <w:vAlign w:val="center"/>
          </w:tcPr>
          <w:p>
            <w:pPr>
              <w:spacing w:line="240" w:lineRule="auto"/>
              <w:ind w:firstLine="0" w:firstLineChars="0"/>
              <w:jc w:val="center"/>
              <w:rPr>
                <w:bCs/>
                <w:color w:val="auto"/>
                <w:sz w:val="21"/>
                <w:szCs w:val="21"/>
              </w:rPr>
            </w:pPr>
            <w:r>
              <w:rPr>
                <w:bCs/>
                <w:color w:val="auto"/>
                <w:sz w:val="21"/>
                <w:szCs w:val="21"/>
              </w:rPr>
              <w:t>D（m</w:t>
            </w:r>
            <w:r>
              <w:rPr>
                <w:bCs/>
                <w:color w:val="auto"/>
                <w:sz w:val="21"/>
                <w:szCs w:val="21"/>
                <w:vertAlign w:val="superscript"/>
              </w:rPr>
              <w:t>2</w:t>
            </w:r>
            <w:r>
              <w:rPr>
                <w:bCs/>
                <w:color w:val="auto"/>
                <w:sz w:val="21"/>
                <w:szCs w:val="21"/>
              </w:rPr>
              <w:t>/d）</w:t>
            </w:r>
          </w:p>
        </w:tc>
        <w:tc>
          <w:tcPr>
            <w:tcW w:w="774" w:type="pct"/>
            <w:vAlign w:val="center"/>
          </w:tcPr>
          <w:p>
            <w:pPr>
              <w:spacing w:line="240" w:lineRule="auto"/>
              <w:ind w:firstLine="0" w:firstLineChars="0"/>
              <w:jc w:val="center"/>
              <w:rPr>
                <w:bCs/>
                <w:color w:val="auto"/>
                <w:sz w:val="21"/>
                <w:szCs w:val="21"/>
              </w:rPr>
            </w:pPr>
            <w:r>
              <w:rPr>
                <w:bCs/>
                <w:color w:val="auto"/>
                <w:sz w:val="21"/>
                <w:szCs w:val="21"/>
              </w:rPr>
              <w:t>T（d）</w:t>
            </w:r>
          </w:p>
        </w:tc>
        <w:tc>
          <w:tcPr>
            <w:tcW w:w="674" w:type="pct"/>
            <w:vAlign w:val="center"/>
          </w:tcPr>
          <w:p>
            <w:pPr>
              <w:spacing w:line="240" w:lineRule="auto"/>
              <w:ind w:firstLine="0" w:firstLineChars="0"/>
              <w:jc w:val="center"/>
              <w:rPr>
                <w:bCs/>
                <w:color w:val="auto"/>
                <w:sz w:val="21"/>
                <w:szCs w:val="21"/>
              </w:rPr>
            </w:pPr>
            <w:r>
              <w:rPr>
                <w:bCs/>
                <w:color w:val="auto"/>
                <w:sz w:val="21"/>
                <w:szCs w:val="21"/>
              </w:rPr>
              <w:t>u（m/d）</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5" w:type="pct"/>
            <w:vAlign w:val="center"/>
          </w:tcPr>
          <w:p>
            <w:pPr>
              <w:spacing w:line="240" w:lineRule="auto"/>
              <w:ind w:firstLine="0" w:firstLineChars="0"/>
              <w:jc w:val="center"/>
              <w:rPr>
                <w:bCs/>
                <w:color w:val="auto"/>
                <w:sz w:val="21"/>
                <w:szCs w:val="21"/>
              </w:rPr>
            </w:pPr>
            <w:r>
              <w:rPr>
                <w:bCs/>
                <w:color w:val="auto"/>
                <w:sz w:val="21"/>
                <w:szCs w:val="21"/>
              </w:rPr>
              <w:t>取值</w:t>
            </w:r>
          </w:p>
        </w:tc>
        <w:tc>
          <w:tcPr>
            <w:tcW w:w="550" w:type="pct"/>
            <w:vAlign w:val="center"/>
          </w:tcPr>
          <w:p>
            <w:pPr>
              <w:spacing w:line="240" w:lineRule="auto"/>
              <w:ind w:firstLine="0" w:firstLineChars="0"/>
              <w:jc w:val="center"/>
              <w:rPr>
                <w:bCs/>
                <w:color w:val="auto"/>
                <w:sz w:val="21"/>
                <w:szCs w:val="21"/>
              </w:rPr>
            </w:pPr>
            <w:r>
              <w:rPr>
                <w:bCs/>
                <w:color w:val="auto"/>
                <w:sz w:val="21"/>
                <w:szCs w:val="21"/>
              </w:rPr>
              <w:t>0~1000</w:t>
            </w:r>
          </w:p>
        </w:tc>
        <w:tc>
          <w:tcPr>
            <w:tcW w:w="1469" w:type="pct"/>
            <w:vAlign w:val="center"/>
          </w:tcPr>
          <w:p>
            <w:pPr>
              <w:spacing w:line="240" w:lineRule="auto"/>
              <w:ind w:firstLine="0" w:firstLineChars="0"/>
              <w:jc w:val="center"/>
              <w:rPr>
                <w:bCs/>
                <w:color w:val="auto"/>
                <w:sz w:val="21"/>
                <w:szCs w:val="21"/>
              </w:rPr>
            </w:pPr>
            <w:r>
              <w:rPr>
                <w:rFonts w:hint="eastAsia"/>
                <w:bCs/>
                <w:color w:val="auto"/>
                <w:sz w:val="21"/>
                <w:szCs w:val="21"/>
              </w:rPr>
              <w:t>C</w:t>
            </w:r>
            <w:r>
              <w:rPr>
                <w:bCs/>
                <w:color w:val="auto"/>
                <w:sz w:val="21"/>
                <w:szCs w:val="21"/>
              </w:rPr>
              <w:t>OD：</w:t>
            </w:r>
            <w:r>
              <w:rPr>
                <w:rFonts w:hint="eastAsia"/>
                <w:bCs/>
                <w:color w:val="auto"/>
                <w:sz w:val="21"/>
                <w:szCs w:val="21"/>
              </w:rPr>
              <w:t>19500</w:t>
            </w:r>
            <w:r>
              <w:rPr>
                <w:bCs/>
                <w:color w:val="auto"/>
                <w:sz w:val="21"/>
                <w:szCs w:val="21"/>
              </w:rPr>
              <w:t>；</w:t>
            </w:r>
            <w:r>
              <w:rPr>
                <w:rFonts w:hint="eastAsia"/>
                <w:bCs/>
                <w:color w:val="auto"/>
                <w:sz w:val="21"/>
                <w:szCs w:val="21"/>
              </w:rPr>
              <w:t>氨氮</w:t>
            </w:r>
            <w:r>
              <w:rPr>
                <w:bCs/>
                <w:color w:val="auto"/>
                <w:sz w:val="21"/>
                <w:szCs w:val="21"/>
              </w:rPr>
              <w:t>：</w:t>
            </w:r>
            <w:r>
              <w:rPr>
                <w:rFonts w:hint="eastAsia"/>
                <w:bCs/>
                <w:color w:val="auto"/>
                <w:sz w:val="21"/>
                <w:szCs w:val="21"/>
              </w:rPr>
              <w:t>1200</w:t>
            </w:r>
          </w:p>
        </w:tc>
        <w:tc>
          <w:tcPr>
            <w:tcW w:w="1385" w:type="dxa"/>
            <w:vAlign w:val="center"/>
          </w:tcPr>
          <w:p>
            <w:pPr>
              <w:adjustRightInd/>
              <w:snapToGrid/>
              <w:spacing w:line="240" w:lineRule="auto"/>
              <w:ind w:firstLine="0" w:firstLineChars="0"/>
              <w:jc w:val="center"/>
              <w:rPr>
                <w:bCs/>
                <w:color w:val="auto"/>
                <w:sz w:val="21"/>
                <w:szCs w:val="21"/>
              </w:rPr>
            </w:pPr>
            <w:r>
              <w:rPr>
                <w:color w:val="auto"/>
                <w:kern w:val="0"/>
                <w:sz w:val="21"/>
                <w:szCs w:val="21"/>
              </w:rPr>
              <w:t>0.0126</w:t>
            </w:r>
          </w:p>
        </w:tc>
        <w:tc>
          <w:tcPr>
            <w:tcW w:w="1385" w:type="dxa"/>
            <w:vAlign w:val="center"/>
          </w:tcPr>
          <w:p>
            <w:pPr>
              <w:adjustRightInd/>
              <w:snapToGrid/>
              <w:spacing w:line="240" w:lineRule="auto"/>
              <w:ind w:firstLine="0" w:firstLineChars="0"/>
              <w:jc w:val="center"/>
              <w:rPr>
                <w:bCs/>
                <w:color w:val="auto"/>
                <w:sz w:val="21"/>
                <w:szCs w:val="21"/>
              </w:rPr>
            </w:pPr>
            <w:r>
              <w:rPr>
                <w:color w:val="auto"/>
                <w:kern w:val="0"/>
                <w:sz w:val="21"/>
                <w:szCs w:val="21"/>
              </w:rPr>
              <w:t>0-1000</w:t>
            </w:r>
          </w:p>
        </w:tc>
        <w:tc>
          <w:tcPr>
            <w:tcW w:w="1207" w:type="dxa"/>
            <w:vAlign w:val="center"/>
          </w:tcPr>
          <w:p>
            <w:pPr>
              <w:adjustRightInd/>
              <w:snapToGrid/>
              <w:spacing w:line="240" w:lineRule="auto"/>
              <w:ind w:firstLine="0" w:firstLineChars="0"/>
              <w:jc w:val="center"/>
              <w:rPr>
                <w:bCs/>
                <w:color w:val="auto"/>
                <w:sz w:val="21"/>
                <w:szCs w:val="21"/>
              </w:rPr>
            </w:pPr>
            <w:r>
              <w:rPr>
                <w:color w:val="auto"/>
                <w:kern w:val="0"/>
                <w:sz w:val="21"/>
                <w:szCs w:val="21"/>
              </w:rPr>
              <w:t>0.0015</w:t>
            </w:r>
          </w:p>
        </w:tc>
      </w:tr>
    </w:tbl>
    <w:p>
      <w:pPr>
        <w:spacing w:line="500" w:lineRule="exact"/>
        <w:ind w:firstLine="480"/>
        <w:rPr>
          <w:bCs/>
          <w:color w:val="auto"/>
        </w:rPr>
      </w:pPr>
      <w:r>
        <w:rPr>
          <w:rFonts w:hint="eastAsia"/>
          <w:bCs/>
          <w:color w:val="auto"/>
        </w:rPr>
        <w:t>（</w:t>
      </w:r>
      <w:r>
        <w:rPr>
          <w:bCs/>
          <w:color w:val="auto"/>
        </w:rPr>
        <w:t>5</w:t>
      </w:r>
      <w:r>
        <w:rPr>
          <w:rFonts w:hint="eastAsia"/>
          <w:bCs/>
          <w:color w:val="auto"/>
        </w:rPr>
        <w:t>）预测结果</w:t>
      </w:r>
      <w:r>
        <w:rPr>
          <w:bCs/>
          <w:color w:val="auto"/>
        </w:rPr>
        <w:t xml:space="preserve"> </w:t>
      </w:r>
    </w:p>
    <w:p>
      <w:pPr>
        <w:spacing w:line="500" w:lineRule="exact"/>
        <w:ind w:firstLine="480"/>
        <w:rPr>
          <w:bCs/>
          <w:color w:val="auto"/>
        </w:rPr>
      </w:pPr>
      <w:r>
        <w:rPr>
          <w:rFonts w:hint="eastAsia"/>
          <w:bCs/>
          <w:color w:val="auto"/>
        </w:rPr>
        <w:t>结合《环境影响评价技术导则</w:t>
      </w:r>
      <w:r>
        <w:rPr>
          <w:bCs/>
          <w:color w:val="auto"/>
        </w:rPr>
        <w:t xml:space="preserve"> </w:t>
      </w:r>
      <w:r>
        <w:rPr>
          <w:rFonts w:hint="eastAsia"/>
          <w:bCs/>
          <w:color w:val="auto"/>
        </w:rPr>
        <w:t>地下水环境》（</w:t>
      </w:r>
      <w:r>
        <w:rPr>
          <w:bCs/>
          <w:color w:val="auto"/>
        </w:rPr>
        <w:t>HJ610-2016</w:t>
      </w:r>
      <w:r>
        <w:rPr>
          <w:rFonts w:hint="eastAsia"/>
          <w:bCs/>
          <w:color w:val="auto"/>
        </w:rPr>
        <w:t>），选取泄漏后</w:t>
      </w:r>
      <w:r>
        <w:rPr>
          <w:bCs/>
          <w:color w:val="auto"/>
        </w:rPr>
        <w:t>1d</w:t>
      </w:r>
      <w:r>
        <w:rPr>
          <w:rFonts w:hint="eastAsia"/>
          <w:bCs/>
          <w:color w:val="auto"/>
        </w:rPr>
        <w:t>、</w:t>
      </w:r>
      <w:r>
        <w:rPr>
          <w:bCs/>
          <w:color w:val="auto"/>
        </w:rPr>
        <w:t>100d</w:t>
      </w:r>
      <w:r>
        <w:rPr>
          <w:rFonts w:hint="eastAsia"/>
          <w:bCs/>
          <w:color w:val="auto"/>
        </w:rPr>
        <w:t>、</w:t>
      </w:r>
      <w:r>
        <w:rPr>
          <w:bCs/>
          <w:color w:val="auto"/>
        </w:rPr>
        <w:t>500d</w:t>
      </w:r>
      <w:r>
        <w:rPr>
          <w:rFonts w:hint="eastAsia"/>
          <w:bCs/>
          <w:color w:val="auto"/>
        </w:rPr>
        <w:t>、</w:t>
      </w:r>
      <w:r>
        <w:rPr>
          <w:bCs/>
          <w:color w:val="auto"/>
        </w:rPr>
        <w:t>1000d</w:t>
      </w:r>
      <w:r>
        <w:rPr>
          <w:rFonts w:hint="eastAsia"/>
          <w:bCs/>
          <w:color w:val="auto"/>
        </w:rPr>
        <w:t>等进行预测。根据地下水溶质运移解析计算程序，地下水预测结果见下表。</w:t>
      </w:r>
    </w:p>
    <w:p>
      <w:pPr>
        <w:ind w:firstLine="482"/>
        <w:jc w:val="center"/>
        <w:rPr>
          <w:b/>
          <w:bCs/>
          <w:color w:val="auto"/>
        </w:rPr>
      </w:pPr>
      <w:r>
        <w:rPr>
          <w:rFonts w:hint="eastAsia"/>
          <w:b/>
          <w:bCs/>
          <w:color w:val="auto"/>
        </w:rPr>
        <w:t>表5.2-25</w:t>
      </w:r>
      <w:r>
        <w:rPr>
          <w:b/>
          <w:bCs/>
          <w:color w:val="auto"/>
        </w:rPr>
        <w:t xml:space="preserve">         </w:t>
      </w:r>
      <w:r>
        <w:rPr>
          <w:rFonts w:hint="eastAsia"/>
          <w:b/>
          <w:bCs/>
          <w:color w:val="auto"/>
        </w:rPr>
        <w:t>地下水预测结果一览表</w:t>
      </w:r>
    </w:p>
    <w:tbl>
      <w:tblPr>
        <w:tblStyle w:val="27"/>
        <w:tblW w:w="9060"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77"/>
        <w:gridCol w:w="977"/>
        <w:gridCol w:w="1416"/>
        <w:gridCol w:w="1261"/>
        <w:gridCol w:w="1500"/>
        <w:gridCol w:w="1543"/>
        <w:gridCol w:w="108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77" w:type="dxa"/>
            <w:vAlign w:val="center"/>
          </w:tcPr>
          <w:p>
            <w:pPr>
              <w:spacing w:line="240" w:lineRule="auto"/>
              <w:ind w:firstLine="0" w:firstLineChars="0"/>
              <w:jc w:val="center"/>
              <w:rPr>
                <w:bCs/>
                <w:color w:val="auto"/>
                <w:sz w:val="21"/>
                <w:szCs w:val="21"/>
              </w:rPr>
            </w:pPr>
            <w:r>
              <w:rPr>
                <w:rFonts w:hint="eastAsia"/>
                <w:bCs/>
                <w:color w:val="auto"/>
                <w:sz w:val="21"/>
                <w:szCs w:val="21"/>
              </w:rPr>
              <w:t>预测因子</w:t>
            </w:r>
          </w:p>
        </w:tc>
        <w:tc>
          <w:tcPr>
            <w:tcW w:w="977" w:type="dxa"/>
            <w:tcBorders>
              <w:tl2br w:val="single" w:color="auto" w:sz="4" w:space="0"/>
            </w:tcBorders>
            <w:vAlign w:val="center"/>
          </w:tcPr>
          <w:p>
            <w:pPr>
              <w:spacing w:line="240" w:lineRule="auto"/>
              <w:ind w:firstLine="0" w:firstLineChars="0"/>
              <w:jc w:val="center"/>
              <w:rPr>
                <w:bCs/>
                <w:color w:val="auto"/>
                <w:sz w:val="21"/>
                <w:szCs w:val="21"/>
              </w:rPr>
            </w:pPr>
            <w:r>
              <w:rPr>
                <w:rFonts w:hint="eastAsia"/>
                <w:bCs/>
                <w:color w:val="auto"/>
                <w:sz w:val="21"/>
                <w:szCs w:val="21"/>
              </w:rPr>
              <w:t xml:space="preserve">   距离</w:t>
            </w:r>
          </w:p>
          <w:p>
            <w:pPr>
              <w:spacing w:line="240" w:lineRule="auto"/>
              <w:ind w:firstLine="0" w:firstLineChars="0"/>
              <w:jc w:val="center"/>
              <w:rPr>
                <w:bCs/>
                <w:color w:val="auto"/>
                <w:sz w:val="21"/>
                <w:szCs w:val="21"/>
              </w:rPr>
            </w:pPr>
            <w:r>
              <w:rPr>
                <w:rFonts w:hint="eastAsia"/>
                <w:bCs/>
                <w:color w:val="auto"/>
                <w:sz w:val="21"/>
                <w:szCs w:val="21"/>
              </w:rPr>
              <w:t>时间</w:t>
            </w:r>
          </w:p>
        </w:tc>
        <w:tc>
          <w:tcPr>
            <w:tcW w:w="1416" w:type="dxa"/>
            <w:vAlign w:val="center"/>
          </w:tcPr>
          <w:p>
            <w:pPr>
              <w:spacing w:line="240" w:lineRule="auto"/>
              <w:ind w:firstLine="0" w:firstLineChars="0"/>
              <w:jc w:val="center"/>
              <w:rPr>
                <w:bCs/>
                <w:color w:val="auto"/>
                <w:sz w:val="21"/>
                <w:szCs w:val="21"/>
              </w:rPr>
            </w:pPr>
            <w:r>
              <w:rPr>
                <w:rFonts w:hint="eastAsia"/>
                <w:bCs/>
                <w:color w:val="auto"/>
                <w:sz w:val="21"/>
                <w:szCs w:val="21"/>
              </w:rPr>
              <w:t>10m</w:t>
            </w:r>
          </w:p>
        </w:tc>
        <w:tc>
          <w:tcPr>
            <w:tcW w:w="1261" w:type="dxa"/>
            <w:vAlign w:val="center"/>
          </w:tcPr>
          <w:p>
            <w:pPr>
              <w:spacing w:line="240" w:lineRule="auto"/>
              <w:ind w:firstLine="0" w:firstLineChars="0"/>
              <w:jc w:val="center"/>
              <w:rPr>
                <w:bCs/>
                <w:color w:val="auto"/>
                <w:sz w:val="21"/>
                <w:szCs w:val="21"/>
              </w:rPr>
            </w:pPr>
            <w:r>
              <w:rPr>
                <w:rFonts w:hint="eastAsia"/>
                <w:bCs/>
                <w:color w:val="auto"/>
                <w:sz w:val="21"/>
                <w:szCs w:val="21"/>
              </w:rPr>
              <w:t>20m</w:t>
            </w:r>
          </w:p>
        </w:tc>
        <w:tc>
          <w:tcPr>
            <w:tcW w:w="1500" w:type="dxa"/>
            <w:vAlign w:val="center"/>
          </w:tcPr>
          <w:p>
            <w:pPr>
              <w:spacing w:line="240" w:lineRule="auto"/>
              <w:ind w:firstLine="0" w:firstLineChars="0"/>
              <w:jc w:val="center"/>
              <w:rPr>
                <w:bCs/>
                <w:color w:val="auto"/>
                <w:sz w:val="21"/>
                <w:szCs w:val="21"/>
              </w:rPr>
            </w:pPr>
            <w:r>
              <w:rPr>
                <w:rFonts w:hint="eastAsia"/>
                <w:bCs/>
                <w:color w:val="auto"/>
                <w:sz w:val="21"/>
                <w:szCs w:val="21"/>
              </w:rPr>
              <w:t>30m</w:t>
            </w:r>
          </w:p>
        </w:tc>
        <w:tc>
          <w:tcPr>
            <w:tcW w:w="1543" w:type="dxa"/>
            <w:vAlign w:val="center"/>
          </w:tcPr>
          <w:p>
            <w:pPr>
              <w:spacing w:line="240" w:lineRule="auto"/>
              <w:ind w:firstLine="0" w:firstLineChars="0"/>
              <w:jc w:val="center"/>
              <w:rPr>
                <w:bCs/>
                <w:color w:val="auto"/>
                <w:sz w:val="21"/>
                <w:szCs w:val="21"/>
              </w:rPr>
            </w:pPr>
            <w:r>
              <w:rPr>
                <w:rFonts w:hint="eastAsia"/>
                <w:bCs/>
                <w:color w:val="auto"/>
                <w:sz w:val="21"/>
                <w:szCs w:val="21"/>
              </w:rPr>
              <w:t>50m</w:t>
            </w:r>
          </w:p>
        </w:tc>
        <w:tc>
          <w:tcPr>
            <w:tcW w:w="1086" w:type="dxa"/>
            <w:vAlign w:val="center"/>
          </w:tcPr>
          <w:p>
            <w:pPr>
              <w:spacing w:line="240" w:lineRule="auto"/>
              <w:ind w:firstLine="0" w:firstLineChars="0"/>
              <w:jc w:val="center"/>
              <w:rPr>
                <w:bCs/>
                <w:color w:val="auto"/>
                <w:sz w:val="21"/>
                <w:szCs w:val="21"/>
              </w:rPr>
            </w:pPr>
            <w:r>
              <w:rPr>
                <w:rFonts w:hint="eastAsia"/>
                <w:bCs/>
                <w:color w:val="auto"/>
                <w:sz w:val="21"/>
                <w:szCs w:val="21"/>
              </w:rPr>
              <w:t>60m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77" w:type="dxa"/>
            <w:vMerge w:val="restart"/>
            <w:vAlign w:val="center"/>
          </w:tcPr>
          <w:p>
            <w:pPr>
              <w:spacing w:line="240" w:lineRule="auto"/>
              <w:ind w:firstLine="0" w:firstLineChars="0"/>
              <w:jc w:val="center"/>
              <w:rPr>
                <w:bCs/>
                <w:color w:val="auto"/>
                <w:sz w:val="21"/>
                <w:szCs w:val="21"/>
              </w:rPr>
            </w:pPr>
            <w:r>
              <w:rPr>
                <w:rFonts w:hint="eastAsia"/>
                <w:bCs/>
                <w:color w:val="auto"/>
                <w:sz w:val="21"/>
                <w:szCs w:val="21"/>
              </w:rPr>
              <w:t>COD</w:t>
            </w:r>
          </w:p>
          <w:p>
            <w:pPr>
              <w:spacing w:line="240" w:lineRule="auto"/>
              <w:ind w:firstLine="0" w:firstLineChars="0"/>
              <w:jc w:val="center"/>
              <w:rPr>
                <w:bCs/>
                <w:color w:val="auto"/>
                <w:sz w:val="21"/>
                <w:szCs w:val="21"/>
              </w:rPr>
            </w:pPr>
            <w:r>
              <w:rPr>
                <w:rFonts w:hint="eastAsia"/>
                <w:bCs/>
                <w:color w:val="auto"/>
                <w:sz w:val="21"/>
                <w:szCs w:val="21"/>
              </w:rPr>
              <w:t>（mg/L）</w:t>
            </w:r>
          </w:p>
        </w:tc>
        <w:tc>
          <w:tcPr>
            <w:tcW w:w="977" w:type="dxa"/>
            <w:vAlign w:val="center"/>
          </w:tcPr>
          <w:p>
            <w:pPr>
              <w:spacing w:line="240" w:lineRule="auto"/>
              <w:ind w:firstLine="0" w:firstLineChars="0"/>
              <w:jc w:val="center"/>
              <w:rPr>
                <w:bCs/>
                <w:color w:val="auto"/>
                <w:sz w:val="21"/>
                <w:szCs w:val="21"/>
              </w:rPr>
            </w:pPr>
            <w:r>
              <w:rPr>
                <w:rFonts w:hint="eastAsia"/>
                <w:bCs/>
                <w:color w:val="auto"/>
                <w:sz w:val="21"/>
                <w:szCs w:val="21"/>
              </w:rPr>
              <w:t>1d</w:t>
            </w:r>
          </w:p>
        </w:tc>
        <w:tc>
          <w:tcPr>
            <w:tcW w:w="1416" w:type="dxa"/>
            <w:vAlign w:val="center"/>
          </w:tcPr>
          <w:p>
            <w:pPr>
              <w:adjustRightInd/>
              <w:snapToGrid/>
              <w:spacing w:line="240" w:lineRule="auto"/>
              <w:ind w:firstLine="0" w:firstLineChars="0"/>
              <w:jc w:val="center"/>
              <w:rPr>
                <w:bCs/>
                <w:color w:val="auto"/>
                <w:sz w:val="21"/>
                <w:szCs w:val="21"/>
              </w:rPr>
            </w:pPr>
            <w:r>
              <w:rPr>
                <w:rFonts w:hint="eastAsia"/>
                <w:bCs/>
                <w:color w:val="auto"/>
                <w:sz w:val="21"/>
                <w:szCs w:val="21"/>
              </w:rPr>
              <w:t>0</w:t>
            </w:r>
          </w:p>
        </w:tc>
        <w:tc>
          <w:tcPr>
            <w:tcW w:w="1261" w:type="dxa"/>
            <w:vAlign w:val="center"/>
          </w:tcPr>
          <w:p>
            <w:pPr>
              <w:adjustRightInd/>
              <w:snapToGrid/>
              <w:spacing w:line="240" w:lineRule="auto"/>
              <w:ind w:firstLine="0" w:firstLineChars="0"/>
              <w:jc w:val="center"/>
              <w:rPr>
                <w:bCs/>
                <w:color w:val="auto"/>
                <w:sz w:val="21"/>
                <w:szCs w:val="21"/>
              </w:rPr>
            </w:pPr>
            <w:r>
              <w:rPr>
                <w:rFonts w:hint="eastAsia"/>
                <w:bCs/>
                <w:color w:val="auto"/>
                <w:sz w:val="21"/>
                <w:szCs w:val="21"/>
              </w:rPr>
              <w:t>0</w:t>
            </w:r>
          </w:p>
        </w:tc>
        <w:tc>
          <w:tcPr>
            <w:tcW w:w="1500" w:type="dxa"/>
            <w:vAlign w:val="center"/>
          </w:tcPr>
          <w:p>
            <w:pPr>
              <w:adjustRightInd/>
              <w:snapToGrid/>
              <w:spacing w:line="240" w:lineRule="auto"/>
              <w:ind w:firstLine="0" w:firstLineChars="0"/>
              <w:jc w:val="center"/>
              <w:rPr>
                <w:bCs/>
                <w:color w:val="auto"/>
                <w:sz w:val="21"/>
                <w:szCs w:val="21"/>
              </w:rPr>
            </w:pPr>
            <w:r>
              <w:rPr>
                <w:rFonts w:hint="eastAsia"/>
                <w:bCs/>
                <w:color w:val="auto"/>
                <w:sz w:val="21"/>
                <w:szCs w:val="21"/>
              </w:rPr>
              <w:t>0</w:t>
            </w:r>
          </w:p>
        </w:tc>
        <w:tc>
          <w:tcPr>
            <w:tcW w:w="1543" w:type="dxa"/>
            <w:vAlign w:val="center"/>
          </w:tcPr>
          <w:p>
            <w:pPr>
              <w:adjustRightInd/>
              <w:snapToGrid/>
              <w:spacing w:line="240" w:lineRule="auto"/>
              <w:ind w:firstLine="0" w:firstLineChars="0"/>
              <w:jc w:val="center"/>
              <w:rPr>
                <w:bCs/>
                <w:color w:val="auto"/>
                <w:sz w:val="21"/>
                <w:szCs w:val="21"/>
              </w:rPr>
            </w:pPr>
            <w:r>
              <w:rPr>
                <w:rFonts w:hint="eastAsia"/>
                <w:bCs/>
                <w:color w:val="auto"/>
                <w:sz w:val="21"/>
                <w:szCs w:val="21"/>
              </w:rPr>
              <w:t>0</w:t>
            </w:r>
          </w:p>
        </w:tc>
        <w:tc>
          <w:tcPr>
            <w:tcW w:w="1086" w:type="dxa"/>
            <w:vAlign w:val="center"/>
          </w:tcPr>
          <w:p>
            <w:pPr>
              <w:adjustRightInd/>
              <w:snapToGrid/>
              <w:spacing w:line="240" w:lineRule="auto"/>
              <w:ind w:firstLine="0" w:firstLineChars="0"/>
              <w:jc w:val="center"/>
              <w:rPr>
                <w:bCs/>
                <w:color w:val="auto"/>
                <w:sz w:val="21"/>
                <w:szCs w:val="21"/>
              </w:rPr>
            </w:pPr>
            <w:r>
              <w:rPr>
                <w:rFonts w:hint="eastAsia"/>
                <w:bCs/>
                <w:color w:val="auto"/>
                <w:sz w:val="21"/>
                <w:szCs w:val="21"/>
              </w:rPr>
              <w:t>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77" w:type="dxa"/>
            <w:vMerge w:val="continue"/>
            <w:vAlign w:val="center"/>
          </w:tcPr>
          <w:p>
            <w:pPr>
              <w:spacing w:line="240" w:lineRule="auto"/>
              <w:ind w:firstLine="0" w:firstLineChars="0"/>
              <w:jc w:val="center"/>
              <w:rPr>
                <w:bCs/>
                <w:color w:val="auto"/>
                <w:sz w:val="21"/>
                <w:szCs w:val="21"/>
              </w:rPr>
            </w:pPr>
          </w:p>
        </w:tc>
        <w:tc>
          <w:tcPr>
            <w:tcW w:w="977" w:type="dxa"/>
            <w:vAlign w:val="center"/>
          </w:tcPr>
          <w:p>
            <w:pPr>
              <w:spacing w:line="240" w:lineRule="auto"/>
              <w:ind w:firstLine="0" w:firstLineChars="0"/>
              <w:jc w:val="center"/>
              <w:rPr>
                <w:bCs/>
                <w:color w:val="auto"/>
                <w:sz w:val="21"/>
                <w:szCs w:val="21"/>
              </w:rPr>
            </w:pPr>
            <w:r>
              <w:rPr>
                <w:rFonts w:hint="eastAsia"/>
                <w:bCs/>
                <w:color w:val="auto"/>
                <w:sz w:val="21"/>
                <w:szCs w:val="21"/>
              </w:rPr>
              <w:t>100d</w:t>
            </w:r>
          </w:p>
        </w:tc>
        <w:tc>
          <w:tcPr>
            <w:tcW w:w="1416" w:type="dxa"/>
            <w:vAlign w:val="center"/>
          </w:tcPr>
          <w:p>
            <w:pPr>
              <w:adjustRightInd/>
              <w:snapToGrid/>
              <w:spacing w:line="240" w:lineRule="auto"/>
              <w:ind w:firstLine="0" w:firstLineChars="0"/>
              <w:jc w:val="center"/>
              <w:rPr>
                <w:bCs/>
                <w:color w:val="auto"/>
                <w:sz w:val="21"/>
                <w:szCs w:val="21"/>
              </w:rPr>
            </w:pPr>
            <w:r>
              <w:rPr>
                <w:rFonts w:hint="eastAsia"/>
                <w:bCs/>
                <w:color w:val="auto"/>
                <w:sz w:val="21"/>
                <w:szCs w:val="21"/>
              </w:rPr>
              <w:t>5.357682E-06</w:t>
            </w:r>
          </w:p>
        </w:tc>
        <w:tc>
          <w:tcPr>
            <w:tcW w:w="1261" w:type="dxa"/>
            <w:vAlign w:val="center"/>
          </w:tcPr>
          <w:p>
            <w:pPr>
              <w:adjustRightInd/>
              <w:snapToGrid/>
              <w:spacing w:line="240" w:lineRule="auto"/>
              <w:ind w:firstLine="0" w:firstLineChars="0"/>
              <w:jc w:val="center"/>
              <w:rPr>
                <w:bCs/>
                <w:color w:val="auto"/>
                <w:sz w:val="21"/>
                <w:szCs w:val="21"/>
              </w:rPr>
            </w:pPr>
            <w:r>
              <w:rPr>
                <w:rFonts w:hint="eastAsia"/>
                <w:bCs/>
                <w:color w:val="auto"/>
                <w:sz w:val="21"/>
                <w:szCs w:val="21"/>
              </w:rPr>
              <w:t>0</w:t>
            </w:r>
          </w:p>
        </w:tc>
        <w:tc>
          <w:tcPr>
            <w:tcW w:w="1500" w:type="dxa"/>
            <w:vAlign w:val="center"/>
          </w:tcPr>
          <w:p>
            <w:pPr>
              <w:adjustRightInd/>
              <w:snapToGrid/>
              <w:spacing w:line="240" w:lineRule="auto"/>
              <w:ind w:firstLine="0" w:firstLineChars="0"/>
              <w:jc w:val="center"/>
              <w:rPr>
                <w:bCs/>
                <w:color w:val="auto"/>
                <w:sz w:val="21"/>
                <w:szCs w:val="21"/>
              </w:rPr>
            </w:pPr>
            <w:r>
              <w:rPr>
                <w:rFonts w:hint="eastAsia"/>
                <w:bCs/>
                <w:color w:val="auto"/>
                <w:sz w:val="21"/>
                <w:szCs w:val="21"/>
              </w:rPr>
              <w:t>0</w:t>
            </w:r>
          </w:p>
        </w:tc>
        <w:tc>
          <w:tcPr>
            <w:tcW w:w="1543" w:type="dxa"/>
            <w:vAlign w:val="center"/>
          </w:tcPr>
          <w:p>
            <w:pPr>
              <w:adjustRightInd/>
              <w:snapToGrid/>
              <w:spacing w:line="240" w:lineRule="auto"/>
              <w:ind w:firstLine="0" w:firstLineChars="0"/>
              <w:jc w:val="center"/>
              <w:rPr>
                <w:bCs/>
                <w:color w:val="auto"/>
                <w:sz w:val="21"/>
                <w:szCs w:val="21"/>
              </w:rPr>
            </w:pPr>
            <w:r>
              <w:rPr>
                <w:rFonts w:hint="eastAsia"/>
                <w:bCs/>
                <w:color w:val="auto"/>
                <w:sz w:val="21"/>
                <w:szCs w:val="21"/>
              </w:rPr>
              <w:t>0</w:t>
            </w:r>
          </w:p>
        </w:tc>
        <w:tc>
          <w:tcPr>
            <w:tcW w:w="1086" w:type="dxa"/>
            <w:vAlign w:val="center"/>
          </w:tcPr>
          <w:p>
            <w:pPr>
              <w:adjustRightInd/>
              <w:snapToGrid/>
              <w:spacing w:line="240" w:lineRule="auto"/>
              <w:ind w:firstLine="0" w:firstLineChars="0"/>
              <w:jc w:val="center"/>
              <w:rPr>
                <w:bCs/>
                <w:color w:val="auto"/>
                <w:sz w:val="21"/>
                <w:szCs w:val="21"/>
              </w:rPr>
            </w:pPr>
            <w:r>
              <w:rPr>
                <w:rFonts w:hint="eastAsia"/>
                <w:bCs/>
                <w:color w:val="auto"/>
                <w:sz w:val="21"/>
                <w:szCs w:val="21"/>
              </w:rPr>
              <w:t>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77" w:type="dxa"/>
            <w:vMerge w:val="continue"/>
            <w:vAlign w:val="center"/>
          </w:tcPr>
          <w:p>
            <w:pPr>
              <w:spacing w:line="240" w:lineRule="auto"/>
              <w:ind w:firstLine="0" w:firstLineChars="0"/>
              <w:jc w:val="center"/>
              <w:rPr>
                <w:bCs/>
                <w:color w:val="auto"/>
                <w:sz w:val="21"/>
                <w:szCs w:val="21"/>
              </w:rPr>
            </w:pPr>
          </w:p>
        </w:tc>
        <w:tc>
          <w:tcPr>
            <w:tcW w:w="977" w:type="dxa"/>
            <w:vAlign w:val="center"/>
          </w:tcPr>
          <w:p>
            <w:pPr>
              <w:spacing w:line="240" w:lineRule="auto"/>
              <w:ind w:firstLine="0" w:firstLineChars="0"/>
              <w:jc w:val="center"/>
              <w:rPr>
                <w:bCs/>
                <w:color w:val="auto"/>
                <w:sz w:val="21"/>
                <w:szCs w:val="21"/>
              </w:rPr>
            </w:pPr>
            <w:r>
              <w:rPr>
                <w:rFonts w:hint="eastAsia"/>
                <w:bCs/>
                <w:color w:val="auto"/>
                <w:sz w:val="21"/>
                <w:szCs w:val="21"/>
              </w:rPr>
              <w:t>500d</w:t>
            </w:r>
          </w:p>
        </w:tc>
        <w:tc>
          <w:tcPr>
            <w:tcW w:w="1416" w:type="dxa"/>
            <w:vAlign w:val="center"/>
          </w:tcPr>
          <w:p>
            <w:pPr>
              <w:adjustRightInd/>
              <w:snapToGrid/>
              <w:spacing w:line="240" w:lineRule="auto"/>
              <w:ind w:firstLine="0" w:firstLineChars="0"/>
              <w:jc w:val="center"/>
              <w:rPr>
                <w:bCs/>
                <w:color w:val="auto"/>
                <w:sz w:val="21"/>
                <w:szCs w:val="21"/>
              </w:rPr>
            </w:pPr>
            <w:r>
              <w:rPr>
                <w:rFonts w:hint="eastAsia"/>
                <w:bCs/>
                <w:color w:val="auto"/>
                <w:sz w:val="21"/>
                <w:szCs w:val="21"/>
              </w:rPr>
              <w:t>40.27284</w:t>
            </w:r>
          </w:p>
        </w:tc>
        <w:tc>
          <w:tcPr>
            <w:tcW w:w="1261" w:type="dxa"/>
            <w:vAlign w:val="center"/>
          </w:tcPr>
          <w:p>
            <w:pPr>
              <w:adjustRightInd/>
              <w:snapToGrid/>
              <w:spacing w:line="240" w:lineRule="auto"/>
              <w:ind w:firstLine="0" w:firstLineChars="0"/>
              <w:jc w:val="center"/>
              <w:rPr>
                <w:bCs/>
                <w:color w:val="auto"/>
                <w:sz w:val="21"/>
                <w:szCs w:val="21"/>
              </w:rPr>
            </w:pPr>
            <w:r>
              <w:rPr>
                <w:rFonts w:hint="eastAsia"/>
                <w:bCs/>
                <w:color w:val="auto"/>
                <w:sz w:val="21"/>
                <w:szCs w:val="21"/>
              </w:rPr>
              <w:t>0.0005106873</w:t>
            </w:r>
          </w:p>
        </w:tc>
        <w:tc>
          <w:tcPr>
            <w:tcW w:w="1500" w:type="dxa"/>
            <w:vAlign w:val="center"/>
          </w:tcPr>
          <w:p>
            <w:pPr>
              <w:adjustRightInd/>
              <w:snapToGrid/>
              <w:spacing w:line="240" w:lineRule="auto"/>
              <w:ind w:firstLine="0" w:firstLineChars="0"/>
              <w:jc w:val="center"/>
              <w:rPr>
                <w:bCs/>
                <w:color w:val="auto"/>
                <w:sz w:val="21"/>
                <w:szCs w:val="21"/>
              </w:rPr>
            </w:pPr>
            <w:r>
              <w:rPr>
                <w:rFonts w:hint="eastAsia"/>
                <w:bCs/>
                <w:color w:val="auto"/>
                <w:sz w:val="21"/>
                <w:szCs w:val="21"/>
              </w:rPr>
              <w:t>2.164935E-12</w:t>
            </w:r>
          </w:p>
        </w:tc>
        <w:tc>
          <w:tcPr>
            <w:tcW w:w="1543" w:type="dxa"/>
            <w:vAlign w:val="center"/>
          </w:tcPr>
          <w:p>
            <w:pPr>
              <w:adjustRightInd/>
              <w:snapToGrid/>
              <w:spacing w:line="240" w:lineRule="auto"/>
              <w:ind w:firstLine="0" w:firstLineChars="0"/>
              <w:jc w:val="center"/>
              <w:rPr>
                <w:bCs/>
                <w:color w:val="auto"/>
                <w:sz w:val="21"/>
                <w:szCs w:val="21"/>
              </w:rPr>
            </w:pPr>
            <w:r>
              <w:rPr>
                <w:rFonts w:hint="eastAsia"/>
                <w:bCs/>
                <w:color w:val="auto"/>
                <w:sz w:val="21"/>
                <w:szCs w:val="21"/>
              </w:rPr>
              <w:t>0</w:t>
            </w:r>
          </w:p>
        </w:tc>
        <w:tc>
          <w:tcPr>
            <w:tcW w:w="1086" w:type="dxa"/>
            <w:vAlign w:val="center"/>
          </w:tcPr>
          <w:p>
            <w:pPr>
              <w:adjustRightInd/>
              <w:snapToGrid/>
              <w:spacing w:line="240" w:lineRule="auto"/>
              <w:ind w:firstLine="0" w:firstLineChars="0"/>
              <w:jc w:val="center"/>
              <w:rPr>
                <w:bCs/>
                <w:color w:val="auto"/>
                <w:sz w:val="21"/>
                <w:szCs w:val="21"/>
              </w:rPr>
            </w:pPr>
            <w:r>
              <w:rPr>
                <w:rFonts w:hint="eastAsia"/>
                <w:bCs/>
                <w:color w:val="auto"/>
                <w:sz w:val="21"/>
                <w:szCs w:val="21"/>
              </w:rPr>
              <w:t>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77" w:type="dxa"/>
            <w:vMerge w:val="continue"/>
            <w:vAlign w:val="center"/>
          </w:tcPr>
          <w:p>
            <w:pPr>
              <w:spacing w:line="240" w:lineRule="auto"/>
              <w:ind w:firstLine="0" w:firstLineChars="0"/>
              <w:jc w:val="center"/>
              <w:rPr>
                <w:bCs/>
                <w:color w:val="auto"/>
                <w:sz w:val="21"/>
                <w:szCs w:val="21"/>
              </w:rPr>
            </w:pPr>
          </w:p>
        </w:tc>
        <w:tc>
          <w:tcPr>
            <w:tcW w:w="977" w:type="dxa"/>
            <w:vAlign w:val="center"/>
          </w:tcPr>
          <w:p>
            <w:pPr>
              <w:spacing w:line="240" w:lineRule="auto"/>
              <w:ind w:firstLine="0" w:firstLineChars="0"/>
              <w:jc w:val="center"/>
              <w:rPr>
                <w:bCs/>
                <w:color w:val="auto"/>
                <w:sz w:val="21"/>
                <w:szCs w:val="21"/>
              </w:rPr>
            </w:pPr>
            <w:r>
              <w:rPr>
                <w:rFonts w:hint="eastAsia"/>
                <w:bCs/>
                <w:color w:val="auto"/>
                <w:sz w:val="21"/>
                <w:szCs w:val="21"/>
              </w:rPr>
              <w:t>1000d</w:t>
            </w:r>
          </w:p>
        </w:tc>
        <w:tc>
          <w:tcPr>
            <w:tcW w:w="1416" w:type="dxa"/>
            <w:vAlign w:val="center"/>
          </w:tcPr>
          <w:p>
            <w:pPr>
              <w:adjustRightInd/>
              <w:snapToGrid/>
              <w:spacing w:line="240" w:lineRule="auto"/>
              <w:ind w:firstLine="0" w:firstLineChars="0"/>
              <w:jc w:val="center"/>
              <w:rPr>
                <w:bCs/>
                <w:color w:val="auto"/>
                <w:sz w:val="21"/>
                <w:szCs w:val="21"/>
              </w:rPr>
            </w:pPr>
            <w:r>
              <w:rPr>
                <w:rFonts w:hint="eastAsia"/>
                <w:bCs/>
                <w:color w:val="auto"/>
                <w:sz w:val="21"/>
                <w:szCs w:val="21"/>
              </w:rPr>
              <w:t>125.1433</w:t>
            </w:r>
          </w:p>
        </w:tc>
        <w:tc>
          <w:tcPr>
            <w:tcW w:w="1261" w:type="dxa"/>
            <w:vAlign w:val="center"/>
          </w:tcPr>
          <w:p>
            <w:pPr>
              <w:adjustRightInd/>
              <w:snapToGrid/>
              <w:spacing w:line="240" w:lineRule="auto"/>
              <w:ind w:firstLine="0" w:firstLineChars="0"/>
              <w:jc w:val="center"/>
              <w:rPr>
                <w:bCs/>
                <w:color w:val="auto"/>
                <w:sz w:val="21"/>
                <w:szCs w:val="21"/>
              </w:rPr>
            </w:pPr>
            <w:r>
              <w:rPr>
                <w:rFonts w:hint="eastAsia"/>
                <w:bCs/>
                <w:color w:val="auto"/>
                <w:sz w:val="21"/>
                <w:szCs w:val="21"/>
              </w:rPr>
              <w:t>0.9240953</w:t>
            </w:r>
          </w:p>
        </w:tc>
        <w:tc>
          <w:tcPr>
            <w:tcW w:w="1500" w:type="dxa"/>
            <w:vAlign w:val="center"/>
          </w:tcPr>
          <w:p>
            <w:pPr>
              <w:adjustRightInd/>
              <w:snapToGrid/>
              <w:spacing w:line="240" w:lineRule="auto"/>
              <w:ind w:firstLine="0" w:firstLineChars="0"/>
              <w:jc w:val="center"/>
              <w:rPr>
                <w:bCs/>
                <w:color w:val="auto"/>
                <w:sz w:val="21"/>
                <w:szCs w:val="21"/>
              </w:rPr>
            </w:pPr>
            <w:r>
              <w:rPr>
                <w:rFonts w:hint="eastAsia"/>
                <w:bCs/>
                <w:color w:val="auto"/>
                <w:sz w:val="21"/>
                <w:szCs w:val="21"/>
              </w:rPr>
              <w:t>9.220821E-05</w:t>
            </w:r>
          </w:p>
        </w:tc>
        <w:tc>
          <w:tcPr>
            <w:tcW w:w="1543" w:type="dxa"/>
            <w:vAlign w:val="center"/>
          </w:tcPr>
          <w:p>
            <w:pPr>
              <w:adjustRightInd/>
              <w:snapToGrid/>
              <w:spacing w:line="240" w:lineRule="auto"/>
              <w:ind w:firstLine="0" w:firstLineChars="0"/>
              <w:jc w:val="center"/>
              <w:rPr>
                <w:bCs/>
                <w:color w:val="auto"/>
                <w:sz w:val="21"/>
                <w:szCs w:val="21"/>
              </w:rPr>
            </w:pPr>
            <w:r>
              <w:rPr>
                <w:rFonts w:hint="eastAsia"/>
                <w:bCs/>
                <w:color w:val="auto"/>
                <w:sz w:val="21"/>
                <w:szCs w:val="21"/>
              </w:rPr>
              <w:t>1.580402E-10</w:t>
            </w:r>
          </w:p>
        </w:tc>
        <w:tc>
          <w:tcPr>
            <w:tcW w:w="1086" w:type="dxa"/>
            <w:vAlign w:val="center"/>
          </w:tcPr>
          <w:p>
            <w:pPr>
              <w:adjustRightInd/>
              <w:snapToGrid/>
              <w:spacing w:line="240" w:lineRule="auto"/>
              <w:ind w:firstLine="0" w:firstLineChars="0"/>
              <w:jc w:val="center"/>
              <w:rPr>
                <w:bCs/>
                <w:color w:val="auto"/>
                <w:sz w:val="21"/>
                <w:szCs w:val="21"/>
              </w:rPr>
            </w:pPr>
            <w:r>
              <w:rPr>
                <w:rFonts w:hint="eastAsia"/>
                <w:bCs/>
                <w:color w:val="auto"/>
                <w:sz w:val="21"/>
                <w:szCs w:val="21"/>
              </w:rPr>
              <w:t>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77" w:type="dxa"/>
            <w:vMerge w:val="restart"/>
            <w:vAlign w:val="center"/>
          </w:tcPr>
          <w:p>
            <w:pPr>
              <w:spacing w:line="240" w:lineRule="auto"/>
              <w:ind w:firstLine="0" w:firstLineChars="0"/>
              <w:jc w:val="center"/>
              <w:rPr>
                <w:bCs/>
                <w:color w:val="auto"/>
                <w:sz w:val="21"/>
                <w:szCs w:val="21"/>
              </w:rPr>
            </w:pPr>
            <w:r>
              <w:rPr>
                <w:rFonts w:hint="eastAsia"/>
                <w:bCs/>
                <w:color w:val="auto"/>
                <w:sz w:val="21"/>
                <w:szCs w:val="21"/>
              </w:rPr>
              <w:t>氨氮</w:t>
            </w:r>
          </w:p>
          <w:p>
            <w:pPr>
              <w:spacing w:line="240" w:lineRule="auto"/>
              <w:ind w:firstLine="0" w:firstLineChars="0"/>
              <w:jc w:val="center"/>
              <w:rPr>
                <w:bCs/>
                <w:color w:val="auto"/>
                <w:sz w:val="21"/>
                <w:szCs w:val="21"/>
              </w:rPr>
            </w:pPr>
            <w:r>
              <w:rPr>
                <w:rFonts w:hint="eastAsia"/>
                <w:bCs/>
                <w:color w:val="auto"/>
                <w:sz w:val="21"/>
                <w:szCs w:val="21"/>
              </w:rPr>
              <w:t>（mg/L）</w:t>
            </w:r>
          </w:p>
        </w:tc>
        <w:tc>
          <w:tcPr>
            <w:tcW w:w="977" w:type="dxa"/>
            <w:vAlign w:val="center"/>
          </w:tcPr>
          <w:p>
            <w:pPr>
              <w:spacing w:line="240" w:lineRule="auto"/>
              <w:ind w:firstLine="0" w:firstLineChars="0"/>
              <w:jc w:val="center"/>
              <w:rPr>
                <w:bCs/>
                <w:color w:val="auto"/>
                <w:sz w:val="21"/>
                <w:szCs w:val="21"/>
              </w:rPr>
            </w:pPr>
            <w:r>
              <w:rPr>
                <w:rFonts w:hint="eastAsia"/>
                <w:bCs/>
                <w:color w:val="auto"/>
                <w:sz w:val="21"/>
                <w:szCs w:val="21"/>
              </w:rPr>
              <w:t>1d</w:t>
            </w:r>
          </w:p>
        </w:tc>
        <w:tc>
          <w:tcPr>
            <w:tcW w:w="1416" w:type="dxa"/>
            <w:vAlign w:val="center"/>
          </w:tcPr>
          <w:p>
            <w:pPr>
              <w:adjustRightInd/>
              <w:snapToGrid/>
              <w:spacing w:line="240" w:lineRule="auto"/>
              <w:ind w:firstLine="0" w:firstLineChars="0"/>
              <w:jc w:val="center"/>
              <w:rPr>
                <w:bCs/>
                <w:color w:val="auto"/>
                <w:sz w:val="21"/>
                <w:szCs w:val="21"/>
              </w:rPr>
            </w:pPr>
            <w:r>
              <w:rPr>
                <w:rFonts w:hint="eastAsia"/>
                <w:bCs/>
                <w:color w:val="auto"/>
                <w:sz w:val="21"/>
                <w:szCs w:val="21"/>
              </w:rPr>
              <w:t>0</w:t>
            </w:r>
          </w:p>
        </w:tc>
        <w:tc>
          <w:tcPr>
            <w:tcW w:w="1261" w:type="dxa"/>
            <w:vAlign w:val="center"/>
          </w:tcPr>
          <w:p>
            <w:pPr>
              <w:adjustRightInd/>
              <w:snapToGrid/>
              <w:spacing w:line="240" w:lineRule="auto"/>
              <w:ind w:firstLine="0" w:firstLineChars="0"/>
              <w:jc w:val="center"/>
              <w:rPr>
                <w:bCs/>
                <w:color w:val="auto"/>
                <w:sz w:val="21"/>
                <w:szCs w:val="21"/>
              </w:rPr>
            </w:pPr>
            <w:r>
              <w:rPr>
                <w:rFonts w:hint="eastAsia"/>
                <w:bCs/>
                <w:color w:val="auto"/>
                <w:sz w:val="21"/>
                <w:szCs w:val="21"/>
              </w:rPr>
              <w:t>0</w:t>
            </w:r>
          </w:p>
        </w:tc>
        <w:tc>
          <w:tcPr>
            <w:tcW w:w="1500" w:type="dxa"/>
            <w:vAlign w:val="center"/>
          </w:tcPr>
          <w:p>
            <w:pPr>
              <w:adjustRightInd/>
              <w:snapToGrid/>
              <w:spacing w:line="240" w:lineRule="auto"/>
              <w:ind w:firstLine="0" w:firstLineChars="0"/>
              <w:jc w:val="center"/>
              <w:rPr>
                <w:bCs/>
                <w:color w:val="auto"/>
                <w:sz w:val="21"/>
                <w:szCs w:val="21"/>
              </w:rPr>
            </w:pPr>
            <w:r>
              <w:rPr>
                <w:rFonts w:hint="eastAsia"/>
                <w:bCs/>
                <w:color w:val="auto"/>
                <w:sz w:val="21"/>
                <w:szCs w:val="21"/>
              </w:rPr>
              <w:t>0</w:t>
            </w:r>
          </w:p>
        </w:tc>
        <w:tc>
          <w:tcPr>
            <w:tcW w:w="1543" w:type="dxa"/>
            <w:vAlign w:val="center"/>
          </w:tcPr>
          <w:p>
            <w:pPr>
              <w:adjustRightInd/>
              <w:snapToGrid/>
              <w:spacing w:line="240" w:lineRule="auto"/>
              <w:ind w:firstLine="0" w:firstLineChars="0"/>
              <w:jc w:val="center"/>
              <w:rPr>
                <w:bCs/>
                <w:color w:val="auto"/>
                <w:sz w:val="21"/>
                <w:szCs w:val="21"/>
              </w:rPr>
            </w:pPr>
            <w:r>
              <w:rPr>
                <w:rFonts w:hint="eastAsia"/>
                <w:bCs/>
                <w:color w:val="auto"/>
                <w:sz w:val="21"/>
                <w:szCs w:val="21"/>
              </w:rPr>
              <w:t>0</w:t>
            </w:r>
          </w:p>
        </w:tc>
        <w:tc>
          <w:tcPr>
            <w:tcW w:w="1086" w:type="dxa"/>
            <w:vAlign w:val="center"/>
          </w:tcPr>
          <w:p>
            <w:pPr>
              <w:adjustRightInd/>
              <w:snapToGrid/>
              <w:spacing w:line="240" w:lineRule="auto"/>
              <w:ind w:firstLine="0" w:firstLineChars="0"/>
              <w:jc w:val="center"/>
              <w:rPr>
                <w:bCs/>
                <w:color w:val="auto"/>
                <w:sz w:val="21"/>
                <w:szCs w:val="21"/>
              </w:rPr>
            </w:pPr>
            <w:r>
              <w:rPr>
                <w:rFonts w:hint="eastAsia"/>
                <w:bCs/>
                <w:color w:val="auto"/>
                <w:sz w:val="21"/>
                <w:szCs w:val="21"/>
              </w:rPr>
              <w:t>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77" w:type="dxa"/>
            <w:vMerge w:val="continue"/>
            <w:vAlign w:val="center"/>
          </w:tcPr>
          <w:p>
            <w:pPr>
              <w:spacing w:line="240" w:lineRule="auto"/>
              <w:ind w:firstLine="0" w:firstLineChars="0"/>
              <w:jc w:val="center"/>
              <w:rPr>
                <w:bCs/>
                <w:color w:val="auto"/>
                <w:sz w:val="21"/>
                <w:szCs w:val="21"/>
              </w:rPr>
            </w:pPr>
          </w:p>
        </w:tc>
        <w:tc>
          <w:tcPr>
            <w:tcW w:w="977" w:type="dxa"/>
            <w:vAlign w:val="center"/>
          </w:tcPr>
          <w:p>
            <w:pPr>
              <w:spacing w:line="240" w:lineRule="auto"/>
              <w:ind w:firstLine="0" w:firstLineChars="0"/>
              <w:jc w:val="center"/>
              <w:rPr>
                <w:bCs/>
                <w:color w:val="auto"/>
                <w:sz w:val="21"/>
                <w:szCs w:val="21"/>
              </w:rPr>
            </w:pPr>
            <w:r>
              <w:rPr>
                <w:rFonts w:hint="eastAsia"/>
                <w:bCs/>
                <w:color w:val="auto"/>
                <w:sz w:val="21"/>
                <w:szCs w:val="21"/>
              </w:rPr>
              <w:t>100d</w:t>
            </w:r>
          </w:p>
        </w:tc>
        <w:tc>
          <w:tcPr>
            <w:tcW w:w="1416" w:type="dxa"/>
            <w:vAlign w:val="center"/>
          </w:tcPr>
          <w:p>
            <w:pPr>
              <w:adjustRightInd/>
              <w:snapToGrid/>
              <w:spacing w:line="240" w:lineRule="auto"/>
              <w:ind w:firstLine="0" w:firstLineChars="0"/>
              <w:jc w:val="center"/>
              <w:rPr>
                <w:bCs/>
                <w:color w:val="auto"/>
                <w:sz w:val="21"/>
                <w:szCs w:val="21"/>
              </w:rPr>
            </w:pPr>
            <w:r>
              <w:rPr>
                <w:rFonts w:hint="eastAsia"/>
                <w:bCs/>
                <w:color w:val="auto"/>
                <w:sz w:val="21"/>
                <w:szCs w:val="21"/>
              </w:rPr>
              <w:t>3.297035E-07</w:t>
            </w:r>
          </w:p>
        </w:tc>
        <w:tc>
          <w:tcPr>
            <w:tcW w:w="1261" w:type="dxa"/>
            <w:vAlign w:val="center"/>
          </w:tcPr>
          <w:p>
            <w:pPr>
              <w:adjustRightInd/>
              <w:snapToGrid/>
              <w:spacing w:line="240" w:lineRule="auto"/>
              <w:ind w:firstLine="0" w:firstLineChars="0"/>
              <w:jc w:val="center"/>
              <w:rPr>
                <w:bCs/>
                <w:color w:val="auto"/>
                <w:sz w:val="21"/>
                <w:szCs w:val="21"/>
              </w:rPr>
            </w:pPr>
            <w:r>
              <w:rPr>
                <w:rFonts w:hint="eastAsia"/>
                <w:bCs/>
                <w:color w:val="auto"/>
                <w:sz w:val="21"/>
                <w:szCs w:val="21"/>
              </w:rPr>
              <w:t>0</w:t>
            </w:r>
          </w:p>
        </w:tc>
        <w:tc>
          <w:tcPr>
            <w:tcW w:w="1500" w:type="dxa"/>
            <w:vAlign w:val="center"/>
          </w:tcPr>
          <w:p>
            <w:pPr>
              <w:adjustRightInd/>
              <w:snapToGrid/>
              <w:spacing w:line="240" w:lineRule="auto"/>
              <w:ind w:firstLine="0" w:firstLineChars="0"/>
              <w:jc w:val="center"/>
              <w:rPr>
                <w:bCs/>
                <w:color w:val="auto"/>
                <w:sz w:val="21"/>
                <w:szCs w:val="21"/>
              </w:rPr>
            </w:pPr>
            <w:r>
              <w:rPr>
                <w:rFonts w:hint="eastAsia"/>
                <w:bCs/>
                <w:color w:val="auto"/>
                <w:sz w:val="21"/>
                <w:szCs w:val="21"/>
              </w:rPr>
              <w:t>0</w:t>
            </w:r>
          </w:p>
        </w:tc>
        <w:tc>
          <w:tcPr>
            <w:tcW w:w="1543" w:type="dxa"/>
            <w:vAlign w:val="center"/>
          </w:tcPr>
          <w:p>
            <w:pPr>
              <w:adjustRightInd/>
              <w:snapToGrid/>
              <w:spacing w:line="240" w:lineRule="auto"/>
              <w:ind w:firstLine="0" w:firstLineChars="0"/>
              <w:jc w:val="center"/>
              <w:rPr>
                <w:bCs/>
                <w:color w:val="auto"/>
                <w:sz w:val="21"/>
                <w:szCs w:val="21"/>
              </w:rPr>
            </w:pPr>
            <w:r>
              <w:rPr>
                <w:rFonts w:hint="eastAsia"/>
                <w:bCs/>
                <w:color w:val="auto"/>
                <w:sz w:val="21"/>
                <w:szCs w:val="21"/>
              </w:rPr>
              <w:t>0</w:t>
            </w:r>
          </w:p>
        </w:tc>
        <w:tc>
          <w:tcPr>
            <w:tcW w:w="1086" w:type="dxa"/>
            <w:vAlign w:val="center"/>
          </w:tcPr>
          <w:p>
            <w:pPr>
              <w:adjustRightInd/>
              <w:snapToGrid/>
              <w:spacing w:line="240" w:lineRule="auto"/>
              <w:ind w:firstLine="0" w:firstLineChars="0"/>
              <w:jc w:val="center"/>
              <w:rPr>
                <w:bCs/>
                <w:color w:val="auto"/>
                <w:sz w:val="21"/>
                <w:szCs w:val="21"/>
              </w:rPr>
            </w:pPr>
            <w:r>
              <w:rPr>
                <w:rFonts w:hint="eastAsia"/>
                <w:bCs/>
                <w:color w:val="auto"/>
                <w:sz w:val="21"/>
                <w:szCs w:val="21"/>
              </w:rPr>
              <w:t>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77" w:type="dxa"/>
            <w:vMerge w:val="continue"/>
            <w:vAlign w:val="center"/>
          </w:tcPr>
          <w:p>
            <w:pPr>
              <w:spacing w:line="240" w:lineRule="auto"/>
              <w:ind w:firstLine="0" w:firstLineChars="0"/>
              <w:jc w:val="center"/>
              <w:rPr>
                <w:bCs/>
                <w:color w:val="auto"/>
                <w:sz w:val="21"/>
                <w:szCs w:val="21"/>
              </w:rPr>
            </w:pPr>
          </w:p>
        </w:tc>
        <w:tc>
          <w:tcPr>
            <w:tcW w:w="977" w:type="dxa"/>
            <w:vAlign w:val="center"/>
          </w:tcPr>
          <w:p>
            <w:pPr>
              <w:spacing w:line="240" w:lineRule="auto"/>
              <w:ind w:firstLine="0" w:firstLineChars="0"/>
              <w:jc w:val="center"/>
              <w:rPr>
                <w:bCs/>
                <w:color w:val="auto"/>
                <w:sz w:val="21"/>
                <w:szCs w:val="21"/>
              </w:rPr>
            </w:pPr>
            <w:r>
              <w:rPr>
                <w:rFonts w:hint="eastAsia"/>
                <w:bCs/>
                <w:color w:val="auto"/>
                <w:sz w:val="21"/>
                <w:szCs w:val="21"/>
              </w:rPr>
              <w:t>500d</w:t>
            </w:r>
          </w:p>
        </w:tc>
        <w:tc>
          <w:tcPr>
            <w:tcW w:w="1416" w:type="dxa"/>
            <w:vAlign w:val="center"/>
          </w:tcPr>
          <w:p>
            <w:pPr>
              <w:adjustRightInd/>
              <w:snapToGrid/>
              <w:spacing w:line="240" w:lineRule="auto"/>
              <w:ind w:firstLine="0" w:firstLineChars="0"/>
              <w:jc w:val="center"/>
              <w:rPr>
                <w:bCs/>
                <w:color w:val="auto"/>
                <w:sz w:val="21"/>
                <w:szCs w:val="21"/>
              </w:rPr>
            </w:pPr>
            <w:r>
              <w:rPr>
                <w:rFonts w:hint="eastAsia"/>
                <w:bCs/>
                <w:color w:val="auto"/>
                <w:sz w:val="21"/>
                <w:szCs w:val="21"/>
              </w:rPr>
              <w:t>2.478328</w:t>
            </w:r>
          </w:p>
        </w:tc>
        <w:tc>
          <w:tcPr>
            <w:tcW w:w="1261" w:type="dxa"/>
            <w:vAlign w:val="center"/>
          </w:tcPr>
          <w:p>
            <w:pPr>
              <w:adjustRightInd/>
              <w:snapToGrid/>
              <w:spacing w:line="240" w:lineRule="auto"/>
              <w:ind w:firstLine="0" w:firstLineChars="0"/>
              <w:jc w:val="center"/>
              <w:rPr>
                <w:bCs/>
                <w:color w:val="auto"/>
                <w:sz w:val="21"/>
                <w:szCs w:val="21"/>
              </w:rPr>
            </w:pPr>
            <w:r>
              <w:rPr>
                <w:rFonts w:hint="eastAsia"/>
                <w:bCs/>
                <w:color w:val="auto"/>
                <w:sz w:val="21"/>
                <w:szCs w:val="21"/>
              </w:rPr>
              <w:t>3.142691E-05</w:t>
            </w:r>
          </w:p>
        </w:tc>
        <w:tc>
          <w:tcPr>
            <w:tcW w:w="1500" w:type="dxa"/>
            <w:vAlign w:val="center"/>
          </w:tcPr>
          <w:p>
            <w:pPr>
              <w:adjustRightInd/>
              <w:snapToGrid/>
              <w:spacing w:line="240" w:lineRule="auto"/>
              <w:ind w:firstLine="0" w:firstLineChars="0"/>
              <w:jc w:val="center"/>
              <w:rPr>
                <w:bCs/>
                <w:color w:val="auto"/>
                <w:sz w:val="21"/>
                <w:szCs w:val="21"/>
              </w:rPr>
            </w:pPr>
            <w:r>
              <w:rPr>
                <w:rFonts w:hint="eastAsia"/>
                <w:bCs/>
                <w:color w:val="auto"/>
                <w:sz w:val="21"/>
                <w:szCs w:val="21"/>
              </w:rPr>
              <w:t>1.332268E-13</w:t>
            </w:r>
          </w:p>
        </w:tc>
        <w:tc>
          <w:tcPr>
            <w:tcW w:w="1543" w:type="dxa"/>
            <w:vAlign w:val="center"/>
          </w:tcPr>
          <w:p>
            <w:pPr>
              <w:adjustRightInd/>
              <w:snapToGrid/>
              <w:spacing w:line="240" w:lineRule="auto"/>
              <w:ind w:firstLine="0" w:firstLineChars="0"/>
              <w:jc w:val="center"/>
              <w:rPr>
                <w:bCs/>
                <w:color w:val="auto"/>
                <w:sz w:val="21"/>
                <w:szCs w:val="21"/>
              </w:rPr>
            </w:pPr>
            <w:r>
              <w:rPr>
                <w:rFonts w:hint="eastAsia"/>
                <w:bCs/>
                <w:color w:val="auto"/>
                <w:sz w:val="21"/>
                <w:szCs w:val="21"/>
              </w:rPr>
              <w:t>0</w:t>
            </w:r>
          </w:p>
        </w:tc>
        <w:tc>
          <w:tcPr>
            <w:tcW w:w="1086" w:type="dxa"/>
            <w:vAlign w:val="center"/>
          </w:tcPr>
          <w:p>
            <w:pPr>
              <w:adjustRightInd/>
              <w:snapToGrid/>
              <w:spacing w:line="240" w:lineRule="auto"/>
              <w:ind w:firstLine="0" w:firstLineChars="0"/>
              <w:jc w:val="center"/>
              <w:rPr>
                <w:bCs/>
                <w:color w:val="auto"/>
                <w:sz w:val="21"/>
                <w:szCs w:val="21"/>
              </w:rPr>
            </w:pPr>
            <w:r>
              <w:rPr>
                <w:rFonts w:hint="eastAsia"/>
                <w:bCs/>
                <w:color w:val="auto"/>
                <w:sz w:val="21"/>
                <w:szCs w:val="21"/>
              </w:rPr>
              <w:t>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77" w:type="dxa"/>
            <w:vMerge w:val="continue"/>
            <w:vAlign w:val="center"/>
          </w:tcPr>
          <w:p>
            <w:pPr>
              <w:spacing w:line="240" w:lineRule="auto"/>
              <w:ind w:firstLine="0" w:firstLineChars="0"/>
              <w:jc w:val="center"/>
              <w:rPr>
                <w:bCs/>
                <w:color w:val="auto"/>
                <w:sz w:val="21"/>
                <w:szCs w:val="21"/>
              </w:rPr>
            </w:pPr>
          </w:p>
        </w:tc>
        <w:tc>
          <w:tcPr>
            <w:tcW w:w="977" w:type="dxa"/>
            <w:vAlign w:val="center"/>
          </w:tcPr>
          <w:p>
            <w:pPr>
              <w:spacing w:line="240" w:lineRule="auto"/>
              <w:ind w:firstLine="0" w:firstLineChars="0"/>
              <w:jc w:val="center"/>
              <w:rPr>
                <w:bCs/>
                <w:color w:val="auto"/>
                <w:sz w:val="21"/>
                <w:szCs w:val="21"/>
              </w:rPr>
            </w:pPr>
            <w:r>
              <w:rPr>
                <w:rFonts w:hint="eastAsia"/>
                <w:bCs/>
                <w:color w:val="auto"/>
                <w:sz w:val="21"/>
                <w:szCs w:val="21"/>
              </w:rPr>
              <w:t>1000d</w:t>
            </w:r>
          </w:p>
        </w:tc>
        <w:tc>
          <w:tcPr>
            <w:tcW w:w="1416" w:type="dxa"/>
            <w:vAlign w:val="center"/>
          </w:tcPr>
          <w:p>
            <w:pPr>
              <w:adjustRightInd/>
              <w:snapToGrid/>
              <w:spacing w:line="240" w:lineRule="auto"/>
              <w:ind w:firstLine="0" w:firstLineChars="0"/>
              <w:jc w:val="center"/>
              <w:rPr>
                <w:bCs/>
                <w:color w:val="auto"/>
                <w:sz w:val="21"/>
                <w:szCs w:val="21"/>
              </w:rPr>
            </w:pPr>
            <w:r>
              <w:rPr>
                <w:rFonts w:hint="eastAsia"/>
                <w:bCs/>
                <w:color w:val="auto"/>
                <w:sz w:val="21"/>
                <w:szCs w:val="21"/>
              </w:rPr>
              <w:t>7.701</w:t>
            </w:r>
          </w:p>
        </w:tc>
        <w:tc>
          <w:tcPr>
            <w:tcW w:w="1261" w:type="dxa"/>
            <w:vAlign w:val="center"/>
          </w:tcPr>
          <w:p>
            <w:pPr>
              <w:adjustRightInd/>
              <w:snapToGrid/>
              <w:spacing w:line="240" w:lineRule="auto"/>
              <w:ind w:firstLine="0" w:firstLineChars="0"/>
              <w:jc w:val="center"/>
              <w:rPr>
                <w:bCs/>
                <w:color w:val="auto"/>
                <w:sz w:val="21"/>
                <w:szCs w:val="21"/>
              </w:rPr>
            </w:pPr>
            <w:r>
              <w:rPr>
                <w:rFonts w:hint="eastAsia"/>
                <w:bCs/>
                <w:color w:val="auto"/>
                <w:sz w:val="21"/>
                <w:szCs w:val="21"/>
              </w:rPr>
              <w:t>0.0568674</w:t>
            </w:r>
          </w:p>
        </w:tc>
        <w:tc>
          <w:tcPr>
            <w:tcW w:w="1500" w:type="dxa"/>
            <w:vAlign w:val="center"/>
          </w:tcPr>
          <w:p>
            <w:pPr>
              <w:adjustRightInd/>
              <w:snapToGrid/>
              <w:spacing w:line="240" w:lineRule="auto"/>
              <w:ind w:firstLine="0" w:firstLineChars="0"/>
              <w:jc w:val="center"/>
              <w:rPr>
                <w:bCs/>
                <w:color w:val="auto"/>
                <w:sz w:val="21"/>
                <w:szCs w:val="21"/>
              </w:rPr>
            </w:pPr>
            <w:r>
              <w:rPr>
                <w:rFonts w:hint="eastAsia"/>
                <w:bCs/>
                <w:color w:val="auto"/>
                <w:sz w:val="21"/>
                <w:szCs w:val="21"/>
              </w:rPr>
              <w:t>5.674352E-06</w:t>
            </w:r>
          </w:p>
        </w:tc>
        <w:tc>
          <w:tcPr>
            <w:tcW w:w="1543" w:type="dxa"/>
            <w:vAlign w:val="center"/>
          </w:tcPr>
          <w:p>
            <w:pPr>
              <w:adjustRightInd/>
              <w:snapToGrid/>
              <w:spacing w:line="240" w:lineRule="auto"/>
              <w:ind w:firstLine="0" w:firstLineChars="0"/>
              <w:jc w:val="center"/>
              <w:rPr>
                <w:bCs/>
                <w:color w:val="auto"/>
                <w:sz w:val="21"/>
                <w:szCs w:val="21"/>
              </w:rPr>
            </w:pPr>
            <w:r>
              <w:rPr>
                <w:rFonts w:hint="eastAsia"/>
                <w:bCs/>
                <w:color w:val="auto"/>
                <w:sz w:val="21"/>
                <w:szCs w:val="21"/>
              </w:rPr>
              <w:t>9.725554E-12</w:t>
            </w:r>
          </w:p>
        </w:tc>
        <w:tc>
          <w:tcPr>
            <w:tcW w:w="1086" w:type="dxa"/>
            <w:vAlign w:val="center"/>
          </w:tcPr>
          <w:p>
            <w:pPr>
              <w:adjustRightInd/>
              <w:snapToGrid/>
              <w:spacing w:line="240" w:lineRule="auto"/>
              <w:ind w:firstLine="0" w:firstLineChars="0"/>
              <w:jc w:val="center"/>
              <w:rPr>
                <w:bCs/>
                <w:color w:val="auto"/>
                <w:sz w:val="21"/>
                <w:szCs w:val="21"/>
              </w:rPr>
            </w:pPr>
            <w:r>
              <w:rPr>
                <w:rFonts w:hint="eastAsia"/>
                <w:bCs/>
                <w:color w:val="auto"/>
                <w:sz w:val="21"/>
                <w:szCs w:val="21"/>
              </w:rPr>
              <w:t>0</w:t>
            </w:r>
          </w:p>
        </w:tc>
      </w:tr>
    </w:tbl>
    <w:p>
      <w:pPr>
        <w:ind w:firstLine="480"/>
        <w:rPr>
          <w:bCs/>
          <w:color w:val="auto"/>
        </w:rPr>
      </w:pPr>
      <w:r>
        <w:rPr>
          <w:rFonts w:hint="eastAsia"/>
          <w:bCs/>
          <w:color w:val="auto"/>
        </w:rPr>
        <w:t>根据</w:t>
      </w:r>
      <w:r>
        <w:rPr>
          <w:bCs/>
          <w:color w:val="auto"/>
        </w:rPr>
        <w:t>预测</w:t>
      </w:r>
      <w:r>
        <w:rPr>
          <w:rFonts w:hint="eastAsia"/>
          <w:bCs/>
          <w:color w:val="auto"/>
        </w:rPr>
        <w:t>结果</w:t>
      </w:r>
      <w:r>
        <w:rPr>
          <w:bCs/>
          <w:color w:val="auto"/>
        </w:rPr>
        <w:t>，</w:t>
      </w:r>
      <w:r>
        <w:rPr>
          <w:rFonts w:hint="eastAsia"/>
          <w:bCs/>
          <w:color w:val="auto"/>
        </w:rPr>
        <w:t>非正常状况条件下，</w:t>
      </w:r>
      <w:r>
        <w:rPr>
          <w:bCs/>
          <w:color w:val="auto"/>
        </w:rPr>
        <w:t>COD</w:t>
      </w:r>
      <w:r>
        <w:rPr>
          <w:rFonts w:hint="eastAsia"/>
          <w:bCs/>
          <w:color w:val="auto"/>
        </w:rPr>
        <w:t>泄露后1</w:t>
      </w:r>
      <w:r>
        <w:rPr>
          <w:bCs/>
          <w:color w:val="auto"/>
        </w:rPr>
        <w:t>000d时</w:t>
      </w:r>
      <w:r>
        <w:rPr>
          <w:rFonts w:hint="eastAsia"/>
          <w:bCs/>
          <w:color w:val="auto"/>
        </w:rPr>
        <w:t>，预测的最大值为242.9633mg/l，位于下游5m，预测超标距离最远为18m；影响距离最远为22m；氨氮泄露后1</w:t>
      </w:r>
      <w:r>
        <w:rPr>
          <w:bCs/>
          <w:color w:val="auto"/>
        </w:rPr>
        <w:t>000d时</w:t>
      </w:r>
      <w:r>
        <w:rPr>
          <w:rFonts w:hint="eastAsia"/>
          <w:bCs/>
          <w:color w:val="auto"/>
        </w:rPr>
        <w:t>，预测的最大值为14.95159mg/l，位于下游5m，预测超标距离最远为16m；影响距离最远为19m。根据调查</w:t>
      </w:r>
      <w:r>
        <w:rPr>
          <w:bCs/>
          <w:color w:val="auto"/>
        </w:rPr>
        <w:t>，在</w:t>
      </w:r>
      <w:r>
        <w:rPr>
          <w:rFonts w:hint="eastAsia"/>
          <w:bCs/>
          <w:color w:val="auto"/>
        </w:rPr>
        <w:t>影响</w:t>
      </w:r>
      <w:r>
        <w:rPr>
          <w:bCs/>
          <w:color w:val="auto"/>
        </w:rPr>
        <w:t>范围内无</w:t>
      </w:r>
      <w:r>
        <w:rPr>
          <w:rFonts w:hint="eastAsia"/>
          <w:bCs/>
          <w:color w:val="auto"/>
        </w:rPr>
        <w:t>内无分散式饮用水源等</w:t>
      </w:r>
      <w:r>
        <w:rPr>
          <w:bCs/>
          <w:color w:val="auto"/>
        </w:rPr>
        <w:t>敏感点。</w:t>
      </w:r>
    </w:p>
    <w:p>
      <w:pPr>
        <w:ind w:firstLine="480"/>
        <w:rPr>
          <w:bCs/>
          <w:color w:val="auto"/>
        </w:rPr>
      </w:pPr>
      <w:r>
        <w:rPr>
          <w:rFonts w:hint="eastAsia"/>
          <w:bCs/>
          <w:color w:val="auto"/>
        </w:rPr>
        <w:t>因此为避免非正常工况下沼液渗漏对场址下游地下水保护目标的影响，项目营运期间要加强对黑膜沼气池的维护管理，定期监测场址周围地下水水质状况，制定跟踪监测计划，将对地下水的污染风险降低到最小。综上，本项目地下水环境影响是可以接受的。</w:t>
      </w:r>
    </w:p>
    <w:p>
      <w:pPr>
        <w:ind w:firstLine="480"/>
        <w:outlineLvl w:val="3"/>
        <w:rPr>
          <w:color w:val="auto"/>
        </w:rPr>
      </w:pPr>
      <w:r>
        <w:rPr>
          <w:rFonts w:hint="eastAsia"/>
          <w:color w:val="auto"/>
        </w:rPr>
        <w:t>5.2.3.5地下水环境影响分析</w:t>
      </w:r>
    </w:p>
    <w:p>
      <w:pPr>
        <w:ind w:firstLine="480"/>
        <w:rPr>
          <w:color w:val="auto"/>
        </w:rPr>
      </w:pPr>
      <w:r>
        <w:rPr>
          <w:color w:val="auto"/>
        </w:rPr>
        <w:t>项目建成投产后，养殖废水全部经污水处理设施处理后还田综合利用，对地下水的影响主要为</w:t>
      </w:r>
      <w:r>
        <w:rPr>
          <w:rFonts w:hint="eastAsia"/>
          <w:color w:val="auto"/>
        </w:rPr>
        <w:t>厂区</w:t>
      </w:r>
      <w:r>
        <w:rPr>
          <w:color w:val="auto"/>
        </w:rPr>
        <w:t>内</w:t>
      </w:r>
      <w:r>
        <w:rPr>
          <w:rFonts w:hint="eastAsia"/>
          <w:bCs/>
          <w:color w:val="auto"/>
        </w:rPr>
        <w:t>黑膜沼气池</w:t>
      </w:r>
      <w:r>
        <w:rPr>
          <w:color w:val="auto"/>
        </w:rPr>
        <w:t>防渗措施不到位导致的废水下渗对地下水的影响；猪粪、沼渣乱堆乱放，可能转入环境空气或地表水体，并通过下渗影响到地下水环境；废水的还田利用可能对地下水质产生的影响。</w:t>
      </w:r>
    </w:p>
    <w:p>
      <w:pPr>
        <w:ind w:firstLine="480"/>
        <w:rPr>
          <w:color w:val="auto"/>
        </w:rPr>
      </w:pPr>
      <w:r>
        <w:rPr>
          <w:color w:val="auto"/>
        </w:rPr>
        <w:t>污染物对地下水的影响主要是由于降雨或废水排放等通过垂直渗透进入包气带，进入包气带的污染物在物理、化学和生物作用下吸附、转化、迁移和分解后输入地下水。因此，包气带是联接地面污染物的净化场所和防护层。一般说来，土壤粒细而紧密，渗透性差，则污染慢；反之，颗粒大松散，渗透性能良好则污染重。</w:t>
      </w:r>
    </w:p>
    <w:p>
      <w:pPr>
        <w:ind w:firstLine="480"/>
        <w:rPr>
          <w:color w:val="auto"/>
        </w:rPr>
      </w:pPr>
      <w:r>
        <w:rPr>
          <w:color w:val="auto"/>
        </w:rPr>
        <w:t>（1）</w:t>
      </w:r>
      <w:r>
        <w:rPr>
          <w:rFonts w:hint="eastAsia"/>
          <w:color w:val="auto"/>
        </w:rPr>
        <w:t>厂区</w:t>
      </w:r>
      <w:r>
        <w:rPr>
          <w:color w:val="auto"/>
        </w:rPr>
        <w:t>对地下水影响分析</w:t>
      </w:r>
    </w:p>
    <w:p>
      <w:pPr>
        <w:ind w:firstLine="480"/>
        <w:rPr>
          <w:color w:val="auto"/>
        </w:rPr>
      </w:pPr>
      <w:r>
        <w:rPr>
          <w:rFonts w:hint="eastAsia"/>
          <w:color w:val="auto"/>
        </w:rPr>
        <w:t>厂区</w:t>
      </w:r>
      <w:r>
        <w:rPr>
          <w:color w:val="auto"/>
        </w:rPr>
        <w:t>包括养殖区、</w:t>
      </w:r>
      <w:r>
        <w:rPr>
          <w:rFonts w:hint="eastAsia"/>
          <w:color w:val="auto"/>
        </w:rPr>
        <w:t>固粪处理区</w:t>
      </w:r>
      <w:r>
        <w:rPr>
          <w:color w:val="auto"/>
        </w:rPr>
        <w:t>、</w:t>
      </w:r>
      <w:r>
        <w:rPr>
          <w:rFonts w:hint="eastAsia"/>
          <w:bCs/>
          <w:color w:val="auto"/>
        </w:rPr>
        <w:t>黑膜沼气池</w:t>
      </w:r>
      <w:r>
        <w:rPr>
          <w:color w:val="auto"/>
        </w:rPr>
        <w:t>以及污水管线等，其对地下水影响的主要途径为贮存的养殖废水直接下渗或粪便堆存过程中粪便所含污水渗漏对浅层地下水构成影响；猪粪、沼渣乱堆乱放，可能转入环境空气或地表水体，并通过下渗影响到地下水环境，评价针对污染途径采取相应措施处理，详见表5</w:t>
      </w:r>
      <w:r>
        <w:rPr>
          <w:rFonts w:hint="eastAsia"/>
          <w:color w:val="auto"/>
        </w:rPr>
        <w:t>.2</w:t>
      </w:r>
      <w:r>
        <w:rPr>
          <w:color w:val="auto"/>
        </w:rPr>
        <w:t>-</w:t>
      </w:r>
      <w:r>
        <w:rPr>
          <w:rFonts w:hint="eastAsia"/>
          <w:color w:val="auto"/>
        </w:rPr>
        <w:t>26</w:t>
      </w:r>
      <w:r>
        <w:rPr>
          <w:color w:val="auto"/>
        </w:rPr>
        <w:t>。</w:t>
      </w:r>
    </w:p>
    <w:p>
      <w:pPr>
        <w:spacing w:after="93" w:afterLines="30" w:line="500" w:lineRule="exact"/>
        <w:ind w:firstLine="0" w:firstLineChars="0"/>
        <w:jc w:val="center"/>
        <w:rPr>
          <w:rFonts w:hint="eastAsia"/>
          <w:b/>
          <w:color w:val="auto"/>
          <w:szCs w:val="21"/>
        </w:rPr>
      </w:pPr>
    </w:p>
    <w:p>
      <w:pPr>
        <w:spacing w:after="93" w:afterLines="30" w:line="500" w:lineRule="exact"/>
        <w:ind w:firstLine="0" w:firstLineChars="0"/>
        <w:jc w:val="center"/>
        <w:rPr>
          <w:rFonts w:hint="eastAsia"/>
          <w:b/>
          <w:color w:val="auto"/>
          <w:szCs w:val="21"/>
        </w:rPr>
      </w:pPr>
    </w:p>
    <w:p>
      <w:pPr>
        <w:spacing w:after="93" w:afterLines="30" w:line="500" w:lineRule="exact"/>
        <w:ind w:firstLine="0" w:firstLineChars="0"/>
        <w:jc w:val="center"/>
        <w:rPr>
          <w:rFonts w:hint="eastAsia"/>
          <w:b/>
          <w:color w:val="auto"/>
          <w:szCs w:val="21"/>
        </w:rPr>
      </w:pPr>
    </w:p>
    <w:p>
      <w:pPr>
        <w:spacing w:after="93" w:afterLines="30" w:line="500" w:lineRule="exact"/>
        <w:ind w:firstLine="0" w:firstLineChars="0"/>
        <w:jc w:val="center"/>
        <w:rPr>
          <w:rFonts w:hint="eastAsia"/>
          <w:b/>
          <w:color w:val="auto"/>
          <w:szCs w:val="21"/>
        </w:rPr>
      </w:pPr>
    </w:p>
    <w:p>
      <w:pPr>
        <w:spacing w:after="93" w:afterLines="30" w:line="500" w:lineRule="exact"/>
        <w:ind w:firstLine="0" w:firstLineChars="0"/>
        <w:jc w:val="center"/>
        <w:rPr>
          <w:rFonts w:hint="eastAsia"/>
          <w:b/>
          <w:color w:val="auto"/>
          <w:szCs w:val="21"/>
        </w:rPr>
      </w:pPr>
    </w:p>
    <w:p>
      <w:pPr>
        <w:spacing w:after="93" w:afterLines="30" w:line="500" w:lineRule="exact"/>
        <w:ind w:firstLine="0" w:firstLineChars="0"/>
        <w:jc w:val="center"/>
        <w:rPr>
          <w:rFonts w:hint="eastAsia"/>
          <w:b/>
          <w:color w:val="auto"/>
          <w:szCs w:val="21"/>
        </w:rPr>
      </w:pPr>
    </w:p>
    <w:p>
      <w:pPr>
        <w:spacing w:after="93" w:afterLines="30" w:line="500" w:lineRule="exact"/>
        <w:ind w:firstLine="0" w:firstLineChars="0"/>
        <w:jc w:val="center"/>
        <w:rPr>
          <w:rFonts w:hint="eastAsia"/>
          <w:b/>
          <w:color w:val="auto"/>
          <w:szCs w:val="21"/>
        </w:rPr>
      </w:pPr>
    </w:p>
    <w:p>
      <w:pPr>
        <w:spacing w:after="93" w:afterLines="30" w:line="500" w:lineRule="exact"/>
        <w:ind w:firstLine="0" w:firstLineChars="0"/>
        <w:jc w:val="center"/>
        <w:rPr>
          <w:rFonts w:hint="eastAsia"/>
          <w:b/>
          <w:color w:val="auto"/>
          <w:szCs w:val="21"/>
        </w:rPr>
      </w:pPr>
    </w:p>
    <w:p>
      <w:pPr>
        <w:spacing w:after="93" w:afterLines="30" w:line="500" w:lineRule="exact"/>
        <w:ind w:firstLine="0" w:firstLineChars="0"/>
        <w:jc w:val="center"/>
        <w:rPr>
          <w:rFonts w:hint="eastAsia"/>
          <w:b/>
          <w:color w:val="auto"/>
          <w:szCs w:val="21"/>
        </w:rPr>
      </w:pPr>
    </w:p>
    <w:p>
      <w:pPr>
        <w:spacing w:after="93" w:afterLines="30" w:line="500" w:lineRule="exact"/>
        <w:ind w:firstLine="0" w:firstLineChars="0"/>
        <w:jc w:val="center"/>
        <w:rPr>
          <w:b/>
          <w:color w:val="auto"/>
          <w:szCs w:val="21"/>
        </w:rPr>
      </w:pPr>
      <w:r>
        <w:rPr>
          <w:rFonts w:hint="eastAsia"/>
          <w:b/>
          <w:color w:val="auto"/>
          <w:szCs w:val="21"/>
        </w:rPr>
        <w:t xml:space="preserve">表5.2-26        </w:t>
      </w:r>
      <w:r>
        <w:rPr>
          <w:b/>
          <w:color w:val="auto"/>
          <w:szCs w:val="21"/>
        </w:rPr>
        <w:t>项目污染地下水途径及防治措施一览表</w:t>
      </w:r>
    </w:p>
    <w:tbl>
      <w:tblPr>
        <w:tblStyle w:val="27"/>
        <w:tblW w:w="8844" w:type="dxa"/>
        <w:jc w:val="center"/>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40"/>
        <w:gridCol w:w="1478"/>
        <w:gridCol w:w="4500"/>
        <w:gridCol w:w="2326"/>
      </w:tblGrid>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540" w:type="dxa"/>
            <w:tcMar>
              <w:left w:w="0" w:type="dxa"/>
              <w:right w:w="0" w:type="dxa"/>
            </w:tcMar>
            <w:vAlign w:val="center"/>
          </w:tcPr>
          <w:p>
            <w:pPr>
              <w:spacing w:line="240" w:lineRule="auto"/>
              <w:ind w:firstLine="0" w:firstLineChars="0"/>
              <w:jc w:val="center"/>
              <w:rPr>
                <w:color w:val="auto"/>
                <w:sz w:val="21"/>
                <w:szCs w:val="21"/>
              </w:rPr>
            </w:pPr>
            <w:r>
              <w:rPr>
                <w:color w:val="auto"/>
                <w:sz w:val="21"/>
                <w:szCs w:val="21"/>
              </w:rPr>
              <w:t>序号</w:t>
            </w:r>
          </w:p>
        </w:tc>
        <w:tc>
          <w:tcPr>
            <w:tcW w:w="1478" w:type="dxa"/>
            <w:tcMar>
              <w:left w:w="0" w:type="dxa"/>
              <w:right w:w="0" w:type="dxa"/>
            </w:tcMar>
            <w:vAlign w:val="center"/>
          </w:tcPr>
          <w:p>
            <w:pPr>
              <w:spacing w:line="240" w:lineRule="auto"/>
              <w:ind w:firstLine="0" w:firstLineChars="0"/>
              <w:jc w:val="center"/>
              <w:rPr>
                <w:color w:val="auto"/>
                <w:sz w:val="21"/>
                <w:szCs w:val="21"/>
              </w:rPr>
            </w:pPr>
            <w:r>
              <w:rPr>
                <w:color w:val="auto"/>
                <w:sz w:val="21"/>
                <w:szCs w:val="21"/>
              </w:rPr>
              <w:t>项目</w:t>
            </w:r>
          </w:p>
        </w:tc>
        <w:tc>
          <w:tcPr>
            <w:tcW w:w="4500" w:type="dxa"/>
            <w:tcMar>
              <w:left w:w="0" w:type="dxa"/>
              <w:right w:w="0" w:type="dxa"/>
            </w:tcMar>
            <w:vAlign w:val="center"/>
          </w:tcPr>
          <w:p>
            <w:pPr>
              <w:spacing w:line="240" w:lineRule="auto"/>
              <w:ind w:firstLine="0" w:firstLineChars="0"/>
              <w:jc w:val="center"/>
              <w:rPr>
                <w:color w:val="auto"/>
                <w:sz w:val="21"/>
                <w:szCs w:val="21"/>
              </w:rPr>
            </w:pPr>
            <w:r>
              <w:rPr>
                <w:color w:val="auto"/>
                <w:sz w:val="21"/>
                <w:szCs w:val="21"/>
              </w:rPr>
              <w:t>保护措施</w:t>
            </w:r>
          </w:p>
        </w:tc>
        <w:tc>
          <w:tcPr>
            <w:tcW w:w="2326" w:type="dxa"/>
            <w:tcMar>
              <w:left w:w="0" w:type="dxa"/>
              <w:right w:w="0" w:type="dxa"/>
            </w:tcMar>
            <w:vAlign w:val="center"/>
          </w:tcPr>
          <w:p>
            <w:pPr>
              <w:spacing w:line="240" w:lineRule="auto"/>
              <w:ind w:firstLine="0" w:firstLineChars="0"/>
              <w:jc w:val="center"/>
              <w:rPr>
                <w:color w:val="auto"/>
                <w:sz w:val="21"/>
                <w:szCs w:val="21"/>
              </w:rPr>
            </w:pPr>
            <w:r>
              <w:rPr>
                <w:color w:val="auto"/>
                <w:sz w:val="21"/>
                <w:szCs w:val="21"/>
              </w:rPr>
              <w:t>达到效果</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540" w:type="dxa"/>
            <w:tcMar>
              <w:left w:w="0" w:type="dxa"/>
              <w:right w:w="0" w:type="dxa"/>
            </w:tcMar>
            <w:vAlign w:val="center"/>
          </w:tcPr>
          <w:p>
            <w:pPr>
              <w:spacing w:line="240" w:lineRule="auto"/>
              <w:ind w:firstLine="0" w:firstLineChars="0"/>
              <w:jc w:val="center"/>
              <w:rPr>
                <w:color w:val="auto"/>
                <w:sz w:val="21"/>
                <w:szCs w:val="21"/>
              </w:rPr>
            </w:pPr>
            <w:r>
              <w:rPr>
                <w:color w:val="auto"/>
                <w:sz w:val="21"/>
                <w:szCs w:val="21"/>
              </w:rPr>
              <w:t>1</w:t>
            </w:r>
          </w:p>
        </w:tc>
        <w:tc>
          <w:tcPr>
            <w:tcW w:w="1478" w:type="dxa"/>
            <w:tcMar>
              <w:left w:w="0" w:type="dxa"/>
              <w:right w:w="0" w:type="dxa"/>
            </w:tcMar>
            <w:vAlign w:val="center"/>
          </w:tcPr>
          <w:p>
            <w:pPr>
              <w:spacing w:line="240" w:lineRule="auto"/>
              <w:ind w:firstLine="0" w:firstLineChars="0"/>
              <w:jc w:val="center"/>
              <w:rPr>
                <w:color w:val="auto"/>
                <w:sz w:val="21"/>
                <w:szCs w:val="21"/>
              </w:rPr>
            </w:pPr>
            <w:r>
              <w:rPr>
                <w:color w:val="auto"/>
                <w:sz w:val="21"/>
                <w:szCs w:val="21"/>
              </w:rPr>
              <w:t>猪舍内部</w:t>
            </w:r>
          </w:p>
        </w:tc>
        <w:tc>
          <w:tcPr>
            <w:tcW w:w="4500" w:type="dxa"/>
            <w:tcMar>
              <w:left w:w="0" w:type="dxa"/>
              <w:right w:w="0" w:type="dxa"/>
            </w:tcMar>
            <w:vAlign w:val="center"/>
          </w:tcPr>
          <w:p>
            <w:pPr>
              <w:spacing w:line="240" w:lineRule="auto"/>
              <w:ind w:left="120" w:leftChars="50" w:right="120" w:rightChars="50" w:firstLine="0" w:firstLineChars="0"/>
              <w:jc w:val="left"/>
              <w:rPr>
                <w:color w:val="auto"/>
                <w:sz w:val="21"/>
                <w:szCs w:val="21"/>
              </w:rPr>
            </w:pPr>
            <w:r>
              <w:rPr>
                <w:color w:val="auto"/>
                <w:spacing w:val="-11"/>
                <w:sz w:val="21"/>
                <w:szCs w:val="21"/>
              </w:rPr>
              <w:t>猪舍底部在清场夯压的基础上混凝土防渗，渗透系数1.0×10</w:t>
            </w:r>
            <w:r>
              <w:rPr>
                <w:color w:val="auto"/>
                <w:spacing w:val="-11"/>
                <w:sz w:val="21"/>
                <w:szCs w:val="21"/>
                <w:vertAlign w:val="superscript"/>
              </w:rPr>
              <w:t>-7</w:t>
            </w:r>
            <w:r>
              <w:rPr>
                <w:color w:val="auto"/>
                <w:spacing w:val="-11"/>
                <w:sz w:val="21"/>
                <w:szCs w:val="21"/>
              </w:rPr>
              <w:t>cm/s，减少污染物的跑、冒、滴、漏，将污染物泄漏的环境风险事故降到最低限度</w:t>
            </w:r>
          </w:p>
        </w:tc>
        <w:tc>
          <w:tcPr>
            <w:tcW w:w="2326" w:type="dxa"/>
            <w:vMerge w:val="restart"/>
            <w:tcMar>
              <w:left w:w="0" w:type="dxa"/>
              <w:right w:w="0" w:type="dxa"/>
            </w:tcMar>
            <w:vAlign w:val="center"/>
          </w:tcPr>
          <w:p>
            <w:pPr>
              <w:spacing w:line="240" w:lineRule="auto"/>
              <w:ind w:left="120" w:leftChars="50" w:right="120" w:rightChars="50" w:firstLine="0" w:firstLineChars="0"/>
              <w:jc w:val="left"/>
              <w:rPr>
                <w:color w:val="auto"/>
                <w:sz w:val="21"/>
                <w:szCs w:val="21"/>
              </w:rPr>
            </w:pPr>
            <w:r>
              <w:rPr>
                <w:color w:val="auto"/>
                <w:sz w:val="21"/>
                <w:szCs w:val="21"/>
              </w:rPr>
              <w:t>各反应池符合《规模化畜禽养殖场沼气工程设计规范》（NY/T1222）和《混凝土结构设计规范》（GB50010）的要求，具备“防渗、防雨、防溢”的三防措施；畜禽粪便的贮存相关要求，应具备防渗、防风、防雨的“三防”措施，雨污分流满足《畜禽养殖业污染防治技术规范》（HJ/T81~2001）要求</w:t>
            </w:r>
          </w:p>
          <w:p>
            <w:pPr>
              <w:spacing w:line="240" w:lineRule="auto"/>
              <w:ind w:left="120" w:leftChars="50" w:right="120" w:rightChars="50" w:firstLine="0" w:firstLineChars="0"/>
              <w:jc w:val="left"/>
              <w:rPr>
                <w:color w:val="auto"/>
                <w:sz w:val="21"/>
                <w:szCs w:val="21"/>
              </w:rPr>
            </w:pPr>
            <w:r>
              <w:rPr>
                <w:color w:val="auto"/>
                <w:sz w:val="21"/>
                <w:szCs w:val="21"/>
              </w:rPr>
              <w:t>满足《畜禽养殖业污染源总量减排技术指导意见（试行）》（豫环文（2012）99号文）要求</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15" w:hRule="atLeast"/>
          <w:tblHeader/>
          <w:jc w:val="center"/>
        </w:trPr>
        <w:tc>
          <w:tcPr>
            <w:tcW w:w="540" w:type="dxa"/>
            <w:tcMar>
              <w:left w:w="0" w:type="dxa"/>
              <w:right w:w="0" w:type="dxa"/>
            </w:tcMar>
            <w:vAlign w:val="center"/>
          </w:tcPr>
          <w:p>
            <w:pPr>
              <w:spacing w:line="240" w:lineRule="auto"/>
              <w:ind w:firstLine="0" w:firstLineChars="0"/>
              <w:jc w:val="center"/>
              <w:rPr>
                <w:color w:val="auto"/>
                <w:sz w:val="21"/>
                <w:szCs w:val="21"/>
              </w:rPr>
            </w:pPr>
            <w:r>
              <w:rPr>
                <w:rFonts w:hint="eastAsia"/>
                <w:color w:val="auto"/>
                <w:sz w:val="21"/>
                <w:szCs w:val="21"/>
              </w:rPr>
              <w:t>2</w:t>
            </w:r>
          </w:p>
        </w:tc>
        <w:tc>
          <w:tcPr>
            <w:tcW w:w="1478" w:type="dxa"/>
            <w:tcMar>
              <w:left w:w="0" w:type="dxa"/>
              <w:right w:w="0" w:type="dxa"/>
            </w:tcMar>
            <w:vAlign w:val="center"/>
          </w:tcPr>
          <w:p>
            <w:pPr>
              <w:spacing w:line="240" w:lineRule="auto"/>
              <w:ind w:firstLine="0" w:firstLineChars="0"/>
              <w:jc w:val="center"/>
              <w:rPr>
                <w:color w:val="auto"/>
                <w:sz w:val="21"/>
                <w:szCs w:val="21"/>
              </w:rPr>
            </w:pPr>
            <w:r>
              <w:rPr>
                <w:color w:val="auto"/>
                <w:sz w:val="21"/>
                <w:szCs w:val="21"/>
              </w:rPr>
              <w:t>污水处理系统</w:t>
            </w:r>
          </w:p>
        </w:tc>
        <w:tc>
          <w:tcPr>
            <w:tcW w:w="4500" w:type="dxa"/>
            <w:tcMar>
              <w:left w:w="0" w:type="dxa"/>
              <w:right w:w="0" w:type="dxa"/>
            </w:tcMar>
            <w:vAlign w:val="center"/>
          </w:tcPr>
          <w:p>
            <w:pPr>
              <w:spacing w:line="240" w:lineRule="auto"/>
              <w:ind w:left="120" w:leftChars="50" w:right="120" w:rightChars="50" w:firstLine="0" w:firstLineChars="0"/>
              <w:jc w:val="left"/>
              <w:rPr>
                <w:color w:val="auto"/>
                <w:sz w:val="21"/>
                <w:szCs w:val="21"/>
              </w:rPr>
            </w:pPr>
            <w:r>
              <w:rPr>
                <w:color w:val="auto"/>
                <w:sz w:val="21"/>
                <w:szCs w:val="21"/>
              </w:rPr>
              <w:t>应由有资质施工企业设计并建设。</w:t>
            </w:r>
            <w:r>
              <w:rPr>
                <w:rFonts w:hint="eastAsia"/>
                <w:color w:val="auto"/>
                <w:sz w:val="21"/>
                <w:szCs w:val="21"/>
              </w:rPr>
              <w:t>黑膜沼气池为土膜夯实+HDPE膜</w:t>
            </w:r>
          </w:p>
        </w:tc>
        <w:tc>
          <w:tcPr>
            <w:tcW w:w="2326" w:type="dxa"/>
            <w:vMerge w:val="continue"/>
            <w:tcMar>
              <w:left w:w="0" w:type="dxa"/>
              <w:right w:w="0" w:type="dxa"/>
            </w:tcMar>
            <w:vAlign w:val="center"/>
          </w:tcPr>
          <w:p>
            <w:pPr>
              <w:spacing w:line="240" w:lineRule="auto"/>
              <w:ind w:firstLine="0" w:firstLineChars="0"/>
              <w:jc w:val="center"/>
              <w:rPr>
                <w:color w:val="auto"/>
                <w:sz w:val="21"/>
                <w:szCs w:val="21"/>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95" w:hRule="atLeast"/>
          <w:tblHeader/>
          <w:jc w:val="center"/>
        </w:trPr>
        <w:tc>
          <w:tcPr>
            <w:tcW w:w="540" w:type="dxa"/>
            <w:tcMar>
              <w:left w:w="0" w:type="dxa"/>
              <w:right w:w="0" w:type="dxa"/>
            </w:tcMar>
            <w:vAlign w:val="center"/>
          </w:tcPr>
          <w:p>
            <w:pPr>
              <w:spacing w:line="240" w:lineRule="auto"/>
              <w:ind w:firstLine="0" w:firstLineChars="0"/>
              <w:jc w:val="center"/>
              <w:rPr>
                <w:color w:val="auto"/>
                <w:sz w:val="21"/>
                <w:szCs w:val="21"/>
              </w:rPr>
            </w:pPr>
            <w:r>
              <w:rPr>
                <w:rFonts w:hint="eastAsia"/>
                <w:color w:val="auto"/>
                <w:sz w:val="21"/>
                <w:szCs w:val="21"/>
              </w:rPr>
              <w:t>3</w:t>
            </w:r>
          </w:p>
        </w:tc>
        <w:tc>
          <w:tcPr>
            <w:tcW w:w="1478" w:type="dxa"/>
            <w:tcMar>
              <w:left w:w="0" w:type="dxa"/>
              <w:right w:w="0" w:type="dxa"/>
            </w:tcMar>
            <w:vAlign w:val="center"/>
          </w:tcPr>
          <w:p>
            <w:pPr>
              <w:spacing w:line="240" w:lineRule="auto"/>
              <w:ind w:firstLine="0" w:firstLineChars="0"/>
              <w:jc w:val="center"/>
              <w:rPr>
                <w:color w:val="auto"/>
                <w:sz w:val="21"/>
                <w:szCs w:val="21"/>
              </w:rPr>
            </w:pPr>
            <w:r>
              <w:rPr>
                <w:rFonts w:hint="eastAsia"/>
                <w:color w:val="auto"/>
                <w:sz w:val="21"/>
                <w:szCs w:val="21"/>
              </w:rPr>
              <w:t>固粪处理区</w:t>
            </w:r>
          </w:p>
        </w:tc>
        <w:tc>
          <w:tcPr>
            <w:tcW w:w="4500" w:type="dxa"/>
            <w:tcMar>
              <w:left w:w="0" w:type="dxa"/>
              <w:right w:w="0" w:type="dxa"/>
            </w:tcMar>
            <w:vAlign w:val="center"/>
          </w:tcPr>
          <w:p>
            <w:pPr>
              <w:spacing w:line="240" w:lineRule="auto"/>
              <w:ind w:left="120" w:leftChars="50" w:right="120" w:rightChars="50" w:firstLine="0" w:firstLineChars="0"/>
              <w:jc w:val="left"/>
              <w:rPr>
                <w:color w:val="auto"/>
                <w:sz w:val="21"/>
                <w:szCs w:val="21"/>
              </w:rPr>
            </w:pPr>
            <w:r>
              <w:rPr>
                <w:rFonts w:hint="eastAsia"/>
                <w:color w:val="auto"/>
                <w:sz w:val="21"/>
                <w:szCs w:val="21"/>
              </w:rPr>
              <w:t>地</w:t>
            </w:r>
            <w:r>
              <w:rPr>
                <w:color w:val="auto"/>
                <w:sz w:val="21"/>
                <w:szCs w:val="21"/>
              </w:rPr>
              <w:t>面混凝土进行防渗，渗透系数达到1.0×10-7cm/s，</w:t>
            </w:r>
            <w:r>
              <w:rPr>
                <w:rFonts w:hint="eastAsia"/>
                <w:color w:val="auto"/>
                <w:sz w:val="21"/>
                <w:szCs w:val="21"/>
              </w:rPr>
              <w:t>设置密闭</w:t>
            </w:r>
            <w:r>
              <w:rPr>
                <w:color w:val="auto"/>
                <w:sz w:val="21"/>
                <w:szCs w:val="21"/>
              </w:rPr>
              <w:t>生产车间，仅</w:t>
            </w:r>
            <w:r>
              <w:rPr>
                <w:rFonts w:hint="eastAsia"/>
                <w:color w:val="auto"/>
                <w:sz w:val="21"/>
                <w:szCs w:val="21"/>
              </w:rPr>
              <w:t>留置</w:t>
            </w:r>
            <w:r>
              <w:rPr>
                <w:color w:val="auto"/>
                <w:sz w:val="21"/>
                <w:szCs w:val="21"/>
              </w:rPr>
              <w:t>出入口；其上搭建顶棚</w:t>
            </w:r>
          </w:p>
        </w:tc>
        <w:tc>
          <w:tcPr>
            <w:tcW w:w="2326" w:type="dxa"/>
            <w:vMerge w:val="continue"/>
            <w:tcMar>
              <w:left w:w="0" w:type="dxa"/>
              <w:right w:w="0" w:type="dxa"/>
            </w:tcMar>
            <w:vAlign w:val="center"/>
          </w:tcPr>
          <w:p>
            <w:pPr>
              <w:spacing w:line="240" w:lineRule="auto"/>
              <w:ind w:firstLine="0" w:firstLineChars="0"/>
              <w:jc w:val="center"/>
              <w:rPr>
                <w:color w:val="auto"/>
                <w:sz w:val="21"/>
                <w:szCs w:val="21"/>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540" w:type="dxa"/>
            <w:tcMar>
              <w:left w:w="0" w:type="dxa"/>
              <w:right w:w="0" w:type="dxa"/>
            </w:tcMar>
            <w:vAlign w:val="center"/>
          </w:tcPr>
          <w:p>
            <w:pPr>
              <w:spacing w:line="240" w:lineRule="auto"/>
              <w:ind w:firstLine="0" w:firstLineChars="0"/>
              <w:jc w:val="center"/>
              <w:rPr>
                <w:color w:val="auto"/>
                <w:sz w:val="21"/>
                <w:szCs w:val="21"/>
              </w:rPr>
            </w:pPr>
            <w:r>
              <w:rPr>
                <w:rFonts w:hint="eastAsia"/>
                <w:color w:val="auto"/>
                <w:sz w:val="21"/>
                <w:szCs w:val="21"/>
              </w:rPr>
              <w:t>4</w:t>
            </w:r>
          </w:p>
        </w:tc>
        <w:tc>
          <w:tcPr>
            <w:tcW w:w="1478" w:type="dxa"/>
            <w:tcMar>
              <w:left w:w="0" w:type="dxa"/>
              <w:right w:w="0" w:type="dxa"/>
            </w:tcMar>
            <w:vAlign w:val="center"/>
          </w:tcPr>
          <w:p>
            <w:pPr>
              <w:spacing w:line="240" w:lineRule="auto"/>
              <w:ind w:firstLine="0" w:firstLineChars="0"/>
              <w:jc w:val="center"/>
              <w:rPr>
                <w:color w:val="auto"/>
                <w:sz w:val="21"/>
                <w:szCs w:val="21"/>
              </w:rPr>
            </w:pPr>
            <w:r>
              <w:rPr>
                <w:rFonts w:hint="eastAsia"/>
                <w:color w:val="auto"/>
                <w:sz w:val="21"/>
                <w:szCs w:val="21"/>
              </w:rPr>
              <w:t>厂区</w:t>
            </w:r>
            <w:r>
              <w:rPr>
                <w:color w:val="auto"/>
                <w:sz w:val="21"/>
                <w:szCs w:val="21"/>
              </w:rPr>
              <w:t>雨、污管网</w:t>
            </w:r>
          </w:p>
        </w:tc>
        <w:tc>
          <w:tcPr>
            <w:tcW w:w="4500" w:type="dxa"/>
            <w:tcMar>
              <w:left w:w="0" w:type="dxa"/>
              <w:right w:w="0" w:type="dxa"/>
            </w:tcMar>
            <w:vAlign w:val="center"/>
          </w:tcPr>
          <w:p>
            <w:pPr>
              <w:spacing w:line="240" w:lineRule="auto"/>
              <w:ind w:left="120" w:leftChars="50" w:right="120" w:rightChars="50" w:firstLine="0" w:firstLineChars="0"/>
              <w:jc w:val="left"/>
              <w:rPr>
                <w:color w:val="auto"/>
                <w:sz w:val="21"/>
                <w:szCs w:val="21"/>
              </w:rPr>
            </w:pPr>
            <w:r>
              <w:rPr>
                <w:color w:val="auto"/>
                <w:sz w:val="21"/>
                <w:szCs w:val="21"/>
              </w:rPr>
              <w:t>雨污分流</w:t>
            </w:r>
            <w:r>
              <w:rPr>
                <w:rFonts w:hint="eastAsia"/>
                <w:color w:val="auto"/>
                <w:sz w:val="21"/>
                <w:szCs w:val="21"/>
                <w:lang w:eastAsia="zh-CN"/>
              </w:rPr>
              <w:t>，</w:t>
            </w:r>
            <w:r>
              <w:rPr>
                <w:rFonts w:hint="eastAsia"/>
                <w:color w:val="auto"/>
                <w:sz w:val="21"/>
                <w:szCs w:val="21"/>
              </w:rPr>
              <w:t>雨水是硬化水渠，粪污管道</w:t>
            </w:r>
            <w:r>
              <w:rPr>
                <w:rFonts w:hint="eastAsia"/>
                <w:color w:val="auto"/>
                <w:sz w:val="21"/>
                <w:szCs w:val="21"/>
                <w:lang w:eastAsia="zh-CN"/>
              </w:rPr>
              <w:t>采用</w:t>
            </w:r>
            <w:r>
              <w:rPr>
                <w:rFonts w:hint="eastAsia"/>
                <w:color w:val="auto"/>
                <w:sz w:val="21"/>
                <w:szCs w:val="21"/>
              </w:rPr>
              <w:t>地埋pvc管道</w:t>
            </w:r>
            <w:r>
              <w:rPr>
                <w:rFonts w:hint="eastAsia"/>
                <w:color w:val="auto"/>
                <w:sz w:val="21"/>
                <w:szCs w:val="21"/>
                <w:lang w:eastAsia="zh-CN"/>
              </w:rPr>
              <w:t>，</w:t>
            </w:r>
            <w:r>
              <w:rPr>
                <w:color w:val="auto"/>
                <w:sz w:val="21"/>
                <w:szCs w:val="21"/>
              </w:rPr>
              <w:t>按照畜禽养殖业污染防治技术规范要求进行建设</w:t>
            </w:r>
          </w:p>
        </w:tc>
        <w:tc>
          <w:tcPr>
            <w:tcW w:w="2326" w:type="dxa"/>
            <w:vMerge w:val="continue"/>
            <w:tcMar>
              <w:left w:w="0" w:type="dxa"/>
              <w:right w:w="0" w:type="dxa"/>
            </w:tcMar>
            <w:vAlign w:val="center"/>
          </w:tcPr>
          <w:p>
            <w:pPr>
              <w:spacing w:line="240" w:lineRule="auto"/>
              <w:ind w:firstLine="0" w:firstLineChars="0"/>
              <w:jc w:val="center"/>
              <w:rPr>
                <w:color w:val="auto"/>
                <w:sz w:val="21"/>
                <w:szCs w:val="21"/>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540" w:type="dxa"/>
            <w:tcMar>
              <w:left w:w="0" w:type="dxa"/>
              <w:right w:w="0" w:type="dxa"/>
            </w:tcMar>
            <w:vAlign w:val="center"/>
          </w:tcPr>
          <w:p>
            <w:pPr>
              <w:spacing w:line="240" w:lineRule="auto"/>
              <w:ind w:firstLine="0" w:firstLineChars="0"/>
              <w:jc w:val="center"/>
              <w:rPr>
                <w:rFonts w:hint="eastAsia" w:eastAsia="宋体"/>
                <w:color w:val="auto"/>
                <w:sz w:val="21"/>
                <w:szCs w:val="21"/>
                <w:lang w:eastAsia="zh-CN"/>
              </w:rPr>
            </w:pPr>
            <w:r>
              <w:rPr>
                <w:rFonts w:hint="eastAsia"/>
                <w:color w:val="auto"/>
                <w:sz w:val="21"/>
                <w:szCs w:val="21"/>
                <w:lang w:val="en-US" w:eastAsia="zh-CN"/>
              </w:rPr>
              <w:t>5</w:t>
            </w:r>
          </w:p>
        </w:tc>
        <w:tc>
          <w:tcPr>
            <w:tcW w:w="1478" w:type="dxa"/>
            <w:tcMar>
              <w:left w:w="0" w:type="dxa"/>
              <w:right w:w="0" w:type="dxa"/>
            </w:tcMar>
            <w:vAlign w:val="center"/>
          </w:tcPr>
          <w:p>
            <w:pPr>
              <w:spacing w:line="240" w:lineRule="auto"/>
              <w:ind w:left="120" w:leftChars="50" w:right="120" w:rightChars="50" w:firstLine="0" w:firstLineChars="0"/>
              <w:jc w:val="left"/>
              <w:rPr>
                <w:color w:val="auto"/>
                <w:sz w:val="21"/>
                <w:szCs w:val="21"/>
              </w:rPr>
            </w:pPr>
            <w:r>
              <w:rPr>
                <w:rFonts w:hint="eastAsia"/>
                <w:color w:val="auto"/>
                <w:sz w:val="21"/>
                <w:szCs w:val="21"/>
              </w:rPr>
              <w:t>医疗废物暂存间</w:t>
            </w:r>
          </w:p>
        </w:tc>
        <w:tc>
          <w:tcPr>
            <w:tcW w:w="4500" w:type="dxa"/>
            <w:tcMar>
              <w:left w:w="0" w:type="dxa"/>
              <w:right w:w="0" w:type="dxa"/>
            </w:tcMar>
          </w:tcPr>
          <w:p>
            <w:pPr>
              <w:spacing w:line="240" w:lineRule="auto"/>
              <w:ind w:left="120" w:leftChars="50" w:right="120" w:rightChars="50" w:firstLine="0" w:firstLineChars="0"/>
              <w:jc w:val="left"/>
              <w:rPr>
                <w:color w:val="auto"/>
                <w:sz w:val="21"/>
                <w:szCs w:val="21"/>
              </w:rPr>
            </w:pPr>
            <w:r>
              <w:rPr>
                <w:color w:val="auto"/>
                <w:sz w:val="21"/>
                <w:szCs w:val="21"/>
              </w:rPr>
              <w:t>医疗废物暂存间建成具有防水、防渗、防流失的专用贮存设施贮存医疗废物。贮存医疗废物的容器材质和衬里要与医疗废物相容（不相互反应）贮存设施必须防渗，基础必须防渗，防渗层为至少1米厚粘土层(渗透系≤10</w:t>
            </w:r>
            <w:r>
              <w:rPr>
                <w:color w:val="auto"/>
                <w:sz w:val="21"/>
                <w:szCs w:val="21"/>
                <w:vertAlign w:val="superscript"/>
              </w:rPr>
              <w:t>-7</w:t>
            </w:r>
            <w:r>
              <w:rPr>
                <w:color w:val="auto"/>
                <w:sz w:val="21"/>
                <w:szCs w:val="21"/>
              </w:rPr>
              <w:t>cm/s)，或2mm厚高密度聚乙烯，或至少2mm厚的其它人工材料，渗透系数≤10</w:t>
            </w:r>
            <w:r>
              <w:rPr>
                <w:color w:val="auto"/>
                <w:sz w:val="21"/>
                <w:szCs w:val="21"/>
                <w:vertAlign w:val="superscript"/>
              </w:rPr>
              <w:t>-10</w:t>
            </w:r>
            <w:r>
              <w:rPr>
                <w:color w:val="auto"/>
                <w:sz w:val="21"/>
                <w:szCs w:val="21"/>
              </w:rPr>
              <w:t>cm/s。</w:t>
            </w:r>
          </w:p>
        </w:tc>
        <w:tc>
          <w:tcPr>
            <w:tcW w:w="2326" w:type="dxa"/>
            <w:vMerge w:val="restart"/>
            <w:tcMar>
              <w:left w:w="0" w:type="dxa"/>
              <w:right w:w="0" w:type="dxa"/>
            </w:tcMar>
            <w:vAlign w:val="center"/>
          </w:tcPr>
          <w:p>
            <w:pPr>
              <w:pStyle w:val="42"/>
              <w:spacing w:before="6" w:line="240" w:lineRule="auto"/>
              <w:ind w:left="40" w:firstLine="0" w:firstLineChars="0"/>
              <w:jc w:val="center"/>
              <w:rPr>
                <w:rFonts w:ascii="宋体" w:hAnsi="宋体" w:cs="宋体"/>
                <w:color w:val="auto"/>
                <w:sz w:val="21"/>
                <w:szCs w:val="21"/>
              </w:rPr>
            </w:pPr>
            <w:r>
              <w:rPr>
                <w:rFonts w:ascii="宋体" w:hAnsi="宋体" w:cs="宋体"/>
                <w:color w:val="auto"/>
                <w:sz w:val="21"/>
                <w:szCs w:val="21"/>
              </w:rPr>
              <w:t>满足《危险废物贮存</w:t>
            </w:r>
          </w:p>
          <w:p>
            <w:pPr>
              <w:pStyle w:val="42"/>
              <w:spacing w:line="240" w:lineRule="auto"/>
              <w:ind w:left="52" w:firstLine="0" w:firstLineChars="0"/>
              <w:jc w:val="center"/>
              <w:rPr>
                <w:rFonts w:eastAsia="Times New Roman"/>
                <w:color w:val="auto"/>
                <w:sz w:val="21"/>
                <w:szCs w:val="21"/>
              </w:rPr>
            </w:pPr>
            <w:r>
              <w:rPr>
                <w:rFonts w:ascii="宋体" w:hAnsi="宋体" w:cs="宋体"/>
                <w:color w:val="auto"/>
                <w:spacing w:val="-11"/>
                <w:sz w:val="21"/>
                <w:szCs w:val="21"/>
              </w:rPr>
              <w:t>污染控制标准》（</w:t>
            </w:r>
            <w:r>
              <w:rPr>
                <w:rFonts w:eastAsia="Times New Roman"/>
                <w:color w:val="auto"/>
                <w:spacing w:val="-11"/>
                <w:sz w:val="21"/>
                <w:szCs w:val="21"/>
              </w:rPr>
              <w:t>GB</w:t>
            </w:r>
          </w:p>
          <w:p>
            <w:pPr>
              <w:pStyle w:val="42"/>
              <w:spacing w:line="240" w:lineRule="auto"/>
              <w:ind w:left="-1" w:right="-1" w:firstLine="0" w:firstLineChars="0"/>
              <w:jc w:val="center"/>
              <w:rPr>
                <w:rFonts w:ascii="宋体" w:hAnsi="宋体" w:cs="宋体"/>
                <w:color w:val="auto"/>
                <w:sz w:val="21"/>
                <w:szCs w:val="21"/>
              </w:rPr>
            </w:pPr>
            <w:r>
              <w:rPr>
                <w:rFonts w:eastAsia="Times New Roman"/>
                <w:color w:val="auto"/>
                <w:spacing w:val="-9"/>
                <w:sz w:val="21"/>
                <w:szCs w:val="21"/>
              </w:rPr>
              <w:t>18597-2001</w:t>
            </w:r>
            <w:r>
              <w:rPr>
                <w:rFonts w:ascii="宋体" w:hAnsi="宋体" w:cs="宋体"/>
                <w:color w:val="auto"/>
                <w:spacing w:val="-9"/>
                <w:sz w:val="21"/>
                <w:szCs w:val="21"/>
              </w:rPr>
              <w:t>）（</w:t>
            </w:r>
            <w:r>
              <w:rPr>
                <w:rFonts w:eastAsia="Times New Roman"/>
                <w:color w:val="auto"/>
                <w:spacing w:val="-9"/>
                <w:sz w:val="21"/>
                <w:szCs w:val="21"/>
              </w:rPr>
              <w:t>2013</w:t>
            </w:r>
            <w:r>
              <w:rPr>
                <w:rFonts w:eastAsia="Times New Roman"/>
                <w:color w:val="auto"/>
                <w:spacing w:val="-4"/>
                <w:sz w:val="21"/>
                <w:szCs w:val="21"/>
              </w:rPr>
              <w:t xml:space="preserve"> </w:t>
            </w:r>
            <w:r>
              <w:rPr>
                <w:rFonts w:ascii="宋体" w:hAnsi="宋体" w:cs="宋体"/>
                <w:color w:val="auto"/>
                <w:sz w:val="21"/>
                <w:szCs w:val="21"/>
              </w:rPr>
              <w:t>修</w:t>
            </w:r>
          </w:p>
          <w:p>
            <w:pPr>
              <w:pStyle w:val="42"/>
              <w:spacing w:line="240" w:lineRule="auto"/>
              <w:ind w:firstLine="0" w:firstLineChars="0"/>
              <w:jc w:val="center"/>
              <w:rPr>
                <w:color w:val="auto"/>
                <w:sz w:val="21"/>
                <w:szCs w:val="21"/>
              </w:rPr>
            </w:pPr>
            <w:r>
              <w:rPr>
                <w:rFonts w:ascii="宋体" w:hAnsi="宋体" w:cs="宋体"/>
                <w:color w:val="auto"/>
                <w:sz w:val="21"/>
                <w:szCs w:val="21"/>
              </w:rPr>
              <w:t>订版）</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540" w:type="dxa"/>
            <w:tcMar>
              <w:left w:w="0" w:type="dxa"/>
              <w:right w:w="0" w:type="dxa"/>
            </w:tcMar>
            <w:vAlign w:val="center"/>
          </w:tcPr>
          <w:p>
            <w:pPr>
              <w:spacing w:line="240" w:lineRule="auto"/>
              <w:ind w:firstLine="0" w:firstLineChars="0"/>
              <w:jc w:val="center"/>
              <w:rPr>
                <w:rFonts w:hint="eastAsia" w:eastAsia="宋体"/>
                <w:color w:val="auto"/>
                <w:sz w:val="21"/>
                <w:szCs w:val="21"/>
                <w:lang w:eastAsia="zh-CN"/>
              </w:rPr>
            </w:pPr>
            <w:r>
              <w:rPr>
                <w:rFonts w:hint="eastAsia"/>
                <w:color w:val="auto"/>
                <w:sz w:val="21"/>
                <w:szCs w:val="21"/>
                <w:lang w:val="en-US" w:eastAsia="zh-CN"/>
              </w:rPr>
              <w:t>6</w:t>
            </w:r>
          </w:p>
        </w:tc>
        <w:tc>
          <w:tcPr>
            <w:tcW w:w="1478" w:type="dxa"/>
            <w:tcMar>
              <w:left w:w="0" w:type="dxa"/>
              <w:right w:w="0" w:type="dxa"/>
            </w:tcMar>
            <w:vAlign w:val="center"/>
          </w:tcPr>
          <w:p>
            <w:pPr>
              <w:spacing w:line="240" w:lineRule="auto"/>
              <w:ind w:firstLine="0" w:firstLineChars="0"/>
              <w:jc w:val="center"/>
              <w:rPr>
                <w:color w:val="auto"/>
                <w:sz w:val="21"/>
                <w:szCs w:val="21"/>
              </w:rPr>
            </w:pPr>
            <w:r>
              <w:rPr>
                <w:rFonts w:hint="eastAsia"/>
                <w:color w:val="auto"/>
                <w:sz w:val="21"/>
                <w:szCs w:val="21"/>
              </w:rPr>
              <w:t>病死猪暂存间、病死猪处理间</w:t>
            </w:r>
          </w:p>
        </w:tc>
        <w:tc>
          <w:tcPr>
            <w:tcW w:w="4500" w:type="dxa"/>
            <w:tcMar>
              <w:left w:w="0" w:type="dxa"/>
              <w:right w:w="0" w:type="dxa"/>
            </w:tcMar>
            <w:vAlign w:val="center"/>
          </w:tcPr>
          <w:p>
            <w:pPr>
              <w:spacing w:line="240" w:lineRule="auto"/>
              <w:ind w:left="120" w:leftChars="50" w:right="120" w:rightChars="50" w:firstLine="0" w:firstLineChars="0"/>
              <w:jc w:val="left"/>
              <w:rPr>
                <w:color w:val="auto"/>
                <w:sz w:val="21"/>
                <w:szCs w:val="21"/>
              </w:rPr>
            </w:pPr>
            <w:r>
              <w:rPr>
                <w:color w:val="auto"/>
                <w:sz w:val="21"/>
                <w:szCs w:val="21"/>
              </w:rPr>
              <w:t>基础必须防渗，防渗层为至少1m厚粘土层(渗透系数≤10</w:t>
            </w:r>
            <w:r>
              <w:rPr>
                <w:color w:val="auto"/>
                <w:sz w:val="21"/>
                <w:szCs w:val="21"/>
                <w:vertAlign w:val="superscript"/>
              </w:rPr>
              <w:t>-7</w:t>
            </w:r>
            <w:r>
              <w:rPr>
                <w:color w:val="auto"/>
                <w:sz w:val="21"/>
                <w:szCs w:val="21"/>
              </w:rPr>
              <w:t>cm/s)，或2mm厚高密度聚乙烯，或至少2mm厚的其它人工材料，渗透系数≤10-10cm/s</w:t>
            </w:r>
          </w:p>
        </w:tc>
        <w:tc>
          <w:tcPr>
            <w:tcW w:w="2326" w:type="dxa"/>
            <w:vMerge w:val="continue"/>
            <w:tcMar>
              <w:left w:w="0" w:type="dxa"/>
              <w:right w:w="0" w:type="dxa"/>
            </w:tcMar>
            <w:vAlign w:val="center"/>
          </w:tcPr>
          <w:p>
            <w:pPr>
              <w:spacing w:line="240" w:lineRule="auto"/>
              <w:ind w:firstLine="0" w:firstLineChars="0"/>
              <w:jc w:val="center"/>
              <w:rPr>
                <w:color w:val="auto"/>
                <w:sz w:val="21"/>
                <w:szCs w:val="21"/>
              </w:rPr>
            </w:pPr>
          </w:p>
        </w:tc>
      </w:tr>
    </w:tbl>
    <w:p>
      <w:pPr>
        <w:ind w:firstLine="480"/>
        <w:rPr>
          <w:color w:val="auto"/>
        </w:rPr>
      </w:pPr>
      <w:r>
        <w:rPr>
          <w:color w:val="auto"/>
        </w:rPr>
        <w:t>综上分析，建设项目</w:t>
      </w:r>
      <w:r>
        <w:rPr>
          <w:rFonts w:hint="eastAsia"/>
          <w:color w:val="auto"/>
        </w:rPr>
        <w:t>厂区</w:t>
      </w:r>
      <w:r>
        <w:rPr>
          <w:color w:val="auto"/>
        </w:rPr>
        <w:t>地下水环境在落实好防渗、防污措施后，本项目污染物能得到有效处理，对地下水水质影响较小，项目的建设不会产生其他环境地质问题，因此对地下水环境质量影响较小。</w:t>
      </w:r>
    </w:p>
    <w:p>
      <w:pPr>
        <w:ind w:firstLine="480"/>
        <w:rPr>
          <w:color w:val="auto"/>
        </w:rPr>
      </w:pPr>
      <w:r>
        <w:rPr>
          <w:color w:val="auto"/>
        </w:rPr>
        <w:t>（2）沼液消纳地地下水影响分析</w:t>
      </w:r>
    </w:p>
    <w:p>
      <w:pPr>
        <w:ind w:firstLine="480"/>
        <w:rPr>
          <w:color w:val="auto"/>
        </w:rPr>
      </w:pPr>
      <w:r>
        <w:rPr>
          <w:rFonts w:hint="eastAsia"/>
          <w:color w:val="auto"/>
        </w:rPr>
        <w:t>①</w:t>
      </w:r>
      <w:r>
        <w:rPr>
          <w:color w:val="auto"/>
        </w:rPr>
        <w:t>沼液消纳地土壤</w:t>
      </w:r>
    </w:p>
    <w:p>
      <w:pPr>
        <w:ind w:firstLine="480"/>
        <w:rPr>
          <w:color w:val="auto"/>
        </w:rPr>
      </w:pPr>
      <w:r>
        <w:rPr>
          <w:rFonts w:hint="eastAsia"/>
          <w:color w:val="auto"/>
        </w:rPr>
        <w:t>目前本项目沼液消纳区使用化肥增加土壤肥力，化肥容易引起土壤酸度变化。过磷酸钙、硫酸铵、氯化铵等都属生物酸性肥料，即植物吸收肥料中的养分离子后</w:t>
      </w:r>
      <w:r>
        <w:rPr>
          <w:color w:val="auto"/>
        </w:rPr>
        <w:t>,</w:t>
      </w:r>
      <w:r>
        <w:rPr>
          <w:rFonts w:hint="eastAsia"/>
          <w:color w:val="auto"/>
        </w:rPr>
        <w:t>土壤中氢离子增多，易造成土壤酸化，长期大量施用化肥，尤其在连续施用单一品种化肥时，在短期内即可出现这种情况。土壤酸化后会导致有毒物质的释放，或使有毒物质毒性增强，对生物体产生不良影响，土壤酸化还能溶解土壤中的一些营养物质</w:t>
      </w:r>
      <w:r>
        <w:rPr>
          <w:color w:val="auto"/>
        </w:rPr>
        <w:t>,</w:t>
      </w:r>
      <w:r>
        <w:rPr>
          <w:rFonts w:hint="eastAsia"/>
          <w:color w:val="auto"/>
        </w:rPr>
        <w:t>在降雨和灌溉的作用下，向下渗透补给地下水，使得营养成分流失，造成土壤贫瘠化，影响作物的生长。导致土壤板结，肥力下降。化肥使用过多，大量的</w:t>
      </w:r>
      <w:r>
        <w:rPr>
          <w:color w:val="auto"/>
        </w:rPr>
        <w:t>NH</w:t>
      </w:r>
      <w:r>
        <w:rPr>
          <w:color w:val="auto"/>
          <w:vertAlign w:val="subscript"/>
        </w:rPr>
        <w:t>4</w:t>
      </w:r>
      <w:r>
        <w:rPr>
          <w:color w:val="auto"/>
          <w:vertAlign w:val="superscript"/>
        </w:rPr>
        <w:t>+</w:t>
      </w:r>
      <w:r>
        <w:rPr>
          <w:rFonts w:hint="eastAsia"/>
          <w:color w:val="auto"/>
        </w:rPr>
        <w:t>、</w:t>
      </w:r>
      <w:r>
        <w:rPr>
          <w:color w:val="auto"/>
        </w:rPr>
        <w:t>K</w:t>
      </w:r>
      <w:r>
        <w:rPr>
          <w:color w:val="auto"/>
          <w:vertAlign w:val="superscript"/>
        </w:rPr>
        <w:t>+</w:t>
      </w:r>
      <w:r>
        <w:rPr>
          <w:rFonts w:hint="eastAsia"/>
          <w:color w:val="auto"/>
        </w:rPr>
        <w:t>和土壤胶体吸附的</w:t>
      </w:r>
      <w:r>
        <w:rPr>
          <w:color w:val="auto"/>
        </w:rPr>
        <w:t>Ca</w:t>
      </w:r>
      <w:r>
        <w:rPr>
          <w:color w:val="auto"/>
          <w:vertAlign w:val="superscript"/>
        </w:rPr>
        <w:t>2+</w:t>
      </w:r>
      <w:r>
        <w:rPr>
          <w:rFonts w:hint="eastAsia"/>
          <w:color w:val="auto"/>
        </w:rPr>
        <w:t>、</w:t>
      </w:r>
      <w:r>
        <w:rPr>
          <w:color w:val="auto"/>
        </w:rPr>
        <w:t>Mg</w:t>
      </w:r>
      <w:r>
        <w:rPr>
          <w:color w:val="auto"/>
          <w:vertAlign w:val="superscript"/>
        </w:rPr>
        <w:t>2+</w:t>
      </w:r>
      <w:r>
        <w:rPr>
          <w:rFonts w:hint="eastAsia"/>
          <w:color w:val="auto"/>
        </w:rPr>
        <w:t>等阳离子发生交换，使土壤结构被破坏，导致土壤板结。大量施用化肥，用地不养地，造成土壤有机质下降，化肥无法补偿有机质的缺乏，进一步影响了土壤微生物的生存，不仅破坏了土壤肥力结构，而且还降低了肥效。有害物质对土壤产生污染，制造化肥的矿物原料及化工原料中，含有多种重金属放射性物质和其他有害成分，它们随施肥过入农田土壤造成污染。</w:t>
      </w:r>
    </w:p>
    <w:p>
      <w:pPr>
        <w:ind w:firstLine="480"/>
        <w:rPr>
          <w:color w:val="auto"/>
        </w:rPr>
      </w:pPr>
      <w:r>
        <w:rPr>
          <w:rFonts w:hint="eastAsia"/>
          <w:color w:val="auto"/>
        </w:rPr>
        <w:t>沼液是沼气发酵产生沼气后的残留物之一，沼液对于提高土壤中有机质的含量具有一定促进作用，有机质能吸附较多的阳离子，使土壤具有保肥力和缓冲性，它还能使土壤疏松和形成结构，从而改善土壤的物理性状，它也是土壤微生物必不可少的碳源和能源。本项目农作物以小麦、玉米为主，有时冬季种大蒜，这些农作物需要大量的养分，沼液能提供充足的养分。</w:t>
      </w:r>
    </w:p>
    <w:p>
      <w:pPr>
        <w:ind w:firstLine="480"/>
        <w:rPr>
          <w:color w:val="auto"/>
        </w:rPr>
      </w:pPr>
      <w:r>
        <w:rPr>
          <w:rFonts w:hint="eastAsia"/>
          <w:color w:val="auto"/>
        </w:rPr>
        <w:t>沼液中主要含有以下三大类物质：营养物质、矿物质和活性物质。沼液中不但含有氮、磷、钾元素，还含有丰富的多种微量原素，</w:t>
      </w:r>
      <w:r>
        <w:rPr>
          <w:color w:val="auto"/>
        </w:rPr>
        <w:t>19</w:t>
      </w:r>
      <w:r>
        <w:rPr>
          <w:rFonts w:hint="eastAsia"/>
          <w:color w:val="auto"/>
        </w:rPr>
        <w:t>种氨基酸，抗菌素、植物激素和水解酶，能很好的促进作物生长，同时含有氨态氮有较强的防治病虫害的能力。沼液中的大最有机质、腐殖质可以明显的改善土壤理化性质，提髙肥力，提高地力，可以使农业用地变成有持续发展的良性循环的金土地。沼液含有大量丰富的营养成分，是农作物的无公害长效肥料，施用后能增产增收改善土壤结构，克服了我国化肥的施用量急剧增加，导致农田土壤产生质变，有机质含最降低，导致土壤板结，肥力下降等现象。</w:t>
      </w:r>
    </w:p>
    <w:p>
      <w:pPr>
        <w:ind w:firstLine="480"/>
        <w:rPr>
          <w:color w:val="auto"/>
        </w:rPr>
      </w:pPr>
      <w:r>
        <w:rPr>
          <w:rFonts w:hint="eastAsia"/>
          <w:color w:val="auto"/>
        </w:rPr>
        <w:t>②</w:t>
      </w:r>
      <w:r>
        <w:rPr>
          <w:color w:val="auto"/>
        </w:rPr>
        <w:t>沼液消纳区对地下水的影响</w:t>
      </w:r>
    </w:p>
    <w:p>
      <w:pPr>
        <w:ind w:firstLine="480"/>
        <w:rPr>
          <w:color w:val="auto"/>
        </w:rPr>
      </w:pPr>
      <w:r>
        <w:rPr>
          <w:color w:val="auto"/>
        </w:rPr>
        <w:t>沼液浇灌方式有釆用田间开沟洒施、叶面喷施和浇施三种方式，宜在各种作物的各生长关键时期之前施用。</w:t>
      </w:r>
      <w:r>
        <w:rPr>
          <w:rFonts w:hint="eastAsia"/>
          <w:color w:val="auto"/>
        </w:rPr>
        <w:t>由厂区</w:t>
      </w:r>
      <w:r>
        <w:rPr>
          <w:rFonts w:hint="eastAsia"/>
          <w:bCs/>
          <w:color w:val="auto"/>
        </w:rPr>
        <w:t>黑膜沼气池</w:t>
      </w:r>
      <w:r>
        <w:rPr>
          <w:rFonts w:hint="eastAsia"/>
          <w:color w:val="auto"/>
        </w:rPr>
        <w:t>引至施肥农田配套管道主干管长度为</w:t>
      </w:r>
      <w:r>
        <w:rPr>
          <w:rFonts w:hint="eastAsia"/>
          <w:color w:val="auto"/>
          <w:lang w:val="en-US" w:eastAsia="zh-CN"/>
        </w:rPr>
        <w:t>2k</w:t>
      </w:r>
      <w:r>
        <w:rPr>
          <w:rFonts w:hint="eastAsia"/>
          <w:color w:val="auto"/>
        </w:rPr>
        <w:t>m，支管长度为</w:t>
      </w:r>
      <w:r>
        <w:rPr>
          <w:rFonts w:hint="eastAsia"/>
          <w:color w:val="auto"/>
          <w:lang w:val="en-US" w:eastAsia="zh-CN"/>
        </w:rPr>
        <w:t>3800</w:t>
      </w:r>
      <w:r>
        <w:rPr>
          <w:rFonts w:hint="eastAsia"/>
          <w:color w:val="auto"/>
        </w:rPr>
        <w:t>m，主干管直径为160mm，支管直径分别为110mm和75mm</w:t>
      </w:r>
      <w:r>
        <w:rPr>
          <w:color w:val="auto"/>
        </w:rPr>
        <w:t>。用作基肥，当地群众只需通过软管和预留口连接，在田间采用喷灌的方式对农田进行施肥。喷灌方式相对开沟洒施和浇施来讲对地下水影响最小。</w:t>
      </w:r>
    </w:p>
    <w:p>
      <w:pPr>
        <w:ind w:firstLine="480"/>
        <w:rPr>
          <w:color w:val="auto"/>
        </w:rPr>
      </w:pPr>
      <w:r>
        <w:rPr>
          <w:rFonts w:hint="eastAsia"/>
          <w:color w:val="auto"/>
        </w:rPr>
        <w:t>③沼液施肥对地下水可能存在的影响</w:t>
      </w:r>
    </w:p>
    <w:p>
      <w:pPr>
        <w:ind w:firstLine="480"/>
        <w:rPr>
          <w:color w:val="auto"/>
        </w:rPr>
      </w:pPr>
      <w:r>
        <w:rPr>
          <w:rFonts w:hint="eastAsia"/>
          <w:color w:val="auto"/>
        </w:rPr>
        <w:t>本项目产生的沼液暂存于</w:t>
      </w:r>
      <w:r>
        <w:rPr>
          <w:rFonts w:hint="eastAsia"/>
          <w:bCs/>
          <w:color w:val="auto"/>
        </w:rPr>
        <w:t>黑膜沼气池</w:t>
      </w:r>
      <w:r>
        <w:rPr>
          <w:rFonts w:hint="eastAsia"/>
          <w:color w:val="auto"/>
        </w:rPr>
        <w:t>内，在施肥季节施用于农田，沼液施用于农田可能会对地下水水质造成影响。沼液中</w:t>
      </w:r>
      <w:r>
        <w:rPr>
          <w:color w:val="auto"/>
        </w:rPr>
        <w:t>NH</w:t>
      </w:r>
      <w:r>
        <w:rPr>
          <w:color w:val="auto"/>
          <w:vertAlign w:val="subscript"/>
        </w:rPr>
        <w:t>3</w:t>
      </w:r>
      <w:r>
        <w:rPr>
          <w:color w:val="auto"/>
        </w:rPr>
        <w:t>-N</w:t>
      </w:r>
      <w:r>
        <w:rPr>
          <w:rFonts w:hint="eastAsia"/>
          <w:color w:val="auto"/>
        </w:rPr>
        <w:t>在包气带中的迁移是一个复杂的过程，主要的化学反应是硝化、反硝化作用。本项目厌氧处理后的废水水质简单，经过在耕作土中的迁移转化、吸附降解等作用，能够渗入地下水的污染物较少，进入环境的</w:t>
      </w:r>
      <w:r>
        <w:rPr>
          <w:color w:val="auto"/>
        </w:rPr>
        <w:t>NH</w:t>
      </w:r>
      <w:r>
        <w:rPr>
          <w:color w:val="auto"/>
          <w:vertAlign w:val="subscript"/>
        </w:rPr>
        <w:t>3</w:t>
      </w:r>
      <w:r>
        <w:rPr>
          <w:color w:val="auto"/>
        </w:rPr>
        <w:t>-N</w:t>
      </w:r>
      <w:r>
        <w:rPr>
          <w:rFonts w:hint="eastAsia"/>
          <w:color w:val="auto"/>
        </w:rPr>
        <w:t>被大量吸附并保存在土壤中。由于植物的根区效应，在植物的根系周围形成了许多好氧、缺氧和厌氧小区，</w:t>
      </w:r>
      <w:r>
        <w:rPr>
          <w:color w:val="auto"/>
        </w:rPr>
        <w:t>NH</w:t>
      </w:r>
      <w:r>
        <w:rPr>
          <w:color w:val="auto"/>
          <w:vertAlign w:val="subscript"/>
        </w:rPr>
        <w:t>3</w:t>
      </w:r>
      <w:r>
        <w:rPr>
          <w:color w:val="auto"/>
        </w:rPr>
        <w:t>-N</w:t>
      </w:r>
      <w:r>
        <w:rPr>
          <w:rFonts w:hint="eastAsia"/>
          <w:color w:val="auto"/>
        </w:rPr>
        <w:t>在植物根系好氧环境下经硝化作用转化为</w:t>
      </w:r>
      <w:r>
        <w:rPr>
          <w:color w:val="auto"/>
        </w:rPr>
        <w:t>NO</w:t>
      </w:r>
      <w:r>
        <w:rPr>
          <w:color w:val="auto"/>
          <w:vertAlign w:val="subscript"/>
        </w:rPr>
        <w:t>3</w:t>
      </w:r>
      <w:r>
        <w:rPr>
          <w:color w:val="auto"/>
          <w:vertAlign w:val="superscript"/>
        </w:rPr>
        <w:t>-</w:t>
      </w:r>
      <w:r>
        <w:rPr>
          <w:rFonts w:hint="eastAsia"/>
          <w:color w:val="auto"/>
        </w:rPr>
        <w:t>，</w:t>
      </w:r>
      <w:r>
        <w:rPr>
          <w:color w:val="auto"/>
        </w:rPr>
        <w:t>NO</w:t>
      </w:r>
      <w:r>
        <w:rPr>
          <w:color w:val="auto"/>
          <w:vertAlign w:val="subscript"/>
        </w:rPr>
        <w:t>3</w:t>
      </w:r>
      <w:r>
        <w:rPr>
          <w:color w:val="auto"/>
          <w:vertAlign w:val="superscript"/>
        </w:rPr>
        <w:t>-</w:t>
      </w:r>
      <w:r>
        <w:rPr>
          <w:rFonts w:hint="eastAsia"/>
          <w:color w:val="auto"/>
        </w:rPr>
        <w:t>扩散到缺氧区，通过微生物的反硝化作用还原为</w:t>
      </w:r>
      <w:r>
        <w:rPr>
          <w:color w:val="auto"/>
        </w:rPr>
        <w:t>N</w:t>
      </w:r>
      <w:r>
        <w:rPr>
          <w:color w:val="auto"/>
          <w:vertAlign w:val="subscript"/>
        </w:rPr>
        <w:t>2</w:t>
      </w:r>
      <w:r>
        <w:rPr>
          <w:rFonts w:hint="eastAsia"/>
          <w:color w:val="auto"/>
        </w:rPr>
        <w:t>或</w:t>
      </w:r>
      <w:r>
        <w:rPr>
          <w:color w:val="auto"/>
        </w:rPr>
        <w:t>N</w:t>
      </w:r>
      <w:r>
        <w:rPr>
          <w:color w:val="auto"/>
          <w:vertAlign w:val="subscript"/>
        </w:rPr>
        <w:t>2</w:t>
      </w:r>
      <w:r>
        <w:rPr>
          <w:color w:val="auto"/>
        </w:rPr>
        <w:t>O</w:t>
      </w:r>
      <w:r>
        <w:rPr>
          <w:rFonts w:hint="eastAsia"/>
          <w:color w:val="auto"/>
        </w:rPr>
        <w:t>而去除。</w:t>
      </w:r>
    </w:p>
    <w:p>
      <w:pPr>
        <w:ind w:firstLine="480"/>
        <w:rPr>
          <w:color w:val="auto"/>
        </w:rPr>
      </w:pPr>
      <w:r>
        <w:rPr>
          <w:color w:val="auto"/>
        </w:rPr>
        <w:t>A.</w:t>
      </w:r>
      <w:r>
        <w:rPr>
          <w:rFonts w:hint="eastAsia"/>
          <w:color w:val="auto"/>
        </w:rPr>
        <w:t>正常工况下污染源预测</w:t>
      </w:r>
    </w:p>
    <w:p>
      <w:pPr>
        <w:ind w:firstLine="480"/>
        <w:rPr>
          <w:color w:val="auto"/>
        </w:rPr>
      </w:pPr>
      <w:r>
        <w:rPr>
          <w:rFonts w:hint="eastAsia"/>
          <w:color w:val="auto"/>
        </w:rPr>
        <w:t>据文献资料《废水中氨氮在土壤处理系统中迁移转化的模拟研究》，包气带对污染物的吸附过程是线性的，即</w:t>
      </w:r>
      <w:r>
        <w:rPr>
          <w:color w:val="auto"/>
        </w:rPr>
        <w:t>S=K</w:t>
      </w:r>
      <w:r>
        <w:rPr>
          <w:color w:val="auto"/>
          <w:vertAlign w:val="subscript"/>
        </w:rPr>
        <w:t>d</w:t>
      </w:r>
      <w:r>
        <w:rPr>
          <w:color w:val="auto"/>
        </w:rPr>
        <w:t>C</w:t>
      </w:r>
      <w:r>
        <w:rPr>
          <w:rFonts w:hint="eastAsia"/>
          <w:color w:val="auto"/>
        </w:rPr>
        <w:t>，吸附系数</w:t>
      </w:r>
      <w:r>
        <w:rPr>
          <w:color w:val="auto"/>
        </w:rPr>
        <w:t>K</w:t>
      </w:r>
      <w:r>
        <w:rPr>
          <w:color w:val="auto"/>
          <w:vertAlign w:val="subscript"/>
        </w:rPr>
        <w:t>d</w:t>
      </w:r>
      <w:r>
        <w:rPr>
          <w:color w:val="auto"/>
        </w:rPr>
        <w:t>=0.0976</w:t>
      </w:r>
      <w:r>
        <w:rPr>
          <w:rFonts w:hint="eastAsia"/>
          <w:color w:val="auto"/>
        </w:rPr>
        <w:t>；降解曲线符合一级动力学方程，即</w:t>
      </w:r>
      <w:r>
        <w:rPr>
          <w:color w:val="auto"/>
        </w:rPr>
        <w:t>C=C</w:t>
      </w:r>
      <w:r>
        <w:rPr>
          <w:color w:val="auto"/>
          <w:vertAlign w:val="subscript"/>
        </w:rPr>
        <w:t>0</w:t>
      </w:r>
      <w:r>
        <w:rPr>
          <w:color w:val="auto"/>
        </w:rPr>
        <w:t>e</w:t>
      </w:r>
      <w:r>
        <w:rPr>
          <w:color w:val="auto"/>
          <w:vertAlign w:val="superscript"/>
        </w:rPr>
        <w:t>-</w:t>
      </w:r>
      <w:r>
        <w:rPr>
          <w:rFonts w:hint="eastAsia"/>
          <w:color w:val="auto"/>
          <w:vertAlign w:val="superscript"/>
        </w:rPr>
        <w:t>λ</w:t>
      </w:r>
      <w:r>
        <w:rPr>
          <w:color w:val="auto"/>
          <w:vertAlign w:val="superscript"/>
        </w:rPr>
        <w:t>t</w:t>
      </w:r>
      <w:r>
        <w:rPr>
          <w:rFonts w:hint="eastAsia"/>
          <w:color w:val="auto"/>
        </w:rPr>
        <w:t>，降解系数λ</w:t>
      </w:r>
      <w:r>
        <w:rPr>
          <w:color w:val="auto"/>
        </w:rPr>
        <w:t>=0.0324d</w:t>
      </w:r>
      <w:r>
        <w:rPr>
          <w:color w:val="auto"/>
          <w:vertAlign w:val="superscript"/>
        </w:rPr>
        <w:t>-1</w:t>
      </w:r>
      <w:r>
        <w:rPr>
          <w:rFonts w:hint="eastAsia"/>
          <w:color w:val="auto"/>
        </w:rPr>
        <w:t>。在没有底部、侧部和顶部的防护系统的情况下大致需要</w:t>
      </w:r>
      <w:r>
        <w:rPr>
          <w:color w:val="auto"/>
        </w:rPr>
        <w:t>6</w:t>
      </w:r>
      <w:r>
        <w:rPr>
          <w:rFonts w:hint="eastAsia"/>
          <w:color w:val="auto"/>
        </w:rPr>
        <w:t>天，污染能穿透</w:t>
      </w:r>
      <w:r>
        <w:rPr>
          <w:color w:val="auto"/>
        </w:rPr>
        <w:t>1m</w:t>
      </w:r>
      <w:r>
        <w:rPr>
          <w:rFonts w:hint="eastAsia"/>
          <w:color w:val="auto"/>
        </w:rPr>
        <w:t>的包气带土层；</w:t>
      </w:r>
      <w:r>
        <w:rPr>
          <w:color w:val="auto"/>
        </w:rPr>
        <w:t>10</w:t>
      </w:r>
      <w:r>
        <w:rPr>
          <w:rFonts w:hint="eastAsia"/>
          <w:color w:val="auto"/>
        </w:rPr>
        <w:t>天能穿透</w:t>
      </w:r>
      <w:r>
        <w:rPr>
          <w:color w:val="auto"/>
        </w:rPr>
        <w:t>2m</w:t>
      </w:r>
      <w:r>
        <w:rPr>
          <w:rFonts w:hint="eastAsia"/>
          <w:color w:val="auto"/>
        </w:rPr>
        <w:t>的包气带土层；</w:t>
      </w:r>
      <w:r>
        <w:rPr>
          <w:color w:val="auto"/>
        </w:rPr>
        <w:t>23</w:t>
      </w:r>
      <w:r>
        <w:rPr>
          <w:rFonts w:hint="eastAsia"/>
          <w:color w:val="auto"/>
        </w:rPr>
        <w:t>天后污染物浓度会降为</w:t>
      </w:r>
      <w:r>
        <w:rPr>
          <w:color w:val="auto"/>
        </w:rPr>
        <w:t>0</w:t>
      </w:r>
      <w:r>
        <w:rPr>
          <w:rFonts w:hint="eastAsia"/>
          <w:color w:val="auto"/>
        </w:rPr>
        <w:t>。由此可知，</w:t>
      </w:r>
      <w:r>
        <w:rPr>
          <w:color w:val="auto"/>
        </w:rPr>
        <w:t>NH</w:t>
      </w:r>
      <w:r>
        <w:rPr>
          <w:color w:val="auto"/>
          <w:vertAlign w:val="subscript"/>
        </w:rPr>
        <w:t>3</w:t>
      </w:r>
      <w:r>
        <w:rPr>
          <w:color w:val="auto"/>
        </w:rPr>
        <w:t>-N</w:t>
      </w:r>
      <w:r>
        <w:rPr>
          <w:rFonts w:hint="eastAsia"/>
          <w:color w:val="auto"/>
        </w:rPr>
        <w:t>基本上不会到达地下水层，因此，本项目</w:t>
      </w:r>
      <w:r>
        <w:rPr>
          <w:color w:val="auto"/>
        </w:rPr>
        <w:t>NH</w:t>
      </w:r>
      <w:r>
        <w:rPr>
          <w:color w:val="auto"/>
          <w:vertAlign w:val="subscript"/>
        </w:rPr>
        <w:t>3</w:t>
      </w:r>
      <w:r>
        <w:rPr>
          <w:color w:val="auto"/>
        </w:rPr>
        <w:t>-N</w:t>
      </w:r>
      <w:r>
        <w:rPr>
          <w:rFonts w:hint="eastAsia"/>
          <w:color w:val="auto"/>
        </w:rPr>
        <w:t>排放对地下水不会产生较大影响。</w:t>
      </w:r>
    </w:p>
    <w:p>
      <w:pPr>
        <w:ind w:firstLine="480"/>
        <w:rPr>
          <w:color w:val="auto"/>
        </w:rPr>
      </w:pPr>
      <w:r>
        <w:rPr>
          <w:rFonts w:hint="eastAsia"/>
          <w:color w:val="auto"/>
        </w:rPr>
        <w:t>另外，牧原公司对于沼液消纳地应建立科学合理的沼液利用制度，肥水适当施用，由企业结合农业技术部门根据天气状况、当地土地消纳能力、农田施肥及灌溉规律等定时定量合理施肥，防止过度施肥而影响地下水环境。</w:t>
      </w:r>
    </w:p>
    <w:p>
      <w:pPr>
        <w:ind w:firstLine="480"/>
        <w:rPr>
          <w:color w:val="auto"/>
        </w:rPr>
      </w:pPr>
      <w:r>
        <w:rPr>
          <w:color w:val="auto"/>
        </w:rPr>
        <w:t>B.</w:t>
      </w:r>
      <w:r>
        <w:rPr>
          <w:rFonts w:hint="eastAsia"/>
          <w:color w:val="auto"/>
        </w:rPr>
        <w:t>事故工况下污染源预测</w:t>
      </w:r>
    </w:p>
    <w:p>
      <w:pPr>
        <w:ind w:firstLine="480"/>
        <w:rPr>
          <w:color w:val="auto"/>
        </w:rPr>
      </w:pPr>
      <w:r>
        <w:rPr>
          <w:rFonts w:hint="eastAsia"/>
          <w:color w:val="auto"/>
        </w:rPr>
        <w:t>本项目事故主要考虑沼液暂存及使用单元、污水处理单元和输水管道的渗漏问题，此时污染物直接进入表土层，其浓度能在瞬间达到最大值，但是通过表土层以及包气带土层的降解左右，到达地下水埋深时其浓度很小，对地下水影响不大。考虑渗漏时间较长，包气带土层中污染物含量处于饱和状态，无法再降解，此时污染物就会出现下渗，可能会对地下水产生一定的污染。</w:t>
      </w:r>
    </w:p>
    <w:p>
      <w:pPr>
        <w:ind w:firstLine="480"/>
        <w:rPr>
          <w:color w:val="auto"/>
        </w:rPr>
      </w:pPr>
      <w:r>
        <w:rPr>
          <w:rFonts w:hint="eastAsia"/>
          <w:color w:val="auto"/>
        </w:rPr>
        <w:t>评价建议项目建设和运行过程中要加强地下水污染防治措施以减轻对区域地下水的影响：</w:t>
      </w:r>
    </w:p>
    <w:p>
      <w:pPr>
        <w:ind w:firstLine="480"/>
        <w:rPr>
          <w:color w:val="auto"/>
        </w:rPr>
      </w:pPr>
      <w:r>
        <w:rPr>
          <w:rFonts w:hint="eastAsia"/>
          <w:color w:val="auto"/>
        </w:rPr>
        <w:t>对场内</w:t>
      </w:r>
      <w:r>
        <w:rPr>
          <w:rFonts w:hint="eastAsia"/>
          <w:bCs/>
          <w:color w:val="auto"/>
        </w:rPr>
        <w:t>黑膜沼气池</w:t>
      </w:r>
      <w:r>
        <w:rPr>
          <w:rFonts w:hint="eastAsia"/>
          <w:color w:val="auto"/>
        </w:rPr>
        <w:t>应严格按照规范进行设计，做好防渗、防漏工程，同时输送管道严防跑、冒、滴、漏等，防止污水渗漏对地下水造成污染。成立事故处理组织，一旦发生管线泄漏、防渗层破裂，应立即组织人力、物力、财力加紧进行维修，同时进行废水拦截、回收、转移，以防止污染地下水。</w:t>
      </w:r>
    </w:p>
    <w:p>
      <w:pPr>
        <w:ind w:firstLine="480"/>
        <w:rPr>
          <w:color w:val="auto"/>
        </w:rPr>
      </w:pPr>
      <w:r>
        <w:rPr>
          <w:rFonts w:hint="eastAsia"/>
          <w:color w:val="auto"/>
        </w:rPr>
        <w:t>④地下水的防治措施</w:t>
      </w:r>
    </w:p>
    <w:p>
      <w:pPr>
        <w:ind w:firstLine="480"/>
        <w:rPr>
          <w:color w:val="auto"/>
        </w:rPr>
      </w:pPr>
      <w:r>
        <w:rPr>
          <w:rFonts w:hint="eastAsia"/>
          <w:color w:val="auto"/>
        </w:rPr>
        <w:t>沼液对于提高作物产量与品质提升土壤肥力促进植物种子萌发防治病虫害等方面具有积极作用，但长时间大量使用对于土壤地下水存在污染风险；农户由于自身的局限性，在实际生产中往往只关注提高作物产量，一味的加大沼液用量，而忽视了此举给地下水环境带来的不可逆污染。为了解决沼液对地下水环境的影响，建立地下水预警系统，在沼液消纳区地下水上下游建两口地下水监测井。消纳地由当地农民根据需要自己种植作物，公司负责无偿将沼液输送管网铺设至田间地头，然后根据施肥需求定期派出管理和技术人员指导农户合理施用沼液。</w:t>
      </w:r>
    </w:p>
    <w:p>
      <w:pPr>
        <w:ind w:firstLine="480"/>
        <w:rPr>
          <w:color w:val="auto"/>
        </w:rPr>
      </w:pPr>
      <w:r>
        <w:rPr>
          <w:rFonts w:hint="eastAsia"/>
          <w:color w:val="auto"/>
        </w:rPr>
        <w:t>（</w:t>
      </w:r>
      <w:r>
        <w:rPr>
          <w:color w:val="auto"/>
        </w:rPr>
        <w:t>3</w:t>
      </w:r>
      <w:r>
        <w:rPr>
          <w:rFonts w:hint="eastAsia"/>
          <w:color w:val="auto"/>
        </w:rPr>
        <w:t>）沼液施肥对饮用水源地的影响</w:t>
      </w:r>
    </w:p>
    <w:p>
      <w:pPr>
        <w:ind w:firstLine="480"/>
        <w:rPr>
          <w:color w:val="auto"/>
        </w:rPr>
      </w:pPr>
      <w:r>
        <w:rPr>
          <w:rFonts w:hint="eastAsia"/>
          <w:color w:val="auto"/>
        </w:rPr>
        <w:t>经对比濮阳县饮用水水源地保护区划，距离本项目最近的为李子园地下水井群（共23眼井）饮用水水源一级保护区：取水井外50米的区域。本项目位于李子园地下水井群准保护区边界东侧2.6km，不在其准备其准保护区范围内，项目建设对其影响不大。</w:t>
      </w:r>
    </w:p>
    <w:p>
      <w:pPr>
        <w:ind w:firstLine="480"/>
        <w:rPr>
          <w:color w:val="auto"/>
        </w:rPr>
      </w:pPr>
      <w:r>
        <w:rPr>
          <w:rFonts w:hint="eastAsia"/>
          <w:color w:val="auto"/>
        </w:rPr>
        <w:t>（</w:t>
      </w:r>
      <w:r>
        <w:rPr>
          <w:color w:val="auto"/>
        </w:rPr>
        <w:t>4</w:t>
      </w:r>
      <w:r>
        <w:rPr>
          <w:rFonts w:hint="eastAsia"/>
          <w:color w:val="auto"/>
        </w:rPr>
        <w:t>）牧原其他已运行养殖场施肥地块消纳地监测井类比分析</w:t>
      </w:r>
    </w:p>
    <w:p>
      <w:pPr>
        <w:ind w:firstLine="480"/>
        <w:rPr>
          <w:color w:val="auto"/>
        </w:rPr>
      </w:pPr>
      <w:r>
        <w:rPr>
          <w:rFonts w:hint="eastAsia"/>
          <w:color w:val="auto"/>
        </w:rPr>
        <w:t>南阳市卧龙牧原养殖有限公司水寨分场年出栏生猪</w:t>
      </w:r>
      <w:r>
        <w:rPr>
          <w:color w:val="auto"/>
        </w:rPr>
        <w:t>10</w:t>
      </w:r>
      <w:r>
        <w:rPr>
          <w:rFonts w:hint="eastAsia"/>
          <w:color w:val="auto"/>
        </w:rPr>
        <w:t>万头；存栏</w:t>
      </w:r>
      <w:r>
        <w:rPr>
          <w:color w:val="auto"/>
        </w:rPr>
        <w:t>3000</w:t>
      </w:r>
      <w:r>
        <w:rPr>
          <w:rFonts w:hint="eastAsia"/>
          <w:color w:val="auto"/>
        </w:rPr>
        <w:t>头后备母猪、</w:t>
      </w:r>
      <w:r>
        <w:rPr>
          <w:color w:val="auto"/>
        </w:rPr>
        <w:t>16000</w:t>
      </w:r>
      <w:r>
        <w:rPr>
          <w:rFonts w:hint="eastAsia"/>
          <w:color w:val="auto"/>
        </w:rPr>
        <w:t>头怀孕母猪、</w:t>
      </w:r>
      <w:r>
        <w:rPr>
          <w:color w:val="auto"/>
        </w:rPr>
        <w:t>4000</w:t>
      </w:r>
      <w:r>
        <w:rPr>
          <w:rFonts w:hint="eastAsia"/>
          <w:color w:val="auto"/>
        </w:rPr>
        <w:t>头哺乳母猪、</w:t>
      </w:r>
      <w:r>
        <w:rPr>
          <w:color w:val="auto"/>
        </w:rPr>
        <w:t>16200</w:t>
      </w:r>
      <w:r>
        <w:rPr>
          <w:rFonts w:hint="eastAsia"/>
          <w:color w:val="auto"/>
        </w:rPr>
        <w:t>头保育猪、</w:t>
      </w:r>
      <w:r>
        <w:rPr>
          <w:color w:val="auto"/>
        </w:rPr>
        <w:t>34200</w:t>
      </w:r>
      <w:r>
        <w:rPr>
          <w:rFonts w:hint="eastAsia"/>
          <w:color w:val="auto"/>
        </w:rPr>
        <w:t>头育肥猪。项目环境影响报告书于</w:t>
      </w:r>
      <w:r>
        <w:rPr>
          <w:color w:val="auto"/>
        </w:rPr>
        <w:t>2011</w:t>
      </w:r>
      <w:r>
        <w:rPr>
          <w:rFonts w:hint="eastAsia"/>
          <w:color w:val="auto"/>
        </w:rPr>
        <w:t>年</w:t>
      </w:r>
      <w:r>
        <w:rPr>
          <w:color w:val="auto"/>
        </w:rPr>
        <w:t>8</w:t>
      </w:r>
      <w:r>
        <w:rPr>
          <w:rFonts w:hint="eastAsia"/>
          <w:color w:val="auto"/>
        </w:rPr>
        <w:t>月经南阳市环保局批复（宛环审〔</w:t>
      </w:r>
      <w:r>
        <w:rPr>
          <w:color w:val="auto"/>
        </w:rPr>
        <w:t>2011</w:t>
      </w:r>
      <w:r>
        <w:rPr>
          <w:rFonts w:hint="eastAsia"/>
          <w:color w:val="auto"/>
        </w:rPr>
        <w:t>〕</w:t>
      </w:r>
      <w:r>
        <w:rPr>
          <w:color w:val="auto"/>
        </w:rPr>
        <w:t>173</w:t>
      </w:r>
      <w:r>
        <w:rPr>
          <w:rFonts w:hint="eastAsia"/>
          <w:color w:val="auto"/>
        </w:rPr>
        <w:t>号），于</w:t>
      </w:r>
      <w:r>
        <w:rPr>
          <w:color w:val="auto"/>
        </w:rPr>
        <w:t>2012</w:t>
      </w:r>
      <w:r>
        <w:rPr>
          <w:rFonts w:hint="eastAsia"/>
          <w:color w:val="auto"/>
        </w:rPr>
        <w:t>年</w:t>
      </w:r>
      <w:r>
        <w:rPr>
          <w:color w:val="auto"/>
        </w:rPr>
        <w:t>8</w:t>
      </w:r>
      <w:r>
        <w:rPr>
          <w:rFonts w:hint="eastAsia"/>
          <w:color w:val="auto"/>
        </w:rPr>
        <w:t>月建成运行，于</w:t>
      </w:r>
      <w:r>
        <w:rPr>
          <w:color w:val="auto"/>
        </w:rPr>
        <w:t>2015</w:t>
      </w:r>
      <w:r>
        <w:rPr>
          <w:rFonts w:hint="eastAsia"/>
          <w:color w:val="auto"/>
        </w:rPr>
        <w:t>年</w:t>
      </w:r>
      <w:r>
        <w:rPr>
          <w:color w:val="auto"/>
        </w:rPr>
        <w:t>9</w:t>
      </w:r>
      <w:r>
        <w:rPr>
          <w:rFonts w:hint="eastAsia"/>
          <w:color w:val="auto"/>
        </w:rPr>
        <w:t>月进行了环保验收，根据该场周围沼液消纳地快的地下水监测结果，见表5.2-27。</w:t>
      </w:r>
    </w:p>
    <w:p>
      <w:pPr>
        <w:spacing w:after="93" w:afterLines="30"/>
        <w:ind w:left="851" w:firstLine="482"/>
        <w:jc w:val="left"/>
        <w:rPr>
          <w:b/>
          <w:color w:val="auto"/>
          <w:szCs w:val="21"/>
        </w:rPr>
      </w:pPr>
      <w:r>
        <w:rPr>
          <w:rFonts w:hint="eastAsia"/>
          <w:b/>
          <w:color w:val="auto"/>
          <w:szCs w:val="21"/>
        </w:rPr>
        <w:t xml:space="preserve">表5.2-27     </w:t>
      </w:r>
      <w:r>
        <w:rPr>
          <w:b/>
          <w:color w:val="auto"/>
          <w:szCs w:val="21"/>
        </w:rPr>
        <w:t xml:space="preserve"> </w:t>
      </w:r>
      <w:r>
        <w:rPr>
          <w:rFonts w:hint="eastAsia"/>
          <w:b/>
          <w:color w:val="auto"/>
          <w:szCs w:val="21"/>
        </w:rPr>
        <w:t>施肥地块监测井地下水监测结果</w:t>
      </w:r>
    </w:p>
    <w:tbl>
      <w:tblPr>
        <w:tblStyle w:val="27"/>
        <w:tblW w:w="0" w:type="auto"/>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84"/>
        <w:gridCol w:w="1134"/>
        <w:gridCol w:w="584"/>
        <w:gridCol w:w="1019"/>
        <w:gridCol w:w="1019"/>
        <w:gridCol w:w="1019"/>
        <w:gridCol w:w="1019"/>
        <w:gridCol w:w="1019"/>
        <w:gridCol w:w="74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4" w:type="dxa"/>
            <w:vAlign w:val="center"/>
          </w:tcPr>
          <w:p>
            <w:pPr>
              <w:spacing w:line="240" w:lineRule="auto"/>
              <w:ind w:firstLine="0" w:firstLineChars="0"/>
              <w:jc w:val="center"/>
              <w:rPr>
                <w:color w:val="auto"/>
                <w:sz w:val="21"/>
                <w:szCs w:val="21"/>
              </w:rPr>
            </w:pPr>
            <w:r>
              <w:rPr>
                <w:rFonts w:hint="eastAsia"/>
                <w:color w:val="auto"/>
                <w:sz w:val="21"/>
                <w:szCs w:val="21"/>
              </w:rPr>
              <w:t>监测</w:t>
            </w:r>
            <w:r>
              <w:rPr>
                <w:color w:val="auto"/>
                <w:sz w:val="21"/>
                <w:szCs w:val="21"/>
              </w:rPr>
              <w:t>点位</w:t>
            </w:r>
          </w:p>
        </w:tc>
        <w:tc>
          <w:tcPr>
            <w:tcW w:w="1134" w:type="dxa"/>
            <w:vAlign w:val="center"/>
          </w:tcPr>
          <w:p>
            <w:pPr>
              <w:spacing w:line="240" w:lineRule="auto"/>
              <w:ind w:firstLine="0" w:firstLineChars="0"/>
              <w:jc w:val="center"/>
              <w:rPr>
                <w:color w:val="auto"/>
                <w:sz w:val="21"/>
                <w:szCs w:val="21"/>
              </w:rPr>
            </w:pPr>
            <w:r>
              <w:rPr>
                <w:rFonts w:hint="eastAsia"/>
                <w:color w:val="auto"/>
                <w:sz w:val="21"/>
                <w:szCs w:val="21"/>
              </w:rPr>
              <w:t>监测</w:t>
            </w:r>
            <w:r>
              <w:rPr>
                <w:color w:val="auto"/>
                <w:sz w:val="21"/>
                <w:szCs w:val="21"/>
              </w:rPr>
              <w:t>时间</w:t>
            </w:r>
          </w:p>
        </w:tc>
        <w:tc>
          <w:tcPr>
            <w:tcW w:w="584" w:type="dxa"/>
            <w:vAlign w:val="center"/>
          </w:tcPr>
          <w:p>
            <w:pPr>
              <w:spacing w:line="240" w:lineRule="auto"/>
              <w:ind w:firstLine="0" w:firstLineChars="0"/>
              <w:jc w:val="center"/>
              <w:rPr>
                <w:color w:val="auto"/>
                <w:sz w:val="21"/>
                <w:szCs w:val="21"/>
              </w:rPr>
            </w:pPr>
            <w:r>
              <w:rPr>
                <w:color w:val="auto"/>
                <w:sz w:val="21"/>
                <w:szCs w:val="21"/>
              </w:rPr>
              <w:t>pH</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总硬度</w:t>
            </w:r>
            <w:r>
              <w:rPr>
                <w:color w:val="auto"/>
                <w:sz w:val="21"/>
                <w:szCs w:val="21"/>
              </w:rPr>
              <w:t>（</w:t>
            </w:r>
            <w:r>
              <w:rPr>
                <w:rFonts w:hint="eastAsia"/>
                <w:color w:val="auto"/>
                <w:sz w:val="21"/>
                <w:szCs w:val="21"/>
              </w:rPr>
              <w:t>mg/</w:t>
            </w:r>
            <w:r>
              <w:rPr>
                <w:color w:val="auto"/>
                <w:sz w:val="21"/>
                <w:szCs w:val="21"/>
              </w:rPr>
              <w:t>L）</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硝酸盐</w:t>
            </w:r>
            <w:r>
              <w:rPr>
                <w:color w:val="auto"/>
                <w:sz w:val="21"/>
                <w:szCs w:val="21"/>
              </w:rPr>
              <w:t>（</w:t>
            </w:r>
            <w:r>
              <w:rPr>
                <w:rFonts w:hint="eastAsia"/>
                <w:color w:val="auto"/>
                <w:sz w:val="21"/>
                <w:szCs w:val="21"/>
              </w:rPr>
              <w:t>mg/</w:t>
            </w:r>
            <w:r>
              <w:rPr>
                <w:color w:val="auto"/>
                <w:sz w:val="21"/>
                <w:szCs w:val="21"/>
              </w:rPr>
              <w:t>L）</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高锰酸钾指数</w:t>
            </w:r>
            <w:r>
              <w:rPr>
                <w:color w:val="auto"/>
                <w:sz w:val="21"/>
                <w:szCs w:val="21"/>
              </w:rPr>
              <w:t>（</w:t>
            </w:r>
            <w:r>
              <w:rPr>
                <w:rFonts w:hint="eastAsia"/>
                <w:color w:val="auto"/>
                <w:sz w:val="21"/>
                <w:szCs w:val="21"/>
              </w:rPr>
              <w:t>mg/</w:t>
            </w:r>
            <w:r>
              <w:rPr>
                <w:color w:val="auto"/>
                <w:sz w:val="21"/>
                <w:szCs w:val="21"/>
              </w:rPr>
              <w:t>L）</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氨氮</w:t>
            </w:r>
            <w:r>
              <w:rPr>
                <w:color w:val="auto"/>
                <w:sz w:val="21"/>
                <w:szCs w:val="21"/>
              </w:rPr>
              <w:t>（</w:t>
            </w:r>
            <w:r>
              <w:rPr>
                <w:rFonts w:hint="eastAsia"/>
                <w:color w:val="auto"/>
                <w:sz w:val="21"/>
                <w:szCs w:val="21"/>
              </w:rPr>
              <w:t>mg/</w:t>
            </w:r>
            <w:r>
              <w:rPr>
                <w:color w:val="auto"/>
                <w:sz w:val="21"/>
                <w:szCs w:val="21"/>
              </w:rPr>
              <w:t>L）</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总大肠</w:t>
            </w:r>
            <w:r>
              <w:rPr>
                <w:color w:val="auto"/>
                <w:sz w:val="21"/>
                <w:szCs w:val="21"/>
              </w:rPr>
              <w:t>菌群（</w:t>
            </w:r>
            <w:r>
              <w:rPr>
                <w:rFonts w:hint="eastAsia"/>
                <w:color w:val="auto"/>
                <w:sz w:val="21"/>
                <w:szCs w:val="21"/>
              </w:rPr>
              <w:t>mg/</w:t>
            </w:r>
            <w:r>
              <w:rPr>
                <w:color w:val="auto"/>
                <w:sz w:val="21"/>
                <w:szCs w:val="21"/>
              </w:rPr>
              <w:t>L）</w:t>
            </w:r>
          </w:p>
        </w:tc>
        <w:tc>
          <w:tcPr>
            <w:tcW w:w="749" w:type="dxa"/>
            <w:vAlign w:val="center"/>
          </w:tcPr>
          <w:p>
            <w:pPr>
              <w:spacing w:line="240" w:lineRule="auto"/>
              <w:ind w:firstLine="0" w:firstLineChars="0"/>
              <w:jc w:val="center"/>
              <w:rPr>
                <w:color w:val="auto"/>
                <w:sz w:val="21"/>
                <w:szCs w:val="21"/>
              </w:rPr>
            </w:pPr>
            <w:r>
              <w:rPr>
                <w:rFonts w:hint="eastAsia"/>
                <w:color w:val="auto"/>
                <w:sz w:val="21"/>
                <w:szCs w:val="21"/>
              </w:rPr>
              <w:t>井深</w:t>
            </w:r>
            <w:r>
              <w:rPr>
                <w:color w:val="auto"/>
                <w:sz w:val="21"/>
                <w:szCs w:val="21"/>
              </w:rPr>
              <w:t>（</w:t>
            </w:r>
            <w:r>
              <w:rPr>
                <w:rFonts w:hint="eastAsia"/>
                <w:color w:val="auto"/>
                <w:sz w:val="21"/>
                <w:szCs w:val="21"/>
              </w:rPr>
              <w:t>m</w:t>
            </w:r>
            <w:r>
              <w:rPr>
                <w:color w:val="auto"/>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4" w:type="dxa"/>
            <w:vMerge w:val="restart"/>
            <w:vAlign w:val="center"/>
          </w:tcPr>
          <w:p>
            <w:pPr>
              <w:spacing w:line="240" w:lineRule="auto"/>
              <w:ind w:firstLine="0" w:firstLineChars="0"/>
              <w:jc w:val="center"/>
              <w:rPr>
                <w:color w:val="auto"/>
                <w:sz w:val="21"/>
                <w:szCs w:val="21"/>
              </w:rPr>
            </w:pPr>
            <w:r>
              <w:rPr>
                <w:color w:val="auto"/>
                <w:sz w:val="21"/>
                <w:szCs w:val="21"/>
              </w:rPr>
              <w:t>1#</w:t>
            </w:r>
            <w:r>
              <w:rPr>
                <w:rFonts w:hint="eastAsia"/>
                <w:color w:val="auto"/>
                <w:sz w:val="21"/>
                <w:szCs w:val="21"/>
              </w:rPr>
              <w:t>井</w:t>
            </w:r>
          </w:p>
          <w:p>
            <w:pPr>
              <w:spacing w:line="240" w:lineRule="auto"/>
              <w:ind w:firstLine="0" w:firstLineChars="0"/>
              <w:jc w:val="center"/>
              <w:rPr>
                <w:color w:val="auto"/>
                <w:sz w:val="21"/>
                <w:szCs w:val="21"/>
              </w:rPr>
            </w:pPr>
            <w:r>
              <w:rPr>
                <w:rFonts w:hint="eastAsia"/>
                <w:color w:val="auto"/>
                <w:sz w:val="21"/>
                <w:szCs w:val="21"/>
              </w:rPr>
              <w:t>（对照井</w:t>
            </w:r>
          </w:p>
        </w:tc>
        <w:tc>
          <w:tcPr>
            <w:tcW w:w="1134" w:type="dxa"/>
            <w:vAlign w:val="center"/>
          </w:tcPr>
          <w:p>
            <w:pPr>
              <w:spacing w:line="240" w:lineRule="auto"/>
              <w:ind w:firstLine="0" w:firstLineChars="0"/>
              <w:jc w:val="center"/>
              <w:rPr>
                <w:color w:val="auto"/>
                <w:sz w:val="21"/>
                <w:szCs w:val="21"/>
              </w:rPr>
            </w:pPr>
            <w:r>
              <w:rPr>
                <w:rFonts w:hint="eastAsia"/>
                <w:color w:val="auto"/>
                <w:sz w:val="21"/>
                <w:szCs w:val="21"/>
              </w:rPr>
              <w:t>2015.8.6</w:t>
            </w:r>
          </w:p>
        </w:tc>
        <w:tc>
          <w:tcPr>
            <w:tcW w:w="584" w:type="dxa"/>
            <w:vAlign w:val="center"/>
          </w:tcPr>
          <w:p>
            <w:pPr>
              <w:spacing w:line="240" w:lineRule="auto"/>
              <w:ind w:firstLine="0" w:firstLineChars="0"/>
              <w:jc w:val="center"/>
              <w:rPr>
                <w:color w:val="auto"/>
                <w:sz w:val="21"/>
                <w:szCs w:val="21"/>
              </w:rPr>
            </w:pPr>
            <w:r>
              <w:rPr>
                <w:rFonts w:hint="eastAsia"/>
                <w:color w:val="auto"/>
                <w:sz w:val="21"/>
                <w:szCs w:val="21"/>
              </w:rPr>
              <w:t>7.05</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340</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0.908</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1.25</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0.055</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＜3</w:t>
            </w:r>
          </w:p>
        </w:tc>
        <w:tc>
          <w:tcPr>
            <w:tcW w:w="749" w:type="dxa"/>
            <w:vMerge w:val="restart"/>
            <w:vAlign w:val="center"/>
          </w:tcPr>
          <w:p>
            <w:pPr>
              <w:spacing w:line="240" w:lineRule="auto"/>
              <w:ind w:firstLine="0" w:firstLineChars="0"/>
              <w:jc w:val="center"/>
              <w:rPr>
                <w:color w:val="auto"/>
                <w:sz w:val="21"/>
                <w:szCs w:val="21"/>
              </w:rPr>
            </w:pPr>
            <w:r>
              <w:rPr>
                <w:rFonts w:hint="eastAsia"/>
                <w:color w:val="auto"/>
                <w:sz w:val="21"/>
                <w:szCs w:val="21"/>
              </w:rPr>
              <w:t>25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4" w:type="dxa"/>
            <w:vMerge w:val="continue"/>
            <w:vAlign w:val="center"/>
          </w:tcPr>
          <w:p>
            <w:pPr>
              <w:spacing w:line="240" w:lineRule="auto"/>
              <w:ind w:firstLine="0" w:firstLineChars="0"/>
              <w:jc w:val="center"/>
              <w:rPr>
                <w:color w:val="auto"/>
                <w:sz w:val="21"/>
                <w:szCs w:val="21"/>
              </w:rPr>
            </w:pPr>
          </w:p>
        </w:tc>
        <w:tc>
          <w:tcPr>
            <w:tcW w:w="1134" w:type="dxa"/>
            <w:vAlign w:val="center"/>
          </w:tcPr>
          <w:p>
            <w:pPr>
              <w:spacing w:line="240" w:lineRule="auto"/>
              <w:ind w:firstLine="0" w:firstLineChars="0"/>
              <w:jc w:val="center"/>
              <w:rPr>
                <w:color w:val="auto"/>
                <w:sz w:val="21"/>
                <w:szCs w:val="21"/>
              </w:rPr>
            </w:pPr>
            <w:r>
              <w:rPr>
                <w:rFonts w:hint="eastAsia"/>
                <w:color w:val="auto"/>
                <w:sz w:val="21"/>
                <w:szCs w:val="21"/>
              </w:rPr>
              <w:t>2015.8.7</w:t>
            </w:r>
          </w:p>
        </w:tc>
        <w:tc>
          <w:tcPr>
            <w:tcW w:w="584" w:type="dxa"/>
            <w:vAlign w:val="center"/>
          </w:tcPr>
          <w:p>
            <w:pPr>
              <w:spacing w:line="240" w:lineRule="auto"/>
              <w:ind w:firstLine="0" w:firstLineChars="0"/>
              <w:jc w:val="center"/>
              <w:rPr>
                <w:color w:val="auto"/>
                <w:sz w:val="21"/>
                <w:szCs w:val="21"/>
              </w:rPr>
            </w:pPr>
            <w:r>
              <w:rPr>
                <w:rFonts w:hint="eastAsia"/>
                <w:color w:val="auto"/>
                <w:sz w:val="21"/>
                <w:szCs w:val="21"/>
              </w:rPr>
              <w:t>7.00</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340</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0.903</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1.28</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0.049</w:t>
            </w:r>
          </w:p>
        </w:tc>
        <w:tc>
          <w:tcPr>
            <w:tcW w:w="1019" w:type="dxa"/>
          </w:tcPr>
          <w:p>
            <w:pPr>
              <w:spacing w:line="240" w:lineRule="auto"/>
              <w:ind w:firstLine="0" w:firstLineChars="0"/>
              <w:jc w:val="center"/>
              <w:rPr>
                <w:color w:val="auto"/>
                <w:sz w:val="21"/>
                <w:szCs w:val="21"/>
              </w:rPr>
            </w:pPr>
            <w:r>
              <w:rPr>
                <w:rFonts w:hint="eastAsia"/>
                <w:color w:val="auto"/>
                <w:sz w:val="21"/>
                <w:szCs w:val="21"/>
              </w:rPr>
              <w:t>＜3</w:t>
            </w:r>
          </w:p>
        </w:tc>
        <w:tc>
          <w:tcPr>
            <w:tcW w:w="749" w:type="dxa"/>
            <w:vMerge w:val="continue"/>
            <w:vAlign w:val="center"/>
          </w:tcPr>
          <w:p>
            <w:pPr>
              <w:spacing w:line="240" w:lineRule="auto"/>
              <w:ind w:firstLine="0" w:firstLineChars="0"/>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4" w:type="dxa"/>
            <w:vMerge w:val="continue"/>
            <w:vAlign w:val="center"/>
          </w:tcPr>
          <w:p>
            <w:pPr>
              <w:spacing w:line="240" w:lineRule="auto"/>
              <w:ind w:firstLine="0" w:firstLineChars="0"/>
              <w:jc w:val="center"/>
              <w:rPr>
                <w:color w:val="auto"/>
                <w:sz w:val="21"/>
                <w:szCs w:val="21"/>
              </w:rPr>
            </w:pPr>
          </w:p>
        </w:tc>
        <w:tc>
          <w:tcPr>
            <w:tcW w:w="1134" w:type="dxa"/>
            <w:vAlign w:val="center"/>
          </w:tcPr>
          <w:p>
            <w:pPr>
              <w:spacing w:line="240" w:lineRule="auto"/>
              <w:ind w:firstLine="0" w:firstLineChars="0"/>
              <w:jc w:val="center"/>
              <w:rPr>
                <w:color w:val="auto"/>
                <w:sz w:val="21"/>
                <w:szCs w:val="21"/>
              </w:rPr>
            </w:pPr>
            <w:r>
              <w:rPr>
                <w:rFonts w:hint="eastAsia"/>
                <w:color w:val="auto"/>
                <w:sz w:val="21"/>
                <w:szCs w:val="21"/>
              </w:rPr>
              <w:t>2015.8.8</w:t>
            </w:r>
          </w:p>
        </w:tc>
        <w:tc>
          <w:tcPr>
            <w:tcW w:w="584" w:type="dxa"/>
            <w:vAlign w:val="center"/>
          </w:tcPr>
          <w:p>
            <w:pPr>
              <w:spacing w:line="240" w:lineRule="auto"/>
              <w:ind w:firstLine="0" w:firstLineChars="0"/>
              <w:jc w:val="center"/>
              <w:rPr>
                <w:color w:val="auto"/>
                <w:sz w:val="21"/>
                <w:szCs w:val="21"/>
              </w:rPr>
            </w:pPr>
            <w:r>
              <w:rPr>
                <w:rFonts w:hint="eastAsia"/>
                <w:color w:val="auto"/>
                <w:sz w:val="21"/>
                <w:szCs w:val="21"/>
              </w:rPr>
              <w:t>7.00</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342</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0.910</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1.21</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0.053</w:t>
            </w:r>
          </w:p>
        </w:tc>
        <w:tc>
          <w:tcPr>
            <w:tcW w:w="1019" w:type="dxa"/>
          </w:tcPr>
          <w:p>
            <w:pPr>
              <w:spacing w:line="240" w:lineRule="auto"/>
              <w:ind w:firstLine="0" w:firstLineChars="0"/>
              <w:jc w:val="center"/>
              <w:rPr>
                <w:color w:val="auto"/>
                <w:sz w:val="21"/>
                <w:szCs w:val="21"/>
              </w:rPr>
            </w:pPr>
            <w:r>
              <w:rPr>
                <w:rFonts w:hint="eastAsia"/>
                <w:color w:val="auto"/>
                <w:sz w:val="21"/>
                <w:szCs w:val="21"/>
              </w:rPr>
              <w:t>＜3</w:t>
            </w:r>
          </w:p>
        </w:tc>
        <w:tc>
          <w:tcPr>
            <w:tcW w:w="749" w:type="dxa"/>
            <w:vMerge w:val="continue"/>
            <w:vAlign w:val="center"/>
          </w:tcPr>
          <w:p>
            <w:pPr>
              <w:spacing w:line="240" w:lineRule="auto"/>
              <w:ind w:firstLine="0" w:firstLineChars="0"/>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4" w:type="dxa"/>
            <w:vMerge w:val="restart"/>
            <w:vAlign w:val="center"/>
          </w:tcPr>
          <w:p>
            <w:pPr>
              <w:spacing w:line="240" w:lineRule="auto"/>
              <w:ind w:firstLine="0" w:firstLineChars="0"/>
              <w:jc w:val="center"/>
              <w:rPr>
                <w:color w:val="auto"/>
                <w:sz w:val="21"/>
                <w:szCs w:val="21"/>
              </w:rPr>
            </w:pPr>
            <w:r>
              <w:rPr>
                <w:color w:val="auto"/>
                <w:sz w:val="21"/>
                <w:szCs w:val="21"/>
              </w:rPr>
              <w:t>2#</w:t>
            </w:r>
            <w:r>
              <w:rPr>
                <w:rFonts w:hint="eastAsia"/>
                <w:color w:val="auto"/>
                <w:sz w:val="21"/>
                <w:szCs w:val="21"/>
              </w:rPr>
              <w:t>井</w:t>
            </w:r>
          </w:p>
          <w:p>
            <w:pPr>
              <w:spacing w:line="240" w:lineRule="auto"/>
              <w:ind w:firstLine="0" w:firstLineChars="0"/>
              <w:jc w:val="center"/>
              <w:rPr>
                <w:color w:val="auto"/>
                <w:sz w:val="21"/>
                <w:szCs w:val="21"/>
              </w:rPr>
            </w:pPr>
            <w:r>
              <w:rPr>
                <w:rFonts w:hint="eastAsia"/>
                <w:color w:val="auto"/>
                <w:sz w:val="21"/>
                <w:szCs w:val="21"/>
              </w:rPr>
              <w:t>（控制井）</w:t>
            </w:r>
          </w:p>
        </w:tc>
        <w:tc>
          <w:tcPr>
            <w:tcW w:w="1134" w:type="dxa"/>
            <w:vAlign w:val="center"/>
          </w:tcPr>
          <w:p>
            <w:pPr>
              <w:spacing w:line="240" w:lineRule="auto"/>
              <w:ind w:firstLine="0" w:firstLineChars="0"/>
              <w:jc w:val="center"/>
              <w:rPr>
                <w:color w:val="auto"/>
                <w:sz w:val="21"/>
                <w:szCs w:val="21"/>
              </w:rPr>
            </w:pPr>
            <w:r>
              <w:rPr>
                <w:rFonts w:hint="eastAsia"/>
                <w:color w:val="auto"/>
                <w:sz w:val="21"/>
                <w:szCs w:val="21"/>
              </w:rPr>
              <w:t>2015.8.6</w:t>
            </w:r>
          </w:p>
        </w:tc>
        <w:tc>
          <w:tcPr>
            <w:tcW w:w="584" w:type="dxa"/>
            <w:vAlign w:val="center"/>
          </w:tcPr>
          <w:p>
            <w:pPr>
              <w:spacing w:line="240" w:lineRule="auto"/>
              <w:ind w:firstLine="0" w:firstLineChars="0"/>
              <w:jc w:val="center"/>
              <w:rPr>
                <w:color w:val="auto"/>
                <w:sz w:val="21"/>
                <w:szCs w:val="21"/>
              </w:rPr>
            </w:pPr>
            <w:r>
              <w:rPr>
                <w:rFonts w:hint="eastAsia"/>
                <w:color w:val="auto"/>
                <w:sz w:val="21"/>
                <w:szCs w:val="21"/>
              </w:rPr>
              <w:t>7.04</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3</w:t>
            </w:r>
            <w:r>
              <w:rPr>
                <w:color w:val="auto"/>
                <w:sz w:val="21"/>
                <w:szCs w:val="21"/>
              </w:rPr>
              <w:t>40</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0.930</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1.42</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0.050</w:t>
            </w:r>
          </w:p>
        </w:tc>
        <w:tc>
          <w:tcPr>
            <w:tcW w:w="1019" w:type="dxa"/>
          </w:tcPr>
          <w:p>
            <w:pPr>
              <w:spacing w:line="240" w:lineRule="auto"/>
              <w:ind w:firstLine="0" w:firstLineChars="0"/>
              <w:jc w:val="center"/>
              <w:rPr>
                <w:color w:val="auto"/>
                <w:sz w:val="21"/>
                <w:szCs w:val="21"/>
              </w:rPr>
            </w:pPr>
            <w:r>
              <w:rPr>
                <w:rFonts w:hint="eastAsia"/>
                <w:color w:val="auto"/>
                <w:sz w:val="21"/>
                <w:szCs w:val="21"/>
              </w:rPr>
              <w:t>＜3</w:t>
            </w:r>
          </w:p>
        </w:tc>
        <w:tc>
          <w:tcPr>
            <w:tcW w:w="749" w:type="dxa"/>
            <w:vMerge w:val="restart"/>
            <w:vAlign w:val="center"/>
          </w:tcPr>
          <w:p>
            <w:pPr>
              <w:spacing w:line="240" w:lineRule="auto"/>
              <w:ind w:firstLine="0" w:firstLineChars="0"/>
              <w:jc w:val="center"/>
              <w:rPr>
                <w:color w:val="auto"/>
                <w:sz w:val="21"/>
                <w:szCs w:val="21"/>
              </w:rPr>
            </w:pPr>
            <w:r>
              <w:rPr>
                <w:rFonts w:hint="eastAsia"/>
                <w:color w:val="auto"/>
                <w:sz w:val="21"/>
                <w:szCs w:val="21"/>
              </w:rPr>
              <w:t>25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4" w:type="dxa"/>
            <w:vMerge w:val="continue"/>
            <w:vAlign w:val="center"/>
          </w:tcPr>
          <w:p>
            <w:pPr>
              <w:spacing w:line="240" w:lineRule="auto"/>
              <w:ind w:firstLine="0" w:firstLineChars="0"/>
              <w:jc w:val="center"/>
              <w:rPr>
                <w:color w:val="auto"/>
                <w:sz w:val="21"/>
                <w:szCs w:val="21"/>
              </w:rPr>
            </w:pPr>
          </w:p>
        </w:tc>
        <w:tc>
          <w:tcPr>
            <w:tcW w:w="1134" w:type="dxa"/>
            <w:vAlign w:val="center"/>
          </w:tcPr>
          <w:p>
            <w:pPr>
              <w:spacing w:line="240" w:lineRule="auto"/>
              <w:ind w:firstLine="0" w:firstLineChars="0"/>
              <w:jc w:val="center"/>
              <w:rPr>
                <w:color w:val="auto"/>
                <w:sz w:val="21"/>
                <w:szCs w:val="21"/>
              </w:rPr>
            </w:pPr>
            <w:r>
              <w:rPr>
                <w:rFonts w:hint="eastAsia"/>
                <w:color w:val="auto"/>
                <w:sz w:val="21"/>
                <w:szCs w:val="21"/>
              </w:rPr>
              <w:t>2015.8.7</w:t>
            </w:r>
          </w:p>
        </w:tc>
        <w:tc>
          <w:tcPr>
            <w:tcW w:w="584" w:type="dxa"/>
            <w:vAlign w:val="center"/>
          </w:tcPr>
          <w:p>
            <w:pPr>
              <w:spacing w:line="240" w:lineRule="auto"/>
              <w:ind w:firstLine="0" w:firstLineChars="0"/>
              <w:jc w:val="center"/>
              <w:rPr>
                <w:color w:val="auto"/>
                <w:sz w:val="21"/>
                <w:szCs w:val="21"/>
              </w:rPr>
            </w:pPr>
            <w:r>
              <w:rPr>
                <w:rFonts w:hint="eastAsia"/>
                <w:color w:val="auto"/>
                <w:sz w:val="21"/>
                <w:szCs w:val="21"/>
              </w:rPr>
              <w:t>7.05</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336</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0.926</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1.48</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0</w:t>
            </w:r>
            <w:r>
              <w:rPr>
                <w:color w:val="auto"/>
                <w:sz w:val="21"/>
                <w:szCs w:val="21"/>
              </w:rPr>
              <w:t>.055</w:t>
            </w:r>
          </w:p>
        </w:tc>
        <w:tc>
          <w:tcPr>
            <w:tcW w:w="1019" w:type="dxa"/>
          </w:tcPr>
          <w:p>
            <w:pPr>
              <w:spacing w:line="240" w:lineRule="auto"/>
              <w:ind w:firstLine="0" w:firstLineChars="0"/>
              <w:jc w:val="center"/>
              <w:rPr>
                <w:color w:val="auto"/>
                <w:sz w:val="21"/>
                <w:szCs w:val="21"/>
              </w:rPr>
            </w:pPr>
            <w:r>
              <w:rPr>
                <w:rFonts w:hint="eastAsia"/>
                <w:color w:val="auto"/>
                <w:sz w:val="21"/>
                <w:szCs w:val="21"/>
              </w:rPr>
              <w:t>＜3</w:t>
            </w:r>
          </w:p>
        </w:tc>
        <w:tc>
          <w:tcPr>
            <w:tcW w:w="749" w:type="dxa"/>
            <w:vMerge w:val="continue"/>
            <w:vAlign w:val="center"/>
          </w:tcPr>
          <w:p>
            <w:pPr>
              <w:spacing w:line="240" w:lineRule="auto"/>
              <w:ind w:firstLine="0" w:firstLineChars="0"/>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4" w:type="dxa"/>
            <w:vMerge w:val="continue"/>
            <w:vAlign w:val="center"/>
          </w:tcPr>
          <w:p>
            <w:pPr>
              <w:spacing w:line="240" w:lineRule="auto"/>
              <w:ind w:firstLine="0" w:firstLineChars="0"/>
              <w:jc w:val="center"/>
              <w:rPr>
                <w:color w:val="auto"/>
                <w:sz w:val="21"/>
                <w:szCs w:val="21"/>
              </w:rPr>
            </w:pPr>
          </w:p>
        </w:tc>
        <w:tc>
          <w:tcPr>
            <w:tcW w:w="1134" w:type="dxa"/>
            <w:vAlign w:val="center"/>
          </w:tcPr>
          <w:p>
            <w:pPr>
              <w:spacing w:line="240" w:lineRule="auto"/>
              <w:ind w:firstLine="0" w:firstLineChars="0"/>
              <w:jc w:val="center"/>
              <w:rPr>
                <w:color w:val="auto"/>
                <w:sz w:val="21"/>
                <w:szCs w:val="21"/>
              </w:rPr>
            </w:pPr>
            <w:r>
              <w:rPr>
                <w:rFonts w:hint="eastAsia"/>
                <w:color w:val="auto"/>
                <w:sz w:val="21"/>
                <w:szCs w:val="21"/>
              </w:rPr>
              <w:t>2015.8.8</w:t>
            </w:r>
          </w:p>
        </w:tc>
        <w:tc>
          <w:tcPr>
            <w:tcW w:w="584" w:type="dxa"/>
            <w:vAlign w:val="center"/>
          </w:tcPr>
          <w:p>
            <w:pPr>
              <w:spacing w:line="240" w:lineRule="auto"/>
              <w:ind w:firstLine="0" w:firstLineChars="0"/>
              <w:jc w:val="center"/>
              <w:rPr>
                <w:color w:val="auto"/>
                <w:sz w:val="21"/>
                <w:szCs w:val="21"/>
              </w:rPr>
            </w:pPr>
            <w:r>
              <w:rPr>
                <w:rFonts w:hint="eastAsia"/>
                <w:color w:val="auto"/>
                <w:sz w:val="21"/>
                <w:szCs w:val="21"/>
              </w:rPr>
              <w:t>7.05</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334</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0.921</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1.36</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0.048</w:t>
            </w:r>
          </w:p>
        </w:tc>
        <w:tc>
          <w:tcPr>
            <w:tcW w:w="1019" w:type="dxa"/>
          </w:tcPr>
          <w:p>
            <w:pPr>
              <w:spacing w:line="240" w:lineRule="auto"/>
              <w:ind w:firstLine="0" w:firstLineChars="0"/>
              <w:jc w:val="center"/>
              <w:rPr>
                <w:color w:val="auto"/>
                <w:sz w:val="21"/>
                <w:szCs w:val="21"/>
              </w:rPr>
            </w:pPr>
            <w:r>
              <w:rPr>
                <w:rFonts w:hint="eastAsia"/>
                <w:color w:val="auto"/>
                <w:sz w:val="21"/>
                <w:szCs w:val="21"/>
              </w:rPr>
              <w:t>＜3</w:t>
            </w:r>
          </w:p>
        </w:tc>
        <w:tc>
          <w:tcPr>
            <w:tcW w:w="749" w:type="dxa"/>
            <w:vMerge w:val="continue"/>
            <w:vAlign w:val="center"/>
          </w:tcPr>
          <w:p>
            <w:pPr>
              <w:spacing w:line="240" w:lineRule="auto"/>
              <w:ind w:firstLine="0" w:firstLineChars="0"/>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4" w:type="dxa"/>
            <w:vMerge w:val="restart"/>
            <w:vAlign w:val="center"/>
          </w:tcPr>
          <w:p>
            <w:pPr>
              <w:spacing w:line="240" w:lineRule="auto"/>
              <w:ind w:firstLine="0" w:firstLineChars="0"/>
              <w:jc w:val="center"/>
              <w:rPr>
                <w:color w:val="auto"/>
                <w:sz w:val="21"/>
                <w:szCs w:val="21"/>
              </w:rPr>
            </w:pPr>
            <w:r>
              <w:rPr>
                <w:color w:val="auto"/>
                <w:sz w:val="21"/>
                <w:szCs w:val="21"/>
              </w:rPr>
              <w:t>3#</w:t>
            </w:r>
            <w:r>
              <w:rPr>
                <w:rFonts w:hint="eastAsia"/>
                <w:color w:val="auto"/>
                <w:sz w:val="21"/>
                <w:szCs w:val="21"/>
              </w:rPr>
              <w:t>井</w:t>
            </w:r>
          </w:p>
          <w:p>
            <w:pPr>
              <w:spacing w:line="240" w:lineRule="auto"/>
              <w:ind w:firstLine="0" w:firstLineChars="0"/>
              <w:jc w:val="center"/>
              <w:rPr>
                <w:color w:val="auto"/>
                <w:sz w:val="21"/>
                <w:szCs w:val="21"/>
              </w:rPr>
            </w:pPr>
            <w:r>
              <w:rPr>
                <w:rFonts w:hint="eastAsia"/>
                <w:color w:val="auto"/>
                <w:sz w:val="21"/>
                <w:szCs w:val="21"/>
              </w:rPr>
              <w:t>（控制井）</w:t>
            </w:r>
          </w:p>
        </w:tc>
        <w:tc>
          <w:tcPr>
            <w:tcW w:w="1134" w:type="dxa"/>
            <w:vAlign w:val="center"/>
          </w:tcPr>
          <w:p>
            <w:pPr>
              <w:spacing w:line="240" w:lineRule="auto"/>
              <w:ind w:firstLine="0" w:firstLineChars="0"/>
              <w:jc w:val="center"/>
              <w:rPr>
                <w:color w:val="auto"/>
                <w:sz w:val="21"/>
                <w:szCs w:val="21"/>
              </w:rPr>
            </w:pPr>
            <w:r>
              <w:rPr>
                <w:rFonts w:hint="eastAsia"/>
                <w:color w:val="auto"/>
                <w:sz w:val="21"/>
                <w:szCs w:val="21"/>
              </w:rPr>
              <w:t>2015.8.6</w:t>
            </w:r>
          </w:p>
        </w:tc>
        <w:tc>
          <w:tcPr>
            <w:tcW w:w="584" w:type="dxa"/>
            <w:vAlign w:val="center"/>
          </w:tcPr>
          <w:p>
            <w:pPr>
              <w:spacing w:line="240" w:lineRule="auto"/>
              <w:ind w:firstLine="0" w:firstLineChars="0"/>
              <w:jc w:val="center"/>
              <w:rPr>
                <w:color w:val="auto"/>
                <w:sz w:val="21"/>
                <w:szCs w:val="21"/>
              </w:rPr>
            </w:pPr>
            <w:r>
              <w:rPr>
                <w:rFonts w:hint="eastAsia"/>
                <w:color w:val="auto"/>
                <w:sz w:val="21"/>
                <w:szCs w:val="21"/>
              </w:rPr>
              <w:t>7.05</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336</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0.910</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1.56</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0.045</w:t>
            </w:r>
          </w:p>
        </w:tc>
        <w:tc>
          <w:tcPr>
            <w:tcW w:w="1019" w:type="dxa"/>
          </w:tcPr>
          <w:p>
            <w:pPr>
              <w:spacing w:line="240" w:lineRule="auto"/>
              <w:ind w:firstLine="0" w:firstLineChars="0"/>
              <w:jc w:val="center"/>
              <w:rPr>
                <w:color w:val="auto"/>
                <w:sz w:val="21"/>
                <w:szCs w:val="21"/>
              </w:rPr>
            </w:pPr>
            <w:r>
              <w:rPr>
                <w:rFonts w:hint="eastAsia"/>
                <w:color w:val="auto"/>
                <w:sz w:val="21"/>
                <w:szCs w:val="21"/>
              </w:rPr>
              <w:t>＜3</w:t>
            </w:r>
          </w:p>
        </w:tc>
        <w:tc>
          <w:tcPr>
            <w:tcW w:w="749" w:type="dxa"/>
            <w:vMerge w:val="restart"/>
            <w:vAlign w:val="center"/>
          </w:tcPr>
          <w:p>
            <w:pPr>
              <w:spacing w:line="240" w:lineRule="auto"/>
              <w:ind w:firstLine="0" w:firstLineChars="0"/>
              <w:jc w:val="center"/>
              <w:rPr>
                <w:color w:val="auto"/>
                <w:sz w:val="21"/>
                <w:szCs w:val="21"/>
              </w:rPr>
            </w:pPr>
            <w:r>
              <w:rPr>
                <w:rFonts w:hint="eastAsia"/>
                <w:color w:val="auto"/>
                <w:sz w:val="21"/>
                <w:szCs w:val="21"/>
              </w:rPr>
              <w:t>24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4" w:type="dxa"/>
            <w:vMerge w:val="continue"/>
            <w:vAlign w:val="center"/>
          </w:tcPr>
          <w:p>
            <w:pPr>
              <w:spacing w:line="240" w:lineRule="auto"/>
              <w:ind w:firstLine="0" w:firstLineChars="0"/>
              <w:jc w:val="center"/>
              <w:rPr>
                <w:color w:val="auto"/>
                <w:sz w:val="21"/>
                <w:szCs w:val="21"/>
              </w:rPr>
            </w:pPr>
          </w:p>
        </w:tc>
        <w:tc>
          <w:tcPr>
            <w:tcW w:w="1134" w:type="dxa"/>
            <w:vAlign w:val="center"/>
          </w:tcPr>
          <w:p>
            <w:pPr>
              <w:spacing w:line="240" w:lineRule="auto"/>
              <w:ind w:firstLine="0" w:firstLineChars="0"/>
              <w:jc w:val="center"/>
              <w:rPr>
                <w:color w:val="auto"/>
                <w:sz w:val="21"/>
                <w:szCs w:val="21"/>
              </w:rPr>
            </w:pPr>
            <w:r>
              <w:rPr>
                <w:rFonts w:hint="eastAsia"/>
                <w:color w:val="auto"/>
                <w:sz w:val="21"/>
                <w:szCs w:val="21"/>
              </w:rPr>
              <w:t>2015.8.7</w:t>
            </w:r>
          </w:p>
        </w:tc>
        <w:tc>
          <w:tcPr>
            <w:tcW w:w="584" w:type="dxa"/>
            <w:vAlign w:val="center"/>
          </w:tcPr>
          <w:p>
            <w:pPr>
              <w:spacing w:line="240" w:lineRule="auto"/>
              <w:ind w:firstLine="0" w:firstLineChars="0"/>
              <w:jc w:val="center"/>
              <w:rPr>
                <w:color w:val="auto"/>
                <w:sz w:val="21"/>
                <w:szCs w:val="21"/>
              </w:rPr>
            </w:pPr>
            <w:r>
              <w:rPr>
                <w:rFonts w:hint="eastAsia"/>
                <w:color w:val="auto"/>
                <w:sz w:val="21"/>
                <w:szCs w:val="21"/>
              </w:rPr>
              <w:t>7.00</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336</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0.914</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1.52</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0.050</w:t>
            </w:r>
          </w:p>
        </w:tc>
        <w:tc>
          <w:tcPr>
            <w:tcW w:w="1019" w:type="dxa"/>
          </w:tcPr>
          <w:p>
            <w:pPr>
              <w:spacing w:line="240" w:lineRule="auto"/>
              <w:ind w:firstLine="0" w:firstLineChars="0"/>
              <w:jc w:val="center"/>
              <w:rPr>
                <w:color w:val="auto"/>
                <w:sz w:val="21"/>
                <w:szCs w:val="21"/>
              </w:rPr>
            </w:pPr>
            <w:r>
              <w:rPr>
                <w:rFonts w:hint="eastAsia"/>
                <w:color w:val="auto"/>
                <w:sz w:val="21"/>
                <w:szCs w:val="21"/>
              </w:rPr>
              <w:t>＜3</w:t>
            </w:r>
          </w:p>
        </w:tc>
        <w:tc>
          <w:tcPr>
            <w:tcW w:w="749" w:type="dxa"/>
            <w:vMerge w:val="continue"/>
            <w:vAlign w:val="center"/>
          </w:tcPr>
          <w:p>
            <w:pPr>
              <w:spacing w:line="240" w:lineRule="auto"/>
              <w:ind w:firstLine="0" w:firstLineChars="0"/>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4" w:type="dxa"/>
            <w:vMerge w:val="continue"/>
            <w:vAlign w:val="center"/>
          </w:tcPr>
          <w:p>
            <w:pPr>
              <w:spacing w:line="240" w:lineRule="auto"/>
              <w:ind w:firstLine="0" w:firstLineChars="0"/>
              <w:jc w:val="center"/>
              <w:rPr>
                <w:color w:val="auto"/>
                <w:sz w:val="21"/>
                <w:szCs w:val="21"/>
              </w:rPr>
            </w:pPr>
          </w:p>
        </w:tc>
        <w:tc>
          <w:tcPr>
            <w:tcW w:w="1134" w:type="dxa"/>
            <w:vAlign w:val="center"/>
          </w:tcPr>
          <w:p>
            <w:pPr>
              <w:spacing w:line="240" w:lineRule="auto"/>
              <w:ind w:firstLine="0" w:firstLineChars="0"/>
              <w:jc w:val="center"/>
              <w:rPr>
                <w:color w:val="auto"/>
                <w:sz w:val="21"/>
                <w:szCs w:val="21"/>
              </w:rPr>
            </w:pPr>
            <w:r>
              <w:rPr>
                <w:rFonts w:hint="eastAsia"/>
                <w:color w:val="auto"/>
                <w:sz w:val="21"/>
                <w:szCs w:val="21"/>
              </w:rPr>
              <w:t>2015.8.8</w:t>
            </w:r>
          </w:p>
        </w:tc>
        <w:tc>
          <w:tcPr>
            <w:tcW w:w="584" w:type="dxa"/>
            <w:vAlign w:val="center"/>
          </w:tcPr>
          <w:p>
            <w:pPr>
              <w:spacing w:line="240" w:lineRule="auto"/>
              <w:ind w:firstLine="0" w:firstLineChars="0"/>
              <w:jc w:val="center"/>
              <w:rPr>
                <w:color w:val="auto"/>
                <w:sz w:val="21"/>
                <w:szCs w:val="21"/>
              </w:rPr>
            </w:pPr>
            <w:r>
              <w:rPr>
                <w:rFonts w:hint="eastAsia"/>
                <w:color w:val="auto"/>
                <w:sz w:val="21"/>
                <w:szCs w:val="21"/>
              </w:rPr>
              <w:t>7.00</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336</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0.923</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1.53</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0.048</w:t>
            </w:r>
          </w:p>
        </w:tc>
        <w:tc>
          <w:tcPr>
            <w:tcW w:w="1019" w:type="dxa"/>
          </w:tcPr>
          <w:p>
            <w:pPr>
              <w:spacing w:line="240" w:lineRule="auto"/>
              <w:ind w:firstLine="0" w:firstLineChars="0"/>
              <w:jc w:val="center"/>
              <w:rPr>
                <w:color w:val="auto"/>
                <w:sz w:val="21"/>
                <w:szCs w:val="21"/>
              </w:rPr>
            </w:pPr>
            <w:r>
              <w:rPr>
                <w:rFonts w:hint="eastAsia"/>
                <w:color w:val="auto"/>
                <w:sz w:val="21"/>
                <w:szCs w:val="21"/>
              </w:rPr>
              <w:t>＜3</w:t>
            </w:r>
          </w:p>
        </w:tc>
        <w:tc>
          <w:tcPr>
            <w:tcW w:w="749" w:type="dxa"/>
            <w:vMerge w:val="continue"/>
            <w:vAlign w:val="center"/>
          </w:tcPr>
          <w:p>
            <w:pPr>
              <w:spacing w:line="240" w:lineRule="auto"/>
              <w:ind w:firstLine="0" w:firstLineChars="0"/>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4" w:type="dxa"/>
            <w:vMerge w:val="restart"/>
            <w:vAlign w:val="center"/>
          </w:tcPr>
          <w:p>
            <w:pPr>
              <w:spacing w:line="240" w:lineRule="auto"/>
              <w:ind w:firstLine="0" w:firstLineChars="0"/>
              <w:jc w:val="center"/>
              <w:rPr>
                <w:color w:val="auto"/>
                <w:sz w:val="21"/>
                <w:szCs w:val="21"/>
              </w:rPr>
            </w:pPr>
            <w:r>
              <w:rPr>
                <w:color w:val="auto"/>
                <w:sz w:val="21"/>
                <w:szCs w:val="21"/>
              </w:rPr>
              <w:t>4#</w:t>
            </w:r>
            <w:r>
              <w:rPr>
                <w:rFonts w:hint="eastAsia"/>
                <w:color w:val="auto"/>
                <w:sz w:val="21"/>
                <w:szCs w:val="21"/>
              </w:rPr>
              <w:t>井</w:t>
            </w:r>
          </w:p>
          <w:p>
            <w:pPr>
              <w:spacing w:line="240" w:lineRule="auto"/>
              <w:ind w:firstLine="0" w:firstLineChars="0"/>
              <w:jc w:val="center"/>
              <w:rPr>
                <w:color w:val="auto"/>
                <w:sz w:val="21"/>
                <w:szCs w:val="21"/>
              </w:rPr>
            </w:pPr>
            <w:r>
              <w:rPr>
                <w:rFonts w:hint="eastAsia"/>
                <w:color w:val="auto"/>
                <w:sz w:val="21"/>
                <w:szCs w:val="21"/>
              </w:rPr>
              <w:t>（控制井）</w:t>
            </w:r>
          </w:p>
        </w:tc>
        <w:tc>
          <w:tcPr>
            <w:tcW w:w="1134" w:type="dxa"/>
            <w:vAlign w:val="center"/>
          </w:tcPr>
          <w:p>
            <w:pPr>
              <w:spacing w:line="240" w:lineRule="auto"/>
              <w:ind w:firstLine="0" w:firstLineChars="0"/>
              <w:jc w:val="center"/>
              <w:rPr>
                <w:color w:val="auto"/>
                <w:sz w:val="21"/>
                <w:szCs w:val="21"/>
              </w:rPr>
            </w:pPr>
            <w:r>
              <w:rPr>
                <w:rFonts w:hint="eastAsia"/>
                <w:color w:val="auto"/>
                <w:sz w:val="21"/>
                <w:szCs w:val="21"/>
              </w:rPr>
              <w:t>2015.8.6</w:t>
            </w:r>
          </w:p>
        </w:tc>
        <w:tc>
          <w:tcPr>
            <w:tcW w:w="584" w:type="dxa"/>
            <w:vAlign w:val="center"/>
          </w:tcPr>
          <w:p>
            <w:pPr>
              <w:spacing w:line="240" w:lineRule="auto"/>
              <w:ind w:firstLine="0" w:firstLineChars="0"/>
              <w:jc w:val="center"/>
              <w:rPr>
                <w:color w:val="auto"/>
                <w:sz w:val="21"/>
                <w:szCs w:val="21"/>
              </w:rPr>
            </w:pPr>
            <w:r>
              <w:rPr>
                <w:rFonts w:hint="eastAsia"/>
                <w:color w:val="auto"/>
                <w:sz w:val="21"/>
                <w:szCs w:val="21"/>
              </w:rPr>
              <w:t>7.03</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340</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0.928</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1.72</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0.053</w:t>
            </w:r>
          </w:p>
        </w:tc>
        <w:tc>
          <w:tcPr>
            <w:tcW w:w="1019" w:type="dxa"/>
          </w:tcPr>
          <w:p>
            <w:pPr>
              <w:spacing w:line="240" w:lineRule="auto"/>
              <w:ind w:firstLine="0" w:firstLineChars="0"/>
              <w:jc w:val="center"/>
              <w:rPr>
                <w:color w:val="auto"/>
                <w:sz w:val="21"/>
                <w:szCs w:val="21"/>
              </w:rPr>
            </w:pPr>
            <w:r>
              <w:rPr>
                <w:rFonts w:hint="eastAsia"/>
                <w:color w:val="auto"/>
                <w:sz w:val="21"/>
                <w:szCs w:val="21"/>
              </w:rPr>
              <w:t>＜3</w:t>
            </w:r>
          </w:p>
        </w:tc>
        <w:tc>
          <w:tcPr>
            <w:tcW w:w="749" w:type="dxa"/>
            <w:vMerge w:val="restart"/>
            <w:vAlign w:val="center"/>
          </w:tcPr>
          <w:p>
            <w:pPr>
              <w:spacing w:line="240" w:lineRule="auto"/>
              <w:ind w:firstLine="0" w:firstLineChars="0"/>
              <w:jc w:val="center"/>
              <w:rPr>
                <w:color w:val="auto"/>
                <w:sz w:val="21"/>
                <w:szCs w:val="21"/>
              </w:rPr>
            </w:pPr>
            <w:r>
              <w:rPr>
                <w:rFonts w:hint="eastAsia"/>
                <w:color w:val="auto"/>
                <w:sz w:val="21"/>
                <w:szCs w:val="21"/>
              </w:rPr>
              <w:t>27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4" w:type="dxa"/>
            <w:vMerge w:val="continue"/>
            <w:vAlign w:val="center"/>
          </w:tcPr>
          <w:p>
            <w:pPr>
              <w:spacing w:line="240" w:lineRule="auto"/>
              <w:ind w:firstLine="0" w:firstLineChars="0"/>
              <w:jc w:val="center"/>
              <w:rPr>
                <w:color w:val="auto"/>
                <w:sz w:val="21"/>
                <w:szCs w:val="21"/>
              </w:rPr>
            </w:pPr>
          </w:p>
        </w:tc>
        <w:tc>
          <w:tcPr>
            <w:tcW w:w="1134" w:type="dxa"/>
            <w:vAlign w:val="center"/>
          </w:tcPr>
          <w:p>
            <w:pPr>
              <w:spacing w:line="240" w:lineRule="auto"/>
              <w:ind w:firstLine="0" w:firstLineChars="0"/>
              <w:jc w:val="center"/>
              <w:rPr>
                <w:color w:val="auto"/>
                <w:sz w:val="21"/>
                <w:szCs w:val="21"/>
              </w:rPr>
            </w:pPr>
            <w:r>
              <w:rPr>
                <w:rFonts w:hint="eastAsia"/>
                <w:color w:val="auto"/>
                <w:sz w:val="21"/>
                <w:szCs w:val="21"/>
              </w:rPr>
              <w:t>2015.8.7</w:t>
            </w:r>
          </w:p>
        </w:tc>
        <w:tc>
          <w:tcPr>
            <w:tcW w:w="584" w:type="dxa"/>
            <w:vAlign w:val="center"/>
          </w:tcPr>
          <w:p>
            <w:pPr>
              <w:spacing w:line="240" w:lineRule="auto"/>
              <w:ind w:firstLine="0" w:firstLineChars="0"/>
              <w:jc w:val="center"/>
              <w:rPr>
                <w:color w:val="auto"/>
                <w:sz w:val="21"/>
                <w:szCs w:val="21"/>
              </w:rPr>
            </w:pPr>
            <w:r>
              <w:rPr>
                <w:rFonts w:hint="eastAsia"/>
                <w:color w:val="auto"/>
                <w:sz w:val="21"/>
                <w:szCs w:val="21"/>
              </w:rPr>
              <w:t>7.04</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336</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0.926</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1.7</w:t>
            </w:r>
            <w:r>
              <w:rPr>
                <w:color w:val="auto"/>
                <w:sz w:val="21"/>
                <w:szCs w:val="21"/>
              </w:rPr>
              <w:t>6</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0.054</w:t>
            </w:r>
          </w:p>
        </w:tc>
        <w:tc>
          <w:tcPr>
            <w:tcW w:w="1019" w:type="dxa"/>
          </w:tcPr>
          <w:p>
            <w:pPr>
              <w:spacing w:line="240" w:lineRule="auto"/>
              <w:ind w:firstLine="0" w:firstLineChars="0"/>
              <w:jc w:val="center"/>
              <w:rPr>
                <w:color w:val="auto"/>
                <w:sz w:val="21"/>
                <w:szCs w:val="21"/>
              </w:rPr>
            </w:pPr>
            <w:r>
              <w:rPr>
                <w:rFonts w:hint="eastAsia"/>
                <w:color w:val="auto"/>
                <w:sz w:val="21"/>
                <w:szCs w:val="21"/>
              </w:rPr>
              <w:t>＜3</w:t>
            </w:r>
          </w:p>
        </w:tc>
        <w:tc>
          <w:tcPr>
            <w:tcW w:w="749" w:type="dxa"/>
            <w:vMerge w:val="continue"/>
            <w:vAlign w:val="center"/>
          </w:tcPr>
          <w:p>
            <w:pPr>
              <w:spacing w:line="240" w:lineRule="auto"/>
              <w:ind w:firstLine="0" w:firstLineChars="0"/>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4" w:type="dxa"/>
            <w:vMerge w:val="continue"/>
            <w:vAlign w:val="center"/>
          </w:tcPr>
          <w:p>
            <w:pPr>
              <w:spacing w:line="240" w:lineRule="auto"/>
              <w:ind w:firstLine="0" w:firstLineChars="0"/>
              <w:jc w:val="center"/>
              <w:rPr>
                <w:color w:val="auto"/>
                <w:sz w:val="21"/>
                <w:szCs w:val="21"/>
              </w:rPr>
            </w:pPr>
          </w:p>
        </w:tc>
        <w:tc>
          <w:tcPr>
            <w:tcW w:w="1134" w:type="dxa"/>
            <w:vAlign w:val="center"/>
          </w:tcPr>
          <w:p>
            <w:pPr>
              <w:spacing w:line="240" w:lineRule="auto"/>
              <w:ind w:firstLine="0" w:firstLineChars="0"/>
              <w:jc w:val="center"/>
              <w:rPr>
                <w:color w:val="auto"/>
                <w:sz w:val="21"/>
                <w:szCs w:val="21"/>
              </w:rPr>
            </w:pPr>
            <w:r>
              <w:rPr>
                <w:rFonts w:hint="eastAsia"/>
                <w:color w:val="auto"/>
                <w:sz w:val="21"/>
                <w:szCs w:val="21"/>
              </w:rPr>
              <w:t>2015.8.8</w:t>
            </w:r>
          </w:p>
        </w:tc>
        <w:tc>
          <w:tcPr>
            <w:tcW w:w="584" w:type="dxa"/>
            <w:vAlign w:val="center"/>
          </w:tcPr>
          <w:p>
            <w:pPr>
              <w:spacing w:line="240" w:lineRule="auto"/>
              <w:ind w:firstLine="0" w:firstLineChars="0"/>
              <w:jc w:val="center"/>
              <w:rPr>
                <w:color w:val="auto"/>
                <w:sz w:val="21"/>
                <w:szCs w:val="21"/>
              </w:rPr>
            </w:pPr>
            <w:r>
              <w:rPr>
                <w:rFonts w:hint="eastAsia"/>
                <w:color w:val="auto"/>
                <w:sz w:val="21"/>
                <w:szCs w:val="21"/>
              </w:rPr>
              <w:t>7.05</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336</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0.932</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1.</w:t>
            </w:r>
            <w:r>
              <w:rPr>
                <w:color w:val="auto"/>
                <w:sz w:val="21"/>
                <w:szCs w:val="21"/>
              </w:rPr>
              <w:t>79</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0.048</w:t>
            </w:r>
          </w:p>
        </w:tc>
        <w:tc>
          <w:tcPr>
            <w:tcW w:w="1019" w:type="dxa"/>
          </w:tcPr>
          <w:p>
            <w:pPr>
              <w:spacing w:line="240" w:lineRule="auto"/>
              <w:ind w:firstLine="0" w:firstLineChars="0"/>
              <w:jc w:val="center"/>
              <w:rPr>
                <w:color w:val="auto"/>
                <w:sz w:val="21"/>
                <w:szCs w:val="21"/>
              </w:rPr>
            </w:pPr>
            <w:r>
              <w:rPr>
                <w:rFonts w:hint="eastAsia"/>
                <w:color w:val="auto"/>
                <w:sz w:val="21"/>
                <w:szCs w:val="21"/>
              </w:rPr>
              <w:t>＜3</w:t>
            </w:r>
          </w:p>
        </w:tc>
        <w:tc>
          <w:tcPr>
            <w:tcW w:w="749" w:type="dxa"/>
            <w:vMerge w:val="continue"/>
            <w:vAlign w:val="center"/>
          </w:tcPr>
          <w:p>
            <w:pPr>
              <w:spacing w:line="240" w:lineRule="auto"/>
              <w:ind w:firstLine="0" w:firstLineChars="0"/>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82" w:hRule="atLeast"/>
        </w:trPr>
        <w:tc>
          <w:tcPr>
            <w:tcW w:w="1384" w:type="dxa"/>
            <w:vAlign w:val="center"/>
          </w:tcPr>
          <w:p>
            <w:pPr>
              <w:spacing w:line="240" w:lineRule="auto"/>
              <w:ind w:firstLine="0" w:firstLineChars="0"/>
              <w:jc w:val="center"/>
              <w:rPr>
                <w:color w:val="auto"/>
                <w:sz w:val="21"/>
                <w:szCs w:val="21"/>
              </w:rPr>
            </w:pPr>
            <w:r>
              <w:rPr>
                <w:rFonts w:hint="eastAsia"/>
                <w:color w:val="auto"/>
                <w:sz w:val="21"/>
                <w:szCs w:val="21"/>
              </w:rPr>
              <w:t xml:space="preserve">《地下水质量标准》 （GB/T14848-2017）Ⅲ类 </w:t>
            </w:r>
          </w:p>
        </w:tc>
        <w:tc>
          <w:tcPr>
            <w:tcW w:w="1134" w:type="dxa"/>
            <w:vAlign w:val="center"/>
          </w:tcPr>
          <w:p>
            <w:pPr>
              <w:spacing w:line="240" w:lineRule="auto"/>
              <w:ind w:firstLine="0" w:firstLineChars="0"/>
              <w:jc w:val="center"/>
              <w:rPr>
                <w:color w:val="auto"/>
                <w:sz w:val="21"/>
                <w:szCs w:val="21"/>
              </w:rPr>
            </w:pPr>
            <w:r>
              <w:rPr>
                <w:rFonts w:hint="eastAsia"/>
                <w:color w:val="auto"/>
                <w:sz w:val="21"/>
                <w:szCs w:val="21"/>
              </w:rPr>
              <w:t>/</w:t>
            </w:r>
          </w:p>
        </w:tc>
        <w:tc>
          <w:tcPr>
            <w:tcW w:w="584" w:type="dxa"/>
            <w:vAlign w:val="center"/>
          </w:tcPr>
          <w:p>
            <w:pPr>
              <w:spacing w:line="240" w:lineRule="auto"/>
              <w:ind w:firstLine="0" w:firstLineChars="0"/>
              <w:jc w:val="center"/>
              <w:rPr>
                <w:color w:val="auto"/>
                <w:sz w:val="21"/>
                <w:szCs w:val="21"/>
              </w:rPr>
            </w:pPr>
            <w:r>
              <w:rPr>
                <w:color w:val="auto"/>
                <w:sz w:val="21"/>
                <w:szCs w:val="21"/>
              </w:rPr>
              <w:t>6.5-8.5</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≤450</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≤20</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≤3.0</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≤0.2</w:t>
            </w:r>
          </w:p>
        </w:tc>
        <w:tc>
          <w:tcPr>
            <w:tcW w:w="1019" w:type="dxa"/>
            <w:vAlign w:val="center"/>
          </w:tcPr>
          <w:p>
            <w:pPr>
              <w:spacing w:line="240" w:lineRule="auto"/>
              <w:ind w:firstLine="0" w:firstLineChars="0"/>
              <w:jc w:val="center"/>
              <w:rPr>
                <w:color w:val="auto"/>
                <w:sz w:val="21"/>
                <w:szCs w:val="21"/>
              </w:rPr>
            </w:pPr>
            <w:r>
              <w:rPr>
                <w:rFonts w:hint="eastAsia"/>
                <w:color w:val="auto"/>
                <w:sz w:val="21"/>
                <w:szCs w:val="21"/>
              </w:rPr>
              <w:t>≤3.0</w:t>
            </w:r>
          </w:p>
        </w:tc>
        <w:tc>
          <w:tcPr>
            <w:tcW w:w="749" w:type="dxa"/>
            <w:vAlign w:val="center"/>
          </w:tcPr>
          <w:p>
            <w:pPr>
              <w:spacing w:line="240" w:lineRule="auto"/>
              <w:ind w:firstLine="0" w:firstLineChars="0"/>
              <w:jc w:val="center"/>
              <w:rPr>
                <w:color w:val="auto"/>
                <w:sz w:val="21"/>
                <w:szCs w:val="21"/>
              </w:rPr>
            </w:pPr>
            <w:r>
              <w:rPr>
                <w:color w:val="auto"/>
                <w:sz w:val="21"/>
                <w:szCs w:val="21"/>
              </w:rPr>
              <w:t>/</w:t>
            </w:r>
          </w:p>
        </w:tc>
      </w:tr>
    </w:tbl>
    <w:p>
      <w:pPr>
        <w:ind w:firstLine="480"/>
        <w:rPr>
          <w:color w:val="auto"/>
        </w:rPr>
      </w:pPr>
      <w:r>
        <w:rPr>
          <w:rFonts w:hint="eastAsia"/>
          <w:color w:val="auto"/>
        </w:rPr>
        <w:t>从监测结果可以看出，各项指标满足《地下水质量标准》（</w:t>
      </w:r>
      <w:r>
        <w:rPr>
          <w:color w:val="auto"/>
        </w:rPr>
        <w:t>GB/T14848-</w:t>
      </w:r>
      <w:r>
        <w:rPr>
          <w:rFonts w:hint="eastAsia"/>
          <w:color w:val="auto"/>
        </w:rPr>
        <w:t>2017）Ⅲ类标准要求，沼液消纳对周围地下水影响较小。</w:t>
      </w:r>
    </w:p>
    <w:p>
      <w:pPr>
        <w:ind w:firstLine="480"/>
        <w:rPr>
          <w:color w:val="auto"/>
        </w:rPr>
      </w:pPr>
      <w:r>
        <w:rPr>
          <w:rFonts w:hint="eastAsia"/>
          <w:color w:val="auto"/>
        </w:rPr>
        <w:t>（</w:t>
      </w:r>
      <w:r>
        <w:rPr>
          <w:color w:val="auto"/>
        </w:rPr>
        <w:t>5</w:t>
      </w:r>
      <w:r>
        <w:rPr>
          <w:rFonts w:hint="eastAsia"/>
          <w:color w:val="auto"/>
        </w:rPr>
        <w:t>）预防地下水污染物的要求及环境管理建议</w:t>
      </w:r>
    </w:p>
    <w:p>
      <w:pPr>
        <w:ind w:firstLine="480"/>
        <w:rPr>
          <w:color w:val="auto"/>
        </w:rPr>
      </w:pPr>
      <w:r>
        <w:rPr>
          <w:rFonts w:hint="eastAsia"/>
          <w:color w:val="auto"/>
        </w:rPr>
        <w:t>项目在施工和运营阶段，应充分做好排污管道的防渗处理，杜绝污水渗漏，确保污水收集处理系统衔接良好，严格用水管理，防止污水</w:t>
      </w:r>
      <w:r>
        <w:rPr>
          <w:color w:val="auto"/>
        </w:rPr>
        <w:t>“</w:t>
      </w:r>
      <w:r>
        <w:rPr>
          <w:rFonts w:hint="eastAsia"/>
          <w:color w:val="auto"/>
        </w:rPr>
        <w:t>跑、冒、滴、漏</w:t>
      </w:r>
      <w:r>
        <w:rPr>
          <w:color w:val="auto"/>
        </w:rPr>
        <w:t>”</w:t>
      </w:r>
      <w:r>
        <w:rPr>
          <w:rFonts w:hint="eastAsia"/>
          <w:color w:val="auto"/>
        </w:rPr>
        <w:t>现象的发生，这样可以保证项目区内产生的全部废水汇集到污水处理站集中处理。营运期环境管理建议严格按照以下要求进行管理：</w:t>
      </w:r>
    </w:p>
    <w:p>
      <w:pPr>
        <w:ind w:firstLine="480"/>
        <w:rPr>
          <w:color w:val="auto"/>
        </w:rPr>
      </w:pPr>
      <w:r>
        <w:rPr>
          <w:rFonts w:hint="eastAsia"/>
          <w:color w:val="auto"/>
        </w:rPr>
        <w:t>①《畜禽养殖业污染防治技术规范》（</w:t>
      </w:r>
      <w:r>
        <w:rPr>
          <w:color w:val="auto"/>
        </w:rPr>
        <w:t>HJ/T81</w:t>
      </w:r>
      <w:r>
        <w:rPr>
          <w:rFonts w:hint="eastAsia"/>
          <w:color w:val="auto"/>
        </w:rPr>
        <w:t>－</w:t>
      </w:r>
      <w:r>
        <w:rPr>
          <w:color w:val="auto"/>
        </w:rPr>
        <w:t>2001</w:t>
      </w:r>
      <w:r>
        <w:rPr>
          <w:rFonts w:hint="eastAsia"/>
          <w:color w:val="auto"/>
        </w:rPr>
        <w:t>）规定，养殖场的排水系统应实施雨水和污水收集输送系统分离，在厂区内设置的污水收集输送系统，不得采用明沟布设。排水沟应采取水泥硬化防渗措施或采用水泥排水管进行输送，防止随处溢流和下渗污染。</w:t>
      </w:r>
    </w:p>
    <w:p>
      <w:pPr>
        <w:ind w:firstLine="480"/>
        <w:rPr>
          <w:color w:val="auto"/>
        </w:rPr>
      </w:pPr>
      <w:r>
        <w:rPr>
          <w:rFonts w:hint="eastAsia"/>
          <w:color w:val="auto"/>
        </w:rPr>
        <w:t>②猪粪贮存设施应采取有效的防渗处理工艺，防止粪便淋滤液污染地下水。</w:t>
      </w:r>
    </w:p>
    <w:p>
      <w:pPr>
        <w:ind w:firstLine="480"/>
        <w:rPr>
          <w:color w:val="auto"/>
        </w:rPr>
      </w:pPr>
      <w:r>
        <w:rPr>
          <w:rFonts w:hint="eastAsia"/>
          <w:color w:val="auto"/>
        </w:rPr>
        <w:t>③在沼液消纳区地下水的上下游已有的两口地下水监测井，同时派出管理和技术人员指导农户合理施用沼液。</w:t>
      </w:r>
    </w:p>
    <w:p>
      <w:pPr>
        <w:ind w:firstLine="480"/>
        <w:rPr>
          <w:color w:val="auto"/>
        </w:rPr>
      </w:pPr>
      <w:r>
        <w:rPr>
          <w:rFonts w:hint="eastAsia"/>
          <w:color w:val="auto"/>
        </w:rPr>
        <w:t>综上分析，建设项目厂区地下水环境在落实好防渗、防污措施后，本项目污染物能得到有效处理，对地下水水质影响较小，项目的建设不会产生其他环境地质问题，因此对地下水环境质量影响较小。</w:t>
      </w:r>
    </w:p>
    <w:p>
      <w:pPr>
        <w:pStyle w:val="6"/>
        <w:pBdr>
          <w:right w:val="single" w:color="auto" w:sz="4" w:space="4"/>
        </w:pBdr>
        <w:rPr>
          <w:color w:val="auto"/>
          <w:kern w:val="44"/>
        </w:rPr>
      </w:pPr>
      <w:bookmarkStart w:id="553" w:name="_Toc476923288"/>
      <w:bookmarkStart w:id="554" w:name="_Toc366760264"/>
      <w:bookmarkStart w:id="555" w:name="_Toc476921970"/>
      <w:bookmarkStart w:id="556" w:name="_Toc477187436"/>
      <w:bookmarkStart w:id="557" w:name="_Toc477357251"/>
      <w:bookmarkStart w:id="558" w:name="_Toc354421687"/>
      <w:r>
        <w:rPr>
          <w:color w:val="auto"/>
          <w:kern w:val="44"/>
        </w:rPr>
        <w:t>5.</w:t>
      </w:r>
      <w:r>
        <w:rPr>
          <w:rFonts w:hint="eastAsia"/>
          <w:color w:val="auto"/>
          <w:kern w:val="44"/>
        </w:rPr>
        <w:t>2.</w:t>
      </w:r>
      <w:r>
        <w:rPr>
          <w:color w:val="auto"/>
          <w:kern w:val="44"/>
        </w:rPr>
        <w:t>4声环境质量影响预测与评价</w:t>
      </w:r>
      <w:bookmarkEnd w:id="553"/>
      <w:bookmarkEnd w:id="554"/>
      <w:bookmarkEnd w:id="555"/>
      <w:bookmarkEnd w:id="556"/>
      <w:bookmarkEnd w:id="557"/>
      <w:bookmarkEnd w:id="558"/>
    </w:p>
    <w:p>
      <w:pPr>
        <w:ind w:firstLine="480"/>
        <w:outlineLvl w:val="3"/>
        <w:rPr>
          <w:color w:val="auto"/>
        </w:rPr>
      </w:pPr>
      <w:r>
        <w:rPr>
          <w:rFonts w:hint="eastAsia"/>
          <w:color w:val="auto"/>
        </w:rPr>
        <w:t>5.2.4.1预测范围及噪声预测点</w:t>
      </w:r>
    </w:p>
    <w:p>
      <w:pPr>
        <w:ind w:firstLine="480"/>
        <w:rPr>
          <w:bCs/>
          <w:color w:val="auto"/>
        </w:rPr>
      </w:pPr>
      <w:r>
        <w:rPr>
          <w:bCs/>
          <w:color w:val="auto"/>
        </w:rPr>
        <w:t>由于</w:t>
      </w:r>
      <w:r>
        <w:rPr>
          <w:rFonts w:hint="eastAsia"/>
          <w:bCs/>
          <w:color w:val="auto"/>
        </w:rPr>
        <w:t>本项目</w:t>
      </w:r>
      <w:r>
        <w:rPr>
          <w:bCs/>
          <w:color w:val="auto"/>
        </w:rPr>
        <w:t>200m范围内无声环境敏感点，因此，本次评价声环境影响预测范围确定为各厂界。</w:t>
      </w:r>
    </w:p>
    <w:p>
      <w:pPr>
        <w:ind w:firstLine="480"/>
        <w:outlineLvl w:val="3"/>
        <w:rPr>
          <w:color w:val="auto"/>
        </w:rPr>
      </w:pPr>
      <w:r>
        <w:rPr>
          <w:rFonts w:hint="eastAsia"/>
          <w:color w:val="auto"/>
        </w:rPr>
        <w:t>5.2.4.2噪声源强及声源分布</w:t>
      </w:r>
    </w:p>
    <w:p>
      <w:pPr>
        <w:ind w:firstLine="472" w:firstLineChars="197"/>
        <w:rPr>
          <w:color w:val="auto"/>
          <w:kern w:val="0"/>
        </w:rPr>
      </w:pPr>
      <w:r>
        <w:rPr>
          <w:rFonts w:hint="eastAsia"/>
          <w:bCs/>
          <w:color w:val="auto"/>
        </w:rPr>
        <w:t>本项目</w:t>
      </w:r>
      <w:r>
        <w:rPr>
          <w:bCs/>
          <w:color w:val="auto"/>
        </w:rPr>
        <w:t>噪声主要为</w:t>
      </w:r>
      <w:r>
        <w:rPr>
          <w:rFonts w:hint="eastAsia"/>
          <w:bCs/>
          <w:color w:val="auto"/>
        </w:rPr>
        <w:t>猪叫声、猪舍降温配套负压风机、粪污处理设施等设备运行时产生的</w:t>
      </w:r>
      <w:r>
        <w:rPr>
          <w:bCs/>
          <w:color w:val="auto"/>
        </w:rPr>
        <w:t>噪声，根据类比调查，其源强为70～</w:t>
      </w:r>
      <w:r>
        <w:rPr>
          <w:rFonts w:hint="eastAsia"/>
          <w:bCs/>
          <w:color w:val="auto"/>
          <w:lang w:val="en-US" w:eastAsia="zh-CN"/>
        </w:rPr>
        <w:t>8</w:t>
      </w:r>
      <w:r>
        <w:rPr>
          <w:rFonts w:hint="eastAsia"/>
          <w:bCs/>
          <w:color w:val="auto"/>
        </w:rPr>
        <w:t>5</w:t>
      </w:r>
      <w:r>
        <w:rPr>
          <w:bCs/>
          <w:color w:val="auto"/>
        </w:rPr>
        <w:t>dB(A)。</w:t>
      </w:r>
      <w:r>
        <w:rPr>
          <w:rFonts w:hint="eastAsia"/>
          <w:bCs/>
          <w:color w:val="auto"/>
        </w:rPr>
        <w:t>本项目噪声源强见表5.2-28。</w:t>
      </w:r>
    </w:p>
    <w:p>
      <w:pPr>
        <w:ind w:firstLine="482"/>
        <w:rPr>
          <w:b/>
          <w:bCs/>
          <w:color w:val="auto"/>
        </w:rPr>
      </w:pPr>
      <w:r>
        <w:rPr>
          <w:rFonts w:hint="eastAsia"/>
          <w:b/>
          <w:bCs/>
          <w:color w:val="auto"/>
        </w:rPr>
        <w:t>表5.2-28</w:t>
      </w:r>
      <w:r>
        <w:rPr>
          <w:b/>
          <w:bCs/>
          <w:color w:val="auto"/>
        </w:rPr>
        <w:t xml:space="preserve">  </w:t>
      </w:r>
      <w:r>
        <w:rPr>
          <w:rFonts w:hint="eastAsia"/>
          <w:b/>
          <w:bCs/>
          <w:color w:val="auto"/>
        </w:rPr>
        <w:t xml:space="preserve">  </w:t>
      </w:r>
      <w:r>
        <w:rPr>
          <w:b/>
          <w:bCs/>
          <w:color w:val="auto"/>
        </w:rPr>
        <w:t xml:space="preserve">    </w:t>
      </w:r>
      <w:r>
        <w:rPr>
          <w:rFonts w:hint="eastAsia"/>
          <w:b/>
          <w:bCs/>
          <w:color w:val="auto"/>
        </w:rPr>
        <w:t xml:space="preserve">  本</w:t>
      </w:r>
      <w:r>
        <w:rPr>
          <w:b/>
          <w:bCs/>
          <w:color w:val="auto"/>
        </w:rPr>
        <w:t>项目噪声</w:t>
      </w:r>
      <w:r>
        <w:rPr>
          <w:rFonts w:hint="eastAsia"/>
          <w:b/>
          <w:bCs/>
          <w:color w:val="auto"/>
        </w:rPr>
        <w:t xml:space="preserve">源强估算表  </w:t>
      </w:r>
      <w:r>
        <w:rPr>
          <w:b/>
          <w:bCs/>
          <w:color w:val="auto"/>
        </w:rPr>
        <w:t xml:space="preserve">              单位：dB(A)</w:t>
      </w:r>
    </w:p>
    <w:tbl>
      <w:tblPr>
        <w:tblStyle w:val="27"/>
        <w:tblW w:w="8958" w:type="dxa"/>
        <w:jc w:val="center"/>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fixed"/>
        <w:tblCellMar>
          <w:top w:w="0" w:type="dxa"/>
          <w:left w:w="57" w:type="dxa"/>
          <w:bottom w:w="0" w:type="dxa"/>
          <w:right w:w="57" w:type="dxa"/>
        </w:tblCellMar>
      </w:tblPr>
      <w:tblGrid>
        <w:gridCol w:w="1586"/>
        <w:gridCol w:w="1338"/>
        <w:gridCol w:w="1353"/>
        <w:gridCol w:w="645"/>
        <w:gridCol w:w="2800"/>
        <w:gridCol w:w="1236"/>
      </w:tblGrid>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tblHeader/>
          <w:jc w:val="center"/>
        </w:trPr>
        <w:tc>
          <w:tcPr>
            <w:tcW w:w="1586" w:type="dxa"/>
            <w:vAlign w:val="center"/>
          </w:tcPr>
          <w:p>
            <w:pPr>
              <w:spacing w:line="240" w:lineRule="auto"/>
              <w:ind w:firstLine="0" w:firstLineChars="0"/>
              <w:jc w:val="center"/>
              <w:rPr>
                <w:bCs/>
                <w:color w:val="auto"/>
                <w:sz w:val="21"/>
                <w:szCs w:val="21"/>
              </w:rPr>
            </w:pPr>
            <w:r>
              <w:rPr>
                <w:bCs/>
                <w:color w:val="auto"/>
                <w:sz w:val="21"/>
                <w:szCs w:val="21"/>
              </w:rPr>
              <w:t>污染物来源</w:t>
            </w:r>
          </w:p>
        </w:tc>
        <w:tc>
          <w:tcPr>
            <w:tcW w:w="1338" w:type="dxa"/>
            <w:vAlign w:val="center"/>
          </w:tcPr>
          <w:p>
            <w:pPr>
              <w:spacing w:line="240" w:lineRule="auto"/>
              <w:ind w:firstLine="0" w:firstLineChars="0"/>
              <w:jc w:val="center"/>
              <w:rPr>
                <w:bCs/>
                <w:color w:val="auto"/>
                <w:sz w:val="21"/>
                <w:szCs w:val="21"/>
              </w:rPr>
            </w:pPr>
            <w:r>
              <w:rPr>
                <w:bCs/>
                <w:color w:val="auto"/>
                <w:sz w:val="21"/>
                <w:szCs w:val="21"/>
              </w:rPr>
              <w:t>种</w:t>
            </w:r>
            <w:r>
              <w:rPr>
                <w:rFonts w:hint="eastAsia"/>
                <w:bCs/>
                <w:color w:val="auto"/>
                <w:sz w:val="21"/>
                <w:szCs w:val="21"/>
              </w:rPr>
              <w:t xml:space="preserve"> </w:t>
            </w:r>
            <w:r>
              <w:rPr>
                <w:bCs/>
                <w:color w:val="auto"/>
                <w:sz w:val="21"/>
                <w:szCs w:val="21"/>
              </w:rPr>
              <w:t>类</w:t>
            </w:r>
          </w:p>
        </w:tc>
        <w:tc>
          <w:tcPr>
            <w:tcW w:w="1353" w:type="dxa"/>
            <w:vAlign w:val="center"/>
          </w:tcPr>
          <w:p>
            <w:pPr>
              <w:spacing w:line="240" w:lineRule="auto"/>
              <w:ind w:firstLine="0" w:firstLineChars="0"/>
              <w:jc w:val="center"/>
              <w:rPr>
                <w:bCs/>
                <w:color w:val="auto"/>
                <w:sz w:val="21"/>
                <w:szCs w:val="21"/>
              </w:rPr>
            </w:pPr>
            <w:r>
              <w:rPr>
                <w:bCs/>
                <w:color w:val="auto"/>
                <w:sz w:val="21"/>
                <w:szCs w:val="21"/>
              </w:rPr>
              <w:t>产生方式</w:t>
            </w:r>
          </w:p>
        </w:tc>
        <w:tc>
          <w:tcPr>
            <w:tcW w:w="645" w:type="dxa"/>
            <w:vAlign w:val="center"/>
          </w:tcPr>
          <w:p>
            <w:pPr>
              <w:spacing w:line="240" w:lineRule="auto"/>
              <w:ind w:firstLine="0" w:firstLineChars="0"/>
              <w:jc w:val="center"/>
              <w:rPr>
                <w:bCs/>
                <w:color w:val="auto"/>
                <w:sz w:val="21"/>
                <w:szCs w:val="21"/>
              </w:rPr>
            </w:pPr>
            <w:r>
              <w:rPr>
                <w:bCs/>
                <w:color w:val="auto"/>
                <w:sz w:val="21"/>
                <w:szCs w:val="21"/>
              </w:rPr>
              <w:t>源强</w:t>
            </w:r>
          </w:p>
        </w:tc>
        <w:tc>
          <w:tcPr>
            <w:tcW w:w="2800" w:type="dxa"/>
            <w:vAlign w:val="center"/>
          </w:tcPr>
          <w:p>
            <w:pPr>
              <w:spacing w:line="240" w:lineRule="auto"/>
              <w:ind w:firstLine="0" w:firstLineChars="0"/>
              <w:jc w:val="center"/>
              <w:rPr>
                <w:bCs/>
                <w:color w:val="auto"/>
                <w:sz w:val="21"/>
                <w:szCs w:val="21"/>
              </w:rPr>
            </w:pPr>
            <w:r>
              <w:rPr>
                <w:rFonts w:hint="eastAsia"/>
                <w:bCs/>
                <w:color w:val="auto"/>
                <w:sz w:val="21"/>
                <w:szCs w:val="21"/>
              </w:rPr>
              <w:t>控制要求</w:t>
            </w:r>
          </w:p>
        </w:tc>
        <w:tc>
          <w:tcPr>
            <w:tcW w:w="1236" w:type="dxa"/>
            <w:vAlign w:val="center"/>
          </w:tcPr>
          <w:p>
            <w:pPr>
              <w:spacing w:line="240" w:lineRule="auto"/>
              <w:ind w:firstLine="0" w:firstLineChars="0"/>
              <w:jc w:val="center"/>
              <w:rPr>
                <w:bCs/>
                <w:color w:val="auto"/>
                <w:sz w:val="21"/>
                <w:szCs w:val="21"/>
              </w:rPr>
            </w:pPr>
            <w:r>
              <w:rPr>
                <w:bCs/>
                <w:color w:val="auto"/>
                <w:sz w:val="21"/>
                <w:szCs w:val="21"/>
              </w:rPr>
              <w:t>排放源强</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tblHeader/>
          <w:jc w:val="center"/>
        </w:trPr>
        <w:tc>
          <w:tcPr>
            <w:tcW w:w="1586" w:type="dxa"/>
            <w:vMerge w:val="restart"/>
            <w:vAlign w:val="center"/>
          </w:tcPr>
          <w:p>
            <w:pPr>
              <w:spacing w:line="240" w:lineRule="auto"/>
              <w:ind w:firstLine="0" w:firstLineChars="0"/>
              <w:jc w:val="center"/>
              <w:rPr>
                <w:bCs/>
                <w:color w:val="auto"/>
                <w:sz w:val="21"/>
                <w:szCs w:val="21"/>
              </w:rPr>
            </w:pPr>
            <w:r>
              <w:rPr>
                <w:bCs/>
                <w:color w:val="auto"/>
                <w:sz w:val="21"/>
                <w:szCs w:val="21"/>
              </w:rPr>
              <w:t>猪舍</w:t>
            </w:r>
          </w:p>
        </w:tc>
        <w:tc>
          <w:tcPr>
            <w:tcW w:w="1338" w:type="dxa"/>
            <w:vAlign w:val="center"/>
          </w:tcPr>
          <w:p>
            <w:pPr>
              <w:spacing w:line="240" w:lineRule="auto"/>
              <w:ind w:firstLine="0" w:firstLineChars="0"/>
              <w:jc w:val="center"/>
              <w:rPr>
                <w:bCs/>
                <w:color w:val="auto"/>
                <w:sz w:val="21"/>
                <w:szCs w:val="21"/>
              </w:rPr>
            </w:pPr>
            <w:r>
              <w:rPr>
                <w:bCs/>
                <w:color w:val="auto"/>
                <w:sz w:val="21"/>
                <w:szCs w:val="21"/>
              </w:rPr>
              <w:t>猪叫</w:t>
            </w:r>
          </w:p>
        </w:tc>
        <w:tc>
          <w:tcPr>
            <w:tcW w:w="1353" w:type="dxa"/>
            <w:vAlign w:val="center"/>
          </w:tcPr>
          <w:p>
            <w:pPr>
              <w:spacing w:line="240" w:lineRule="auto"/>
              <w:ind w:firstLine="0" w:firstLineChars="0"/>
              <w:jc w:val="center"/>
              <w:rPr>
                <w:bCs/>
                <w:color w:val="auto"/>
                <w:sz w:val="21"/>
                <w:szCs w:val="21"/>
              </w:rPr>
            </w:pPr>
            <w:r>
              <w:rPr>
                <w:bCs/>
                <w:color w:val="auto"/>
                <w:sz w:val="21"/>
                <w:szCs w:val="21"/>
              </w:rPr>
              <w:t>间断</w:t>
            </w:r>
          </w:p>
        </w:tc>
        <w:tc>
          <w:tcPr>
            <w:tcW w:w="645" w:type="dxa"/>
            <w:vAlign w:val="center"/>
          </w:tcPr>
          <w:p>
            <w:pPr>
              <w:spacing w:line="240" w:lineRule="auto"/>
              <w:ind w:firstLine="0" w:firstLineChars="0"/>
              <w:jc w:val="center"/>
              <w:rPr>
                <w:bCs/>
                <w:color w:val="auto"/>
                <w:sz w:val="21"/>
                <w:szCs w:val="21"/>
              </w:rPr>
            </w:pPr>
            <w:r>
              <w:rPr>
                <w:bCs/>
                <w:color w:val="auto"/>
                <w:sz w:val="21"/>
                <w:szCs w:val="21"/>
              </w:rPr>
              <w:t>70</w:t>
            </w:r>
          </w:p>
        </w:tc>
        <w:tc>
          <w:tcPr>
            <w:tcW w:w="2800" w:type="dxa"/>
            <w:vAlign w:val="center"/>
          </w:tcPr>
          <w:p>
            <w:pPr>
              <w:spacing w:line="240" w:lineRule="auto"/>
              <w:ind w:firstLine="0" w:firstLineChars="0"/>
              <w:jc w:val="center"/>
              <w:rPr>
                <w:bCs/>
                <w:color w:val="auto"/>
                <w:sz w:val="21"/>
                <w:szCs w:val="21"/>
              </w:rPr>
            </w:pPr>
            <w:r>
              <w:rPr>
                <w:bCs/>
                <w:color w:val="auto"/>
                <w:sz w:val="21"/>
                <w:szCs w:val="21"/>
              </w:rPr>
              <w:t>厂房隔声</w:t>
            </w:r>
          </w:p>
        </w:tc>
        <w:tc>
          <w:tcPr>
            <w:tcW w:w="1236" w:type="dxa"/>
            <w:vAlign w:val="center"/>
          </w:tcPr>
          <w:p>
            <w:pPr>
              <w:spacing w:line="240" w:lineRule="auto"/>
              <w:ind w:firstLine="0" w:firstLineChars="0"/>
              <w:jc w:val="center"/>
              <w:rPr>
                <w:bCs/>
                <w:color w:val="auto"/>
                <w:sz w:val="21"/>
                <w:szCs w:val="21"/>
              </w:rPr>
            </w:pPr>
            <w:r>
              <w:rPr>
                <w:bCs/>
                <w:color w:val="auto"/>
                <w:sz w:val="21"/>
                <w:szCs w:val="21"/>
              </w:rPr>
              <w:t>55</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tblHeader/>
          <w:jc w:val="center"/>
        </w:trPr>
        <w:tc>
          <w:tcPr>
            <w:tcW w:w="1586" w:type="dxa"/>
            <w:vMerge w:val="continue"/>
            <w:vAlign w:val="center"/>
          </w:tcPr>
          <w:p>
            <w:pPr>
              <w:spacing w:line="240" w:lineRule="auto"/>
              <w:ind w:firstLine="0" w:firstLineChars="0"/>
              <w:jc w:val="center"/>
              <w:rPr>
                <w:bCs/>
                <w:color w:val="auto"/>
                <w:sz w:val="21"/>
                <w:szCs w:val="21"/>
              </w:rPr>
            </w:pPr>
          </w:p>
        </w:tc>
        <w:tc>
          <w:tcPr>
            <w:tcW w:w="1338" w:type="dxa"/>
            <w:vAlign w:val="center"/>
          </w:tcPr>
          <w:p>
            <w:pPr>
              <w:spacing w:line="240" w:lineRule="auto"/>
              <w:ind w:firstLine="0" w:firstLineChars="0"/>
              <w:jc w:val="center"/>
              <w:rPr>
                <w:bCs/>
                <w:color w:val="auto"/>
                <w:sz w:val="21"/>
                <w:szCs w:val="21"/>
              </w:rPr>
            </w:pPr>
            <w:r>
              <w:rPr>
                <w:rFonts w:hint="eastAsia"/>
                <w:bCs/>
                <w:color w:val="auto"/>
                <w:sz w:val="21"/>
                <w:szCs w:val="21"/>
              </w:rPr>
              <w:t>风机</w:t>
            </w:r>
          </w:p>
        </w:tc>
        <w:tc>
          <w:tcPr>
            <w:tcW w:w="1353" w:type="dxa"/>
            <w:vAlign w:val="center"/>
          </w:tcPr>
          <w:p>
            <w:pPr>
              <w:spacing w:line="240" w:lineRule="auto"/>
              <w:ind w:firstLine="0" w:firstLineChars="0"/>
              <w:jc w:val="center"/>
              <w:rPr>
                <w:bCs/>
                <w:color w:val="auto"/>
                <w:sz w:val="21"/>
                <w:szCs w:val="21"/>
              </w:rPr>
            </w:pPr>
            <w:r>
              <w:rPr>
                <w:bCs/>
                <w:color w:val="auto"/>
                <w:sz w:val="21"/>
                <w:szCs w:val="21"/>
              </w:rPr>
              <w:t>连续</w:t>
            </w:r>
          </w:p>
        </w:tc>
        <w:tc>
          <w:tcPr>
            <w:tcW w:w="645" w:type="dxa"/>
            <w:vAlign w:val="center"/>
          </w:tcPr>
          <w:p>
            <w:pPr>
              <w:spacing w:line="240" w:lineRule="auto"/>
              <w:ind w:firstLine="0" w:firstLineChars="0"/>
              <w:jc w:val="center"/>
              <w:rPr>
                <w:bCs/>
                <w:color w:val="auto"/>
                <w:sz w:val="21"/>
                <w:szCs w:val="21"/>
              </w:rPr>
            </w:pPr>
            <w:r>
              <w:rPr>
                <w:bCs/>
                <w:color w:val="auto"/>
                <w:sz w:val="21"/>
                <w:szCs w:val="21"/>
              </w:rPr>
              <w:t>80</w:t>
            </w:r>
          </w:p>
        </w:tc>
        <w:tc>
          <w:tcPr>
            <w:tcW w:w="2800" w:type="dxa"/>
            <w:vAlign w:val="center"/>
          </w:tcPr>
          <w:p>
            <w:pPr>
              <w:spacing w:line="240" w:lineRule="auto"/>
              <w:ind w:firstLine="0" w:firstLineChars="0"/>
              <w:jc w:val="center"/>
              <w:rPr>
                <w:bCs/>
                <w:color w:val="auto"/>
                <w:sz w:val="21"/>
                <w:szCs w:val="21"/>
              </w:rPr>
            </w:pPr>
            <w:r>
              <w:rPr>
                <w:bCs/>
                <w:color w:val="auto"/>
                <w:sz w:val="21"/>
                <w:szCs w:val="21"/>
              </w:rPr>
              <w:t>厂房隔声</w:t>
            </w:r>
          </w:p>
        </w:tc>
        <w:tc>
          <w:tcPr>
            <w:tcW w:w="1236" w:type="dxa"/>
            <w:vAlign w:val="center"/>
          </w:tcPr>
          <w:p>
            <w:pPr>
              <w:spacing w:line="240" w:lineRule="auto"/>
              <w:ind w:firstLine="0" w:firstLineChars="0"/>
              <w:jc w:val="center"/>
              <w:rPr>
                <w:bCs/>
                <w:color w:val="auto"/>
                <w:sz w:val="21"/>
                <w:szCs w:val="21"/>
              </w:rPr>
            </w:pPr>
            <w:r>
              <w:rPr>
                <w:bCs/>
                <w:color w:val="auto"/>
                <w:sz w:val="21"/>
                <w:szCs w:val="21"/>
              </w:rPr>
              <w:t>60</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tblHeader/>
          <w:jc w:val="center"/>
        </w:trPr>
        <w:tc>
          <w:tcPr>
            <w:tcW w:w="1586" w:type="dxa"/>
            <w:vAlign w:val="center"/>
          </w:tcPr>
          <w:p>
            <w:pPr>
              <w:spacing w:line="240" w:lineRule="auto"/>
              <w:ind w:firstLine="0" w:firstLineChars="0"/>
              <w:jc w:val="center"/>
              <w:rPr>
                <w:bCs/>
                <w:color w:val="auto"/>
                <w:sz w:val="21"/>
                <w:szCs w:val="21"/>
              </w:rPr>
            </w:pPr>
            <w:r>
              <w:rPr>
                <w:bCs/>
                <w:color w:val="auto"/>
                <w:sz w:val="21"/>
                <w:szCs w:val="21"/>
              </w:rPr>
              <w:t>粪污处理区</w:t>
            </w:r>
          </w:p>
        </w:tc>
        <w:tc>
          <w:tcPr>
            <w:tcW w:w="1338" w:type="dxa"/>
            <w:vAlign w:val="center"/>
          </w:tcPr>
          <w:p>
            <w:pPr>
              <w:spacing w:line="240" w:lineRule="auto"/>
              <w:ind w:firstLine="0" w:firstLineChars="0"/>
              <w:jc w:val="center"/>
              <w:rPr>
                <w:bCs/>
                <w:color w:val="auto"/>
                <w:sz w:val="21"/>
                <w:szCs w:val="21"/>
              </w:rPr>
            </w:pPr>
            <w:r>
              <w:rPr>
                <w:bCs/>
                <w:color w:val="auto"/>
                <w:sz w:val="21"/>
                <w:szCs w:val="21"/>
              </w:rPr>
              <w:t>水泵</w:t>
            </w:r>
          </w:p>
        </w:tc>
        <w:tc>
          <w:tcPr>
            <w:tcW w:w="1353" w:type="dxa"/>
            <w:vAlign w:val="center"/>
          </w:tcPr>
          <w:p>
            <w:pPr>
              <w:spacing w:line="240" w:lineRule="auto"/>
              <w:ind w:firstLine="0" w:firstLineChars="0"/>
              <w:jc w:val="center"/>
              <w:rPr>
                <w:bCs/>
                <w:color w:val="auto"/>
                <w:sz w:val="21"/>
                <w:szCs w:val="21"/>
              </w:rPr>
            </w:pPr>
            <w:r>
              <w:rPr>
                <w:bCs/>
                <w:color w:val="auto"/>
                <w:sz w:val="21"/>
                <w:szCs w:val="21"/>
              </w:rPr>
              <w:t>连续</w:t>
            </w:r>
          </w:p>
        </w:tc>
        <w:tc>
          <w:tcPr>
            <w:tcW w:w="645" w:type="dxa"/>
            <w:vAlign w:val="center"/>
          </w:tcPr>
          <w:p>
            <w:pPr>
              <w:spacing w:line="240" w:lineRule="auto"/>
              <w:ind w:firstLine="0" w:firstLineChars="0"/>
              <w:jc w:val="center"/>
              <w:rPr>
                <w:bCs/>
                <w:color w:val="auto"/>
                <w:sz w:val="21"/>
                <w:szCs w:val="21"/>
              </w:rPr>
            </w:pPr>
            <w:r>
              <w:rPr>
                <w:bCs/>
                <w:color w:val="auto"/>
                <w:sz w:val="21"/>
                <w:szCs w:val="21"/>
              </w:rPr>
              <w:t>85</w:t>
            </w:r>
          </w:p>
        </w:tc>
        <w:tc>
          <w:tcPr>
            <w:tcW w:w="2800" w:type="dxa"/>
            <w:vAlign w:val="center"/>
          </w:tcPr>
          <w:p>
            <w:pPr>
              <w:spacing w:line="240" w:lineRule="auto"/>
              <w:ind w:firstLine="0" w:firstLineChars="0"/>
              <w:jc w:val="center"/>
              <w:rPr>
                <w:bCs/>
                <w:color w:val="auto"/>
                <w:sz w:val="21"/>
                <w:szCs w:val="21"/>
              </w:rPr>
            </w:pPr>
            <w:r>
              <w:rPr>
                <w:bCs/>
                <w:color w:val="auto"/>
                <w:sz w:val="21"/>
                <w:szCs w:val="21"/>
              </w:rPr>
              <w:t>选低噪声设备、隔声、减振</w:t>
            </w:r>
          </w:p>
        </w:tc>
        <w:tc>
          <w:tcPr>
            <w:tcW w:w="1236" w:type="dxa"/>
            <w:vAlign w:val="center"/>
          </w:tcPr>
          <w:p>
            <w:pPr>
              <w:spacing w:line="240" w:lineRule="auto"/>
              <w:ind w:firstLine="0" w:firstLineChars="0"/>
              <w:jc w:val="center"/>
              <w:rPr>
                <w:bCs/>
                <w:color w:val="auto"/>
                <w:sz w:val="21"/>
                <w:szCs w:val="21"/>
              </w:rPr>
            </w:pPr>
            <w:r>
              <w:rPr>
                <w:bCs/>
                <w:color w:val="auto"/>
                <w:sz w:val="21"/>
                <w:szCs w:val="21"/>
              </w:rPr>
              <w:t>65</w:t>
            </w:r>
          </w:p>
        </w:tc>
      </w:tr>
    </w:tbl>
    <w:p>
      <w:pPr>
        <w:spacing w:line="500" w:lineRule="exact"/>
        <w:ind w:firstLine="480"/>
        <w:outlineLvl w:val="3"/>
        <w:rPr>
          <w:color w:val="auto"/>
        </w:rPr>
      </w:pPr>
      <w:r>
        <w:rPr>
          <w:rFonts w:hint="eastAsia"/>
          <w:color w:val="auto"/>
        </w:rPr>
        <w:t>5.2.4.3</w:t>
      </w:r>
      <w:r>
        <w:rPr>
          <w:color w:val="auto"/>
        </w:rPr>
        <w:t>评价标准</w:t>
      </w:r>
    </w:p>
    <w:p>
      <w:pPr>
        <w:ind w:firstLine="480"/>
        <w:rPr>
          <w:color w:val="auto"/>
        </w:rPr>
      </w:pPr>
      <w:r>
        <w:rPr>
          <w:color w:val="auto"/>
        </w:rPr>
        <w:t>本次声环境影响预测评价标准厂界标准执行《工业企业厂界</w:t>
      </w:r>
      <w:r>
        <w:rPr>
          <w:rFonts w:hint="eastAsia"/>
          <w:color w:val="auto"/>
        </w:rPr>
        <w:t>环境</w:t>
      </w:r>
      <w:r>
        <w:rPr>
          <w:color w:val="auto"/>
        </w:rPr>
        <w:t>噪声</w:t>
      </w:r>
      <w:r>
        <w:rPr>
          <w:rFonts w:hint="eastAsia"/>
          <w:color w:val="auto"/>
        </w:rPr>
        <w:t>排放</w:t>
      </w:r>
      <w:r>
        <w:rPr>
          <w:color w:val="auto"/>
        </w:rPr>
        <w:t>标准》</w:t>
      </w:r>
      <w:r>
        <w:rPr>
          <w:rFonts w:hint="eastAsia"/>
          <w:color w:val="auto"/>
        </w:rPr>
        <w:t>（</w:t>
      </w:r>
      <w:r>
        <w:rPr>
          <w:color w:val="auto"/>
        </w:rPr>
        <w:t>GB12348-</w:t>
      </w:r>
      <w:r>
        <w:rPr>
          <w:rFonts w:hint="eastAsia"/>
          <w:color w:val="auto"/>
        </w:rPr>
        <w:t>20</w:t>
      </w:r>
      <w:r>
        <w:rPr>
          <w:color w:val="auto"/>
        </w:rPr>
        <w:t>0</w:t>
      </w:r>
      <w:r>
        <w:rPr>
          <w:rFonts w:hint="eastAsia"/>
          <w:color w:val="auto"/>
        </w:rPr>
        <w:t>8）2类</w:t>
      </w:r>
      <w:r>
        <w:rPr>
          <w:color w:val="auto"/>
        </w:rPr>
        <w:t>标准，评价标准</w:t>
      </w:r>
      <w:r>
        <w:rPr>
          <w:rFonts w:hint="eastAsia"/>
          <w:color w:val="auto"/>
        </w:rPr>
        <w:t>详见表5.2-29。</w:t>
      </w:r>
    </w:p>
    <w:p>
      <w:pPr>
        <w:ind w:firstLine="482"/>
        <w:jc w:val="center"/>
        <w:rPr>
          <w:b/>
          <w:bCs/>
          <w:color w:val="auto"/>
        </w:rPr>
      </w:pPr>
      <w:r>
        <w:rPr>
          <w:rFonts w:hint="eastAsia"/>
          <w:b/>
          <w:bCs/>
          <w:color w:val="auto"/>
        </w:rPr>
        <w:t>表5.2-29</w:t>
      </w:r>
      <w:r>
        <w:rPr>
          <w:b/>
          <w:bCs/>
          <w:color w:val="auto"/>
        </w:rPr>
        <w:t xml:space="preserve">            </w:t>
      </w:r>
      <w:r>
        <w:rPr>
          <w:rFonts w:hint="eastAsia"/>
          <w:b/>
          <w:bCs/>
          <w:color w:val="auto"/>
        </w:rPr>
        <w:t xml:space="preserve">   </w:t>
      </w:r>
      <w:r>
        <w:rPr>
          <w:b/>
          <w:bCs/>
          <w:color w:val="auto"/>
        </w:rPr>
        <w:t>评价标准</w:t>
      </w:r>
      <w:r>
        <w:rPr>
          <w:rFonts w:hint="eastAsia"/>
          <w:b/>
          <w:bCs/>
          <w:color w:val="auto"/>
        </w:rPr>
        <w:t>（</w:t>
      </w:r>
      <w:r>
        <w:rPr>
          <w:b/>
          <w:bCs/>
          <w:color w:val="auto"/>
        </w:rPr>
        <w:t>dB（A）</w:t>
      </w:r>
      <w:r>
        <w:rPr>
          <w:rFonts w:hint="eastAsia"/>
          <w:b/>
          <w:bCs/>
          <w:color w:val="auto"/>
        </w:rPr>
        <w:t>）</w:t>
      </w:r>
    </w:p>
    <w:tbl>
      <w:tblPr>
        <w:tblStyle w:val="27"/>
        <w:tblW w:w="0" w:type="auto"/>
        <w:tblInd w:w="0" w:type="dxa"/>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fixed"/>
        <w:tblCellMar>
          <w:top w:w="57" w:type="dxa"/>
          <w:left w:w="57" w:type="dxa"/>
          <w:bottom w:w="28" w:type="dxa"/>
          <w:right w:w="57" w:type="dxa"/>
        </w:tblCellMar>
      </w:tblPr>
      <w:tblGrid>
        <w:gridCol w:w="2239"/>
        <w:gridCol w:w="2239"/>
        <w:gridCol w:w="2240"/>
        <w:gridCol w:w="2240"/>
      </w:tblGrid>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57" w:type="dxa"/>
            <w:left w:w="57" w:type="dxa"/>
            <w:bottom w:w="28" w:type="dxa"/>
            <w:right w:w="57" w:type="dxa"/>
          </w:tblCellMar>
        </w:tblPrEx>
        <w:trPr>
          <w:trHeight w:val="227" w:hRule="atLeast"/>
        </w:trPr>
        <w:tc>
          <w:tcPr>
            <w:tcW w:w="2239" w:type="dxa"/>
            <w:vAlign w:val="center"/>
          </w:tcPr>
          <w:p>
            <w:pPr>
              <w:spacing w:line="240" w:lineRule="auto"/>
              <w:ind w:firstLine="0" w:firstLineChars="0"/>
              <w:jc w:val="center"/>
              <w:rPr>
                <w:bCs/>
                <w:color w:val="auto"/>
                <w:sz w:val="21"/>
                <w:szCs w:val="21"/>
              </w:rPr>
            </w:pPr>
            <w:r>
              <w:rPr>
                <w:rFonts w:hint="eastAsia"/>
                <w:bCs/>
                <w:color w:val="auto"/>
                <w:sz w:val="21"/>
                <w:szCs w:val="21"/>
              </w:rPr>
              <w:t>场 界</w:t>
            </w:r>
          </w:p>
        </w:tc>
        <w:tc>
          <w:tcPr>
            <w:tcW w:w="2239" w:type="dxa"/>
            <w:vAlign w:val="center"/>
          </w:tcPr>
          <w:p>
            <w:pPr>
              <w:spacing w:line="240" w:lineRule="auto"/>
              <w:ind w:firstLine="0" w:firstLineChars="0"/>
              <w:jc w:val="center"/>
              <w:rPr>
                <w:bCs/>
                <w:color w:val="auto"/>
                <w:sz w:val="21"/>
                <w:szCs w:val="21"/>
              </w:rPr>
            </w:pPr>
            <w:r>
              <w:rPr>
                <w:bCs/>
                <w:color w:val="auto"/>
                <w:sz w:val="21"/>
                <w:szCs w:val="21"/>
              </w:rPr>
              <w:t>评价标准</w:t>
            </w:r>
          </w:p>
        </w:tc>
        <w:tc>
          <w:tcPr>
            <w:tcW w:w="2240" w:type="dxa"/>
            <w:vAlign w:val="center"/>
          </w:tcPr>
          <w:p>
            <w:pPr>
              <w:spacing w:line="240" w:lineRule="auto"/>
              <w:ind w:firstLine="0" w:firstLineChars="0"/>
              <w:jc w:val="center"/>
              <w:rPr>
                <w:bCs/>
                <w:color w:val="auto"/>
                <w:sz w:val="21"/>
                <w:szCs w:val="21"/>
              </w:rPr>
            </w:pPr>
            <w:r>
              <w:rPr>
                <w:bCs/>
                <w:color w:val="auto"/>
                <w:sz w:val="21"/>
                <w:szCs w:val="21"/>
              </w:rPr>
              <w:t>昼</w:t>
            </w:r>
            <w:r>
              <w:rPr>
                <w:rFonts w:hint="eastAsia"/>
                <w:bCs/>
                <w:color w:val="auto"/>
                <w:sz w:val="21"/>
                <w:szCs w:val="21"/>
              </w:rPr>
              <w:t xml:space="preserve"> </w:t>
            </w:r>
            <w:r>
              <w:rPr>
                <w:bCs/>
                <w:color w:val="auto"/>
                <w:sz w:val="21"/>
                <w:szCs w:val="21"/>
              </w:rPr>
              <w:t>间</w:t>
            </w:r>
          </w:p>
        </w:tc>
        <w:tc>
          <w:tcPr>
            <w:tcW w:w="2240" w:type="dxa"/>
            <w:vAlign w:val="center"/>
          </w:tcPr>
          <w:p>
            <w:pPr>
              <w:spacing w:line="240" w:lineRule="auto"/>
              <w:ind w:firstLine="0" w:firstLineChars="0"/>
              <w:jc w:val="center"/>
              <w:rPr>
                <w:bCs/>
                <w:color w:val="auto"/>
                <w:sz w:val="21"/>
                <w:szCs w:val="21"/>
              </w:rPr>
            </w:pPr>
            <w:r>
              <w:rPr>
                <w:bCs/>
                <w:color w:val="auto"/>
                <w:sz w:val="21"/>
                <w:szCs w:val="21"/>
              </w:rPr>
              <w:t>夜</w:t>
            </w:r>
            <w:r>
              <w:rPr>
                <w:rFonts w:hint="eastAsia"/>
                <w:bCs/>
                <w:color w:val="auto"/>
                <w:sz w:val="21"/>
                <w:szCs w:val="21"/>
              </w:rPr>
              <w:t xml:space="preserve"> </w:t>
            </w:r>
            <w:r>
              <w:rPr>
                <w:bCs/>
                <w:color w:val="auto"/>
                <w:sz w:val="21"/>
                <w:szCs w:val="21"/>
              </w:rPr>
              <w:t>间</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57" w:type="dxa"/>
            <w:left w:w="57" w:type="dxa"/>
            <w:bottom w:w="28" w:type="dxa"/>
            <w:right w:w="57" w:type="dxa"/>
          </w:tblCellMar>
        </w:tblPrEx>
        <w:trPr>
          <w:trHeight w:val="227" w:hRule="atLeast"/>
        </w:trPr>
        <w:tc>
          <w:tcPr>
            <w:tcW w:w="2239" w:type="dxa"/>
            <w:vAlign w:val="center"/>
          </w:tcPr>
          <w:p>
            <w:pPr>
              <w:spacing w:line="240" w:lineRule="auto"/>
              <w:ind w:firstLine="0" w:firstLineChars="0"/>
              <w:jc w:val="center"/>
              <w:rPr>
                <w:bCs/>
                <w:color w:val="auto"/>
                <w:sz w:val="21"/>
                <w:szCs w:val="21"/>
              </w:rPr>
            </w:pPr>
            <w:r>
              <w:rPr>
                <w:rFonts w:hint="eastAsia"/>
                <w:bCs/>
                <w:color w:val="auto"/>
                <w:sz w:val="21"/>
                <w:szCs w:val="21"/>
              </w:rPr>
              <w:t>东、西、南、北厂界</w:t>
            </w:r>
          </w:p>
        </w:tc>
        <w:tc>
          <w:tcPr>
            <w:tcW w:w="2239" w:type="dxa"/>
            <w:vAlign w:val="center"/>
          </w:tcPr>
          <w:p>
            <w:pPr>
              <w:spacing w:line="240" w:lineRule="auto"/>
              <w:ind w:firstLine="0" w:firstLineChars="0"/>
              <w:jc w:val="center"/>
              <w:rPr>
                <w:bCs/>
                <w:color w:val="auto"/>
                <w:sz w:val="21"/>
                <w:szCs w:val="21"/>
              </w:rPr>
            </w:pPr>
            <w:r>
              <w:rPr>
                <w:rFonts w:hint="eastAsia"/>
                <w:bCs/>
                <w:color w:val="auto"/>
                <w:sz w:val="21"/>
                <w:szCs w:val="21"/>
              </w:rPr>
              <w:t>2</w:t>
            </w:r>
            <w:r>
              <w:rPr>
                <w:bCs/>
                <w:color w:val="auto"/>
                <w:sz w:val="21"/>
                <w:szCs w:val="21"/>
              </w:rPr>
              <w:t>类</w:t>
            </w:r>
          </w:p>
        </w:tc>
        <w:tc>
          <w:tcPr>
            <w:tcW w:w="2240" w:type="dxa"/>
            <w:vAlign w:val="center"/>
          </w:tcPr>
          <w:p>
            <w:pPr>
              <w:spacing w:line="240" w:lineRule="auto"/>
              <w:ind w:firstLine="0" w:firstLineChars="0"/>
              <w:jc w:val="center"/>
              <w:rPr>
                <w:bCs/>
                <w:color w:val="auto"/>
                <w:sz w:val="21"/>
                <w:szCs w:val="21"/>
              </w:rPr>
            </w:pPr>
            <w:r>
              <w:rPr>
                <w:rFonts w:hint="eastAsia"/>
                <w:bCs/>
                <w:color w:val="auto"/>
                <w:sz w:val="21"/>
                <w:szCs w:val="21"/>
              </w:rPr>
              <w:t>60</w:t>
            </w:r>
          </w:p>
        </w:tc>
        <w:tc>
          <w:tcPr>
            <w:tcW w:w="2240" w:type="dxa"/>
            <w:vAlign w:val="center"/>
          </w:tcPr>
          <w:p>
            <w:pPr>
              <w:spacing w:line="240" w:lineRule="auto"/>
              <w:ind w:firstLine="0" w:firstLineChars="0"/>
              <w:jc w:val="center"/>
              <w:rPr>
                <w:bCs/>
                <w:color w:val="auto"/>
                <w:sz w:val="21"/>
                <w:szCs w:val="21"/>
              </w:rPr>
            </w:pPr>
            <w:r>
              <w:rPr>
                <w:rFonts w:hint="eastAsia"/>
                <w:bCs/>
                <w:color w:val="auto"/>
                <w:sz w:val="21"/>
                <w:szCs w:val="21"/>
              </w:rPr>
              <w:t>50</w:t>
            </w:r>
          </w:p>
        </w:tc>
      </w:tr>
    </w:tbl>
    <w:p>
      <w:pPr>
        <w:ind w:firstLine="480"/>
        <w:outlineLvl w:val="3"/>
        <w:rPr>
          <w:color w:val="auto"/>
        </w:rPr>
      </w:pPr>
      <w:r>
        <w:rPr>
          <w:rFonts w:hint="eastAsia"/>
          <w:color w:val="auto"/>
        </w:rPr>
        <w:t>5.2.4.4</w:t>
      </w:r>
      <w:r>
        <w:rPr>
          <w:color w:val="auto"/>
        </w:rPr>
        <w:t>预测模式</w:t>
      </w:r>
    </w:p>
    <w:p>
      <w:pPr>
        <w:ind w:firstLine="600" w:firstLineChars="250"/>
        <w:rPr>
          <w:bCs/>
          <w:color w:val="auto"/>
        </w:rPr>
      </w:pPr>
      <w:r>
        <w:rPr>
          <w:rFonts w:hint="eastAsia"/>
          <w:bCs/>
          <w:color w:val="auto"/>
        </w:rPr>
        <w:t>①无指向性点声源的几何发散衰减</w:t>
      </w:r>
      <w:r>
        <w:rPr>
          <w:bCs/>
          <w:color w:val="auto"/>
        </w:rPr>
        <w:t>公式</w:t>
      </w:r>
      <w:r>
        <w:rPr>
          <w:rFonts w:hint="eastAsia"/>
          <w:bCs/>
          <w:color w:val="auto"/>
        </w:rPr>
        <w:t>：</w:t>
      </w:r>
    </w:p>
    <w:p>
      <w:pPr>
        <w:ind w:firstLine="560"/>
        <w:rPr>
          <w:bCs/>
          <w:color w:val="auto"/>
          <w:sz w:val="28"/>
        </w:rPr>
      </w:pPr>
      <w:r>
        <w:rPr>
          <w:bCs/>
          <w:color w:val="auto"/>
          <w:sz w:val="28"/>
        </w:rPr>
        <w:pict>
          <v:shape id="_x0000_s1035" o:spid="_x0000_s1035" o:spt="75" type="#_x0000_t75" style="position:absolute;left:0pt;margin-top:6.25pt;height:20.25pt;width:150pt;mso-position-horizontal:center;z-index:-251661312;mso-width-relative:page;mso-height-relative:page;" o:ole="t" filled="f" o:preferrelative="t" stroked="f" coordsize="21600,21600">
            <v:path/>
            <v:fill on="f" focussize="0,0"/>
            <v:stroke on="f" joinstyle="miter"/>
            <v:imagedata r:id="rId69" o:title=""/>
            <o:lock v:ext="edit" aspectratio="t"/>
          </v:shape>
          <o:OLEObject Type="Embed" ProgID="Equations" ShapeID="_x0000_s1035" DrawAspect="Content" ObjectID="_1468075727" r:id="rId68">
            <o:LockedField>false</o:LockedField>
          </o:OLEObject>
        </w:pict>
      </w:r>
    </w:p>
    <w:p>
      <w:pPr>
        <w:ind w:firstLine="480"/>
        <w:rPr>
          <w:bCs/>
          <w:color w:val="auto"/>
        </w:rPr>
      </w:pPr>
      <w:r>
        <w:rPr>
          <w:bCs/>
          <w:color w:val="auto"/>
        </w:rPr>
        <w:t>式中：</w:t>
      </w:r>
      <w:r>
        <w:rPr>
          <w:bCs/>
          <w:i/>
          <w:color w:val="auto"/>
        </w:rPr>
        <w:t>L</w:t>
      </w:r>
      <w:r>
        <w:rPr>
          <w:rFonts w:hint="eastAsia"/>
          <w:bCs/>
          <w:i/>
          <w:color w:val="auto"/>
          <w:vertAlign w:val="subscript"/>
        </w:rPr>
        <w:t>P</w:t>
      </w:r>
      <w:r>
        <w:rPr>
          <w:bCs/>
          <w:i/>
          <w:color w:val="auto"/>
        </w:rPr>
        <w:t>(r)</w:t>
      </w:r>
      <w:r>
        <w:rPr>
          <w:bCs/>
          <w:color w:val="auto"/>
        </w:rPr>
        <w:t>——距离噪声源r处的等效A声级值，dB(A)；</w:t>
      </w:r>
    </w:p>
    <w:p>
      <w:pPr>
        <w:ind w:firstLine="1200" w:firstLineChars="500"/>
        <w:rPr>
          <w:bCs/>
          <w:color w:val="auto"/>
        </w:rPr>
      </w:pPr>
      <w:r>
        <w:rPr>
          <w:bCs/>
          <w:i/>
          <w:color w:val="auto"/>
        </w:rPr>
        <w:t>L</w:t>
      </w:r>
      <w:r>
        <w:rPr>
          <w:rFonts w:hint="eastAsia"/>
          <w:bCs/>
          <w:i/>
          <w:color w:val="auto"/>
          <w:vertAlign w:val="subscript"/>
        </w:rPr>
        <w:t>P</w:t>
      </w:r>
      <w:r>
        <w:rPr>
          <w:bCs/>
          <w:i/>
          <w:color w:val="auto"/>
        </w:rPr>
        <w:t>(r</w:t>
      </w:r>
      <w:r>
        <w:rPr>
          <w:bCs/>
          <w:i/>
          <w:color w:val="auto"/>
          <w:vertAlign w:val="subscript"/>
        </w:rPr>
        <w:t>0</w:t>
      </w:r>
      <w:r>
        <w:rPr>
          <w:bCs/>
          <w:i/>
          <w:color w:val="auto"/>
        </w:rPr>
        <w:t>)</w:t>
      </w:r>
      <w:r>
        <w:rPr>
          <w:bCs/>
          <w:color w:val="auto"/>
        </w:rPr>
        <w:t>——距离噪声源r</w:t>
      </w:r>
      <w:r>
        <w:rPr>
          <w:bCs/>
          <w:color w:val="auto"/>
          <w:vertAlign w:val="subscript"/>
        </w:rPr>
        <w:t>0</w:t>
      </w:r>
      <w:r>
        <w:rPr>
          <w:bCs/>
          <w:color w:val="auto"/>
        </w:rPr>
        <w:t>处的等效A声级值，dB(A)；</w:t>
      </w:r>
    </w:p>
    <w:p>
      <w:pPr>
        <w:tabs>
          <w:tab w:val="left" w:pos="0"/>
        </w:tabs>
        <w:ind w:firstLine="1260" w:firstLineChars="525"/>
        <w:rPr>
          <w:bCs/>
          <w:color w:val="auto"/>
        </w:rPr>
      </w:pPr>
      <w:r>
        <w:rPr>
          <w:bCs/>
          <w:i/>
          <w:color w:val="auto"/>
        </w:rPr>
        <w:t>r</w:t>
      </w:r>
      <w:r>
        <w:rPr>
          <w:bCs/>
          <w:color w:val="auto"/>
        </w:rPr>
        <w:t xml:space="preserve"> ——预测点距噪声源距离，（m）；</w:t>
      </w:r>
    </w:p>
    <w:p>
      <w:pPr>
        <w:tabs>
          <w:tab w:val="left" w:pos="0"/>
        </w:tabs>
        <w:ind w:firstLine="1260" w:firstLineChars="525"/>
        <w:rPr>
          <w:bCs/>
          <w:color w:val="auto"/>
        </w:rPr>
      </w:pPr>
      <w:r>
        <w:rPr>
          <w:bCs/>
          <w:i/>
          <w:color w:val="auto"/>
        </w:rPr>
        <w:t>r</w:t>
      </w:r>
      <w:r>
        <w:rPr>
          <w:bCs/>
          <w:i/>
          <w:color w:val="auto"/>
          <w:vertAlign w:val="subscript"/>
        </w:rPr>
        <w:t>0</w:t>
      </w:r>
      <w:r>
        <w:rPr>
          <w:bCs/>
          <w:color w:val="auto"/>
        </w:rPr>
        <w:t>——源强外1m处</w:t>
      </w:r>
      <w:r>
        <w:rPr>
          <w:rFonts w:hint="eastAsia"/>
          <w:bCs/>
          <w:color w:val="auto"/>
        </w:rPr>
        <w:t>。</w:t>
      </w:r>
    </w:p>
    <w:p>
      <w:pPr>
        <w:ind w:firstLine="600" w:firstLineChars="250"/>
        <w:rPr>
          <w:bCs/>
          <w:color w:val="auto"/>
        </w:rPr>
      </w:pPr>
      <w:r>
        <w:rPr>
          <w:rFonts w:hint="eastAsia"/>
          <w:bCs/>
          <w:color w:val="auto"/>
        </w:rPr>
        <w:t>②建设项目</w:t>
      </w:r>
      <w:r>
        <w:rPr>
          <w:bCs/>
          <w:color w:val="auto"/>
        </w:rPr>
        <w:t>声源</w:t>
      </w:r>
      <w:r>
        <w:rPr>
          <w:rFonts w:hint="eastAsia"/>
          <w:bCs/>
          <w:color w:val="auto"/>
        </w:rPr>
        <w:t>在预测点产生的等效声级贡献值（</w:t>
      </w:r>
      <w:r>
        <w:rPr>
          <w:rFonts w:hint="eastAsia"/>
          <w:bCs/>
          <w:i/>
          <w:color w:val="auto"/>
        </w:rPr>
        <w:t>L</w:t>
      </w:r>
      <w:r>
        <w:rPr>
          <w:rFonts w:hint="eastAsia"/>
          <w:bCs/>
          <w:i/>
          <w:color w:val="auto"/>
          <w:vertAlign w:val="subscript"/>
        </w:rPr>
        <w:t>eqg</w:t>
      </w:r>
      <w:r>
        <w:rPr>
          <w:rFonts w:hint="eastAsia"/>
          <w:bCs/>
          <w:color w:val="auto"/>
        </w:rPr>
        <w:t>）计算公式：</w:t>
      </w:r>
    </w:p>
    <w:p>
      <w:pPr>
        <w:ind w:firstLine="560"/>
        <w:rPr>
          <w:bCs/>
          <w:color w:val="auto"/>
          <w:sz w:val="28"/>
        </w:rPr>
      </w:pPr>
      <w:r>
        <w:rPr>
          <w:bCs/>
          <w:color w:val="auto"/>
          <w:sz w:val="28"/>
        </w:rPr>
        <w:pict>
          <v:shape id="_x0000_s1036" o:spid="_x0000_s1036" o:spt="75" type="#_x0000_t75" style="position:absolute;left:0pt;margin-top:-3.4pt;height:38.25pt;width:150.75pt;mso-position-horizontal:center;z-index:-251662336;mso-width-relative:page;mso-height-relative:page;" o:ole="t" filled="f" o:preferrelative="t" stroked="f" coordsize="21600,21600">
            <v:path/>
            <v:fill on="f" focussize="0,0"/>
            <v:stroke on="f" joinstyle="miter"/>
            <v:imagedata r:id="rId71" o:title=""/>
            <o:lock v:ext="edit" aspectratio="t"/>
          </v:shape>
          <o:OLEObject Type="Embed" ProgID="Equations" ShapeID="_x0000_s1036" DrawAspect="Content" ObjectID="_1468075728" r:id="rId70">
            <o:LockedField>false</o:LockedField>
          </o:OLEObject>
        </w:pict>
      </w:r>
    </w:p>
    <w:p>
      <w:pPr>
        <w:ind w:firstLine="480"/>
        <w:rPr>
          <w:bCs/>
          <w:color w:val="auto"/>
        </w:rPr>
      </w:pPr>
      <w:r>
        <w:rPr>
          <w:bCs/>
          <w:color w:val="auto"/>
        </w:rPr>
        <w:t>式中：</w:t>
      </w:r>
      <w:r>
        <w:rPr>
          <w:bCs/>
          <w:i/>
          <w:color w:val="auto"/>
        </w:rPr>
        <w:t>L</w:t>
      </w:r>
      <w:r>
        <w:rPr>
          <w:rFonts w:hint="eastAsia"/>
          <w:bCs/>
          <w:i/>
          <w:color w:val="auto"/>
          <w:vertAlign w:val="subscript"/>
        </w:rPr>
        <w:t>eqg</w:t>
      </w:r>
      <w:r>
        <w:rPr>
          <w:bCs/>
          <w:color w:val="auto"/>
        </w:rPr>
        <w:t>——</w:t>
      </w:r>
      <w:r>
        <w:rPr>
          <w:rFonts w:hint="eastAsia"/>
          <w:bCs/>
          <w:color w:val="auto"/>
        </w:rPr>
        <w:t>建设项目声源在预测点的等效声级贡献值，</w:t>
      </w:r>
      <w:r>
        <w:rPr>
          <w:bCs/>
          <w:color w:val="auto"/>
        </w:rPr>
        <w:t>dB(A)；</w:t>
      </w:r>
    </w:p>
    <w:p>
      <w:pPr>
        <w:ind w:firstLine="1200" w:firstLineChars="500"/>
        <w:rPr>
          <w:bCs/>
          <w:color w:val="auto"/>
        </w:rPr>
      </w:pPr>
      <w:r>
        <w:rPr>
          <w:bCs/>
          <w:i/>
          <w:color w:val="auto"/>
        </w:rPr>
        <w:t>L</w:t>
      </w:r>
      <w:r>
        <w:rPr>
          <w:rFonts w:hint="eastAsia"/>
          <w:bCs/>
          <w:i/>
          <w:color w:val="auto"/>
          <w:vertAlign w:val="subscript"/>
        </w:rPr>
        <w:t>Ai</w:t>
      </w:r>
      <w:r>
        <w:rPr>
          <w:bCs/>
          <w:color w:val="auto"/>
        </w:rPr>
        <w:t>——</w:t>
      </w:r>
      <w:r>
        <w:rPr>
          <w:rFonts w:hint="eastAsia"/>
          <w:bCs/>
          <w:i/>
          <w:color w:val="auto"/>
        </w:rPr>
        <w:t>i</w:t>
      </w:r>
      <w:r>
        <w:rPr>
          <w:rFonts w:hint="eastAsia"/>
          <w:bCs/>
          <w:color w:val="auto"/>
        </w:rPr>
        <w:t>声源在预测点产生的A声级</w:t>
      </w:r>
      <w:r>
        <w:rPr>
          <w:bCs/>
          <w:color w:val="auto"/>
        </w:rPr>
        <w:t>，dB(A)；</w:t>
      </w:r>
    </w:p>
    <w:p>
      <w:pPr>
        <w:tabs>
          <w:tab w:val="left" w:pos="0"/>
        </w:tabs>
        <w:ind w:firstLine="1200" w:firstLineChars="500"/>
        <w:rPr>
          <w:bCs/>
          <w:color w:val="auto"/>
        </w:rPr>
      </w:pPr>
      <w:r>
        <w:rPr>
          <w:rFonts w:hint="eastAsia"/>
          <w:bCs/>
          <w:i/>
          <w:color w:val="auto"/>
        </w:rPr>
        <w:t>T</w:t>
      </w:r>
      <w:r>
        <w:rPr>
          <w:bCs/>
          <w:color w:val="auto"/>
        </w:rPr>
        <w:t xml:space="preserve"> ——预测</w:t>
      </w:r>
      <w:r>
        <w:rPr>
          <w:rFonts w:hint="eastAsia"/>
          <w:bCs/>
          <w:color w:val="auto"/>
        </w:rPr>
        <w:t>计算的时间段</w:t>
      </w:r>
      <w:r>
        <w:rPr>
          <w:bCs/>
          <w:color w:val="auto"/>
        </w:rPr>
        <w:t>，</w:t>
      </w:r>
      <w:r>
        <w:rPr>
          <w:rFonts w:hint="eastAsia"/>
          <w:bCs/>
          <w:color w:val="auto"/>
        </w:rPr>
        <w:t>s</w:t>
      </w:r>
      <w:r>
        <w:rPr>
          <w:bCs/>
          <w:color w:val="auto"/>
        </w:rPr>
        <w:t>；</w:t>
      </w:r>
    </w:p>
    <w:p>
      <w:pPr>
        <w:tabs>
          <w:tab w:val="left" w:pos="0"/>
        </w:tabs>
        <w:ind w:firstLine="1200" w:firstLineChars="500"/>
        <w:rPr>
          <w:bCs/>
          <w:i/>
          <w:color w:val="auto"/>
        </w:rPr>
      </w:pPr>
      <w:r>
        <w:rPr>
          <w:bCs/>
          <w:i/>
          <w:color w:val="auto"/>
        </w:rPr>
        <w:t>t</w:t>
      </w:r>
      <w:r>
        <w:rPr>
          <w:rFonts w:hint="eastAsia"/>
          <w:bCs/>
          <w:i/>
          <w:color w:val="auto"/>
          <w:vertAlign w:val="subscript"/>
        </w:rPr>
        <w:t>i</w:t>
      </w:r>
      <w:r>
        <w:rPr>
          <w:bCs/>
          <w:color w:val="auto"/>
        </w:rPr>
        <w:t>——</w:t>
      </w:r>
      <w:r>
        <w:rPr>
          <w:rFonts w:hint="eastAsia"/>
          <w:bCs/>
          <w:i/>
          <w:color w:val="auto"/>
        </w:rPr>
        <w:t>i</w:t>
      </w:r>
      <w:r>
        <w:rPr>
          <w:rFonts w:hint="eastAsia"/>
          <w:bCs/>
          <w:color w:val="auto"/>
        </w:rPr>
        <w:t>声源在</w:t>
      </w:r>
      <w:r>
        <w:rPr>
          <w:rFonts w:hint="eastAsia"/>
          <w:bCs/>
          <w:i/>
          <w:color w:val="auto"/>
        </w:rPr>
        <w:t>T</w:t>
      </w:r>
      <w:r>
        <w:rPr>
          <w:rFonts w:hint="eastAsia"/>
          <w:bCs/>
          <w:color w:val="auto"/>
        </w:rPr>
        <w:t>时段内的运行时间，s</w:t>
      </w:r>
      <w:r>
        <w:rPr>
          <w:bCs/>
          <w:color w:val="auto"/>
        </w:rPr>
        <w:t>。</w:t>
      </w:r>
    </w:p>
    <w:p>
      <w:pPr>
        <w:ind w:firstLine="840" w:firstLineChars="350"/>
        <w:rPr>
          <w:bCs/>
          <w:color w:val="auto"/>
        </w:rPr>
      </w:pPr>
      <w:r>
        <w:rPr>
          <w:rFonts w:hint="eastAsia"/>
          <w:bCs/>
          <w:color w:val="auto"/>
        </w:rPr>
        <w:t>③预测点的预测等效声级（</w:t>
      </w:r>
      <w:r>
        <w:rPr>
          <w:rFonts w:hint="eastAsia"/>
          <w:bCs/>
          <w:i/>
          <w:color w:val="auto"/>
        </w:rPr>
        <w:t>L</w:t>
      </w:r>
      <w:r>
        <w:rPr>
          <w:rFonts w:hint="eastAsia"/>
          <w:bCs/>
          <w:i/>
          <w:color w:val="auto"/>
          <w:vertAlign w:val="subscript"/>
        </w:rPr>
        <w:t>eq</w:t>
      </w:r>
      <w:r>
        <w:rPr>
          <w:rFonts w:hint="eastAsia"/>
          <w:bCs/>
          <w:color w:val="auto"/>
        </w:rPr>
        <w:t>）计算公式：</w:t>
      </w:r>
    </w:p>
    <w:p>
      <w:pPr>
        <w:ind w:firstLine="1038" w:firstLineChars="371"/>
        <w:rPr>
          <w:bCs/>
          <w:color w:val="auto"/>
          <w:sz w:val="28"/>
        </w:rPr>
      </w:pPr>
      <w:r>
        <w:rPr>
          <w:bCs/>
          <w:color w:val="auto"/>
          <w:sz w:val="28"/>
        </w:rPr>
        <w:pict>
          <v:shape id="_x0000_s1037" o:spid="_x0000_s1037" o:spt="75" type="#_x0000_t75" style="position:absolute;left:0pt;margin-top:2.55pt;height:24.75pt;width:168pt;mso-position-horizontal:center;z-index:-251660288;mso-width-relative:page;mso-height-relative:page;" o:ole="t" filled="f" o:preferrelative="t" stroked="f" coordsize="21600,21600">
            <v:path/>
            <v:fill on="f" focussize="0,0"/>
            <v:stroke on="f" joinstyle="miter"/>
            <v:imagedata r:id="rId73" o:title=""/>
            <o:lock v:ext="edit" aspectratio="t"/>
          </v:shape>
          <o:OLEObject Type="Embed" ProgID="Equations" ShapeID="_x0000_s1037" DrawAspect="Content" ObjectID="_1468075729" r:id="rId72">
            <o:LockedField>false</o:LockedField>
          </o:OLEObject>
        </w:pict>
      </w:r>
    </w:p>
    <w:p>
      <w:pPr>
        <w:ind w:firstLine="480"/>
        <w:rPr>
          <w:bCs/>
          <w:color w:val="auto"/>
        </w:rPr>
      </w:pPr>
      <w:r>
        <w:rPr>
          <w:bCs/>
          <w:color w:val="auto"/>
        </w:rPr>
        <w:t>式中：</w:t>
      </w:r>
      <w:r>
        <w:rPr>
          <w:bCs/>
          <w:i/>
          <w:color w:val="auto"/>
        </w:rPr>
        <w:t>L</w:t>
      </w:r>
      <w:r>
        <w:rPr>
          <w:rFonts w:hint="eastAsia"/>
          <w:bCs/>
          <w:i/>
          <w:color w:val="auto"/>
          <w:vertAlign w:val="subscript"/>
        </w:rPr>
        <w:t>eqg</w:t>
      </w:r>
      <w:r>
        <w:rPr>
          <w:bCs/>
          <w:color w:val="auto"/>
        </w:rPr>
        <w:t>——</w:t>
      </w:r>
      <w:r>
        <w:rPr>
          <w:rFonts w:hint="eastAsia"/>
          <w:bCs/>
          <w:color w:val="auto"/>
        </w:rPr>
        <w:t>建设项目声源在预测点的等效声级贡献值，</w:t>
      </w:r>
      <w:r>
        <w:rPr>
          <w:bCs/>
          <w:color w:val="auto"/>
        </w:rPr>
        <w:t>dB(A)；</w:t>
      </w:r>
    </w:p>
    <w:p>
      <w:pPr>
        <w:tabs>
          <w:tab w:val="left" w:pos="0"/>
        </w:tabs>
        <w:ind w:firstLine="1200" w:firstLineChars="500"/>
        <w:rPr>
          <w:bCs/>
          <w:color w:val="auto"/>
        </w:rPr>
      </w:pPr>
      <w:r>
        <w:rPr>
          <w:bCs/>
          <w:i/>
          <w:color w:val="auto"/>
        </w:rPr>
        <w:t>L</w:t>
      </w:r>
      <w:r>
        <w:rPr>
          <w:rFonts w:hint="eastAsia"/>
          <w:bCs/>
          <w:i/>
          <w:color w:val="auto"/>
          <w:vertAlign w:val="subscript"/>
        </w:rPr>
        <w:t>eqb</w:t>
      </w:r>
      <w:r>
        <w:rPr>
          <w:bCs/>
          <w:color w:val="auto"/>
        </w:rPr>
        <w:t>——</w:t>
      </w:r>
      <w:r>
        <w:rPr>
          <w:rFonts w:hint="eastAsia"/>
          <w:bCs/>
          <w:color w:val="auto"/>
        </w:rPr>
        <w:t>预测点的背景值，</w:t>
      </w:r>
      <w:r>
        <w:rPr>
          <w:bCs/>
          <w:color w:val="auto"/>
        </w:rPr>
        <w:t>dB(A)。</w:t>
      </w:r>
    </w:p>
    <w:p>
      <w:pPr>
        <w:ind w:firstLine="480"/>
        <w:outlineLvl w:val="3"/>
        <w:rPr>
          <w:color w:val="auto"/>
        </w:rPr>
      </w:pPr>
      <w:r>
        <w:rPr>
          <w:rFonts w:hint="eastAsia"/>
          <w:color w:val="auto"/>
        </w:rPr>
        <w:t>5.2.4.5</w:t>
      </w:r>
      <w:r>
        <w:rPr>
          <w:color w:val="auto"/>
        </w:rPr>
        <w:t>预测结果</w:t>
      </w:r>
    </w:p>
    <w:p>
      <w:pPr>
        <w:ind w:firstLine="480"/>
        <w:outlineLvl w:val="3"/>
        <w:rPr>
          <w:color w:val="auto"/>
        </w:rPr>
      </w:pPr>
      <w:r>
        <w:rPr>
          <w:rFonts w:hint="eastAsia"/>
          <w:color w:val="auto"/>
        </w:rPr>
        <w:t>本项目实施后，噪声对各厂界贡献值预测结果见表5.2-30。</w:t>
      </w:r>
    </w:p>
    <w:p>
      <w:pPr>
        <w:spacing w:after="93" w:afterLines="30" w:line="500" w:lineRule="exact"/>
        <w:ind w:firstLine="482"/>
        <w:jc w:val="center"/>
        <w:rPr>
          <w:b/>
          <w:color w:val="auto"/>
          <w:szCs w:val="21"/>
        </w:rPr>
      </w:pPr>
      <w:r>
        <w:rPr>
          <w:b/>
          <w:color w:val="auto"/>
          <w:szCs w:val="21"/>
        </w:rPr>
        <w:t>表5</w:t>
      </w:r>
      <w:r>
        <w:rPr>
          <w:rFonts w:hint="eastAsia"/>
          <w:b/>
          <w:color w:val="auto"/>
          <w:szCs w:val="21"/>
        </w:rPr>
        <w:t>.2</w:t>
      </w:r>
      <w:r>
        <w:rPr>
          <w:b/>
          <w:color w:val="auto"/>
          <w:szCs w:val="21"/>
        </w:rPr>
        <w:t>-</w:t>
      </w:r>
      <w:r>
        <w:rPr>
          <w:rFonts w:hint="eastAsia"/>
          <w:b/>
          <w:color w:val="auto"/>
          <w:szCs w:val="21"/>
        </w:rPr>
        <w:t>30</w:t>
      </w:r>
      <w:r>
        <w:rPr>
          <w:b/>
          <w:color w:val="auto"/>
          <w:szCs w:val="21"/>
        </w:rPr>
        <w:t xml:space="preserve">     噪声预测结果一览表             单位：dB（A）</w:t>
      </w:r>
    </w:p>
    <w:tbl>
      <w:tblPr>
        <w:tblStyle w:val="27"/>
        <w:tblW w:w="4997"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93"/>
        <w:gridCol w:w="941"/>
        <w:gridCol w:w="2653"/>
        <w:gridCol w:w="1727"/>
        <w:gridCol w:w="1628"/>
        <w:gridCol w:w="119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blHeader/>
        </w:trPr>
        <w:tc>
          <w:tcPr>
            <w:tcW w:w="443" w:type="pct"/>
            <w:vAlign w:val="center"/>
          </w:tcPr>
          <w:p>
            <w:pPr>
              <w:widowControl/>
              <w:spacing w:line="240" w:lineRule="auto"/>
              <w:ind w:firstLine="0" w:firstLineChars="0"/>
              <w:jc w:val="center"/>
              <w:rPr>
                <w:color w:val="auto"/>
                <w:kern w:val="0"/>
                <w:sz w:val="21"/>
                <w:szCs w:val="21"/>
              </w:rPr>
            </w:pPr>
            <w:r>
              <w:rPr>
                <w:rFonts w:hint="eastAsia"/>
                <w:color w:val="auto"/>
                <w:kern w:val="0"/>
                <w:sz w:val="21"/>
                <w:szCs w:val="21"/>
              </w:rPr>
              <w:t>序号</w:t>
            </w:r>
          </w:p>
        </w:tc>
        <w:tc>
          <w:tcPr>
            <w:tcW w:w="526" w:type="pct"/>
            <w:vAlign w:val="center"/>
          </w:tcPr>
          <w:p>
            <w:pPr>
              <w:widowControl/>
              <w:spacing w:line="240" w:lineRule="auto"/>
              <w:ind w:firstLine="0" w:firstLineChars="0"/>
              <w:jc w:val="center"/>
              <w:rPr>
                <w:color w:val="auto"/>
                <w:kern w:val="0"/>
                <w:sz w:val="21"/>
                <w:szCs w:val="21"/>
              </w:rPr>
            </w:pPr>
            <w:r>
              <w:rPr>
                <w:rFonts w:hint="eastAsia"/>
                <w:color w:val="auto"/>
                <w:kern w:val="0"/>
                <w:sz w:val="21"/>
                <w:szCs w:val="21"/>
              </w:rPr>
              <w:t>预测点</w:t>
            </w:r>
          </w:p>
        </w:tc>
        <w:tc>
          <w:tcPr>
            <w:tcW w:w="1483" w:type="pct"/>
            <w:vAlign w:val="center"/>
          </w:tcPr>
          <w:p>
            <w:pPr>
              <w:widowControl/>
              <w:spacing w:line="240" w:lineRule="auto"/>
              <w:ind w:firstLine="0" w:firstLineChars="0"/>
              <w:jc w:val="center"/>
              <w:rPr>
                <w:color w:val="auto"/>
                <w:kern w:val="0"/>
                <w:sz w:val="21"/>
                <w:szCs w:val="21"/>
              </w:rPr>
            </w:pPr>
            <w:r>
              <w:rPr>
                <w:rFonts w:hint="eastAsia"/>
                <w:color w:val="auto"/>
                <w:kern w:val="0"/>
                <w:sz w:val="21"/>
                <w:szCs w:val="21"/>
              </w:rPr>
              <w:t>噪声源</w:t>
            </w:r>
          </w:p>
        </w:tc>
        <w:tc>
          <w:tcPr>
            <w:tcW w:w="965" w:type="pct"/>
            <w:vAlign w:val="center"/>
          </w:tcPr>
          <w:p>
            <w:pPr>
              <w:widowControl/>
              <w:spacing w:line="240" w:lineRule="auto"/>
              <w:ind w:firstLine="0" w:firstLineChars="0"/>
              <w:jc w:val="center"/>
              <w:rPr>
                <w:color w:val="auto"/>
                <w:kern w:val="0"/>
                <w:sz w:val="21"/>
                <w:szCs w:val="21"/>
              </w:rPr>
            </w:pPr>
            <w:r>
              <w:rPr>
                <w:rFonts w:hint="eastAsia"/>
                <w:color w:val="auto"/>
                <w:kern w:val="0"/>
                <w:sz w:val="21"/>
                <w:szCs w:val="21"/>
              </w:rPr>
              <w:t>距厂界最近距离（m）</w:t>
            </w:r>
          </w:p>
        </w:tc>
        <w:tc>
          <w:tcPr>
            <w:tcW w:w="910" w:type="pct"/>
            <w:vAlign w:val="center"/>
          </w:tcPr>
          <w:p>
            <w:pPr>
              <w:widowControl/>
              <w:spacing w:line="240" w:lineRule="auto"/>
              <w:ind w:firstLine="0" w:firstLineChars="0"/>
              <w:jc w:val="center"/>
              <w:rPr>
                <w:color w:val="auto"/>
                <w:kern w:val="0"/>
                <w:sz w:val="21"/>
                <w:szCs w:val="21"/>
              </w:rPr>
            </w:pPr>
            <w:r>
              <w:rPr>
                <w:color w:val="auto"/>
                <w:kern w:val="0"/>
                <w:sz w:val="21"/>
                <w:szCs w:val="21"/>
              </w:rPr>
              <w:t>对预测点噪声贡献值dB(A)</w:t>
            </w:r>
          </w:p>
        </w:tc>
        <w:tc>
          <w:tcPr>
            <w:tcW w:w="670" w:type="pct"/>
            <w:vAlign w:val="center"/>
          </w:tcPr>
          <w:p>
            <w:pPr>
              <w:widowControl/>
              <w:spacing w:line="240" w:lineRule="auto"/>
              <w:ind w:firstLine="0" w:firstLineChars="0"/>
              <w:jc w:val="center"/>
              <w:rPr>
                <w:color w:val="auto"/>
                <w:kern w:val="0"/>
                <w:sz w:val="21"/>
                <w:szCs w:val="21"/>
              </w:rPr>
            </w:pPr>
            <w:r>
              <w:rPr>
                <w:rFonts w:hint="eastAsia"/>
                <w:color w:val="auto"/>
                <w:kern w:val="0"/>
                <w:sz w:val="21"/>
                <w:szCs w:val="21"/>
              </w:rPr>
              <w:t>达标情况</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43" w:type="pct"/>
            <w:vAlign w:val="center"/>
          </w:tcPr>
          <w:p>
            <w:pPr>
              <w:spacing w:line="240" w:lineRule="auto"/>
              <w:ind w:firstLine="0" w:firstLineChars="0"/>
              <w:jc w:val="center"/>
              <w:rPr>
                <w:color w:val="auto"/>
                <w:kern w:val="0"/>
                <w:sz w:val="21"/>
                <w:szCs w:val="21"/>
              </w:rPr>
            </w:pPr>
            <w:r>
              <w:rPr>
                <w:rFonts w:hint="eastAsia"/>
                <w:color w:val="auto"/>
                <w:kern w:val="0"/>
                <w:sz w:val="21"/>
                <w:szCs w:val="21"/>
              </w:rPr>
              <w:t>1</w:t>
            </w:r>
          </w:p>
        </w:tc>
        <w:tc>
          <w:tcPr>
            <w:tcW w:w="526" w:type="pct"/>
            <w:vAlign w:val="center"/>
          </w:tcPr>
          <w:p>
            <w:pPr>
              <w:spacing w:line="240" w:lineRule="auto"/>
              <w:ind w:firstLine="0" w:firstLineChars="0"/>
              <w:jc w:val="center"/>
              <w:rPr>
                <w:color w:val="auto"/>
                <w:kern w:val="0"/>
                <w:sz w:val="21"/>
                <w:szCs w:val="21"/>
              </w:rPr>
            </w:pPr>
            <w:r>
              <w:rPr>
                <w:rFonts w:hint="eastAsia"/>
                <w:color w:val="auto"/>
                <w:kern w:val="0"/>
                <w:sz w:val="21"/>
                <w:szCs w:val="21"/>
              </w:rPr>
              <w:t>东厂界</w:t>
            </w:r>
          </w:p>
        </w:tc>
        <w:tc>
          <w:tcPr>
            <w:tcW w:w="1483" w:type="pct"/>
            <w:vAlign w:val="center"/>
          </w:tcPr>
          <w:p>
            <w:pPr>
              <w:widowControl/>
              <w:spacing w:line="240" w:lineRule="auto"/>
              <w:ind w:firstLine="0" w:firstLineChars="0"/>
              <w:jc w:val="center"/>
              <w:rPr>
                <w:color w:val="auto"/>
                <w:kern w:val="0"/>
                <w:sz w:val="21"/>
                <w:szCs w:val="21"/>
              </w:rPr>
            </w:pPr>
            <w:r>
              <w:rPr>
                <w:rFonts w:hint="eastAsia"/>
                <w:color w:val="auto"/>
                <w:kern w:val="0"/>
                <w:sz w:val="21"/>
                <w:szCs w:val="21"/>
              </w:rPr>
              <w:t>猪叫声、猪舍风机、水泵等</w:t>
            </w:r>
          </w:p>
        </w:tc>
        <w:tc>
          <w:tcPr>
            <w:tcW w:w="965" w:type="pct"/>
            <w:vAlign w:val="center"/>
          </w:tcPr>
          <w:p>
            <w:pPr>
              <w:widowControl/>
              <w:spacing w:line="240" w:lineRule="auto"/>
              <w:ind w:firstLine="0" w:firstLineChars="0"/>
              <w:jc w:val="center"/>
              <w:rPr>
                <w:color w:val="auto"/>
                <w:kern w:val="0"/>
                <w:sz w:val="21"/>
                <w:szCs w:val="21"/>
              </w:rPr>
            </w:pPr>
            <w:r>
              <w:rPr>
                <w:rFonts w:hint="eastAsia"/>
                <w:color w:val="auto"/>
                <w:kern w:val="0"/>
                <w:sz w:val="21"/>
                <w:szCs w:val="21"/>
              </w:rPr>
              <w:t>12</w:t>
            </w:r>
          </w:p>
        </w:tc>
        <w:tc>
          <w:tcPr>
            <w:tcW w:w="910" w:type="pct"/>
            <w:vAlign w:val="center"/>
          </w:tcPr>
          <w:p>
            <w:pPr>
              <w:widowControl/>
              <w:spacing w:line="240" w:lineRule="auto"/>
              <w:ind w:firstLine="0" w:firstLineChars="0"/>
              <w:jc w:val="center"/>
              <w:rPr>
                <w:color w:val="auto"/>
                <w:kern w:val="0"/>
                <w:sz w:val="21"/>
                <w:szCs w:val="21"/>
              </w:rPr>
            </w:pPr>
            <w:r>
              <w:rPr>
                <w:rFonts w:hint="eastAsia"/>
                <w:color w:val="auto"/>
                <w:kern w:val="0"/>
                <w:sz w:val="21"/>
                <w:szCs w:val="21"/>
              </w:rPr>
              <w:t>54.2</w:t>
            </w:r>
          </w:p>
        </w:tc>
        <w:tc>
          <w:tcPr>
            <w:tcW w:w="670" w:type="pct"/>
            <w:vAlign w:val="center"/>
          </w:tcPr>
          <w:p>
            <w:pPr>
              <w:widowControl/>
              <w:spacing w:line="240" w:lineRule="auto"/>
              <w:ind w:firstLine="0" w:firstLineChars="0"/>
              <w:jc w:val="center"/>
              <w:rPr>
                <w:color w:val="auto"/>
                <w:kern w:val="0"/>
                <w:sz w:val="21"/>
                <w:szCs w:val="21"/>
              </w:rPr>
            </w:pPr>
            <w:r>
              <w:rPr>
                <w:rFonts w:hint="eastAsia"/>
                <w:color w:val="auto"/>
                <w:kern w:val="0"/>
                <w:sz w:val="21"/>
                <w:szCs w:val="21"/>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43" w:type="pct"/>
            <w:vAlign w:val="center"/>
          </w:tcPr>
          <w:p>
            <w:pPr>
              <w:spacing w:line="240" w:lineRule="auto"/>
              <w:ind w:firstLine="0" w:firstLineChars="0"/>
              <w:jc w:val="center"/>
              <w:rPr>
                <w:color w:val="auto"/>
                <w:kern w:val="0"/>
                <w:sz w:val="21"/>
                <w:szCs w:val="21"/>
              </w:rPr>
            </w:pPr>
            <w:r>
              <w:rPr>
                <w:rFonts w:hint="eastAsia"/>
                <w:color w:val="auto"/>
                <w:kern w:val="0"/>
                <w:sz w:val="21"/>
                <w:szCs w:val="21"/>
              </w:rPr>
              <w:t>2</w:t>
            </w:r>
          </w:p>
        </w:tc>
        <w:tc>
          <w:tcPr>
            <w:tcW w:w="526" w:type="pct"/>
            <w:vAlign w:val="center"/>
          </w:tcPr>
          <w:p>
            <w:pPr>
              <w:spacing w:line="240" w:lineRule="auto"/>
              <w:ind w:firstLine="0" w:firstLineChars="0"/>
              <w:jc w:val="center"/>
              <w:rPr>
                <w:color w:val="auto"/>
                <w:kern w:val="0"/>
                <w:sz w:val="21"/>
                <w:szCs w:val="21"/>
              </w:rPr>
            </w:pPr>
            <w:r>
              <w:rPr>
                <w:rFonts w:hint="eastAsia"/>
                <w:color w:val="auto"/>
                <w:kern w:val="0"/>
                <w:sz w:val="21"/>
                <w:szCs w:val="21"/>
              </w:rPr>
              <w:t>南厂界</w:t>
            </w:r>
          </w:p>
        </w:tc>
        <w:tc>
          <w:tcPr>
            <w:tcW w:w="1483" w:type="pct"/>
            <w:vAlign w:val="center"/>
          </w:tcPr>
          <w:p>
            <w:pPr>
              <w:widowControl/>
              <w:spacing w:line="240" w:lineRule="auto"/>
              <w:ind w:firstLine="0" w:firstLineChars="0"/>
              <w:jc w:val="center"/>
              <w:rPr>
                <w:color w:val="auto"/>
                <w:kern w:val="0"/>
                <w:sz w:val="21"/>
                <w:szCs w:val="21"/>
              </w:rPr>
            </w:pPr>
            <w:r>
              <w:rPr>
                <w:rFonts w:hint="eastAsia"/>
                <w:color w:val="auto"/>
                <w:kern w:val="0"/>
                <w:sz w:val="21"/>
                <w:szCs w:val="21"/>
              </w:rPr>
              <w:t>猪叫声、猪舍风机、水泵等</w:t>
            </w:r>
          </w:p>
        </w:tc>
        <w:tc>
          <w:tcPr>
            <w:tcW w:w="965" w:type="pct"/>
            <w:vAlign w:val="center"/>
          </w:tcPr>
          <w:p>
            <w:pPr>
              <w:widowControl/>
              <w:spacing w:line="240" w:lineRule="auto"/>
              <w:ind w:firstLine="0" w:firstLineChars="0"/>
              <w:jc w:val="center"/>
              <w:rPr>
                <w:color w:val="auto"/>
                <w:kern w:val="0"/>
                <w:sz w:val="21"/>
                <w:szCs w:val="21"/>
              </w:rPr>
            </w:pPr>
            <w:r>
              <w:rPr>
                <w:rFonts w:hint="eastAsia"/>
                <w:color w:val="auto"/>
                <w:kern w:val="0"/>
                <w:sz w:val="21"/>
                <w:szCs w:val="21"/>
              </w:rPr>
              <w:t>10</w:t>
            </w:r>
          </w:p>
        </w:tc>
        <w:tc>
          <w:tcPr>
            <w:tcW w:w="910" w:type="pct"/>
            <w:vAlign w:val="center"/>
          </w:tcPr>
          <w:p>
            <w:pPr>
              <w:widowControl/>
              <w:spacing w:line="240" w:lineRule="auto"/>
              <w:ind w:firstLine="0" w:firstLineChars="0"/>
              <w:jc w:val="center"/>
              <w:rPr>
                <w:color w:val="auto"/>
                <w:kern w:val="0"/>
                <w:sz w:val="21"/>
                <w:szCs w:val="21"/>
              </w:rPr>
            </w:pPr>
            <w:r>
              <w:rPr>
                <w:rFonts w:hint="eastAsia"/>
                <w:color w:val="auto"/>
                <w:kern w:val="0"/>
                <w:sz w:val="21"/>
                <w:szCs w:val="21"/>
              </w:rPr>
              <w:t>55</w:t>
            </w:r>
          </w:p>
        </w:tc>
        <w:tc>
          <w:tcPr>
            <w:tcW w:w="670" w:type="pct"/>
            <w:vAlign w:val="center"/>
          </w:tcPr>
          <w:p>
            <w:pPr>
              <w:widowControl/>
              <w:spacing w:line="240" w:lineRule="auto"/>
              <w:ind w:firstLine="0" w:firstLineChars="0"/>
              <w:jc w:val="center"/>
              <w:rPr>
                <w:color w:val="auto"/>
                <w:kern w:val="0"/>
                <w:sz w:val="21"/>
                <w:szCs w:val="21"/>
              </w:rPr>
            </w:pPr>
            <w:r>
              <w:rPr>
                <w:rFonts w:hint="eastAsia"/>
                <w:color w:val="auto"/>
                <w:kern w:val="0"/>
                <w:sz w:val="21"/>
                <w:szCs w:val="21"/>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43" w:type="pct"/>
            <w:vAlign w:val="center"/>
          </w:tcPr>
          <w:p>
            <w:pPr>
              <w:spacing w:line="240" w:lineRule="auto"/>
              <w:ind w:firstLine="0" w:firstLineChars="0"/>
              <w:jc w:val="center"/>
              <w:rPr>
                <w:color w:val="auto"/>
                <w:kern w:val="0"/>
                <w:sz w:val="21"/>
                <w:szCs w:val="21"/>
              </w:rPr>
            </w:pPr>
            <w:r>
              <w:rPr>
                <w:rFonts w:hint="eastAsia"/>
                <w:color w:val="auto"/>
                <w:kern w:val="0"/>
                <w:sz w:val="21"/>
                <w:szCs w:val="21"/>
              </w:rPr>
              <w:t>3</w:t>
            </w:r>
          </w:p>
        </w:tc>
        <w:tc>
          <w:tcPr>
            <w:tcW w:w="526" w:type="pct"/>
            <w:vAlign w:val="center"/>
          </w:tcPr>
          <w:p>
            <w:pPr>
              <w:spacing w:line="240" w:lineRule="auto"/>
              <w:ind w:firstLine="0" w:firstLineChars="0"/>
              <w:jc w:val="center"/>
              <w:rPr>
                <w:color w:val="auto"/>
                <w:kern w:val="0"/>
                <w:sz w:val="21"/>
                <w:szCs w:val="21"/>
              </w:rPr>
            </w:pPr>
            <w:r>
              <w:rPr>
                <w:rFonts w:hint="eastAsia"/>
                <w:color w:val="auto"/>
                <w:kern w:val="0"/>
                <w:sz w:val="21"/>
                <w:szCs w:val="21"/>
              </w:rPr>
              <w:t>西厂界</w:t>
            </w:r>
          </w:p>
        </w:tc>
        <w:tc>
          <w:tcPr>
            <w:tcW w:w="1483" w:type="pct"/>
            <w:vAlign w:val="center"/>
          </w:tcPr>
          <w:p>
            <w:pPr>
              <w:widowControl/>
              <w:spacing w:line="240" w:lineRule="auto"/>
              <w:ind w:firstLine="0" w:firstLineChars="0"/>
              <w:jc w:val="center"/>
              <w:rPr>
                <w:color w:val="auto"/>
                <w:kern w:val="0"/>
                <w:sz w:val="21"/>
                <w:szCs w:val="21"/>
              </w:rPr>
            </w:pPr>
            <w:r>
              <w:rPr>
                <w:rFonts w:hint="eastAsia"/>
                <w:color w:val="auto"/>
                <w:kern w:val="0"/>
                <w:sz w:val="21"/>
                <w:szCs w:val="21"/>
              </w:rPr>
              <w:t>猪叫声、猪舍风机、水泵等</w:t>
            </w:r>
          </w:p>
        </w:tc>
        <w:tc>
          <w:tcPr>
            <w:tcW w:w="965" w:type="pct"/>
            <w:vAlign w:val="center"/>
          </w:tcPr>
          <w:p>
            <w:pPr>
              <w:widowControl/>
              <w:spacing w:line="240" w:lineRule="auto"/>
              <w:ind w:firstLine="0" w:firstLineChars="0"/>
              <w:jc w:val="center"/>
              <w:rPr>
                <w:color w:val="auto"/>
                <w:kern w:val="0"/>
                <w:sz w:val="21"/>
                <w:szCs w:val="21"/>
              </w:rPr>
            </w:pPr>
            <w:r>
              <w:rPr>
                <w:rFonts w:hint="eastAsia"/>
                <w:color w:val="auto"/>
                <w:kern w:val="0"/>
                <w:sz w:val="21"/>
                <w:szCs w:val="21"/>
              </w:rPr>
              <w:t>10</w:t>
            </w:r>
          </w:p>
        </w:tc>
        <w:tc>
          <w:tcPr>
            <w:tcW w:w="910" w:type="pct"/>
            <w:vAlign w:val="center"/>
          </w:tcPr>
          <w:p>
            <w:pPr>
              <w:widowControl/>
              <w:spacing w:line="240" w:lineRule="auto"/>
              <w:ind w:firstLine="0" w:firstLineChars="0"/>
              <w:jc w:val="center"/>
              <w:rPr>
                <w:color w:val="auto"/>
                <w:kern w:val="0"/>
                <w:sz w:val="21"/>
                <w:szCs w:val="21"/>
              </w:rPr>
            </w:pPr>
            <w:r>
              <w:rPr>
                <w:rFonts w:hint="eastAsia"/>
                <w:color w:val="auto"/>
                <w:kern w:val="0"/>
                <w:sz w:val="21"/>
                <w:szCs w:val="21"/>
              </w:rPr>
              <w:t>55</w:t>
            </w:r>
          </w:p>
        </w:tc>
        <w:tc>
          <w:tcPr>
            <w:tcW w:w="670" w:type="pct"/>
            <w:vAlign w:val="center"/>
          </w:tcPr>
          <w:p>
            <w:pPr>
              <w:widowControl/>
              <w:spacing w:line="240" w:lineRule="auto"/>
              <w:ind w:firstLine="0" w:firstLineChars="0"/>
              <w:jc w:val="center"/>
              <w:rPr>
                <w:color w:val="auto"/>
                <w:kern w:val="0"/>
                <w:sz w:val="21"/>
                <w:szCs w:val="21"/>
              </w:rPr>
            </w:pPr>
            <w:r>
              <w:rPr>
                <w:rFonts w:hint="eastAsia"/>
                <w:color w:val="auto"/>
                <w:kern w:val="0"/>
                <w:sz w:val="21"/>
                <w:szCs w:val="21"/>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43" w:type="pct"/>
            <w:vAlign w:val="center"/>
          </w:tcPr>
          <w:p>
            <w:pPr>
              <w:spacing w:line="240" w:lineRule="auto"/>
              <w:ind w:firstLine="0" w:firstLineChars="0"/>
              <w:jc w:val="center"/>
              <w:rPr>
                <w:color w:val="auto"/>
                <w:kern w:val="0"/>
                <w:sz w:val="21"/>
                <w:szCs w:val="21"/>
              </w:rPr>
            </w:pPr>
            <w:r>
              <w:rPr>
                <w:rFonts w:hint="eastAsia"/>
                <w:color w:val="auto"/>
                <w:kern w:val="0"/>
                <w:sz w:val="21"/>
                <w:szCs w:val="21"/>
              </w:rPr>
              <w:t>4</w:t>
            </w:r>
          </w:p>
        </w:tc>
        <w:tc>
          <w:tcPr>
            <w:tcW w:w="526" w:type="pct"/>
            <w:vAlign w:val="center"/>
          </w:tcPr>
          <w:p>
            <w:pPr>
              <w:spacing w:line="240" w:lineRule="auto"/>
              <w:ind w:firstLine="0" w:firstLineChars="0"/>
              <w:jc w:val="center"/>
              <w:rPr>
                <w:color w:val="auto"/>
                <w:kern w:val="0"/>
                <w:sz w:val="21"/>
                <w:szCs w:val="21"/>
              </w:rPr>
            </w:pPr>
            <w:r>
              <w:rPr>
                <w:rFonts w:hint="eastAsia"/>
                <w:color w:val="auto"/>
                <w:kern w:val="0"/>
                <w:sz w:val="21"/>
                <w:szCs w:val="21"/>
              </w:rPr>
              <w:t>北厂界</w:t>
            </w:r>
          </w:p>
        </w:tc>
        <w:tc>
          <w:tcPr>
            <w:tcW w:w="1483" w:type="pct"/>
            <w:vAlign w:val="center"/>
          </w:tcPr>
          <w:p>
            <w:pPr>
              <w:widowControl/>
              <w:spacing w:line="240" w:lineRule="auto"/>
              <w:ind w:firstLine="0" w:firstLineChars="0"/>
              <w:jc w:val="center"/>
              <w:rPr>
                <w:color w:val="auto"/>
                <w:kern w:val="0"/>
                <w:sz w:val="21"/>
                <w:szCs w:val="21"/>
              </w:rPr>
            </w:pPr>
            <w:r>
              <w:rPr>
                <w:rFonts w:hint="eastAsia"/>
                <w:color w:val="auto"/>
                <w:kern w:val="0"/>
                <w:sz w:val="21"/>
                <w:szCs w:val="21"/>
              </w:rPr>
              <w:t>猪叫声、猪舍风机、水泵等</w:t>
            </w:r>
          </w:p>
        </w:tc>
        <w:tc>
          <w:tcPr>
            <w:tcW w:w="965" w:type="pct"/>
            <w:vAlign w:val="center"/>
          </w:tcPr>
          <w:p>
            <w:pPr>
              <w:widowControl/>
              <w:spacing w:line="240" w:lineRule="auto"/>
              <w:ind w:firstLine="0" w:firstLineChars="0"/>
              <w:jc w:val="center"/>
              <w:rPr>
                <w:color w:val="auto"/>
                <w:kern w:val="0"/>
                <w:sz w:val="21"/>
                <w:szCs w:val="21"/>
              </w:rPr>
            </w:pPr>
            <w:r>
              <w:rPr>
                <w:rFonts w:hint="eastAsia"/>
                <w:color w:val="auto"/>
                <w:kern w:val="0"/>
                <w:sz w:val="21"/>
                <w:szCs w:val="21"/>
              </w:rPr>
              <w:t>10</w:t>
            </w:r>
          </w:p>
        </w:tc>
        <w:tc>
          <w:tcPr>
            <w:tcW w:w="910" w:type="pct"/>
            <w:vAlign w:val="center"/>
          </w:tcPr>
          <w:p>
            <w:pPr>
              <w:widowControl/>
              <w:spacing w:line="240" w:lineRule="auto"/>
              <w:ind w:firstLine="0" w:firstLineChars="0"/>
              <w:jc w:val="center"/>
              <w:rPr>
                <w:color w:val="auto"/>
                <w:kern w:val="0"/>
                <w:sz w:val="21"/>
                <w:szCs w:val="21"/>
              </w:rPr>
            </w:pPr>
            <w:r>
              <w:rPr>
                <w:rFonts w:hint="eastAsia"/>
                <w:color w:val="auto"/>
                <w:kern w:val="0"/>
                <w:sz w:val="21"/>
                <w:szCs w:val="21"/>
              </w:rPr>
              <w:t>55</w:t>
            </w:r>
          </w:p>
        </w:tc>
        <w:tc>
          <w:tcPr>
            <w:tcW w:w="670" w:type="pct"/>
            <w:vAlign w:val="center"/>
          </w:tcPr>
          <w:p>
            <w:pPr>
              <w:widowControl/>
              <w:spacing w:line="240" w:lineRule="auto"/>
              <w:ind w:firstLine="0" w:firstLineChars="0"/>
              <w:jc w:val="center"/>
              <w:rPr>
                <w:color w:val="auto"/>
                <w:kern w:val="0"/>
                <w:sz w:val="21"/>
                <w:szCs w:val="21"/>
              </w:rPr>
            </w:pPr>
            <w:r>
              <w:rPr>
                <w:rFonts w:hint="eastAsia"/>
                <w:color w:val="auto"/>
                <w:kern w:val="0"/>
                <w:sz w:val="21"/>
                <w:szCs w:val="21"/>
              </w:rPr>
              <w:t>达标</w:t>
            </w:r>
          </w:p>
        </w:tc>
      </w:tr>
    </w:tbl>
    <w:p>
      <w:pPr>
        <w:ind w:firstLine="480"/>
        <w:rPr>
          <w:color w:val="auto"/>
        </w:rPr>
      </w:pPr>
      <w:r>
        <w:rPr>
          <w:color w:val="auto"/>
        </w:rPr>
        <w:t>从表5</w:t>
      </w:r>
      <w:r>
        <w:rPr>
          <w:rFonts w:hint="eastAsia"/>
          <w:color w:val="auto"/>
        </w:rPr>
        <w:t>.2</w:t>
      </w:r>
      <w:r>
        <w:rPr>
          <w:color w:val="auto"/>
        </w:rPr>
        <w:t>-</w:t>
      </w:r>
      <w:r>
        <w:rPr>
          <w:rFonts w:hint="eastAsia"/>
          <w:color w:val="auto"/>
        </w:rPr>
        <w:t>30</w:t>
      </w:r>
      <w:r>
        <w:rPr>
          <w:color w:val="auto"/>
        </w:rPr>
        <w:t>可以看出，本</w:t>
      </w:r>
      <w:r>
        <w:rPr>
          <w:snapToGrid w:val="0"/>
          <w:color w:val="auto"/>
          <w:kern w:val="0"/>
        </w:rPr>
        <w:t>项目</w:t>
      </w:r>
      <w:r>
        <w:rPr>
          <w:color w:val="auto"/>
        </w:rPr>
        <w:t>完成后四周厂界噪声预测值</w:t>
      </w:r>
      <w:r>
        <w:rPr>
          <w:rFonts w:hint="eastAsia"/>
          <w:color w:val="auto"/>
        </w:rPr>
        <w:t>均满足</w:t>
      </w:r>
      <w:r>
        <w:rPr>
          <w:color w:val="auto"/>
        </w:rPr>
        <w:t>GB12348-2008《工业企业厂界环境噪声排放标准》</w:t>
      </w:r>
      <w:r>
        <w:rPr>
          <w:rFonts w:hint="eastAsia"/>
          <w:color w:val="auto"/>
        </w:rPr>
        <w:t>2</w:t>
      </w:r>
      <w:r>
        <w:rPr>
          <w:color w:val="auto"/>
        </w:rPr>
        <w:t>类标准：昼间</w:t>
      </w:r>
      <w:r>
        <w:rPr>
          <w:rFonts w:hint="eastAsia"/>
          <w:color w:val="auto"/>
        </w:rPr>
        <w:t>60</w:t>
      </w:r>
      <w:r>
        <w:rPr>
          <w:color w:val="auto"/>
        </w:rPr>
        <w:t>dB(A)，夜间</w:t>
      </w:r>
      <w:r>
        <w:rPr>
          <w:rFonts w:hint="eastAsia"/>
          <w:color w:val="auto"/>
        </w:rPr>
        <w:t>50</w:t>
      </w:r>
      <w:r>
        <w:rPr>
          <w:color w:val="auto"/>
        </w:rPr>
        <w:t>dB(A)可知，本</w:t>
      </w:r>
      <w:r>
        <w:rPr>
          <w:snapToGrid w:val="0"/>
          <w:color w:val="auto"/>
          <w:kern w:val="0"/>
        </w:rPr>
        <w:t>项目</w:t>
      </w:r>
      <w:r>
        <w:rPr>
          <w:color w:val="auto"/>
        </w:rPr>
        <w:t>厂界昼/夜间噪声预测值均可以满足评价标准的要求。</w:t>
      </w:r>
    </w:p>
    <w:p>
      <w:pPr>
        <w:spacing w:before="104" w:line="386" w:lineRule="auto"/>
        <w:ind w:firstLine="482"/>
        <w:jc w:val="left"/>
        <w:rPr>
          <w:rFonts w:ascii="宋体" w:hAnsi="宋体" w:cs="宋体"/>
          <w:b/>
          <w:bCs/>
          <w:color w:val="auto"/>
          <w:w w:val="99"/>
        </w:rPr>
      </w:pPr>
      <w:bookmarkStart w:id="559" w:name="_Toc485580299"/>
      <w:bookmarkStart w:id="560" w:name="_Toc366760265"/>
      <w:bookmarkStart w:id="561" w:name="_Toc476921971"/>
      <w:bookmarkStart w:id="562" w:name="_Toc476923289"/>
      <w:bookmarkStart w:id="563" w:name="_Toc477187437"/>
      <w:bookmarkStart w:id="564" w:name="_Toc477357252"/>
      <w:bookmarkStart w:id="565" w:name="_Toc354421688"/>
      <w:bookmarkStart w:id="566" w:name="_Toc488933419"/>
      <w:r>
        <w:rPr>
          <w:rFonts w:eastAsia="Times New Roman"/>
          <w:b/>
          <w:bCs/>
          <w:color w:val="auto"/>
        </w:rPr>
        <w:t>5.</w:t>
      </w:r>
      <w:r>
        <w:rPr>
          <w:rFonts w:hint="eastAsia"/>
          <w:b/>
          <w:bCs/>
          <w:color w:val="auto"/>
        </w:rPr>
        <w:t>2</w:t>
      </w:r>
      <w:r>
        <w:rPr>
          <w:rFonts w:eastAsia="Times New Roman"/>
          <w:b/>
          <w:bCs/>
          <w:color w:val="auto"/>
        </w:rPr>
        <w:t>.5</w:t>
      </w:r>
      <w:r>
        <w:rPr>
          <w:rFonts w:ascii="宋体" w:hAnsi="宋体" w:cs="宋体"/>
          <w:b/>
          <w:bCs/>
          <w:color w:val="auto"/>
        </w:rPr>
        <w:t>固体废物对环境的影响分析</w:t>
      </w:r>
    </w:p>
    <w:p>
      <w:pPr>
        <w:spacing w:before="104"/>
        <w:ind w:firstLine="480"/>
        <w:jc w:val="left"/>
        <w:rPr>
          <w:rFonts w:ascii="宋体" w:hAnsi="宋体" w:cs="宋体"/>
          <w:color w:val="auto"/>
        </w:rPr>
      </w:pPr>
      <w:r>
        <w:rPr>
          <w:rFonts w:ascii="宋体" w:hAnsi="宋体" w:cs="宋体"/>
          <w:color w:val="auto"/>
        </w:rPr>
        <w:t>根据工程分析可知，本项目产生的固体废物主要包括危险废物、一般废物、</w:t>
      </w:r>
      <w:r>
        <w:rPr>
          <w:color w:val="auto"/>
        </w:rPr>
        <w:t>生活垃圾等。本项目营运期固体废物产排情况及处置措施见表</w:t>
      </w:r>
      <w:r>
        <w:rPr>
          <w:rFonts w:eastAsia="Times New Roman"/>
          <w:color w:val="auto"/>
        </w:rPr>
        <w:t>5.</w:t>
      </w:r>
      <w:r>
        <w:rPr>
          <w:rFonts w:hint="eastAsia"/>
          <w:color w:val="auto"/>
        </w:rPr>
        <w:t>2-31</w:t>
      </w:r>
      <w:r>
        <w:rPr>
          <w:color w:val="auto"/>
        </w:rPr>
        <w:t>。</w:t>
      </w:r>
    </w:p>
    <w:p>
      <w:pPr>
        <w:ind w:firstLine="0" w:firstLineChars="0"/>
        <w:jc w:val="center"/>
        <w:rPr>
          <w:rFonts w:ascii="宋体" w:hAnsi="宋体" w:cs="宋体"/>
          <w:b/>
          <w:bCs/>
          <w:color w:val="auto"/>
          <w:sz w:val="10"/>
          <w:szCs w:val="10"/>
        </w:rPr>
      </w:pPr>
      <w:r>
        <w:rPr>
          <w:b/>
          <w:bCs/>
          <w:color w:val="auto"/>
        </w:rPr>
        <w:t>表 5.</w:t>
      </w:r>
      <w:r>
        <w:rPr>
          <w:rFonts w:hint="eastAsia"/>
          <w:b/>
          <w:bCs/>
          <w:color w:val="auto"/>
        </w:rPr>
        <w:t>2-31</w:t>
      </w:r>
      <w:r>
        <w:rPr>
          <w:b/>
          <w:bCs/>
          <w:color w:val="auto"/>
        </w:rPr>
        <w:tab/>
      </w:r>
      <w:r>
        <w:rPr>
          <w:b/>
          <w:bCs/>
          <w:color w:val="auto"/>
        </w:rPr>
        <w:t>本项目运营期固体废物产排情况及处置措施</w:t>
      </w:r>
    </w:p>
    <w:tbl>
      <w:tblPr>
        <w:tblStyle w:val="27"/>
        <w:tblW w:w="8946" w:type="dxa"/>
        <w:jc w:val="center"/>
        <w:tblLayout w:type="fixed"/>
        <w:tblCellMar>
          <w:top w:w="0" w:type="dxa"/>
          <w:left w:w="0" w:type="dxa"/>
          <w:bottom w:w="0" w:type="dxa"/>
          <w:right w:w="0" w:type="dxa"/>
        </w:tblCellMar>
      </w:tblPr>
      <w:tblGrid>
        <w:gridCol w:w="701"/>
        <w:gridCol w:w="1533"/>
        <w:gridCol w:w="1419"/>
        <w:gridCol w:w="1196"/>
        <w:gridCol w:w="930"/>
        <w:gridCol w:w="2213"/>
        <w:gridCol w:w="954"/>
      </w:tblGrid>
      <w:tr>
        <w:tblPrEx>
          <w:tblCellMar>
            <w:top w:w="0" w:type="dxa"/>
            <w:left w:w="0" w:type="dxa"/>
            <w:bottom w:w="0" w:type="dxa"/>
            <w:right w:w="0" w:type="dxa"/>
          </w:tblCellMar>
        </w:tblPrEx>
        <w:trPr>
          <w:trHeight w:val="634" w:hRule="exact"/>
          <w:jc w:val="center"/>
        </w:trPr>
        <w:tc>
          <w:tcPr>
            <w:tcW w:w="701" w:type="dxa"/>
            <w:tcBorders>
              <w:top w:val="single" w:color="000000" w:sz="2" w:space="0"/>
              <w:left w:val="nil"/>
              <w:bottom w:val="single" w:color="000000" w:sz="6" w:space="0"/>
              <w:right w:val="single" w:color="000000" w:sz="6" w:space="0"/>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b/>
                <w:bCs/>
                <w:color w:val="auto"/>
                <w:sz w:val="21"/>
                <w:szCs w:val="21"/>
              </w:rPr>
              <w:t>序号</w:t>
            </w:r>
          </w:p>
        </w:tc>
        <w:tc>
          <w:tcPr>
            <w:tcW w:w="1533" w:type="dxa"/>
            <w:tcBorders>
              <w:top w:val="single" w:color="000000" w:sz="2" w:space="0"/>
              <w:left w:val="single" w:color="000000" w:sz="6" w:space="0"/>
              <w:bottom w:val="single" w:color="000000" w:sz="6" w:space="0"/>
              <w:right w:val="single" w:color="000000" w:sz="6" w:space="0"/>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b/>
                <w:bCs/>
                <w:color w:val="auto"/>
                <w:sz w:val="21"/>
                <w:szCs w:val="21"/>
              </w:rPr>
              <w:t>产生环节</w:t>
            </w:r>
          </w:p>
        </w:tc>
        <w:tc>
          <w:tcPr>
            <w:tcW w:w="1419" w:type="dxa"/>
            <w:tcBorders>
              <w:top w:val="single" w:color="000000" w:sz="2" w:space="0"/>
              <w:left w:val="single" w:color="000000" w:sz="6" w:space="0"/>
              <w:bottom w:val="single" w:color="000000" w:sz="6" w:space="0"/>
              <w:right w:val="single" w:color="000000" w:sz="6" w:space="0"/>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b/>
                <w:bCs/>
                <w:color w:val="auto"/>
                <w:sz w:val="21"/>
                <w:szCs w:val="21"/>
              </w:rPr>
              <w:t>名称</w:t>
            </w:r>
          </w:p>
        </w:tc>
        <w:tc>
          <w:tcPr>
            <w:tcW w:w="1196" w:type="dxa"/>
            <w:tcBorders>
              <w:top w:val="single" w:color="000000" w:sz="2" w:space="0"/>
              <w:left w:val="single" w:color="000000" w:sz="6" w:space="0"/>
              <w:bottom w:val="single" w:color="000000" w:sz="6" w:space="0"/>
              <w:right w:val="single" w:color="000000" w:sz="6" w:space="0"/>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b/>
                <w:bCs/>
                <w:color w:val="auto"/>
                <w:sz w:val="21"/>
                <w:szCs w:val="21"/>
              </w:rPr>
              <w:t>固废性质</w:t>
            </w:r>
          </w:p>
        </w:tc>
        <w:tc>
          <w:tcPr>
            <w:tcW w:w="930" w:type="dxa"/>
            <w:tcBorders>
              <w:top w:val="single" w:color="000000" w:sz="2" w:space="0"/>
              <w:left w:val="single" w:color="000000" w:sz="6" w:space="0"/>
              <w:bottom w:val="single" w:color="000000" w:sz="6" w:space="0"/>
              <w:right w:val="single" w:color="000000" w:sz="6" w:space="0"/>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b/>
                <w:bCs/>
                <w:color w:val="auto"/>
                <w:sz w:val="21"/>
                <w:szCs w:val="21"/>
              </w:rPr>
              <w:t>产生量</w:t>
            </w:r>
            <w:r>
              <w:rPr>
                <w:rFonts w:hint="eastAsia"/>
                <w:color w:val="auto"/>
                <w:sz w:val="21"/>
                <w:szCs w:val="21"/>
              </w:rPr>
              <w:t>t/a</w:t>
            </w:r>
          </w:p>
        </w:tc>
        <w:tc>
          <w:tcPr>
            <w:tcW w:w="2213" w:type="dxa"/>
            <w:tcBorders>
              <w:top w:val="single" w:color="000000" w:sz="2" w:space="0"/>
              <w:left w:val="single" w:color="000000" w:sz="6" w:space="0"/>
              <w:bottom w:val="single" w:color="000000" w:sz="6" w:space="0"/>
              <w:right w:val="single" w:color="000000" w:sz="6" w:space="0"/>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b/>
                <w:bCs/>
                <w:color w:val="auto"/>
                <w:sz w:val="21"/>
                <w:szCs w:val="21"/>
              </w:rPr>
              <w:t>处置措施</w:t>
            </w:r>
          </w:p>
        </w:tc>
        <w:tc>
          <w:tcPr>
            <w:tcW w:w="954" w:type="dxa"/>
            <w:tcBorders>
              <w:top w:val="single" w:color="000000" w:sz="2" w:space="0"/>
              <w:left w:val="single" w:color="000000" w:sz="6" w:space="0"/>
              <w:bottom w:val="single" w:color="000000" w:sz="6" w:space="0"/>
              <w:right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b/>
                <w:bCs/>
                <w:color w:val="auto"/>
                <w:sz w:val="21"/>
                <w:szCs w:val="21"/>
              </w:rPr>
              <w:t>排放量</w:t>
            </w:r>
            <w:r>
              <w:rPr>
                <w:rFonts w:hint="eastAsia"/>
                <w:color w:val="auto"/>
                <w:sz w:val="21"/>
                <w:szCs w:val="21"/>
              </w:rPr>
              <w:t>t/a</w:t>
            </w:r>
          </w:p>
        </w:tc>
      </w:tr>
      <w:tr>
        <w:tblPrEx>
          <w:tblCellMar>
            <w:top w:w="0" w:type="dxa"/>
            <w:left w:w="0" w:type="dxa"/>
            <w:bottom w:w="0" w:type="dxa"/>
            <w:right w:w="0" w:type="dxa"/>
          </w:tblCellMar>
        </w:tblPrEx>
        <w:trPr>
          <w:trHeight w:val="639" w:hRule="exact"/>
          <w:jc w:val="center"/>
        </w:trPr>
        <w:tc>
          <w:tcPr>
            <w:tcW w:w="701" w:type="dxa"/>
            <w:tcBorders>
              <w:top w:val="single" w:color="000000" w:sz="6" w:space="0"/>
              <w:left w:val="nil"/>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1</w:t>
            </w:r>
          </w:p>
        </w:tc>
        <w:tc>
          <w:tcPr>
            <w:tcW w:w="1533"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防疫</w:t>
            </w:r>
          </w:p>
        </w:tc>
        <w:tc>
          <w:tcPr>
            <w:tcW w:w="1419"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医疗固废</w:t>
            </w:r>
          </w:p>
        </w:tc>
        <w:tc>
          <w:tcPr>
            <w:tcW w:w="1196"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危险废物</w:t>
            </w:r>
          </w:p>
          <w:p>
            <w:pPr>
              <w:spacing w:line="240" w:lineRule="auto"/>
              <w:ind w:firstLine="0" w:firstLineChars="0"/>
              <w:jc w:val="center"/>
              <w:rPr>
                <w:color w:val="auto"/>
                <w:sz w:val="21"/>
                <w:szCs w:val="21"/>
              </w:rPr>
            </w:pPr>
            <w:r>
              <w:rPr>
                <w:rFonts w:hint="eastAsia"/>
                <w:color w:val="auto"/>
                <w:sz w:val="21"/>
                <w:szCs w:val="21"/>
              </w:rPr>
              <w:t>（HW01）</w:t>
            </w:r>
          </w:p>
        </w:tc>
        <w:tc>
          <w:tcPr>
            <w:tcW w:w="930"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0.25</w:t>
            </w:r>
          </w:p>
        </w:tc>
        <w:tc>
          <w:tcPr>
            <w:tcW w:w="2213"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定期交由有资质单位</w:t>
            </w:r>
          </w:p>
          <w:p>
            <w:pPr>
              <w:spacing w:line="240" w:lineRule="auto"/>
              <w:ind w:firstLine="0" w:firstLineChars="0"/>
              <w:jc w:val="center"/>
              <w:rPr>
                <w:color w:val="auto"/>
                <w:sz w:val="21"/>
                <w:szCs w:val="21"/>
              </w:rPr>
            </w:pPr>
            <w:r>
              <w:rPr>
                <w:rFonts w:hint="eastAsia"/>
                <w:color w:val="auto"/>
                <w:sz w:val="21"/>
                <w:szCs w:val="21"/>
              </w:rPr>
              <w:t>处理</w:t>
            </w:r>
          </w:p>
        </w:tc>
        <w:tc>
          <w:tcPr>
            <w:tcW w:w="954" w:type="dxa"/>
            <w:tcBorders>
              <w:top w:val="single" w:color="000000" w:sz="6" w:space="0"/>
              <w:left w:val="single" w:color="000000" w:sz="6" w:space="0"/>
              <w:bottom w:val="single" w:color="000000" w:sz="6" w:space="0"/>
              <w:right w:val="nil"/>
            </w:tcBorders>
            <w:vAlign w:val="center"/>
          </w:tcPr>
          <w:p>
            <w:pPr>
              <w:spacing w:line="240" w:lineRule="auto"/>
              <w:ind w:firstLine="0" w:firstLineChars="0"/>
              <w:jc w:val="center"/>
              <w:rPr>
                <w:color w:val="auto"/>
                <w:sz w:val="21"/>
                <w:szCs w:val="21"/>
              </w:rPr>
            </w:pPr>
            <w:r>
              <w:rPr>
                <w:rFonts w:hint="eastAsia"/>
                <w:color w:val="auto"/>
                <w:sz w:val="21"/>
                <w:szCs w:val="21"/>
              </w:rPr>
              <w:t>0</w:t>
            </w:r>
          </w:p>
        </w:tc>
      </w:tr>
      <w:tr>
        <w:tblPrEx>
          <w:tblCellMar>
            <w:top w:w="0" w:type="dxa"/>
            <w:left w:w="0" w:type="dxa"/>
            <w:bottom w:w="0" w:type="dxa"/>
            <w:right w:w="0" w:type="dxa"/>
          </w:tblCellMar>
        </w:tblPrEx>
        <w:trPr>
          <w:trHeight w:val="1246" w:hRule="exact"/>
          <w:jc w:val="center"/>
        </w:trPr>
        <w:tc>
          <w:tcPr>
            <w:tcW w:w="701" w:type="dxa"/>
            <w:tcBorders>
              <w:top w:val="single" w:color="000000" w:sz="6" w:space="0"/>
              <w:left w:val="nil"/>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2</w:t>
            </w:r>
          </w:p>
        </w:tc>
        <w:tc>
          <w:tcPr>
            <w:tcW w:w="1533"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养殖</w:t>
            </w:r>
          </w:p>
        </w:tc>
        <w:tc>
          <w:tcPr>
            <w:tcW w:w="1419"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病死猪</w:t>
            </w:r>
          </w:p>
        </w:tc>
        <w:tc>
          <w:tcPr>
            <w:tcW w:w="1196"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危险废物</w:t>
            </w:r>
          </w:p>
          <w:p>
            <w:pPr>
              <w:spacing w:line="240" w:lineRule="auto"/>
              <w:ind w:firstLine="0" w:firstLineChars="0"/>
              <w:jc w:val="center"/>
              <w:rPr>
                <w:color w:val="auto"/>
                <w:sz w:val="21"/>
                <w:szCs w:val="21"/>
              </w:rPr>
            </w:pPr>
            <w:r>
              <w:rPr>
                <w:rFonts w:hint="eastAsia"/>
                <w:color w:val="auto"/>
                <w:sz w:val="21"/>
                <w:szCs w:val="21"/>
              </w:rPr>
              <w:t>（HW01）</w:t>
            </w:r>
          </w:p>
        </w:tc>
        <w:tc>
          <w:tcPr>
            <w:tcW w:w="930"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9.6</w:t>
            </w:r>
          </w:p>
        </w:tc>
        <w:tc>
          <w:tcPr>
            <w:tcW w:w="2213"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在厂区内无害化处理后，残渣作为有机肥原料外售</w:t>
            </w:r>
          </w:p>
        </w:tc>
        <w:tc>
          <w:tcPr>
            <w:tcW w:w="954" w:type="dxa"/>
            <w:tcBorders>
              <w:top w:val="single" w:color="000000" w:sz="6" w:space="0"/>
              <w:left w:val="single" w:color="000000" w:sz="6" w:space="0"/>
              <w:bottom w:val="single" w:color="000000" w:sz="6" w:space="0"/>
              <w:right w:val="nil"/>
            </w:tcBorders>
            <w:vAlign w:val="center"/>
          </w:tcPr>
          <w:p>
            <w:pPr>
              <w:spacing w:line="240" w:lineRule="auto"/>
              <w:ind w:firstLine="0" w:firstLineChars="0"/>
              <w:jc w:val="center"/>
              <w:rPr>
                <w:color w:val="auto"/>
                <w:sz w:val="21"/>
                <w:szCs w:val="21"/>
              </w:rPr>
            </w:pPr>
            <w:r>
              <w:rPr>
                <w:rFonts w:hint="eastAsia"/>
                <w:color w:val="auto"/>
                <w:sz w:val="21"/>
                <w:szCs w:val="21"/>
              </w:rPr>
              <w:t>0</w:t>
            </w:r>
          </w:p>
        </w:tc>
      </w:tr>
      <w:tr>
        <w:tblPrEx>
          <w:tblCellMar>
            <w:top w:w="0" w:type="dxa"/>
            <w:left w:w="0" w:type="dxa"/>
            <w:bottom w:w="0" w:type="dxa"/>
            <w:right w:w="0" w:type="dxa"/>
          </w:tblCellMar>
        </w:tblPrEx>
        <w:trPr>
          <w:trHeight w:val="639" w:hRule="exact"/>
          <w:jc w:val="center"/>
        </w:trPr>
        <w:tc>
          <w:tcPr>
            <w:tcW w:w="701" w:type="dxa"/>
            <w:tcBorders>
              <w:top w:val="single" w:color="000000" w:sz="6" w:space="0"/>
              <w:left w:val="nil"/>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3</w:t>
            </w:r>
          </w:p>
        </w:tc>
        <w:tc>
          <w:tcPr>
            <w:tcW w:w="1533"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固液分离</w:t>
            </w:r>
          </w:p>
        </w:tc>
        <w:tc>
          <w:tcPr>
            <w:tcW w:w="1419"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猪粪</w:t>
            </w:r>
          </w:p>
        </w:tc>
        <w:tc>
          <w:tcPr>
            <w:tcW w:w="1196"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一般固废</w:t>
            </w:r>
          </w:p>
        </w:tc>
        <w:tc>
          <w:tcPr>
            <w:tcW w:w="930"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1564.3</w:t>
            </w:r>
          </w:p>
        </w:tc>
        <w:tc>
          <w:tcPr>
            <w:tcW w:w="2213"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经发酵后作为制有机</w:t>
            </w:r>
          </w:p>
          <w:p>
            <w:pPr>
              <w:spacing w:line="240" w:lineRule="auto"/>
              <w:ind w:firstLine="0" w:firstLineChars="0"/>
              <w:jc w:val="center"/>
              <w:rPr>
                <w:color w:val="auto"/>
                <w:sz w:val="21"/>
                <w:szCs w:val="21"/>
              </w:rPr>
            </w:pPr>
            <w:r>
              <w:rPr>
                <w:rFonts w:hint="eastAsia"/>
                <w:color w:val="auto"/>
                <w:sz w:val="21"/>
                <w:szCs w:val="21"/>
              </w:rPr>
              <w:t>肥基料外售</w:t>
            </w:r>
          </w:p>
        </w:tc>
        <w:tc>
          <w:tcPr>
            <w:tcW w:w="954" w:type="dxa"/>
            <w:tcBorders>
              <w:top w:val="single" w:color="000000" w:sz="6" w:space="0"/>
              <w:left w:val="single" w:color="000000" w:sz="6" w:space="0"/>
              <w:bottom w:val="single" w:color="000000" w:sz="6" w:space="0"/>
              <w:right w:val="nil"/>
            </w:tcBorders>
            <w:vAlign w:val="center"/>
          </w:tcPr>
          <w:p>
            <w:pPr>
              <w:spacing w:line="240" w:lineRule="auto"/>
              <w:ind w:firstLine="0" w:firstLineChars="0"/>
              <w:jc w:val="center"/>
              <w:rPr>
                <w:color w:val="auto"/>
                <w:sz w:val="21"/>
                <w:szCs w:val="21"/>
              </w:rPr>
            </w:pPr>
            <w:r>
              <w:rPr>
                <w:rFonts w:hint="eastAsia"/>
                <w:color w:val="auto"/>
                <w:sz w:val="21"/>
                <w:szCs w:val="21"/>
              </w:rPr>
              <w:t>0</w:t>
            </w:r>
          </w:p>
        </w:tc>
      </w:tr>
      <w:tr>
        <w:tblPrEx>
          <w:tblCellMar>
            <w:top w:w="0" w:type="dxa"/>
            <w:left w:w="0" w:type="dxa"/>
            <w:bottom w:w="0" w:type="dxa"/>
            <w:right w:w="0" w:type="dxa"/>
          </w:tblCellMar>
        </w:tblPrEx>
        <w:trPr>
          <w:trHeight w:val="355" w:hRule="exact"/>
          <w:jc w:val="center"/>
        </w:trPr>
        <w:tc>
          <w:tcPr>
            <w:tcW w:w="701" w:type="dxa"/>
            <w:tcBorders>
              <w:top w:val="single" w:color="000000" w:sz="6" w:space="0"/>
              <w:left w:val="nil"/>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4</w:t>
            </w:r>
          </w:p>
        </w:tc>
        <w:tc>
          <w:tcPr>
            <w:tcW w:w="1533"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沼气脱硫装置</w:t>
            </w:r>
          </w:p>
        </w:tc>
        <w:tc>
          <w:tcPr>
            <w:tcW w:w="1419"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废脱硫剂</w:t>
            </w:r>
          </w:p>
        </w:tc>
        <w:tc>
          <w:tcPr>
            <w:tcW w:w="1196"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一般固废</w:t>
            </w:r>
          </w:p>
        </w:tc>
        <w:tc>
          <w:tcPr>
            <w:tcW w:w="930"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0.006</w:t>
            </w:r>
          </w:p>
        </w:tc>
        <w:tc>
          <w:tcPr>
            <w:tcW w:w="2213"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生产厂家统一回收处置</w:t>
            </w:r>
          </w:p>
        </w:tc>
        <w:tc>
          <w:tcPr>
            <w:tcW w:w="954" w:type="dxa"/>
            <w:tcBorders>
              <w:top w:val="single" w:color="000000" w:sz="6" w:space="0"/>
              <w:left w:val="single" w:color="000000" w:sz="6" w:space="0"/>
              <w:bottom w:val="single" w:color="000000" w:sz="6" w:space="0"/>
              <w:right w:val="nil"/>
            </w:tcBorders>
            <w:vAlign w:val="center"/>
          </w:tcPr>
          <w:p>
            <w:pPr>
              <w:spacing w:line="240" w:lineRule="auto"/>
              <w:ind w:firstLine="0" w:firstLineChars="0"/>
              <w:jc w:val="center"/>
              <w:rPr>
                <w:color w:val="auto"/>
                <w:sz w:val="21"/>
                <w:szCs w:val="21"/>
              </w:rPr>
            </w:pPr>
            <w:r>
              <w:rPr>
                <w:rFonts w:hint="eastAsia"/>
                <w:color w:val="auto"/>
                <w:sz w:val="21"/>
                <w:szCs w:val="21"/>
              </w:rPr>
              <w:t>0</w:t>
            </w:r>
          </w:p>
        </w:tc>
      </w:tr>
      <w:tr>
        <w:tblPrEx>
          <w:tblCellMar>
            <w:top w:w="0" w:type="dxa"/>
            <w:left w:w="0" w:type="dxa"/>
            <w:bottom w:w="0" w:type="dxa"/>
            <w:right w:w="0" w:type="dxa"/>
          </w:tblCellMar>
        </w:tblPrEx>
        <w:trPr>
          <w:trHeight w:val="355" w:hRule="exact"/>
          <w:jc w:val="center"/>
        </w:trPr>
        <w:tc>
          <w:tcPr>
            <w:tcW w:w="701" w:type="dxa"/>
            <w:tcBorders>
              <w:top w:val="single" w:color="000000" w:sz="6" w:space="0"/>
              <w:left w:val="nil"/>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5</w:t>
            </w:r>
          </w:p>
        </w:tc>
        <w:tc>
          <w:tcPr>
            <w:tcW w:w="1533"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职工生活</w:t>
            </w:r>
          </w:p>
        </w:tc>
        <w:tc>
          <w:tcPr>
            <w:tcW w:w="1419"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生活垃圾</w:t>
            </w:r>
          </w:p>
        </w:tc>
        <w:tc>
          <w:tcPr>
            <w:tcW w:w="1196"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一般固废</w:t>
            </w:r>
          </w:p>
        </w:tc>
        <w:tc>
          <w:tcPr>
            <w:tcW w:w="930"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6.39</w:t>
            </w:r>
          </w:p>
        </w:tc>
        <w:tc>
          <w:tcPr>
            <w:tcW w:w="2213"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送交环卫部门处理</w:t>
            </w:r>
          </w:p>
        </w:tc>
        <w:tc>
          <w:tcPr>
            <w:tcW w:w="954" w:type="dxa"/>
            <w:tcBorders>
              <w:top w:val="single" w:color="000000" w:sz="6" w:space="0"/>
              <w:left w:val="single" w:color="000000" w:sz="6" w:space="0"/>
              <w:bottom w:val="single" w:color="000000" w:sz="6" w:space="0"/>
              <w:right w:val="nil"/>
            </w:tcBorders>
            <w:vAlign w:val="center"/>
          </w:tcPr>
          <w:p>
            <w:pPr>
              <w:spacing w:line="240" w:lineRule="auto"/>
              <w:ind w:firstLine="0" w:firstLineChars="0"/>
              <w:jc w:val="center"/>
              <w:rPr>
                <w:color w:val="auto"/>
                <w:sz w:val="21"/>
                <w:szCs w:val="21"/>
              </w:rPr>
            </w:pPr>
            <w:r>
              <w:rPr>
                <w:rFonts w:hint="eastAsia"/>
                <w:color w:val="auto"/>
                <w:sz w:val="21"/>
                <w:szCs w:val="21"/>
              </w:rPr>
              <w:t>0</w:t>
            </w:r>
          </w:p>
        </w:tc>
      </w:tr>
      <w:tr>
        <w:tblPrEx>
          <w:tblCellMar>
            <w:top w:w="0" w:type="dxa"/>
            <w:left w:w="0" w:type="dxa"/>
            <w:bottom w:w="0" w:type="dxa"/>
            <w:right w:w="0" w:type="dxa"/>
          </w:tblCellMar>
        </w:tblPrEx>
        <w:trPr>
          <w:trHeight w:val="625" w:hRule="exact"/>
          <w:jc w:val="center"/>
        </w:trPr>
        <w:tc>
          <w:tcPr>
            <w:tcW w:w="701" w:type="dxa"/>
            <w:tcBorders>
              <w:top w:val="single" w:color="000000" w:sz="6" w:space="0"/>
              <w:left w:val="nil"/>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6</w:t>
            </w:r>
          </w:p>
        </w:tc>
        <w:tc>
          <w:tcPr>
            <w:tcW w:w="1533"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无害化处理</w:t>
            </w:r>
          </w:p>
        </w:tc>
        <w:tc>
          <w:tcPr>
            <w:tcW w:w="1419"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废导热油</w:t>
            </w:r>
          </w:p>
        </w:tc>
        <w:tc>
          <w:tcPr>
            <w:tcW w:w="1196"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危险废物</w:t>
            </w:r>
          </w:p>
          <w:p>
            <w:pPr>
              <w:widowControl/>
              <w:ind w:firstLine="0" w:firstLineChars="0"/>
              <w:jc w:val="center"/>
              <w:rPr>
                <w:color w:val="auto"/>
              </w:rPr>
            </w:pPr>
            <w:r>
              <w:rPr>
                <w:rFonts w:hint="eastAsia" w:ascii="宋体" w:hAnsi="宋体" w:cs="宋体"/>
                <w:color w:val="auto"/>
                <w:kern w:val="0"/>
                <w:sz w:val="20"/>
                <w:szCs w:val="20"/>
                <w:lang w:bidi="ar"/>
              </w:rPr>
              <w:t>（</w:t>
            </w:r>
            <w:r>
              <w:rPr>
                <w:rFonts w:ascii="TimesNewRomanPSMT" w:hAnsi="TimesNewRomanPSMT" w:eastAsia="TimesNewRomanPSMT" w:cs="TimesNewRomanPSMT"/>
                <w:color w:val="auto"/>
                <w:kern w:val="0"/>
                <w:sz w:val="20"/>
                <w:szCs w:val="20"/>
                <w:lang w:bidi="ar"/>
              </w:rPr>
              <w:t>HW08</w:t>
            </w:r>
            <w:r>
              <w:rPr>
                <w:rFonts w:hint="eastAsia" w:ascii="宋体" w:hAnsi="宋体" w:cs="宋体"/>
                <w:color w:val="auto"/>
                <w:kern w:val="0"/>
                <w:sz w:val="20"/>
                <w:szCs w:val="20"/>
                <w:lang w:bidi="ar"/>
              </w:rPr>
              <w:t>）</w:t>
            </w:r>
          </w:p>
          <w:p>
            <w:pPr>
              <w:spacing w:line="240" w:lineRule="auto"/>
              <w:ind w:firstLine="0" w:firstLineChars="0"/>
              <w:jc w:val="center"/>
              <w:rPr>
                <w:color w:val="auto"/>
                <w:sz w:val="21"/>
                <w:szCs w:val="21"/>
              </w:rPr>
            </w:pPr>
          </w:p>
        </w:tc>
        <w:tc>
          <w:tcPr>
            <w:tcW w:w="930"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0.125</w:t>
            </w:r>
          </w:p>
        </w:tc>
        <w:tc>
          <w:tcPr>
            <w:tcW w:w="2213"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定期交由有资质单位</w:t>
            </w:r>
          </w:p>
          <w:p>
            <w:pPr>
              <w:spacing w:line="240" w:lineRule="auto"/>
              <w:ind w:firstLine="0" w:firstLineChars="0"/>
              <w:jc w:val="center"/>
              <w:rPr>
                <w:color w:val="auto"/>
                <w:sz w:val="21"/>
                <w:szCs w:val="21"/>
              </w:rPr>
            </w:pPr>
            <w:r>
              <w:rPr>
                <w:rFonts w:hint="eastAsia"/>
                <w:color w:val="auto"/>
                <w:sz w:val="21"/>
                <w:szCs w:val="21"/>
              </w:rPr>
              <w:t>处理</w:t>
            </w:r>
          </w:p>
        </w:tc>
        <w:tc>
          <w:tcPr>
            <w:tcW w:w="954" w:type="dxa"/>
            <w:tcBorders>
              <w:top w:val="single" w:color="000000" w:sz="6" w:space="0"/>
              <w:left w:val="single" w:color="000000" w:sz="6" w:space="0"/>
              <w:bottom w:val="single" w:color="000000" w:sz="6" w:space="0"/>
              <w:right w:val="nil"/>
            </w:tcBorders>
            <w:vAlign w:val="center"/>
          </w:tcPr>
          <w:p>
            <w:pPr>
              <w:spacing w:line="240" w:lineRule="auto"/>
              <w:ind w:firstLine="0" w:firstLineChars="0"/>
              <w:jc w:val="center"/>
              <w:rPr>
                <w:color w:val="auto"/>
                <w:sz w:val="21"/>
                <w:szCs w:val="21"/>
              </w:rPr>
            </w:pPr>
            <w:r>
              <w:rPr>
                <w:rFonts w:hint="eastAsia"/>
                <w:color w:val="auto"/>
                <w:sz w:val="21"/>
                <w:szCs w:val="21"/>
              </w:rPr>
              <w:t>0</w:t>
            </w:r>
          </w:p>
        </w:tc>
      </w:tr>
      <w:tr>
        <w:tblPrEx>
          <w:tblCellMar>
            <w:top w:w="0" w:type="dxa"/>
            <w:left w:w="0" w:type="dxa"/>
            <w:bottom w:w="0" w:type="dxa"/>
            <w:right w:w="0" w:type="dxa"/>
          </w:tblCellMar>
        </w:tblPrEx>
        <w:trPr>
          <w:trHeight w:val="860" w:hRule="exact"/>
          <w:jc w:val="center"/>
        </w:trPr>
        <w:tc>
          <w:tcPr>
            <w:tcW w:w="701" w:type="dxa"/>
            <w:tcBorders>
              <w:top w:val="single" w:color="000000" w:sz="6" w:space="0"/>
              <w:left w:val="nil"/>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7</w:t>
            </w:r>
          </w:p>
        </w:tc>
        <w:tc>
          <w:tcPr>
            <w:tcW w:w="1533"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厌氧发酵</w:t>
            </w:r>
          </w:p>
        </w:tc>
        <w:tc>
          <w:tcPr>
            <w:tcW w:w="1419"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沼渣</w:t>
            </w:r>
          </w:p>
        </w:tc>
        <w:tc>
          <w:tcPr>
            <w:tcW w:w="1196"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一般固废</w:t>
            </w:r>
          </w:p>
        </w:tc>
        <w:tc>
          <w:tcPr>
            <w:tcW w:w="930"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2346.95</w:t>
            </w:r>
          </w:p>
        </w:tc>
        <w:tc>
          <w:tcPr>
            <w:tcW w:w="2213"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经固液分离发酵后作为制有机肥基料外售</w:t>
            </w:r>
          </w:p>
        </w:tc>
        <w:tc>
          <w:tcPr>
            <w:tcW w:w="954" w:type="dxa"/>
            <w:tcBorders>
              <w:top w:val="single" w:color="000000" w:sz="6" w:space="0"/>
              <w:left w:val="single" w:color="000000" w:sz="6" w:space="0"/>
              <w:bottom w:val="single" w:color="000000" w:sz="6" w:space="0"/>
              <w:right w:val="nil"/>
            </w:tcBorders>
            <w:vAlign w:val="center"/>
          </w:tcPr>
          <w:p>
            <w:pPr>
              <w:spacing w:line="240" w:lineRule="auto"/>
              <w:ind w:firstLine="0" w:firstLineChars="0"/>
              <w:jc w:val="center"/>
              <w:rPr>
                <w:color w:val="auto"/>
                <w:sz w:val="21"/>
                <w:szCs w:val="21"/>
              </w:rPr>
            </w:pPr>
            <w:r>
              <w:rPr>
                <w:rFonts w:hint="eastAsia"/>
                <w:color w:val="auto"/>
                <w:sz w:val="21"/>
                <w:szCs w:val="21"/>
              </w:rPr>
              <w:t>0</w:t>
            </w:r>
          </w:p>
        </w:tc>
      </w:tr>
    </w:tbl>
    <w:p>
      <w:pPr>
        <w:pStyle w:val="11"/>
        <w:spacing w:line="398" w:lineRule="auto"/>
        <w:ind w:left="217" w:right="212" w:firstLine="468"/>
        <w:jc w:val="left"/>
        <w:rPr>
          <w:color w:val="auto"/>
        </w:rPr>
      </w:pPr>
      <w:r>
        <w:rPr>
          <w:color w:val="auto"/>
          <w:spacing w:val="-3"/>
        </w:rPr>
        <w:t>综上所述，本项目固体废物按照废物的性质分别进行合理的处置，固废处置</w:t>
      </w:r>
      <w:r>
        <w:rPr>
          <w:color w:val="auto"/>
        </w:rPr>
        <w:t xml:space="preserve"> 率</w:t>
      </w:r>
      <w:r>
        <w:rPr>
          <w:rFonts w:eastAsia="Times New Roman"/>
          <w:color w:val="auto"/>
        </w:rPr>
        <w:t>100%</w:t>
      </w:r>
      <w:r>
        <w:rPr>
          <w:color w:val="auto"/>
        </w:rPr>
        <w:t>，对周围环境影响不大。</w:t>
      </w:r>
    </w:p>
    <w:p>
      <w:pPr>
        <w:pStyle w:val="6"/>
        <w:rPr>
          <w:color w:val="auto"/>
        </w:rPr>
      </w:pPr>
      <w:r>
        <w:rPr>
          <w:color w:val="auto"/>
        </w:rPr>
        <w:t>5.2</w:t>
      </w:r>
      <w:r>
        <w:rPr>
          <w:rFonts w:hint="eastAsia"/>
          <w:color w:val="auto"/>
          <w:lang w:val="en-US"/>
        </w:rPr>
        <w:t>.6</w:t>
      </w:r>
      <w:r>
        <w:rPr>
          <w:color w:val="auto"/>
        </w:rPr>
        <w:t xml:space="preserve"> 土壤环境影响分析</w:t>
      </w:r>
    </w:p>
    <w:p>
      <w:pPr>
        <w:pStyle w:val="11"/>
        <w:spacing w:after="0"/>
        <w:ind w:firstLine="480"/>
        <w:rPr>
          <w:color w:val="auto"/>
        </w:rPr>
      </w:pPr>
      <w:r>
        <w:rPr>
          <w:rFonts w:hint="eastAsia"/>
          <w:color w:val="auto"/>
        </w:rPr>
        <w:t>5.2.6.1</w:t>
      </w:r>
      <w:r>
        <w:rPr>
          <w:rFonts w:eastAsia="Times New Roman"/>
          <w:color w:val="auto"/>
        </w:rPr>
        <w:t xml:space="preserve"> </w:t>
      </w:r>
      <w:r>
        <w:rPr>
          <w:color w:val="auto"/>
        </w:rPr>
        <w:t>评价等级与评价范围</w:t>
      </w:r>
    </w:p>
    <w:p>
      <w:pPr>
        <w:pStyle w:val="11"/>
        <w:spacing w:after="0"/>
        <w:ind w:firstLine="480"/>
        <w:rPr>
          <w:color w:val="auto"/>
        </w:rPr>
      </w:pPr>
      <w:r>
        <w:rPr>
          <w:color w:val="auto"/>
        </w:rPr>
        <w:t>根据《环境影响评价技术导则 土壤环境（试行）》（</w:t>
      </w:r>
      <w:r>
        <w:rPr>
          <w:rFonts w:eastAsia="Times New Roman"/>
          <w:color w:val="auto"/>
        </w:rPr>
        <w:t>HJ 964-2018</w:t>
      </w:r>
      <w:r>
        <w:rPr>
          <w:color w:val="auto"/>
        </w:rPr>
        <w:t>）附录</w:t>
      </w:r>
      <w:r>
        <w:rPr>
          <w:rFonts w:eastAsia="Times New Roman"/>
          <w:color w:val="auto"/>
        </w:rPr>
        <w:t>A</w:t>
      </w:r>
      <w:r>
        <w:rPr>
          <w:color w:val="auto"/>
        </w:rPr>
        <w:t>表</w:t>
      </w:r>
      <w:r>
        <w:rPr>
          <w:rFonts w:eastAsia="Times New Roman"/>
          <w:color w:val="auto"/>
        </w:rPr>
        <w:t>A.1</w:t>
      </w:r>
      <w:r>
        <w:rPr>
          <w:color w:val="auto"/>
        </w:rPr>
        <w:t>，本项目属于农林牧渔业年出栏生猪</w:t>
      </w:r>
      <w:r>
        <w:rPr>
          <w:rFonts w:eastAsia="Times New Roman"/>
          <w:color w:val="auto"/>
        </w:rPr>
        <w:t>5000</w:t>
      </w:r>
      <w:r>
        <w:rPr>
          <w:color w:val="auto"/>
        </w:rPr>
        <w:t>头（其他畜禽种类折合猪的养殖规模）及以上的畜禽养殖场或养殖小区，因此本项目属于Ⅲ类项目。</w:t>
      </w:r>
    </w:p>
    <w:p>
      <w:pPr>
        <w:pStyle w:val="11"/>
        <w:spacing w:after="0"/>
        <w:ind w:firstLine="480"/>
        <w:rPr>
          <w:color w:val="auto"/>
        </w:rPr>
      </w:pPr>
      <w:r>
        <w:rPr>
          <w:color w:val="auto"/>
        </w:rPr>
        <w:t>本项目占地面积占地</w:t>
      </w:r>
      <w:r>
        <w:rPr>
          <w:rFonts w:hint="eastAsia"/>
          <w:color w:val="auto"/>
        </w:rPr>
        <w:t>46712.23</w:t>
      </w:r>
      <w:r>
        <w:rPr>
          <w:rFonts w:eastAsia="Times New Roman"/>
          <w:color w:val="auto"/>
        </w:rPr>
        <w:t>m</w:t>
      </w:r>
      <w:r>
        <w:rPr>
          <w:rFonts w:eastAsia="Times New Roman"/>
          <w:color w:val="auto"/>
          <w:position w:val="11"/>
          <w:sz w:val="16"/>
          <w:szCs w:val="16"/>
        </w:rPr>
        <w:t>2</w:t>
      </w:r>
      <w:r>
        <w:rPr>
          <w:color w:val="auto"/>
        </w:rPr>
        <w:t>（</w:t>
      </w:r>
      <w:r>
        <w:rPr>
          <w:rFonts w:hint="eastAsia"/>
          <w:color w:val="auto"/>
        </w:rPr>
        <w:t>4.67</w:t>
      </w:r>
      <w:r>
        <w:rPr>
          <w:rFonts w:eastAsia="Times New Roman"/>
          <w:color w:val="auto"/>
        </w:rPr>
        <w:t>hm</w:t>
      </w:r>
      <w:r>
        <w:rPr>
          <w:rFonts w:eastAsia="Times New Roman"/>
          <w:color w:val="auto"/>
          <w:position w:val="11"/>
          <w:sz w:val="16"/>
          <w:szCs w:val="16"/>
        </w:rPr>
        <w:t>2</w:t>
      </w:r>
      <w:r>
        <w:rPr>
          <w:color w:val="auto"/>
        </w:rPr>
        <w:t>），因此本项目属于</w:t>
      </w:r>
      <w:r>
        <w:rPr>
          <w:rFonts w:hint="eastAsia"/>
          <w:color w:val="auto"/>
        </w:rPr>
        <w:t>小</w:t>
      </w:r>
      <w:r>
        <w:rPr>
          <w:color w:val="auto"/>
        </w:rPr>
        <w:t>型项目。本项目土壤环境影响途径不涉及地面漫流和大气沉降。</w:t>
      </w:r>
      <w:r>
        <w:rPr>
          <w:color w:val="auto"/>
          <w:spacing w:val="2"/>
        </w:rPr>
        <w:t>本项目各面源污染物最大落地浓度范围内存在耕地，因此本建设</w:t>
      </w:r>
      <w:r>
        <w:rPr>
          <w:color w:val="auto"/>
        </w:rPr>
        <w:t>项目所在周边的土壤环境敏感程度为敏感。详见表</w:t>
      </w:r>
      <w:r>
        <w:rPr>
          <w:rFonts w:hint="eastAsia"/>
          <w:color w:val="auto"/>
        </w:rPr>
        <w:t>5.2-32</w:t>
      </w:r>
      <w:r>
        <w:rPr>
          <w:color w:val="auto"/>
        </w:rPr>
        <w:t>。</w:t>
      </w:r>
    </w:p>
    <w:p>
      <w:pPr>
        <w:pStyle w:val="11"/>
        <w:tabs>
          <w:tab w:val="left" w:pos="3663"/>
        </w:tabs>
        <w:spacing w:after="0"/>
        <w:ind w:firstLine="0" w:firstLineChars="0"/>
        <w:jc w:val="center"/>
        <w:rPr>
          <w:rFonts w:ascii="宋体" w:hAnsi="宋体" w:cs="宋体"/>
          <w:b/>
          <w:bCs/>
          <w:color w:val="auto"/>
          <w:sz w:val="4"/>
          <w:szCs w:val="4"/>
        </w:rPr>
      </w:pPr>
      <w:r>
        <w:rPr>
          <w:b/>
          <w:bCs/>
          <w:color w:val="auto"/>
        </w:rPr>
        <w:t>表</w:t>
      </w:r>
      <w:r>
        <w:rPr>
          <w:rFonts w:hint="eastAsia"/>
          <w:b/>
          <w:bCs/>
          <w:color w:val="auto"/>
        </w:rPr>
        <w:t xml:space="preserve">5.2-32    </w:t>
      </w:r>
      <w:r>
        <w:rPr>
          <w:b/>
          <w:bCs/>
          <w:color w:val="auto"/>
        </w:rPr>
        <w:t>污染影响型敏感程度分级表</w:t>
      </w:r>
    </w:p>
    <w:tbl>
      <w:tblPr>
        <w:tblStyle w:val="27"/>
        <w:tblW w:w="4999"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487"/>
        <w:gridCol w:w="7241"/>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0" w:hRule="exact"/>
          <w:jc w:val="center"/>
        </w:trPr>
        <w:tc>
          <w:tcPr>
            <w:tcW w:w="852" w:type="pct"/>
            <w:tcBorders>
              <w:tl2br w:val="nil"/>
              <w:tr2bl w:val="nil"/>
            </w:tcBorders>
            <w:vAlign w:val="center"/>
          </w:tcPr>
          <w:p>
            <w:pPr>
              <w:pStyle w:val="42"/>
              <w:adjustRightInd/>
              <w:spacing w:line="240" w:lineRule="auto"/>
              <w:ind w:firstLine="0" w:firstLineChars="0"/>
              <w:jc w:val="center"/>
              <w:rPr>
                <w:rFonts w:ascii="宋体" w:hAnsi="宋体" w:cs="宋体"/>
                <w:color w:val="auto"/>
                <w:sz w:val="21"/>
                <w:szCs w:val="21"/>
              </w:rPr>
            </w:pPr>
            <w:r>
              <w:rPr>
                <w:rFonts w:ascii="宋体" w:hAnsi="宋体" w:cs="宋体"/>
                <w:color w:val="auto"/>
                <w:sz w:val="21"/>
                <w:szCs w:val="21"/>
              </w:rPr>
              <w:t>敏感程度</w:t>
            </w:r>
          </w:p>
        </w:tc>
        <w:tc>
          <w:tcPr>
            <w:tcW w:w="4147" w:type="pct"/>
            <w:tcBorders>
              <w:tl2br w:val="nil"/>
              <w:tr2bl w:val="nil"/>
            </w:tcBorders>
            <w:vAlign w:val="center"/>
          </w:tcPr>
          <w:p>
            <w:pPr>
              <w:pStyle w:val="42"/>
              <w:adjustRightInd/>
              <w:spacing w:line="240" w:lineRule="auto"/>
              <w:ind w:firstLine="0" w:firstLineChars="0"/>
              <w:jc w:val="center"/>
              <w:rPr>
                <w:rFonts w:ascii="宋体" w:hAnsi="宋体" w:cs="宋体"/>
                <w:color w:val="auto"/>
                <w:sz w:val="21"/>
                <w:szCs w:val="21"/>
              </w:rPr>
            </w:pPr>
            <w:r>
              <w:rPr>
                <w:rFonts w:ascii="宋体" w:hAnsi="宋体" w:cs="宋体"/>
                <w:color w:val="auto"/>
                <w:sz w:val="21"/>
                <w:szCs w:val="21"/>
              </w:rPr>
              <w:t>判断依据</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809" w:hRule="exact"/>
          <w:jc w:val="center"/>
        </w:trPr>
        <w:tc>
          <w:tcPr>
            <w:tcW w:w="852" w:type="pct"/>
            <w:tcBorders>
              <w:tl2br w:val="nil"/>
              <w:tr2bl w:val="nil"/>
            </w:tcBorders>
            <w:vAlign w:val="center"/>
          </w:tcPr>
          <w:p>
            <w:pPr>
              <w:pStyle w:val="42"/>
              <w:adjustRightInd/>
              <w:spacing w:line="240" w:lineRule="auto"/>
              <w:ind w:firstLine="0" w:firstLineChars="0"/>
              <w:jc w:val="center"/>
              <w:rPr>
                <w:rFonts w:ascii="宋体" w:hAnsi="宋体" w:cs="宋体"/>
                <w:color w:val="auto"/>
                <w:sz w:val="21"/>
                <w:szCs w:val="21"/>
              </w:rPr>
            </w:pPr>
            <w:r>
              <w:rPr>
                <w:rFonts w:ascii="宋体" w:hAnsi="宋体" w:cs="宋体"/>
                <w:color w:val="auto"/>
                <w:sz w:val="21"/>
                <w:szCs w:val="21"/>
              </w:rPr>
              <w:t>敏感</w:t>
            </w:r>
          </w:p>
        </w:tc>
        <w:tc>
          <w:tcPr>
            <w:tcW w:w="4147" w:type="pct"/>
            <w:tcBorders>
              <w:tl2br w:val="nil"/>
              <w:tr2bl w:val="nil"/>
            </w:tcBorders>
            <w:vAlign w:val="center"/>
          </w:tcPr>
          <w:p>
            <w:pPr>
              <w:pStyle w:val="42"/>
              <w:adjustRightInd/>
              <w:spacing w:line="240" w:lineRule="auto"/>
              <w:ind w:firstLine="0" w:firstLineChars="0"/>
              <w:jc w:val="center"/>
              <w:rPr>
                <w:rFonts w:ascii="宋体" w:hAnsi="宋体" w:cs="宋体"/>
                <w:color w:val="auto"/>
                <w:sz w:val="21"/>
                <w:szCs w:val="21"/>
              </w:rPr>
            </w:pPr>
            <w:r>
              <w:rPr>
                <w:rFonts w:ascii="宋体" w:hAnsi="宋体" w:cs="宋体"/>
                <w:color w:val="auto"/>
                <w:sz w:val="21"/>
                <w:szCs w:val="21"/>
              </w:rPr>
              <w:t>建设项目周边存在耕地、园地、牧草地、饮用水水源地或居民区、学校、疗养</w:t>
            </w:r>
          </w:p>
          <w:p>
            <w:pPr>
              <w:pStyle w:val="42"/>
              <w:adjustRightInd/>
              <w:spacing w:line="240" w:lineRule="auto"/>
              <w:ind w:firstLine="0" w:firstLineChars="0"/>
              <w:jc w:val="center"/>
              <w:rPr>
                <w:rFonts w:ascii="宋体" w:hAnsi="宋体" w:cs="宋体"/>
                <w:color w:val="auto"/>
                <w:sz w:val="21"/>
                <w:szCs w:val="21"/>
              </w:rPr>
            </w:pPr>
            <w:r>
              <w:rPr>
                <w:rFonts w:ascii="宋体" w:hAnsi="宋体" w:cs="宋体"/>
                <w:color w:val="auto"/>
                <w:sz w:val="21"/>
                <w:szCs w:val="21"/>
              </w:rPr>
              <w:t>院、养老院等土壤环境敏感目标的</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08" w:hRule="exact"/>
          <w:jc w:val="center"/>
        </w:trPr>
        <w:tc>
          <w:tcPr>
            <w:tcW w:w="852" w:type="pct"/>
            <w:tcBorders>
              <w:tl2br w:val="nil"/>
              <w:tr2bl w:val="nil"/>
            </w:tcBorders>
            <w:vAlign w:val="center"/>
          </w:tcPr>
          <w:p>
            <w:pPr>
              <w:pStyle w:val="42"/>
              <w:adjustRightInd/>
              <w:spacing w:line="240" w:lineRule="auto"/>
              <w:ind w:firstLine="0" w:firstLineChars="0"/>
              <w:jc w:val="center"/>
              <w:rPr>
                <w:rFonts w:ascii="宋体" w:hAnsi="宋体" w:cs="宋体"/>
                <w:color w:val="auto"/>
                <w:sz w:val="21"/>
                <w:szCs w:val="21"/>
              </w:rPr>
            </w:pPr>
            <w:r>
              <w:rPr>
                <w:rFonts w:ascii="宋体" w:hAnsi="宋体" w:cs="宋体"/>
                <w:color w:val="auto"/>
                <w:sz w:val="21"/>
                <w:szCs w:val="21"/>
              </w:rPr>
              <w:t>较敏感</w:t>
            </w:r>
          </w:p>
        </w:tc>
        <w:tc>
          <w:tcPr>
            <w:tcW w:w="4147" w:type="pct"/>
            <w:tcBorders>
              <w:tl2br w:val="nil"/>
              <w:tr2bl w:val="nil"/>
            </w:tcBorders>
            <w:vAlign w:val="center"/>
          </w:tcPr>
          <w:p>
            <w:pPr>
              <w:pStyle w:val="42"/>
              <w:adjustRightInd/>
              <w:spacing w:line="240" w:lineRule="auto"/>
              <w:ind w:firstLine="0" w:firstLineChars="0"/>
              <w:jc w:val="center"/>
              <w:rPr>
                <w:rFonts w:ascii="宋体" w:hAnsi="宋体" w:cs="宋体"/>
                <w:color w:val="auto"/>
                <w:sz w:val="21"/>
                <w:szCs w:val="21"/>
              </w:rPr>
            </w:pPr>
            <w:r>
              <w:rPr>
                <w:rFonts w:ascii="宋体" w:hAnsi="宋体" w:cs="宋体"/>
                <w:color w:val="auto"/>
                <w:sz w:val="21"/>
                <w:szCs w:val="21"/>
              </w:rPr>
              <w:t>建设项目周边存在其他土壤环境敏感目标的</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0" w:hRule="exact"/>
          <w:jc w:val="center"/>
        </w:trPr>
        <w:tc>
          <w:tcPr>
            <w:tcW w:w="852" w:type="pct"/>
            <w:tcBorders>
              <w:tl2br w:val="nil"/>
              <w:tr2bl w:val="nil"/>
            </w:tcBorders>
            <w:vAlign w:val="center"/>
          </w:tcPr>
          <w:p>
            <w:pPr>
              <w:pStyle w:val="42"/>
              <w:adjustRightInd/>
              <w:spacing w:line="240" w:lineRule="auto"/>
              <w:ind w:firstLine="0" w:firstLineChars="0"/>
              <w:jc w:val="center"/>
              <w:rPr>
                <w:rFonts w:ascii="宋体" w:hAnsi="宋体" w:cs="宋体"/>
                <w:color w:val="auto"/>
                <w:sz w:val="21"/>
                <w:szCs w:val="21"/>
              </w:rPr>
            </w:pPr>
            <w:r>
              <w:rPr>
                <w:rFonts w:ascii="宋体" w:hAnsi="宋体" w:cs="宋体"/>
                <w:color w:val="auto"/>
                <w:sz w:val="21"/>
                <w:szCs w:val="21"/>
              </w:rPr>
              <w:t>不敏感</w:t>
            </w:r>
          </w:p>
        </w:tc>
        <w:tc>
          <w:tcPr>
            <w:tcW w:w="4147" w:type="pct"/>
            <w:tcBorders>
              <w:tl2br w:val="nil"/>
              <w:tr2bl w:val="nil"/>
            </w:tcBorders>
            <w:vAlign w:val="center"/>
          </w:tcPr>
          <w:p>
            <w:pPr>
              <w:pStyle w:val="42"/>
              <w:adjustRightInd/>
              <w:spacing w:line="240" w:lineRule="auto"/>
              <w:ind w:firstLine="0" w:firstLineChars="0"/>
              <w:jc w:val="center"/>
              <w:rPr>
                <w:rFonts w:ascii="宋体" w:hAnsi="宋体" w:cs="宋体"/>
                <w:color w:val="auto"/>
                <w:sz w:val="21"/>
                <w:szCs w:val="21"/>
              </w:rPr>
            </w:pPr>
            <w:r>
              <w:rPr>
                <w:rFonts w:ascii="宋体" w:hAnsi="宋体" w:cs="宋体"/>
                <w:color w:val="auto"/>
                <w:sz w:val="21"/>
                <w:szCs w:val="21"/>
              </w:rPr>
              <w:t>其他情况</w:t>
            </w:r>
          </w:p>
        </w:tc>
      </w:tr>
    </w:tbl>
    <w:p>
      <w:pPr>
        <w:pStyle w:val="11"/>
        <w:spacing w:before="26" w:line="376" w:lineRule="auto"/>
        <w:ind w:left="248" w:firstLine="480"/>
        <w:jc w:val="left"/>
        <w:rPr>
          <w:color w:val="auto"/>
        </w:rPr>
      </w:pPr>
      <w:bookmarkStart w:id="567" w:name="_TOC_250025"/>
      <w:r>
        <w:rPr>
          <w:color w:val="auto"/>
        </w:rPr>
        <w:t xml:space="preserve">根据《环境影响评价技术导则 </w:t>
      </w:r>
      <w:r>
        <w:rPr>
          <w:color w:val="auto"/>
          <w:spacing w:val="-4"/>
        </w:rPr>
        <w:t>土壤环境（试行）》（</w:t>
      </w:r>
      <w:r>
        <w:rPr>
          <w:rFonts w:eastAsia="Times New Roman"/>
          <w:color w:val="auto"/>
          <w:spacing w:val="-4"/>
        </w:rPr>
        <w:t>HJ</w:t>
      </w:r>
      <w:r>
        <w:rPr>
          <w:rFonts w:eastAsia="Times New Roman"/>
          <w:color w:val="auto"/>
        </w:rPr>
        <w:t>964-2018</w:t>
      </w:r>
      <w:r>
        <w:rPr>
          <w:color w:val="auto"/>
        </w:rPr>
        <w:t>），本项目评价等级为三级，详见表</w:t>
      </w:r>
      <w:r>
        <w:rPr>
          <w:rFonts w:hint="eastAsia"/>
          <w:color w:val="auto"/>
        </w:rPr>
        <w:t>5.2-33</w:t>
      </w:r>
      <w:r>
        <w:rPr>
          <w:color w:val="auto"/>
        </w:rPr>
        <w:t>。</w:t>
      </w:r>
    </w:p>
    <w:p>
      <w:pPr>
        <w:pStyle w:val="11"/>
        <w:tabs>
          <w:tab w:val="left" w:pos="3543"/>
        </w:tabs>
        <w:spacing w:before="37" w:line="240" w:lineRule="auto"/>
        <w:ind w:firstLine="0" w:firstLineChars="0"/>
        <w:jc w:val="center"/>
        <w:rPr>
          <w:rFonts w:ascii="宋体" w:hAnsi="宋体" w:cs="宋体"/>
          <w:b/>
          <w:bCs/>
          <w:color w:val="auto"/>
          <w:sz w:val="3"/>
          <w:szCs w:val="3"/>
        </w:rPr>
      </w:pPr>
      <w:r>
        <w:rPr>
          <w:b/>
          <w:bCs/>
          <w:color w:val="auto"/>
        </w:rPr>
        <w:pict>
          <v:group id="_x0000_s1043" o:spid="_x0000_s1043" o:spt="203" style="position:absolute;left:0pt;margin-left:72.7pt;margin-top:21.85pt;height:60.75pt;width:127.85pt;mso-position-horizontal-relative:page;z-index:251660288;mso-width-relative:page;mso-height-relative:page;" coordorigin="1454,438" coordsize="2557,1215">
            <o:lock v:ext="edit"/>
            <v:group id="_x0000_s1044" o:spid="_x0000_s1044" o:spt="203" style="position:absolute;left:2760;top:445;height:1200;width:1244;" coordorigin="2760,445" coordsize="1244,1200">
              <o:lock v:ext="edit"/>
              <v:shape id="_x0000_s1045" o:spid="_x0000_s1045" style="position:absolute;left:2760;top:445;height:1200;width:1244;" filled="f" coordorigin="2760,445" coordsize="1244,1200" path="m4004,1645l2760,445e">
                <v:path arrowok="t"/>
                <v:fill on="f" focussize="0,0"/>
                <v:stroke/>
                <v:imagedata o:title=""/>
                <o:lock v:ext="edit"/>
              </v:shape>
            </v:group>
            <v:group id="_x0000_s1046" o:spid="_x0000_s1046" o:spt="203" style="position:absolute;left:1462;top:1121;height:524;width:2542;" coordorigin="1462,1121" coordsize="2542,524">
              <o:lock v:ext="edit"/>
              <v:shape id="_x0000_s1047" o:spid="_x0000_s1047" style="position:absolute;left:1462;top:1121;height:524;width:2542;" filled="f" coordorigin="1462,1121" coordsize="2542,524" path="m4004,1645l1462,1121e">
                <v:path arrowok="t"/>
                <v:fill on="f" focussize="0,0"/>
                <v:stroke/>
                <v:imagedata o:title=""/>
                <o:lock v:ext="edit"/>
              </v:shape>
            </v:group>
          </v:group>
        </w:pict>
      </w:r>
      <w:r>
        <w:rPr>
          <w:b/>
          <w:bCs/>
          <w:color w:val="auto"/>
        </w:rPr>
        <w:t>表</w:t>
      </w:r>
      <w:r>
        <w:rPr>
          <w:rFonts w:hint="eastAsia"/>
          <w:b/>
          <w:bCs/>
          <w:color w:val="auto"/>
        </w:rPr>
        <w:t xml:space="preserve">5.2-33    </w:t>
      </w:r>
      <w:r>
        <w:rPr>
          <w:b/>
          <w:bCs/>
          <w:color w:val="auto"/>
        </w:rPr>
        <w:t>污染影响型评价工作等级划分</w:t>
      </w:r>
    </w:p>
    <w:tbl>
      <w:tblPr>
        <w:tblStyle w:val="27"/>
        <w:tblW w:w="0" w:type="auto"/>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2518"/>
        <w:gridCol w:w="710"/>
        <w:gridCol w:w="708"/>
        <w:gridCol w:w="708"/>
        <w:gridCol w:w="708"/>
        <w:gridCol w:w="710"/>
        <w:gridCol w:w="708"/>
        <w:gridCol w:w="708"/>
        <w:gridCol w:w="710"/>
        <w:gridCol w:w="759"/>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82" w:hRule="exact"/>
          <w:jc w:val="center"/>
        </w:trPr>
        <w:tc>
          <w:tcPr>
            <w:tcW w:w="2518" w:type="dxa"/>
            <w:vMerge w:val="restart"/>
            <w:tcBorders>
              <w:tl2br w:val="nil"/>
              <w:tr2bl w:val="nil"/>
            </w:tcBorders>
          </w:tcPr>
          <w:p>
            <w:pPr>
              <w:pStyle w:val="42"/>
              <w:spacing w:before="74" w:line="240" w:lineRule="auto"/>
              <w:ind w:left="623" w:right="146" w:firstLine="0" w:firstLineChars="0"/>
              <w:jc w:val="center"/>
              <w:rPr>
                <w:rFonts w:ascii="宋体" w:hAnsi="宋体" w:cs="宋体"/>
                <w:color w:val="auto"/>
                <w:sz w:val="21"/>
                <w:szCs w:val="21"/>
              </w:rPr>
            </w:pPr>
            <w:r>
              <w:rPr>
                <w:rFonts w:ascii="宋体" w:hAnsi="宋体" w:cs="宋体"/>
                <w:color w:val="auto"/>
                <w:sz w:val="21"/>
                <w:szCs w:val="21"/>
              </w:rPr>
              <w:t>占地规模 评价工作等级</w:t>
            </w:r>
          </w:p>
          <w:p>
            <w:pPr>
              <w:pStyle w:val="42"/>
              <w:spacing w:before="29" w:line="240" w:lineRule="auto"/>
              <w:ind w:left="103" w:firstLine="0" w:firstLineChars="0"/>
              <w:jc w:val="center"/>
              <w:rPr>
                <w:rFonts w:ascii="宋体" w:hAnsi="宋体" w:cs="宋体"/>
                <w:color w:val="auto"/>
                <w:sz w:val="21"/>
                <w:szCs w:val="21"/>
              </w:rPr>
            </w:pPr>
            <w:r>
              <w:rPr>
                <w:rFonts w:ascii="宋体" w:hAnsi="宋体" w:cs="宋体"/>
                <w:color w:val="auto"/>
                <w:sz w:val="21"/>
                <w:szCs w:val="21"/>
              </w:rPr>
              <w:t>敏感程度</w:t>
            </w:r>
          </w:p>
        </w:tc>
        <w:tc>
          <w:tcPr>
            <w:tcW w:w="2126" w:type="dxa"/>
            <w:gridSpan w:val="3"/>
            <w:tcBorders>
              <w:tl2br w:val="nil"/>
              <w:tr2bl w:val="nil"/>
            </w:tcBorders>
          </w:tcPr>
          <w:p>
            <w:pPr>
              <w:pStyle w:val="42"/>
              <w:spacing w:before="13" w:line="240" w:lineRule="auto"/>
              <w:ind w:firstLine="0" w:firstLineChars="0"/>
              <w:jc w:val="center"/>
              <w:rPr>
                <w:rFonts w:ascii="宋体" w:hAnsi="宋体" w:cs="宋体"/>
                <w:color w:val="auto"/>
                <w:sz w:val="19"/>
                <w:szCs w:val="19"/>
              </w:rPr>
            </w:pPr>
          </w:p>
          <w:p>
            <w:pPr>
              <w:pStyle w:val="42"/>
              <w:spacing w:line="240" w:lineRule="auto"/>
              <w:ind w:firstLine="0" w:firstLineChars="0"/>
              <w:jc w:val="center"/>
              <w:rPr>
                <w:rFonts w:ascii="宋体" w:hAnsi="宋体" w:cs="宋体"/>
                <w:color w:val="auto"/>
                <w:sz w:val="21"/>
                <w:szCs w:val="21"/>
              </w:rPr>
            </w:pPr>
            <w:r>
              <w:rPr>
                <w:rFonts w:ascii="宋体" w:hAnsi="宋体" w:cs="宋体"/>
                <w:color w:val="auto"/>
                <w:sz w:val="21"/>
                <w:szCs w:val="21"/>
              </w:rPr>
              <w:t>Ⅰ类</w:t>
            </w:r>
          </w:p>
        </w:tc>
        <w:tc>
          <w:tcPr>
            <w:tcW w:w="2126" w:type="dxa"/>
            <w:gridSpan w:val="3"/>
            <w:tcBorders>
              <w:tl2br w:val="nil"/>
              <w:tr2bl w:val="nil"/>
            </w:tcBorders>
          </w:tcPr>
          <w:p>
            <w:pPr>
              <w:pStyle w:val="42"/>
              <w:spacing w:before="13" w:line="240" w:lineRule="auto"/>
              <w:ind w:firstLine="0" w:firstLineChars="0"/>
              <w:jc w:val="center"/>
              <w:rPr>
                <w:rFonts w:ascii="宋体" w:hAnsi="宋体" w:cs="宋体"/>
                <w:color w:val="auto"/>
                <w:sz w:val="19"/>
                <w:szCs w:val="19"/>
              </w:rPr>
            </w:pPr>
          </w:p>
          <w:p>
            <w:pPr>
              <w:pStyle w:val="42"/>
              <w:spacing w:line="240" w:lineRule="auto"/>
              <w:ind w:firstLine="0" w:firstLineChars="0"/>
              <w:jc w:val="center"/>
              <w:rPr>
                <w:rFonts w:ascii="宋体" w:hAnsi="宋体" w:cs="宋体"/>
                <w:color w:val="auto"/>
                <w:sz w:val="21"/>
                <w:szCs w:val="21"/>
              </w:rPr>
            </w:pPr>
            <w:r>
              <w:rPr>
                <w:rFonts w:ascii="宋体" w:hAnsi="宋体" w:cs="宋体"/>
                <w:color w:val="auto"/>
                <w:sz w:val="21"/>
                <w:szCs w:val="21"/>
              </w:rPr>
              <w:t>Ⅱ类</w:t>
            </w:r>
          </w:p>
        </w:tc>
        <w:tc>
          <w:tcPr>
            <w:tcW w:w="2177" w:type="dxa"/>
            <w:gridSpan w:val="3"/>
            <w:tcBorders>
              <w:tl2br w:val="nil"/>
              <w:tr2bl w:val="nil"/>
            </w:tcBorders>
          </w:tcPr>
          <w:p>
            <w:pPr>
              <w:pStyle w:val="42"/>
              <w:spacing w:before="13" w:line="240" w:lineRule="auto"/>
              <w:ind w:firstLine="0" w:firstLineChars="0"/>
              <w:jc w:val="center"/>
              <w:rPr>
                <w:rFonts w:ascii="宋体" w:hAnsi="宋体" w:cs="宋体"/>
                <w:color w:val="auto"/>
                <w:sz w:val="19"/>
                <w:szCs w:val="19"/>
              </w:rPr>
            </w:pPr>
          </w:p>
          <w:p>
            <w:pPr>
              <w:pStyle w:val="42"/>
              <w:spacing w:line="240" w:lineRule="auto"/>
              <w:ind w:firstLine="0" w:firstLineChars="0"/>
              <w:jc w:val="center"/>
              <w:rPr>
                <w:rFonts w:ascii="宋体" w:hAnsi="宋体" w:cs="宋体"/>
                <w:color w:val="auto"/>
                <w:sz w:val="21"/>
                <w:szCs w:val="21"/>
              </w:rPr>
            </w:pPr>
            <w:r>
              <w:rPr>
                <w:rFonts w:ascii="宋体" w:hAnsi="宋体" w:cs="宋体"/>
                <w:color w:val="auto"/>
                <w:sz w:val="21"/>
                <w:szCs w:val="21"/>
              </w:rPr>
              <w:t>Ⅲ类</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27" w:hRule="exact"/>
          <w:jc w:val="center"/>
        </w:trPr>
        <w:tc>
          <w:tcPr>
            <w:tcW w:w="2518" w:type="dxa"/>
            <w:vMerge w:val="continue"/>
            <w:tcBorders>
              <w:tl2br w:val="nil"/>
              <w:tr2bl w:val="nil"/>
            </w:tcBorders>
          </w:tcPr>
          <w:p>
            <w:pPr>
              <w:spacing w:line="240" w:lineRule="auto"/>
              <w:ind w:firstLine="0" w:firstLineChars="0"/>
              <w:jc w:val="center"/>
              <w:rPr>
                <w:color w:val="auto"/>
              </w:rPr>
            </w:pPr>
          </w:p>
        </w:tc>
        <w:tc>
          <w:tcPr>
            <w:tcW w:w="710" w:type="dxa"/>
            <w:tcBorders>
              <w:tl2br w:val="nil"/>
              <w:tr2bl w:val="nil"/>
            </w:tcBorders>
          </w:tcPr>
          <w:p>
            <w:pPr>
              <w:pStyle w:val="42"/>
              <w:spacing w:before="83" w:line="240" w:lineRule="auto"/>
              <w:ind w:right="2" w:firstLine="0" w:firstLineChars="0"/>
              <w:jc w:val="center"/>
              <w:rPr>
                <w:rFonts w:ascii="宋体" w:hAnsi="宋体" w:cs="宋体"/>
                <w:color w:val="auto"/>
                <w:sz w:val="21"/>
                <w:szCs w:val="21"/>
              </w:rPr>
            </w:pPr>
            <w:r>
              <w:rPr>
                <w:rFonts w:ascii="宋体" w:hAnsi="宋体" w:cs="宋体"/>
                <w:color w:val="auto"/>
                <w:sz w:val="21"/>
                <w:szCs w:val="21"/>
              </w:rPr>
              <w:t>大</w:t>
            </w:r>
          </w:p>
        </w:tc>
        <w:tc>
          <w:tcPr>
            <w:tcW w:w="708" w:type="dxa"/>
            <w:tcBorders>
              <w:tl2br w:val="nil"/>
              <w:tr2bl w:val="nil"/>
            </w:tcBorders>
          </w:tcPr>
          <w:p>
            <w:pPr>
              <w:pStyle w:val="42"/>
              <w:spacing w:before="83" w:line="240" w:lineRule="auto"/>
              <w:ind w:right="5" w:firstLine="0" w:firstLineChars="0"/>
              <w:jc w:val="center"/>
              <w:rPr>
                <w:rFonts w:ascii="宋体" w:hAnsi="宋体" w:cs="宋体"/>
                <w:color w:val="auto"/>
                <w:sz w:val="21"/>
                <w:szCs w:val="21"/>
              </w:rPr>
            </w:pPr>
            <w:r>
              <w:rPr>
                <w:rFonts w:ascii="宋体" w:hAnsi="宋体" w:cs="宋体"/>
                <w:color w:val="auto"/>
                <w:sz w:val="21"/>
                <w:szCs w:val="21"/>
              </w:rPr>
              <w:t>中</w:t>
            </w:r>
          </w:p>
        </w:tc>
        <w:tc>
          <w:tcPr>
            <w:tcW w:w="708" w:type="dxa"/>
            <w:tcBorders>
              <w:tl2br w:val="nil"/>
              <w:tr2bl w:val="nil"/>
            </w:tcBorders>
          </w:tcPr>
          <w:p>
            <w:pPr>
              <w:pStyle w:val="42"/>
              <w:spacing w:before="83" w:line="240" w:lineRule="auto"/>
              <w:ind w:firstLine="0" w:firstLineChars="0"/>
              <w:jc w:val="center"/>
              <w:rPr>
                <w:rFonts w:ascii="宋体" w:hAnsi="宋体" w:cs="宋体"/>
                <w:color w:val="auto"/>
                <w:sz w:val="21"/>
                <w:szCs w:val="21"/>
              </w:rPr>
            </w:pPr>
            <w:r>
              <w:rPr>
                <w:rFonts w:ascii="宋体" w:hAnsi="宋体" w:cs="宋体"/>
                <w:color w:val="auto"/>
                <w:sz w:val="21"/>
                <w:szCs w:val="21"/>
              </w:rPr>
              <w:t>小</w:t>
            </w:r>
          </w:p>
        </w:tc>
        <w:tc>
          <w:tcPr>
            <w:tcW w:w="708" w:type="dxa"/>
            <w:tcBorders>
              <w:tl2br w:val="nil"/>
              <w:tr2bl w:val="nil"/>
            </w:tcBorders>
          </w:tcPr>
          <w:p>
            <w:pPr>
              <w:pStyle w:val="42"/>
              <w:spacing w:before="83" w:line="240" w:lineRule="auto"/>
              <w:ind w:firstLine="0" w:firstLineChars="0"/>
              <w:jc w:val="center"/>
              <w:rPr>
                <w:rFonts w:ascii="宋体" w:hAnsi="宋体" w:cs="宋体"/>
                <w:color w:val="auto"/>
                <w:sz w:val="21"/>
                <w:szCs w:val="21"/>
              </w:rPr>
            </w:pPr>
            <w:r>
              <w:rPr>
                <w:rFonts w:ascii="宋体" w:hAnsi="宋体" w:cs="宋体"/>
                <w:color w:val="auto"/>
                <w:sz w:val="21"/>
                <w:szCs w:val="21"/>
              </w:rPr>
              <w:t>大</w:t>
            </w:r>
          </w:p>
        </w:tc>
        <w:tc>
          <w:tcPr>
            <w:tcW w:w="710" w:type="dxa"/>
            <w:tcBorders>
              <w:tl2br w:val="nil"/>
              <w:tr2bl w:val="nil"/>
            </w:tcBorders>
          </w:tcPr>
          <w:p>
            <w:pPr>
              <w:pStyle w:val="42"/>
              <w:spacing w:before="83" w:line="240" w:lineRule="auto"/>
              <w:ind w:right="4" w:firstLine="0" w:firstLineChars="0"/>
              <w:jc w:val="center"/>
              <w:rPr>
                <w:rFonts w:ascii="宋体" w:hAnsi="宋体" w:cs="宋体"/>
                <w:color w:val="auto"/>
                <w:sz w:val="21"/>
                <w:szCs w:val="21"/>
              </w:rPr>
            </w:pPr>
            <w:r>
              <w:rPr>
                <w:rFonts w:ascii="宋体" w:hAnsi="宋体" w:cs="宋体"/>
                <w:color w:val="auto"/>
                <w:sz w:val="21"/>
                <w:szCs w:val="21"/>
              </w:rPr>
              <w:t>中</w:t>
            </w:r>
          </w:p>
        </w:tc>
        <w:tc>
          <w:tcPr>
            <w:tcW w:w="708" w:type="dxa"/>
            <w:tcBorders>
              <w:tl2br w:val="nil"/>
              <w:tr2bl w:val="nil"/>
            </w:tcBorders>
          </w:tcPr>
          <w:p>
            <w:pPr>
              <w:pStyle w:val="42"/>
              <w:spacing w:before="83" w:line="240" w:lineRule="auto"/>
              <w:ind w:right="5" w:firstLine="0" w:firstLineChars="0"/>
              <w:jc w:val="center"/>
              <w:rPr>
                <w:rFonts w:ascii="宋体" w:hAnsi="宋体" w:cs="宋体"/>
                <w:color w:val="auto"/>
                <w:sz w:val="21"/>
                <w:szCs w:val="21"/>
              </w:rPr>
            </w:pPr>
            <w:r>
              <w:rPr>
                <w:rFonts w:ascii="宋体" w:hAnsi="宋体" w:cs="宋体"/>
                <w:color w:val="auto"/>
                <w:sz w:val="21"/>
                <w:szCs w:val="21"/>
              </w:rPr>
              <w:t>小</w:t>
            </w:r>
          </w:p>
        </w:tc>
        <w:tc>
          <w:tcPr>
            <w:tcW w:w="708" w:type="dxa"/>
            <w:tcBorders>
              <w:tl2br w:val="nil"/>
              <w:tr2bl w:val="nil"/>
            </w:tcBorders>
          </w:tcPr>
          <w:p>
            <w:pPr>
              <w:pStyle w:val="42"/>
              <w:spacing w:before="83" w:line="240" w:lineRule="auto"/>
              <w:ind w:firstLine="0" w:firstLineChars="0"/>
              <w:jc w:val="center"/>
              <w:rPr>
                <w:rFonts w:ascii="宋体" w:hAnsi="宋体" w:cs="宋体"/>
                <w:color w:val="auto"/>
                <w:sz w:val="21"/>
                <w:szCs w:val="21"/>
              </w:rPr>
            </w:pPr>
            <w:r>
              <w:rPr>
                <w:rFonts w:ascii="宋体" w:hAnsi="宋体" w:cs="宋体"/>
                <w:color w:val="auto"/>
                <w:sz w:val="21"/>
                <w:szCs w:val="21"/>
              </w:rPr>
              <w:t>大</w:t>
            </w:r>
          </w:p>
        </w:tc>
        <w:tc>
          <w:tcPr>
            <w:tcW w:w="710" w:type="dxa"/>
            <w:tcBorders>
              <w:tl2br w:val="nil"/>
              <w:tr2bl w:val="nil"/>
            </w:tcBorders>
          </w:tcPr>
          <w:p>
            <w:pPr>
              <w:pStyle w:val="42"/>
              <w:spacing w:before="83" w:line="240" w:lineRule="auto"/>
              <w:ind w:right="3" w:firstLine="0" w:firstLineChars="0"/>
              <w:jc w:val="center"/>
              <w:rPr>
                <w:rFonts w:ascii="宋体" w:hAnsi="宋体" w:cs="宋体"/>
                <w:color w:val="auto"/>
                <w:sz w:val="21"/>
                <w:szCs w:val="21"/>
              </w:rPr>
            </w:pPr>
            <w:r>
              <w:rPr>
                <w:rFonts w:ascii="宋体" w:hAnsi="宋体" w:cs="宋体"/>
                <w:color w:val="auto"/>
                <w:sz w:val="21"/>
                <w:szCs w:val="21"/>
              </w:rPr>
              <w:t>中</w:t>
            </w:r>
          </w:p>
        </w:tc>
        <w:tc>
          <w:tcPr>
            <w:tcW w:w="758" w:type="dxa"/>
            <w:tcBorders>
              <w:tl2br w:val="nil"/>
              <w:tr2bl w:val="nil"/>
            </w:tcBorders>
          </w:tcPr>
          <w:p>
            <w:pPr>
              <w:pStyle w:val="42"/>
              <w:spacing w:before="83" w:line="240" w:lineRule="auto"/>
              <w:ind w:right="3" w:firstLine="0" w:firstLineChars="0"/>
              <w:jc w:val="center"/>
              <w:rPr>
                <w:rFonts w:ascii="宋体" w:hAnsi="宋体" w:cs="宋体"/>
                <w:color w:val="auto"/>
                <w:sz w:val="21"/>
                <w:szCs w:val="21"/>
              </w:rPr>
            </w:pPr>
            <w:r>
              <w:rPr>
                <w:rFonts w:ascii="宋体" w:hAnsi="宋体" w:cs="宋体"/>
                <w:color w:val="auto"/>
                <w:sz w:val="21"/>
                <w:szCs w:val="21"/>
              </w:rPr>
              <w:t>小</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0" w:hRule="exact"/>
          <w:jc w:val="center"/>
        </w:trPr>
        <w:tc>
          <w:tcPr>
            <w:tcW w:w="2518" w:type="dxa"/>
            <w:tcBorders>
              <w:tl2br w:val="nil"/>
              <w:tr2bl w:val="nil"/>
            </w:tcBorders>
          </w:tcPr>
          <w:p>
            <w:pPr>
              <w:pStyle w:val="42"/>
              <w:spacing w:before="76" w:line="240" w:lineRule="auto"/>
              <w:ind w:left="2" w:firstLine="0" w:firstLineChars="0"/>
              <w:jc w:val="center"/>
              <w:rPr>
                <w:rFonts w:ascii="宋体" w:hAnsi="宋体" w:cs="宋体"/>
                <w:color w:val="auto"/>
                <w:sz w:val="21"/>
                <w:szCs w:val="21"/>
              </w:rPr>
            </w:pPr>
            <w:r>
              <w:rPr>
                <w:rFonts w:ascii="宋体" w:hAnsi="宋体" w:cs="宋体"/>
                <w:color w:val="auto"/>
                <w:sz w:val="21"/>
                <w:szCs w:val="21"/>
              </w:rPr>
              <w:t>敏感</w:t>
            </w:r>
          </w:p>
        </w:tc>
        <w:tc>
          <w:tcPr>
            <w:tcW w:w="710" w:type="dxa"/>
            <w:tcBorders>
              <w:tl2br w:val="nil"/>
              <w:tr2bl w:val="nil"/>
            </w:tcBorders>
          </w:tcPr>
          <w:p>
            <w:pPr>
              <w:pStyle w:val="42"/>
              <w:spacing w:before="76" w:line="240" w:lineRule="auto"/>
              <w:ind w:left="139" w:firstLine="0" w:firstLineChars="0"/>
              <w:jc w:val="center"/>
              <w:rPr>
                <w:rFonts w:ascii="宋体" w:hAnsi="宋体" w:cs="宋体"/>
                <w:color w:val="auto"/>
                <w:sz w:val="21"/>
                <w:szCs w:val="21"/>
              </w:rPr>
            </w:pPr>
            <w:r>
              <w:rPr>
                <w:rFonts w:ascii="宋体" w:hAnsi="宋体" w:cs="宋体"/>
                <w:color w:val="auto"/>
                <w:sz w:val="21"/>
                <w:szCs w:val="21"/>
              </w:rPr>
              <w:t>一级</w:t>
            </w:r>
          </w:p>
        </w:tc>
        <w:tc>
          <w:tcPr>
            <w:tcW w:w="708" w:type="dxa"/>
            <w:tcBorders>
              <w:tl2br w:val="nil"/>
              <w:tr2bl w:val="nil"/>
            </w:tcBorders>
          </w:tcPr>
          <w:p>
            <w:pPr>
              <w:pStyle w:val="42"/>
              <w:spacing w:before="76" w:line="240" w:lineRule="auto"/>
              <w:ind w:left="137" w:firstLine="0" w:firstLineChars="0"/>
              <w:jc w:val="center"/>
              <w:rPr>
                <w:rFonts w:ascii="宋体" w:hAnsi="宋体" w:cs="宋体"/>
                <w:color w:val="auto"/>
                <w:sz w:val="21"/>
                <w:szCs w:val="21"/>
              </w:rPr>
            </w:pPr>
            <w:r>
              <w:rPr>
                <w:rFonts w:ascii="宋体" w:hAnsi="宋体" w:cs="宋体"/>
                <w:color w:val="auto"/>
                <w:sz w:val="21"/>
                <w:szCs w:val="21"/>
              </w:rPr>
              <w:t>一级</w:t>
            </w:r>
          </w:p>
        </w:tc>
        <w:tc>
          <w:tcPr>
            <w:tcW w:w="708" w:type="dxa"/>
            <w:tcBorders>
              <w:tl2br w:val="nil"/>
              <w:tr2bl w:val="nil"/>
            </w:tcBorders>
          </w:tcPr>
          <w:p>
            <w:pPr>
              <w:pStyle w:val="42"/>
              <w:spacing w:before="76" w:line="240" w:lineRule="auto"/>
              <w:ind w:left="139" w:firstLine="0" w:firstLineChars="0"/>
              <w:jc w:val="center"/>
              <w:rPr>
                <w:rFonts w:ascii="宋体" w:hAnsi="宋体" w:cs="宋体"/>
                <w:color w:val="auto"/>
                <w:sz w:val="21"/>
                <w:szCs w:val="21"/>
              </w:rPr>
            </w:pPr>
            <w:r>
              <w:rPr>
                <w:rFonts w:ascii="宋体" w:hAnsi="宋体" w:cs="宋体"/>
                <w:color w:val="auto"/>
                <w:sz w:val="21"/>
                <w:szCs w:val="21"/>
              </w:rPr>
              <w:t>一级</w:t>
            </w:r>
          </w:p>
        </w:tc>
        <w:tc>
          <w:tcPr>
            <w:tcW w:w="708" w:type="dxa"/>
            <w:tcBorders>
              <w:tl2br w:val="nil"/>
              <w:tr2bl w:val="nil"/>
            </w:tcBorders>
          </w:tcPr>
          <w:p>
            <w:pPr>
              <w:pStyle w:val="42"/>
              <w:spacing w:before="76" w:line="240" w:lineRule="auto"/>
              <w:ind w:left="139" w:firstLine="0" w:firstLineChars="0"/>
              <w:jc w:val="center"/>
              <w:rPr>
                <w:rFonts w:ascii="宋体" w:hAnsi="宋体" w:cs="宋体"/>
                <w:color w:val="auto"/>
                <w:sz w:val="21"/>
                <w:szCs w:val="21"/>
              </w:rPr>
            </w:pPr>
            <w:r>
              <w:rPr>
                <w:rFonts w:ascii="宋体" w:hAnsi="宋体" w:cs="宋体"/>
                <w:color w:val="auto"/>
                <w:sz w:val="21"/>
                <w:szCs w:val="21"/>
              </w:rPr>
              <w:t>二级</w:t>
            </w:r>
          </w:p>
        </w:tc>
        <w:tc>
          <w:tcPr>
            <w:tcW w:w="710" w:type="dxa"/>
            <w:tcBorders>
              <w:tl2br w:val="nil"/>
              <w:tr2bl w:val="nil"/>
            </w:tcBorders>
          </w:tcPr>
          <w:p>
            <w:pPr>
              <w:pStyle w:val="42"/>
              <w:spacing w:before="76" w:line="240" w:lineRule="auto"/>
              <w:ind w:left="139" w:firstLine="0" w:firstLineChars="0"/>
              <w:jc w:val="center"/>
              <w:rPr>
                <w:rFonts w:ascii="宋体" w:hAnsi="宋体" w:cs="宋体"/>
                <w:color w:val="auto"/>
                <w:sz w:val="21"/>
                <w:szCs w:val="21"/>
              </w:rPr>
            </w:pPr>
            <w:r>
              <w:rPr>
                <w:rFonts w:ascii="宋体" w:hAnsi="宋体" w:cs="宋体"/>
                <w:color w:val="auto"/>
                <w:sz w:val="21"/>
                <w:szCs w:val="21"/>
              </w:rPr>
              <w:t>二级</w:t>
            </w:r>
          </w:p>
        </w:tc>
        <w:tc>
          <w:tcPr>
            <w:tcW w:w="708" w:type="dxa"/>
            <w:tcBorders>
              <w:tl2br w:val="nil"/>
              <w:tr2bl w:val="nil"/>
            </w:tcBorders>
          </w:tcPr>
          <w:p>
            <w:pPr>
              <w:pStyle w:val="42"/>
              <w:spacing w:before="76" w:line="240" w:lineRule="auto"/>
              <w:ind w:left="137" w:firstLine="0" w:firstLineChars="0"/>
              <w:jc w:val="center"/>
              <w:rPr>
                <w:rFonts w:ascii="宋体" w:hAnsi="宋体" w:cs="宋体"/>
                <w:color w:val="auto"/>
                <w:sz w:val="21"/>
                <w:szCs w:val="21"/>
              </w:rPr>
            </w:pPr>
            <w:r>
              <w:rPr>
                <w:rFonts w:ascii="宋体" w:hAnsi="宋体" w:cs="宋体"/>
                <w:color w:val="auto"/>
                <w:sz w:val="21"/>
                <w:szCs w:val="21"/>
              </w:rPr>
              <w:t>二级</w:t>
            </w:r>
          </w:p>
        </w:tc>
        <w:tc>
          <w:tcPr>
            <w:tcW w:w="708" w:type="dxa"/>
            <w:tcBorders>
              <w:tl2br w:val="nil"/>
              <w:tr2bl w:val="nil"/>
            </w:tcBorders>
          </w:tcPr>
          <w:p>
            <w:pPr>
              <w:pStyle w:val="42"/>
              <w:spacing w:before="76" w:line="240" w:lineRule="auto"/>
              <w:ind w:left="140" w:firstLine="0" w:firstLineChars="0"/>
              <w:jc w:val="center"/>
              <w:rPr>
                <w:rFonts w:ascii="宋体" w:hAnsi="宋体" w:cs="宋体"/>
                <w:color w:val="auto"/>
                <w:sz w:val="21"/>
                <w:szCs w:val="21"/>
              </w:rPr>
            </w:pPr>
            <w:r>
              <w:rPr>
                <w:rFonts w:ascii="宋体" w:hAnsi="宋体" w:cs="宋体"/>
                <w:color w:val="auto"/>
                <w:sz w:val="21"/>
                <w:szCs w:val="21"/>
              </w:rPr>
              <w:t>三级</w:t>
            </w:r>
          </w:p>
        </w:tc>
        <w:tc>
          <w:tcPr>
            <w:tcW w:w="710" w:type="dxa"/>
            <w:tcBorders>
              <w:tl2br w:val="nil"/>
              <w:tr2bl w:val="nil"/>
            </w:tcBorders>
          </w:tcPr>
          <w:p>
            <w:pPr>
              <w:pStyle w:val="42"/>
              <w:spacing w:before="76" w:line="240" w:lineRule="auto"/>
              <w:ind w:left="140" w:firstLine="0" w:firstLineChars="0"/>
              <w:jc w:val="center"/>
              <w:rPr>
                <w:rFonts w:ascii="宋体" w:hAnsi="宋体" w:cs="宋体"/>
                <w:color w:val="auto"/>
                <w:sz w:val="21"/>
                <w:szCs w:val="21"/>
              </w:rPr>
            </w:pPr>
            <w:r>
              <w:rPr>
                <w:rFonts w:ascii="宋体" w:hAnsi="宋体" w:cs="宋体"/>
                <w:color w:val="auto"/>
                <w:sz w:val="21"/>
                <w:szCs w:val="21"/>
              </w:rPr>
              <w:t>三级</w:t>
            </w:r>
          </w:p>
        </w:tc>
        <w:tc>
          <w:tcPr>
            <w:tcW w:w="758" w:type="dxa"/>
            <w:tcBorders>
              <w:tl2br w:val="nil"/>
              <w:tr2bl w:val="nil"/>
            </w:tcBorders>
          </w:tcPr>
          <w:p>
            <w:pPr>
              <w:pStyle w:val="42"/>
              <w:spacing w:before="76" w:line="240" w:lineRule="auto"/>
              <w:ind w:left="161" w:firstLine="0" w:firstLineChars="0"/>
              <w:jc w:val="center"/>
              <w:rPr>
                <w:rFonts w:ascii="宋体" w:hAnsi="宋体" w:cs="宋体"/>
                <w:color w:val="auto"/>
                <w:sz w:val="21"/>
                <w:szCs w:val="21"/>
              </w:rPr>
            </w:pPr>
            <w:r>
              <w:rPr>
                <w:rFonts w:ascii="宋体" w:hAnsi="宋体" w:cs="宋体"/>
                <w:color w:val="auto"/>
                <w:sz w:val="21"/>
                <w:szCs w:val="21"/>
              </w:rPr>
              <w:t>三级</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0" w:hRule="exact"/>
          <w:jc w:val="center"/>
        </w:trPr>
        <w:tc>
          <w:tcPr>
            <w:tcW w:w="2518" w:type="dxa"/>
            <w:tcBorders>
              <w:tl2br w:val="nil"/>
              <w:tr2bl w:val="nil"/>
            </w:tcBorders>
          </w:tcPr>
          <w:p>
            <w:pPr>
              <w:pStyle w:val="42"/>
              <w:spacing w:before="74" w:line="240" w:lineRule="auto"/>
              <w:ind w:left="2" w:firstLine="0" w:firstLineChars="0"/>
              <w:jc w:val="center"/>
              <w:rPr>
                <w:rFonts w:ascii="宋体" w:hAnsi="宋体" w:cs="宋体"/>
                <w:color w:val="auto"/>
                <w:sz w:val="21"/>
                <w:szCs w:val="21"/>
              </w:rPr>
            </w:pPr>
            <w:r>
              <w:rPr>
                <w:rFonts w:ascii="宋体" w:hAnsi="宋体" w:cs="宋体"/>
                <w:color w:val="auto"/>
                <w:sz w:val="21"/>
                <w:szCs w:val="21"/>
              </w:rPr>
              <w:t>较敏感</w:t>
            </w:r>
          </w:p>
        </w:tc>
        <w:tc>
          <w:tcPr>
            <w:tcW w:w="710" w:type="dxa"/>
            <w:tcBorders>
              <w:tl2br w:val="nil"/>
              <w:tr2bl w:val="nil"/>
            </w:tcBorders>
          </w:tcPr>
          <w:p>
            <w:pPr>
              <w:pStyle w:val="42"/>
              <w:spacing w:before="74" w:line="240" w:lineRule="auto"/>
              <w:ind w:left="139" w:firstLine="0" w:firstLineChars="0"/>
              <w:jc w:val="center"/>
              <w:rPr>
                <w:rFonts w:ascii="宋体" w:hAnsi="宋体" w:cs="宋体"/>
                <w:color w:val="auto"/>
                <w:sz w:val="21"/>
                <w:szCs w:val="21"/>
              </w:rPr>
            </w:pPr>
            <w:r>
              <w:rPr>
                <w:rFonts w:ascii="宋体" w:hAnsi="宋体" w:cs="宋体"/>
                <w:color w:val="auto"/>
                <w:sz w:val="21"/>
                <w:szCs w:val="21"/>
              </w:rPr>
              <w:t>一级</w:t>
            </w:r>
          </w:p>
        </w:tc>
        <w:tc>
          <w:tcPr>
            <w:tcW w:w="708" w:type="dxa"/>
            <w:tcBorders>
              <w:tl2br w:val="nil"/>
              <w:tr2bl w:val="nil"/>
            </w:tcBorders>
          </w:tcPr>
          <w:p>
            <w:pPr>
              <w:pStyle w:val="42"/>
              <w:spacing w:before="74" w:line="240" w:lineRule="auto"/>
              <w:ind w:left="137" w:firstLine="0" w:firstLineChars="0"/>
              <w:jc w:val="center"/>
              <w:rPr>
                <w:rFonts w:ascii="宋体" w:hAnsi="宋体" w:cs="宋体"/>
                <w:color w:val="auto"/>
                <w:sz w:val="21"/>
                <w:szCs w:val="21"/>
              </w:rPr>
            </w:pPr>
            <w:r>
              <w:rPr>
                <w:rFonts w:ascii="宋体" w:hAnsi="宋体" w:cs="宋体"/>
                <w:color w:val="auto"/>
                <w:sz w:val="21"/>
                <w:szCs w:val="21"/>
              </w:rPr>
              <w:t>一级</w:t>
            </w:r>
          </w:p>
        </w:tc>
        <w:tc>
          <w:tcPr>
            <w:tcW w:w="708" w:type="dxa"/>
            <w:tcBorders>
              <w:tl2br w:val="nil"/>
              <w:tr2bl w:val="nil"/>
            </w:tcBorders>
          </w:tcPr>
          <w:p>
            <w:pPr>
              <w:pStyle w:val="42"/>
              <w:spacing w:before="74" w:line="240" w:lineRule="auto"/>
              <w:ind w:left="139" w:firstLine="0" w:firstLineChars="0"/>
              <w:jc w:val="center"/>
              <w:rPr>
                <w:rFonts w:ascii="宋体" w:hAnsi="宋体" w:cs="宋体"/>
                <w:color w:val="auto"/>
                <w:sz w:val="21"/>
                <w:szCs w:val="21"/>
              </w:rPr>
            </w:pPr>
            <w:r>
              <w:rPr>
                <w:rFonts w:ascii="宋体" w:hAnsi="宋体" w:cs="宋体"/>
                <w:color w:val="auto"/>
                <w:sz w:val="21"/>
                <w:szCs w:val="21"/>
              </w:rPr>
              <w:t>二级</w:t>
            </w:r>
          </w:p>
        </w:tc>
        <w:tc>
          <w:tcPr>
            <w:tcW w:w="708" w:type="dxa"/>
            <w:tcBorders>
              <w:tl2br w:val="nil"/>
              <w:tr2bl w:val="nil"/>
            </w:tcBorders>
          </w:tcPr>
          <w:p>
            <w:pPr>
              <w:pStyle w:val="42"/>
              <w:spacing w:before="74" w:line="240" w:lineRule="auto"/>
              <w:ind w:left="139" w:firstLine="0" w:firstLineChars="0"/>
              <w:jc w:val="center"/>
              <w:rPr>
                <w:rFonts w:ascii="宋体" w:hAnsi="宋体" w:cs="宋体"/>
                <w:color w:val="auto"/>
                <w:sz w:val="21"/>
                <w:szCs w:val="21"/>
              </w:rPr>
            </w:pPr>
            <w:r>
              <w:rPr>
                <w:rFonts w:ascii="宋体" w:hAnsi="宋体" w:cs="宋体"/>
                <w:color w:val="auto"/>
                <w:sz w:val="21"/>
                <w:szCs w:val="21"/>
              </w:rPr>
              <w:t>二级</w:t>
            </w:r>
          </w:p>
        </w:tc>
        <w:tc>
          <w:tcPr>
            <w:tcW w:w="710" w:type="dxa"/>
            <w:tcBorders>
              <w:tl2br w:val="nil"/>
              <w:tr2bl w:val="nil"/>
            </w:tcBorders>
          </w:tcPr>
          <w:p>
            <w:pPr>
              <w:pStyle w:val="42"/>
              <w:spacing w:before="74" w:line="240" w:lineRule="auto"/>
              <w:ind w:left="139" w:firstLine="0" w:firstLineChars="0"/>
              <w:jc w:val="center"/>
              <w:rPr>
                <w:rFonts w:ascii="宋体" w:hAnsi="宋体" w:cs="宋体"/>
                <w:color w:val="auto"/>
                <w:sz w:val="21"/>
                <w:szCs w:val="21"/>
              </w:rPr>
            </w:pPr>
            <w:r>
              <w:rPr>
                <w:rFonts w:ascii="宋体" w:hAnsi="宋体" w:cs="宋体"/>
                <w:color w:val="auto"/>
                <w:sz w:val="21"/>
                <w:szCs w:val="21"/>
              </w:rPr>
              <w:t>二级</w:t>
            </w:r>
          </w:p>
        </w:tc>
        <w:tc>
          <w:tcPr>
            <w:tcW w:w="708" w:type="dxa"/>
            <w:tcBorders>
              <w:tl2br w:val="nil"/>
              <w:tr2bl w:val="nil"/>
            </w:tcBorders>
          </w:tcPr>
          <w:p>
            <w:pPr>
              <w:pStyle w:val="42"/>
              <w:spacing w:before="74" w:line="240" w:lineRule="auto"/>
              <w:ind w:left="137" w:firstLine="0" w:firstLineChars="0"/>
              <w:jc w:val="center"/>
              <w:rPr>
                <w:rFonts w:ascii="宋体" w:hAnsi="宋体" w:cs="宋体"/>
                <w:color w:val="auto"/>
                <w:sz w:val="21"/>
                <w:szCs w:val="21"/>
              </w:rPr>
            </w:pPr>
            <w:r>
              <w:rPr>
                <w:rFonts w:ascii="宋体" w:hAnsi="宋体" w:cs="宋体"/>
                <w:color w:val="auto"/>
                <w:sz w:val="21"/>
                <w:szCs w:val="21"/>
              </w:rPr>
              <w:t>三级</w:t>
            </w:r>
          </w:p>
        </w:tc>
        <w:tc>
          <w:tcPr>
            <w:tcW w:w="708" w:type="dxa"/>
            <w:tcBorders>
              <w:tl2br w:val="nil"/>
              <w:tr2bl w:val="nil"/>
            </w:tcBorders>
          </w:tcPr>
          <w:p>
            <w:pPr>
              <w:pStyle w:val="42"/>
              <w:spacing w:before="74" w:line="240" w:lineRule="auto"/>
              <w:ind w:left="140" w:firstLine="0" w:firstLineChars="0"/>
              <w:jc w:val="center"/>
              <w:rPr>
                <w:rFonts w:ascii="宋体" w:hAnsi="宋体" w:cs="宋体"/>
                <w:color w:val="auto"/>
                <w:sz w:val="21"/>
                <w:szCs w:val="21"/>
              </w:rPr>
            </w:pPr>
            <w:r>
              <w:rPr>
                <w:rFonts w:ascii="宋体" w:hAnsi="宋体" w:cs="宋体"/>
                <w:color w:val="auto"/>
                <w:sz w:val="21"/>
                <w:szCs w:val="21"/>
              </w:rPr>
              <w:t>三级</w:t>
            </w:r>
          </w:p>
        </w:tc>
        <w:tc>
          <w:tcPr>
            <w:tcW w:w="710" w:type="dxa"/>
            <w:tcBorders>
              <w:tl2br w:val="nil"/>
              <w:tr2bl w:val="nil"/>
            </w:tcBorders>
          </w:tcPr>
          <w:p>
            <w:pPr>
              <w:pStyle w:val="42"/>
              <w:spacing w:before="74" w:line="240" w:lineRule="auto"/>
              <w:ind w:left="140" w:firstLine="0" w:firstLineChars="0"/>
              <w:jc w:val="center"/>
              <w:rPr>
                <w:rFonts w:ascii="宋体" w:hAnsi="宋体" w:cs="宋体"/>
                <w:color w:val="auto"/>
                <w:sz w:val="21"/>
                <w:szCs w:val="21"/>
              </w:rPr>
            </w:pPr>
            <w:r>
              <w:rPr>
                <w:rFonts w:ascii="宋体" w:hAnsi="宋体" w:cs="宋体"/>
                <w:color w:val="auto"/>
                <w:sz w:val="21"/>
                <w:szCs w:val="21"/>
              </w:rPr>
              <w:t>三级</w:t>
            </w:r>
          </w:p>
        </w:tc>
        <w:tc>
          <w:tcPr>
            <w:tcW w:w="758" w:type="dxa"/>
            <w:tcBorders>
              <w:tl2br w:val="nil"/>
              <w:tr2bl w:val="nil"/>
            </w:tcBorders>
          </w:tcPr>
          <w:p>
            <w:pPr>
              <w:pStyle w:val="42"/>
              <w:spacing w:before="74" w:line="240" w:lineRule="auto"/>
              <w:ind w:firstLine="0" w:firstLineChars="0"/>
              <w:jc w:val="center"/>
              <w:rPr>
                <w:rFonts w:ascii="宋体" w:hAnsi="宋体" w:cs="宋体"/>
                <w:color w:val="auto"/>
                <w:sz w:val="21"/>
                <w:szCs w:val="21"/>
              </w:rPr>
            </w:pPr>
            <w:r>
              <w:rPr>
                <w:rFonts w:ascii="宋体" w:hAnsi="宋体" w:cs="宋体"/>
                <w:color w:val="auto"/>
                <w:sz w:val="21"/>
                <w:szCs w:val="21"/>
              </w:rPr>
              <w:t>—</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0" w:hRule="exact"/>
          <w:jc w:val="center"/>
        </w:trPr>
        <w:tc>
          <w:tcPr>
            <w:tcW w:w="2518" w:type="dxa"/>
            <w:tcBorders>
              <w:tl2br w:val="nil"/>
              <w:tr2bl w:val="nil"/>
            </w:tcBorders>
          </w:tcPr>
          <w:p>
            <w:pPr>
              <w:pStyle w:val="42"/>
              <w:spacing w:before="74" w:line="240" w:lineRule="auto"/>
              <w:ind w:left="2" w:firstLine="0" w:firstLineChars="0"/>
              <w:jc w:val="center"/>
              <w:rPr>
                <w:rFonts w:ascii="宋体" w:hAnsi="宋体" w:cs="宋体"/>
                <w:color w:val="auto"/>
                <w:sz w:val="21"/>
                <w:szCs w:val="21"/>
              </w:rPr>
            </w:pPr>
            <w:r>
              <w:rPr>
                <w:rFonts w:ascii="宋体" w:hAnsi="宋体" w:cs="宋体"/>
                <w:color w:val="auto"/>
                <w:sz w:val="21"/>
                <w:szCs w:val="21"/>
              </w:rPr>
              <w:t>不敏感</w:t>
            </w:r>
          </w:p>
        </w:tc>
        <w:tc>
          <w:tcPr>
            <w:tcW w:w="710" w:type="dxa"/>
            <w:tcBorders>
              <w:tl2br w:val="nil"/>
              <w:tr2bl w:val="nil"/>
            </w:tcBorders>
          </w:tcPr>
          <w:p>
            <w:pPr>
              <w:pStyle w:val="42"/>
              <w:spacing w:before="74" w:line="240" w:lineRule="auto"/>
              <w:ind w:left="139" w:firstLine="0" w:firstLineChars="0"/>
              <w:jc w:val="center"/>
              <w:rPr>
                <w:rFonts w:ascii="宋体" w:hAnsi="宋体" w:cs="宋体"/>
                <w:color w:val="auto"/>
                <w:sz w:val="21"/>
                <w:szCs w:val="21"/>
              </w:rPr>
            </w:pPr>
            <w:r>
              <w:rPr>
                <w:rFonts w:ascii="宋体" w:hAnsi="宋体" w:cs="宋体"/>
                <w:color w:val="auto"/>
                <w:sz w:val="21"/>
                <w:szCs w:val="21"/>
              </w:rPr>
              <w:t>一级</w:t>
            </w:r>
          </w:p>
        </w:tc>
        <w:tc>
          <w:tcPr>
            <w:tcW w:w="708" w:type="dxa"/>
            <w:tcBorders>
              <w:tl2br w:val="nil"/>
              <w:tr2bl w:val="nil"/>
            </w:tcBorders>
          </w:tcPr>
          <w:p>
            <w:pPr>
              <w:pStyle w:val="42"/>
              <w:spacing w:before="74" w:line="240" w:lineRule="auto"/>
              <w:ind w:left="137" w:firstLine="0" w:firstLineChars="0"/>
              <w:jc w:val="center"/>
              <w:rPr>
                <w:rFonts w:ascii="宋体" w:hAnsi="宋体" w:cs="宋体"/>
                <w:color w:val="auto"/>
                <w:sz w:val="21"/>
                <w:szCs w:val="21"/>
              </w:rPr>
            </w:pPr>
            <w:r>
              <w:rPr>
                <w:rFonts w:ascii="宋体" w:hAnsi="宋体" w:cs="宋体"/>
                <w:color w:val="auto"/>
                <w:sz w:val="21"/>
                <w:szCs w:val="21"/>
              </w:rPr>
              <w:t>二级</w:t>
            </w:r>
          </w:p>
        </w:tc>
        <w:tc>
          <w:tcPr>
            <w:tcW w:w="708" w:type="dxa"/>
            <w:tcBorders>
              <w:tl2br w:val="nil"/>
              <w:tr2bl w:val="nil"/>
            </w:tcBorders>
          </w:tcPr>
          <w:p>
            <w:pPr>
              <w:pStyle w:val="42"/>
              <w:spacing w:before="74" w:line="240" w:lineRule="auto"/>
              <w:ind w:left="139" w:firstLine="0" w:firstLineChars="0"/>
              <w:jc w:val="center"/>
              <w:rPr>
                <w:rFonts w:ascii="宋体" w:hAnsi="宋体" w:cs="宋体"/>
                <w:color w:val="auto"/>
                <w:sz w:val="21"/>
                <w:szCs w:val="21"/>
              </w:rPr>
            </w:pPr>
            <w:r>
              <w:rPr>
                <w:rFonts w:ascii="宋体" w:hAnsi="宋体" w:cs="宋体"/>
                <w:color w:val="auto"/>
                <w:sz w:val="21"/>
                <w:szCs w:val="21"/>
              </w:rPr>
              <w:t>二级</w:t>
            </w:r>
          </w:p>
        </w:tc>
        <w:tc>
          <w:tcPr>
            <w:tcW w:w="708" w:type="dxa"/>
            <w:tcBorders>
              <w:tl2br w:val="nil"/>
              <w:tr2bl w:val="nil"/>
            </w:tcBorders>
          </w:tcPr>
          <w:p>
            <w:pPr>
              <w:pStyle w:val="42"/>
              <w:spacing w:before="74" w:line="240" w:lineRule="auto"/>
              <w:ind w:left="139" w:firstLine="0" w:firstLineChars="0"/>
              <w:jc w:val="center"/>
              <w:rPr>
                <w:rFonts w:ascii="宋体" w:hAnsi="宋体" w:cs="宋体"/>
                <w:color w:val="auto"/>
                <w:sz w:val="21"/>
                <w:szCs w:val="21"/>
              </w:rPr>
            </w:pPr>
            <w:r>
              <w:rPr>
                <w:rFonts w:ascii="宋体" w:hAnsi="宋体" w:cs="宋体"/>
                <w:color w:val="auto"/>
                <w:sz w:val="21"/>
                <w:szCs w:val="21"/>
              </w:rPr>
              <w:t>二级</w:t>
            </w:r>
          </w:p>
        </w:tc>
        <w:tc>
          <w:tcPr>
            <w:tcW w:w="710" w:type="dxa"/>
            <w:tcBorders>
              <w:tl2br w:val="nil"/>
              <w:tr2bl w:val="nil"/>
            </w:tcBorders>
          </w:tcPr>
          <w:p>
            <w:pPr>
              <w:pStyle w:val="42"/>
              <w:spacing w:before="74" w:line="240" w:lineRule="auto"/>
              <w:ind w:left="139" w:firstLine="0" w:firstLineChars="0"/>
              <w:jc w:val="center"/>
              <w:rPr>
                <w:rFonts w:ascii="宋体" w:hAnsi="宋体" w:cs="宋体"/>
                <w:color w:val="auto"/>
                <w:sz w:val="21"/>
                <w:szCs w:val="21"/>
              </w:rPr>
            </w:pPr>
            <w:r>
              <w:rPr>
                <w:rFonts w:ascii="宋体" w:hAnsi="宋体" w:cs="宋体"/>
                <w:color w:val="auto"/>
                <w:sz w:val="21"/>
                <w:szCs w:val="21"/>
              </w:rPr>
              <w:t>三级</w:t>
            </w:r>
          </w:p>
        </w:tc>
        <w:tc>
          <w:tcPr>
            <w:tcW w:w="708" w:type="dxa"/>
            <w:tcBorders>
              <w:tl2br w:val="nil"/>
              <w:tr2bl w:val="nil"/>
            </w:tcBorders>
          </w:tcPr>
          <w:p>
            <w:pPr>
              <w:pStyle w:val="42"/>
              <w:spacing w:before="74" w:line="240" w:lineRule="auto"/>
              <w:ind w:left="137" w:firstLine="0" w:firstLineChars="0"/>
              <w:jc w:val="center"/>
              <w:rPr>
                <w:rFonts w:ascii="宋体" w:hAnsi="宋体" w:cs="宋体"/>
                <w:color w:val="auto"/>
                <w:sz w:val="21"/>
                <w:szCs w:val="21"/>
              </w:rPr>
            </w:pPr>
            <w:r>
              <w:rPr>
                <w:rFonts w:ascii="宋体" w:hAnsi="宋体" w:cs="宋体"/>
                <w:color w:val="auto"/>
                <w:sz w:val="21"/>
                <w:szCs w:val="21"/>
              </w:rPr>
              <w:t>三级</w:t>
            </w:r>
          </w:p>
        </w:tc>
        <w:tc>
          <w:tcPr>
            <w:tcW w:w="708" w:type="dxa"/>
            <w:tcBorders>
              <w:tl2br w:val="nil"/>
              <w:tr2bl w:val="nil"/>
            </w:tcBorders>
          </w:tcPr>
          <w:p>
            <w:pPr>
              <w:pStyle w:val="42"/>
              <w:spacing w:before="74" w:line="240" w:lineRule="auto"/>
              <w:ind w:left="140" w:firstLine="0" w:firstLineChars="0"/>
              <w:jc w:val="center"/>
              <w:rPr>
                <w:rFonts w:ascii="宋体" w:hAnsi="宋体" w:cs="宋体"/>
                <w:color w:val="auto"/>
                <w:sz w:val="21"/>
                <w:szCs w:val="21"/>
              </w:rPr>
            </w:pPr>
            <w:r>
              <w:rPr>
                <w:rFonts w:ascii="宋体" w:hAnsi="宋体" w:cs="宋体"/>
                <w:color w:val="auto"/>
                <w:sz w:val="21"/>
                <w:szCs w:val="21"/>
              </w:rPr>
              <w:t>三级</w:t>
            </w:r>
          </w:p>
        </w:tc>
        <w:tc>
          <w:tcPr>
            <w:tcW w:w="710" w:type="dxa"/>
            <w:tcBorders>
              <w:tl2br w:val="nil"/>
              <w:tr2bl w:val="nil"/>
            </w:tcBorders>
          </w:tcPr>
          <w:p>
            <w:pPr>
              <w:pStyle w:val="42"/>
              <w:spacing w:before="74" w:line="240" w:lineRule="auto"/>
              <w:ind w:firstLine="0" w:firstLineChars="0"/>
              <w:jc w:val="center"/>
              <w:rPr>
                <w:rFonts w:ascii="宋体" w:hAnsi="宋体" w:cs="宋体"/>
                <w:color w:val="auto"/>
                <w:sz w:val="21"/>
                <w:szCs w:val="21"/>
              </w:rPr>
            </w:pPr>
            <w:r>
              <w:rPr>
                <w:rFonts w:ascii="宋体" w:hAnsi="宋体" w:cs="宋体"/>
                <w:color w:val="auto"/>
                <w:sz w:val="21"/>
                <w:szCs w:val="21"/>
              </w:rPr>
              <w:t>—</w:t>
            </w:r>
          </w:p>
        </w:tc>
        <w:tc>
          <w:tcPr>
            <w:tcW w:w="758" w:type="dxa"/>
            <w:tcBorders>
              <w:tl2br w:val="nil"/>
              <w:tr2bl w:val="nil"/>
            </w:tcBorders>
          </w:tcPr>
          <w:p>
            <w:pPr>
              <w:pStyle w:val="42"/>
              <w:spacing w:before="74" w:line="240" w:lineRule="auto"/>
              <w:ind w:right="1" w:firstLine="0" w:firstLineChars="0"/>
              <w:jc w:val="center"/>
              <w:rPr>
                <w:rFonts w:ascii="宋体" w:hAnsi="宋体" w:cs="宋体"/>
                <w:color w:val="auto"/>
                <w:sz w:val="21"/>
                <w:szCs w:val="21"/>
              </w:rPr>
            </w:pPr>
            <w:r>
              <w:rPr>
                <w:rFonts w:ascii="宋体" w:hAnsi="宋体" w:cs="宋体"/>
                <w:color w:val="auto"/>
                <w:sz w:val="21"/>
                <w:szCs w:val="21"/>
              </w:rPr>
              <w:t>—</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0" w:hRule="exact"/>
          <w:jc w:val="center"/>
        </w:trPr>
        <w:tc>
          <w:tcPr>
            <w:tcW w:w="8947" w:type="dxa"/>
            <w:gridSpan w:val="10"/>
            <w:tcBorders>
              <w:tl2br w:val="nil"/>
              <w:tr2bl w:val="nil"/>
            </w:tcBorders>
          </w:tcPr>
          <w:p>
            <w:pPr>
              <w:pStyle w:val="42"/>
              <w:spacing w:before="74" w:line="240" w:lineRule="auto"/>
              <w:ind w:left="103" w:firstLine="0" w:firstLineChars="0"/>
              <w:jc w:val="center"/>
              <w:rPr>
                <w:rFonts w:ascii="宋体" w:hAnsi="宋体" w:cs="宋体"/>
                <w:color w:val="auto"/>
                <w:sz w:val="21"/>
                <w:szCs w:val="21"/>
              </w:rPr>
            </w:pPr>
            <w:r>
              <w:rPr>
                <w:rFonts w:ascii="宋体" w:hAnsi="宋体" w:cs="宋体"/>
                <w:color w:val="auto"/>
                <w:sz w:val="21"/>
                <w:szCs w:val="21"/>
              </w:rPr>
              <w:t>注：“—”表示可不开展土壤环境影响评价工作。</w:t>
            </w:r>
          </w:p>
        </w:tc>
      </w:tr>
    </w:tbl>
    <w:p>
      <w:pPr>
        <w:ind w:firstLine="480"/>
        <w:rPr>
          <w:color w:val="auto"/>
        </w:rPr>
      </w:pPr>
      <w:r>
        <w:rPr>
          <w:color w:val="auto"/>
        </w:rPr>
        <w:t>根据《环境影响评价技术导则 土壤环境（试行）》（HJ 964-2018），本项目评价等级为三级，评价范围为占地范围外0.05km。详见表</w:t>
      </w:r>
      <w:r>
        <w:rPr>
          <w:rFonts w:hint="eastAsia"/>
          <w:color w:val="auto"/>
        </w:rPr>
        <w:t>5.2-34</w:t>
      </w:r>
      <w:r>
        <w:rPr>
          <w:color w:val="auto"/>
        </w:rPr>
        <w:t>。</w:t>
      </w:r>
    </w:p>
    <w:p>
      <w:pPr>
        <w:ind w:firstLine="482"/>
        <w:jc w:val="center"/>
        <w:rPr>
          <w:rFonts w:ascii="宋体" w:hAnsi="宋体" w:cs="宋体"/>
          <w:b/>
          <w:bCs/>
          <w:color w:val="auto"/>
          <w:sz w:val="4"/>
          <w:szCs w:val="4"/>
        </w:rPr>
      </w:pPr>
      <w:r>
        <w:rPr>
          <w:b/>
          <w:bCs/>
          <w:color w:val="auto"/>
        </w:rPr>
        <w:t>表</w:t>
      </w:r>
      <w:r>
        <w:rPr>
          <w:rFonts w:hint="eastAsia"/>
          <w:b/>
          <w:bCs/>
          <w:color w:val="auto"/>
        </w:rPr>
        <w:t>5.2-34</w:t>
      </w:r>
      <w:r>
        <w:rPr>
          <w:b/>
          <w:bCs/>
          <w:color w:val="auto"/>
        </w:rPr>
        <w:tab/>
      </w:r>
      <w:r>
        <w:rPr>
          <w:b/>
          <w:bCs/>
          <w:color w:val="auto"/>
        </w:rPr>
        <w:t>评价范围表</w:t>
      </w:r>
    </w:p>
    <w:tbl>
      <w:tblPr>
        <w:tblStyle w:val="27"/>
        <w:tblW w:w="0" w:type="auto"/>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2983"/>
        <w:gridCol w:w="2981"/>
        <w:gridCol w:w="2983"/>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0" w:hRule="exact"/>
          <w:jc w:val="center"/>
        </w:trPr>
        <w:tc>
          <w:tcPr>
            <w:tcW w:w="2983" w:type="dxa"/>
            <w:vMerge w:val="restart"/>
            <w:tcBorders>
              <w:tl2br w:val="nil"/>
              <w:tr2bl w:val="nil"/>
            </w:tcBorders>
          </w:tcPr>
          <w:p>
            <w:pPr>
              <w:pStyle w:val="42"/>
              <w:spacing w:before="6" w:line="240" w:lineRule="auto"/>
              <w:ind w:firstLine="0" w:firstLineChars="0"/>
              <w:jc w:val="left"/>
              <w:rPr>
                <w:rFonts w:ascii="宋体" w:hAnsi="宋体" w:cs="宋体"/>
                <w:color w:val="auto"/>
                <w:sz w:val="21"/>
                <w:szCs w:val="21"/>
              </w:rPr>
            </w:pPr>
          </w:p>
          <w:p>
            <w:pPr>
              <w:pStyle w:val="42"/>
              <w:spacing w:line="240" w:lineRule="auto"/>
              <w:ind w:left="856" w:firstLine="0" w:firstLineChars="0"/>
              <w:jc w:val="left"/>
              <w:rPr>
                <w:rFonts w:ascii="宋体" w:hAnsi="宋体" w:cs="宋体"/>
                <w:color w:val="auto"/>
                <w:sz w:val="21"/>
                <w:szCs w:val="21"/>
              </w:rPr>
            </w:pPr>
            <w:r>
              <w:rPr>
                <w:rFonts w:ascii="宋体" w:hAnsi="宋体" w:cs="宋体"/>
                <w:color w:val="auto"/>
                <w:sz w:val="21"/>
                <w:szCs w:val="21"/>
              </w:rPr>
              <w:t>评价工作等级</w:t>
            </w:r>
          </w:p>
        </w:tc>
        <w:tc>
          <w:tcPr>
            <w:tcW w:w="5964" w:type="dxa"/>
            <w:gridSpan w:val="2"/>
            <w:tcBorders>
              <w:tl2br w:val="nil"/>
              <w:tr2bl w:val="nil"/>
            </w:tcBorders>
          </w:tcPr>
          <w:p>
            <w:pPr>
              <w:pStyle w:val="42"/>
              <w:spacing w:before="74" w:line="240" w:lineRule="auto"/>
              <w:ind w:firstLine="0" w:firstLineChars="0"/>
              <w:jc w:val="center"/>
              <w:rPr>
                <w:rFonts w:eastAsia="Times New Roman"/>
                <w:color w:val="auto"/>
                <w:sz w:val="21"/>
                <w:szCs w:val="21"/>
              </w:rPr>
            </w:pPr>
            <w:r>
              <w:rPr>
                <w:rFonts w:ascii="宋体" w:hAnsi="宋体" w:cs="宋体"/>
                <w:color w:val="auto"/>
                <w:sz w:val="21"/>
                <w:szCs w:val="21"/>
              </w:rPr>
              <w:t>评价范围</w:t>
            </w:r>
            <w:r>
              <w:rPr>
                <w:rFonts w:eastAsia="Times New Roman"/>
                <w:color w:val="auto"/>
                <w:sz w:val="21"/>
                <w:szCs w:val="21"/>
              </w:rPr>
              <w:t>a</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0" w:hRule="exact"/>
          <w:jc w:val="center"/>
        </w:trPr>
        <w:tc>
          <w:tcPr>
            <w:tcW w:w="2983" w:type="dxa"/>
            <w:vMerge w:val="continue"/>
            <w:tcBorders>
              <w:tl2br w:val="nil"/>
              <w:tr2bl w:val="nil"/>
            </w:tcBorders>
          </w:tcPr>
          <w:p>
            <w:pPr>
              <w:spacing w:line="240" w:lineRule="auto"/>
              <w:ind w:firstLine="0" w:firstLineChars="0"/>
              <w:rPr>
                <w:color w:val="auto"/>
              </w:rPr>
            </w:pPr>
          </w:p>
        </w:tc>
        <w:tc>
          <w:tcPr>
            <w:tcW w:w="2981" w:type="dxa"/>
            <w:tcBorders>
              <w:tl2br w:val="nil"/>
              <w:tr2bl w:val="nil"/>
            </w:tcBorders>
          </w:tcPr>
          <w:p>
            <w:pPr>
              <w:pStyle w:val="42"/>
              <w:spacing w:before="74" w:line="240" w:lineRule="auto"/>
              <w:ind w:left="880" w:firstLine="0" w:firstLineChars="0"/>
              <w:jc w:val="left"/>
              <w:rPr>
                <w:rFonts w:eastAsia="Times New Roman"/>
                <w:color w:val="auto"/>
                <w:sz w:val="21"/>
                <w:szCs w:val="21"/>
              </w:rPr>
            </w:pPr>
            <w:r>
              <w:rPr>
                <w:rFonts w:eastAsia="Times New Roman"/>
                <w:color w:val="auto"/>
                <w:sz w:val="21"/>
                <w:szCs w:val="21"/>
              </w:rPr>
              <w:t>占地范围内b</w:t>
            </w:r>
          </w:p>
        </w:tc>
        <w:tc>
          <w:tcPr>
            <w:tcW w:w="2983" w:type="dxa"/>
            <w:tcBorders>
              <w:tl2br w:val="nil"/>
              <w:tr2bl w:val="nil"/>
            </w:tcBorders>
          </w:tcPr>
          <w:p>
            <w:pPr>
              <w:pStyle w:val="42"/>
              <w:spacing w:before="74" w:line="240" w:lineRule="auto"/>
              <w:ind w:left="960" w:firstLine="0" w:firstLineChars="0"/>
              <w:jc w:val="left"/>
              <w:rPr>
                <w:rFonts w:ascii="宋体" w:hAnsi="宋体" w:cs="宋体"/>
                <w:color w:val="auto"/>
                <w:sz w:val="21"/>
                <w:szCs w:val="21"/>
              </w:rPr>
            </w:pPr>
            <w:r>
              <w:rPr>
                <w:rFonts w:ascii="宋体" w:hAnsi="宋体" w:cs="宋体"/>
                <w:color w:val="auto"/>
                <w:sz w:val="21"/>
                <w:szCs w:val="21"/>
              </w:rPr>
              <w:t>占地范围外</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0" w:hRule="exact"/>
          <w:jc w:val="center"/>
        </w:trPr>
        <w:tc>
          <w:tcPr>
            <w:tcW w:w="2983" w:type="dxa"/>
            <w:tcBorders>
              <w:tl2br w:val="nil"/>
              <w:tr2bl w:val="nil"/>
            </w:tcBorders>
          </w:tcPr>
          <w:p>
            <w:pPr>
              <w:pStyle w:val="42"/>
              <w:spacing w:before="74" w:line="240" w:lineRule="auto"/>
              <w:ind w:left="2" w:firstLine="0" w:firstLineChars="0"/>
              <w:jc w:val="center"/>
              <w:rPr>
                <w:rFonts w:ascii="宋体" w:hAnsi="宋体" w:cs="宋体"/>
                <w:color w:val="auto"/>
                <w:sz w:val="21"/>
                <w:szCs w:val="21"/>
              </w:rPr>
            </w:pPr>
            <w:r>
              <w:rPr>
                <w:rFonts w:ascii="宋体" w:hAnsi="宋体" w:cs="宋体"/>
                <w:color w:val="auto"/>
                <w:sz w:val="21"/>
                <w:szCs w:val="21"/>
              </w:rPr>
              <w:t>一级</w:t>
            </w:r>
          </w:p>
        </w:tc>
        <w:tc>
          <w:tcPr>
            <w:tcW w:w="2981" w:type="dxa"/>
            <w:vMerge w:val="restart"/>
            <w:tcBorders>
              <w:tl2br w:val="nil"/>
              <w:tr2bl w:val="nil"/>
            </w:tcBorders>
          </w:tcPr>
          <w:p>
            <w:pPr>
              <w:pStyle w:val="42"/>
              <w:spacing w:line="240" w:lineRule="auto"/>
              <w:ind w:firstLine="0" w:firstLineChars="0"/>
              <w:jc w:val="left"/>
              <w:rPr>
                <w:rFonts w:ascii="宋体" w:hAnsi="宋体" w:cs="宋体"/>
                <w:color w:val="auto"/>
                <w:sz w:val="20"/>
                <w:szCs w:val="20"/>
              </w:rPr>
            </w:pPr>
          </w:p>
          <w:p>
            <w:pPr>
              <w:pStyle w:val="42"/>
              <w:spacing w:line="240" w:lineRule="auto"/>
              <w:ind w:firstLine="0" w:firstLineChars="0"/>
              <w:jc w:val="left"/>
              <w:rPr>
                <w:rFonts w:ascii="宋体" w:hAnsi="宋体" w:cs="宋体"/>
                <w:color w:val="auto"/>
                <w:sz w:val="17"/>
                <w:szCs w:val="17"/>
              </w:rPr>
            </w:pPr>
          </w:p>
          <w:p>
            <w:pPr>
              <w:pStyle w:val="42"/>
              <w:spacing w:line="240" w:lineRule="auto"/>
              <w:ind w:firstLine="0" w:firstLineChars="0"/>
              <w:jc w:val="center"/>
              <w:rPr>
                <w:rFonts w:ascii="宋体" w:hAnsi="宋体" w:cs="宋体"/>
                <w:color w:val="auto"/>
                <w:sz w:val="21"/>
                <w:szCs w:val="21"/>
              </w:rPr>
            </w:pPr>
            <w:r>
              <w:rPr>
                <w:rFonts w:ascii="宋体" w:hAnsi="宋体" w:cs="宋体"/>
                <w:color w:val="auto"/>
                <w:sz w:val="21"/>
                <w:szCs w:val="21"/>
              </w:rPr>
              <w:t>全部</w:t>
            </w:r>
          </w:p>
        </w:tc>
        <w:tc>
          <w:tcPr>
            <w:tcW w:w="2983" w:type="dxa"/>
            <w:tcBorders>
              <w:tl2br w:val="nil"/>
              <w:tr2bl w:val="nil"/>
            </w:tcBorders>
          </w:tcPr>
          <w:p>
            <w:pPr>
              <w:pStyle w:val="42"/>
              <w:spacing w:before="74" w:line="240" w:lineRule="auto"/>
              <w:ind w:left="957" w:firstLine="0" w:firstLineChars="0"/>
              <w:jc w:val="left"/>
              <w:rPr>
                <w:rFonts w:ascii="宋体" w:hAnsi="宋体" w:cs="宋体"/>
                <w:color w:val="auto"/>
                <w:sz w:val="21"/>
                <w:szCs w:val="21"/>
              </w:rPr>
            </w:pPr>
            <w:r>
              <w:rPr>
                <w:rFonts w:eastAsia="Times New Roman"/>
                <w:color w:val="auto"/>
                <w:sz w:val="21"/>
                <w:szCs w:val="21"/>
              </w:rPr>
              <w:t>1km</w:t>
            </w:r>
            <w:r>
              <w:rPr>
                <w:rFonts w:eastAsia="Times New Roman"/>
                <w:color w:val="auto"/>
                <w:spacing w:val="1"/>
                <w:sz w:val="21"/>
                <w:szCs w:val="21"/>
              </w:rPr>
              <w:t xml:space="preserve"> </w:t>
            </w:r>
            <w:r>
              <w:rPr>
                <w:rFonts w:ascii="宋体" w:hAnsi="宋体" w:cs="宋体"/>
                <w:color w:val="auto"/>
                <w:sz w:val="21"/>
                <w:szCs w:val="21"/>
              </w:rPr>
              <w:t>范围内</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08" w:hRule="exact"/>
          <w:jc w:val="center"/>
        </w:trPr>
        <w:tc>
          <w:tcPr>
            <w:tcW w:w="2983" w:type="dxa"/>
            <w:tcBorders>
              <w:tl2br w:val="nil"/>
              <w:tr2bl w:val="nil"/>
            </w:tcBorders>
          </w:tcPr>
          <w:p>
            <w:pPr>
              <w:pStyle w:val="42"/>
              <w:spacing w:before="74" w:line="240" w:lineRule="auto"/>
              <w:ind w:left="2" w:firstLine="0" w:firstLineChars="0"/>
              <w:jc w:val="center"/>
              <w:rPr>
                <w:rFonts w:ascii="宋体" w:hAnsi="宋体" w:cs="宋体"/>
                <w:color w:val="auto"/>
                <w:sz w:val="21"/>
                <w:szCs w:val="21"/>
              </w:rPr>
            </w:pPr>
            <w:r>
              <w:rPr>
                <w:rFonts w:ascii="宋体" w:hAnsi="宋体" w:cs="宋体"/>
                <w:color w:val="auto"/>
                <w:sz w:val="21"/>
                <w:szCs w:val="21"/>
              </w:rPr>
              <w:t>二级</w:t>
            </w:r>
          </w:p>
        </w:tc>
        <w:tc>
          <w:tcPr>
            <w:tcW w:w="2981" w:type="dxa"/>
            <w:vMerge w:val="continue"/>
            <w:tcBorders>
              <w:tl2br w:val="nil"/>
              <w:tr2bl w:val="nil"/>
            </w:tcBorders>
          </w:tcPr>
          <w:p>
            <w:pPr>
              <w:spacing w:line="240" w:lineRule="auto"/>
              <w:ind w:firstLine="0" w:firstLineChars="0"/>
              <w:rPr>
                <w:color w:val="auto"/>
              </w:rPr>
            </w:pPr>
          </w:p>
        </w:tc>
        <w:tc>
          <w:tcPr>
            <w:tcW w:w="2983" w:type="dxa"/>
            <w:tcBorders>
              <w:tl2br w:val="nil"/>
              <w:tr2bl w:val="nil"/>
            </w:tcBorders>
          </w:tcPr>
          <w:p>
            <w:pPr>
              <w:pStyle w:val="42"/>
              <w:spacing w:before="74" w:line="240" w:lineRule="auto"/>
              <w:ind w:left="878" w:firstLine="0" w:firstLineChars="0"/>
              <w:jc w:val="left"/>
              <w:rPr>
                <w:rFonts w:ascii="宋体" w:hAnsi="宋体" w:cs="宋体"/>
                <w:color w:val="auto"/>
                <w:sz w:val="21"/>
                <w:szCs w:val="21"/>
              </w:rPr>
            </w:pPr>
            <w:r>
              <w:rPr>
                <w:rFonts w:eastAsia="Times New Roman"/>
                <w:color w:val="auto"/>
                <w:sz w:val="21"/>
                <w:szCs w:val="21"/>
              </w:rPr>
              <w:t>0.2km</w:t>
            </w:r>
            <w:r>
              <w:rPr>
                <w:rFonts w:eastAsia="Times New Roman"/>
                <w:color w:val="auto"/>
                <w:spacing w:val="2"/>
                <w:sz w:val="21"/>
                <w:szCs w:val="21"/>
              </w:rPr>
              <w:t xml:space="preserve"> </w:t>
            </w:r>
            <w:r>
              <w:rPr>
                <w:rFonts w:ascii="宋体" w:hAnsi="宋体" w:cs="宋体"/>
                <w:color w:val="auto"/>
                <w:sz w:val="21"/>
                <w:szCs w:val="21"/>
              </w:rPr>
              <w:t>范围内</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0" w:hRule="exact"/>
          <w:jc w:val="center"/>
        </w:trPr>
        <w:tc>
          <w:tcPr>
            <w:tcW w:w="2983" w:type="dxa"/>
            <w:tcBorders>
              <w:tl2br w:val="nil"/>
              <w:tr2bl w:val="nil"/>
            </w:tcBorders>
          </w:tcPr>
          <w:p>
            <w:pPr>
              <w:pStyle w:val="42"/>
              <w:spacing w:before="76" w:line="240" w:lineRule="auto"/>
              <w:ind w:left="2" w:firstLine="0" w:firstLineChars="0"/>
              <w:jc w:val="center"/>
              <w:rPr>
                <w:rFonts w:ascii="宋体" w:hAnsi="宋体" w:cs="宋体"/>
                <w:color w:val="auto"/>
                <w:sz w:val="21"/>
                <w:szCs w:val="21"/>
              </w:rPr>
            </w:pPr>
            <w:r>
              <w:rPr>
                <w:rFonts w:ascii="宋体" w:hAnsi="宋体" w:cs="宋体"/>
                <w:color w:val="auto"/>
                <w:sz w:val="21"/>
                <w:szCs w:val="21"/>
              </w:rPr>
              <w:t>三级</w:t>
            </w:r>
          </w:p>
        </w:tc>
        <w:tc>
          <w:tcPr>
            <w:tcW w:w="2981" w:type="dxa"/>
            <w:vMerge w:val="continue"/>
            <w:tcBorders>
              <w:tl2br w:val="nil"/>
              <w:tr2bl w:val="nil"/>
            </w:tcBorders>
          </w:tcPr>
          <w:p>
            <w:pPr>
              <w:spacing w:line="240" w:lineRule="auto"/>
              <w:ind w:firstLine="0" w:firstLineChars="0"/>
              <w:rPr>
                <w:color w:val="auto"/>
              </w:rPr>
            </w:pPr>
          </w:p>
        </w:tc>
        <w:tc>
          <w:tcPr>
            <w:tcW w:w="2983" w:type="dxa"/>
            <w:tcBorders>
              <w:tl2br w:val="nil"/>
              <w:tr2bl w:val="nil"/>
            </w:tcBorders>
          </w:tcPr>
          <w:p>
            <w:pPr>
              <w:pStyle w:val="42"/>
              <w:spacing w:before="76" w:line="240" w:lineRule="auto"/>
              <w:ind w:left="828" w:firstLine="0" w:firstLineChars="0"/>
              <w:jc w:val="left"/>
              <w:rPr>
                <w:rFonts w:ascii="宋体" w:hAnsi="宋体" w:cs="宋体"/>
                <w:color w:val="auto"/>
                <w:sz w:val="21"/>
                <w:szCs w:val="21"/>
              </w:rPr>
            </w:pPr>
            <w:r>
              <w:rPr>
                <w:rFonts w:eastAsia="Times New Roman"/>
                <w:color w:val="auto"/>
                <w:sz w:val="21"/>
                <w:szCs w:val="21"/>
              </w:rPr>
              <w:t xml:space="preserve">0.05km </w:t>
            </w:r>
            <w:r>
              <w:rPr>
                <w:rFonts w:ascii="宋体" w:hAnsi="宋体" w:cs="宋体"/>
                <w:color w:val="auto"/>
                <w:sz w:val="21"/>
                <w:szCs w:val="21"/>
              </w:rPr>
              <w:t>范围内</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811" w:hRule="exact"/>
          <w:jc w:val="center"/>
        </w:trPr>
        <w:tc>
          <w:tcPr>
            <w:tcW w:w="8947" w:type="dxa"/>
            <w:gridSpan w:val="3"/>
            <w:tcBorders>
              <w:tl2br w:val="nil"/>
              <w:tr2bl w:val="nil"/>
            </w:tcBorders>
          </w:tcPr>
          <w:p>
            <w:pPr>
              <w:pStyle w:val="42"/>
              <w:spacing w:before="74" w:line="240" w:lineRule="auto"/>
              <w:ind w:left="103" w:firstLine="0" w:firstLineChars="0"/>
              <w:jc w:val="left"/>
              <w:rPr>
                <w:rFonts w:ascii="宋体" w:hAnsi="宋体" w:cs="宋体"/>
                <w:color w:val="auto"/>
                <w:sz w:val="21"/>
                <w:szCs w:val="21"/>
              </w:rPr>
            </w:pPr>
            <w:r>
              <w:rPr>
                <w:rFonts w:eastAsia="Times New Roman"/>
                <w:color w:val="auto"/>
                <w:sz w:val="21"/>
                <w:szCs w:val="21"/>
              </w:rPr>
              <w:t>a</w:t>
            </w:r>
            <w:r>
              <w:rPr>
                <w:rFonts w:ascii="宋体" w:hAnsi="宋体" w:cs="宋体"/>
                <w:color w:val="auto"/>
                <w:sz w:val="21"/>
                <w:szCs w:val="21"/>
              </w:rPr>
              <w:t>：涉及大气沉降途径影响的，可根据主导风向下风向最大落地浓度点适当调整。</w:t>
            </w:r>
          </w:p>
          <w:p>
            <w:pPr>
              <w:pStyle w:val="42"/>
              <w:spacing w:before="110" w:line="240" w:lineRule="auto"/>
              <w:ind w:left="103" w:firstLine="0" w:firstLineChars="0"/>
              <w:jc w:val="left"/>
              <w:rPr>
                <w:rFonts w:ascii="宋体" w:hAnsi="宋体" w:cs="宋体"/>
                <w:color w:val="auto"/>
                <w:sz w:val="21"/>
                <w:szCs w:val="21"/>
              </w:rPr>
            </w:pPr>
            <w:r>
              <w:rPr>
                <w:rFonts w:eastAsia="Times New Roman"/>
                <w:color w:val="auto"/>
                <w:sz w:val="21"/>
                <w:szCs w:val="21"/>
              </w:rPr>
              <w:t>b</w:t>
            </w:r>
            <w:r>
              <w:rPr>
                <w:rFonts w:ascii="宋体" w:hAnsi="宋体" w:cs="宋体"/>
                <w:color w:val="auto"/>
                <w:sz w:val="21"/>
                <w:szCs w:val="21"/>
              </w:rPr>
              <w:t>：矿山类项目指开采区与各场地占地；改、扩建类的指现有工程与拟建工程的占地。</w:t>
            </w:r>
          </w:p>
        </w:tc>
      </w:tr>
    </w:tbl>
    <w:p>
      <w:pPr>
        <w:pStyle w:val="11"/>
        <w:spacing w:after="0"/>
        <w:ind w:firstLine="480"/>
        <w:jc w:val="left"/>
        <w:rPr>
          <w:color w:val="auto"/>
        </w:rPr>
      </w:pPr>
      <w:r>
        <w:rPr>
          <w:rFonts w:hint="eastAsia"/>
          <w:color w:val="auto"/>
        </w:rPr>
        <w:t>5.2.6.2</w:t>
      </w:r>
      <w:r>
        <w:rPr>
          <w:color w:val="auto"/>
        </w:rPr>
        <w:t>预测评价范围</w:t>
      </w:r>
    </w:p>
    <w:p>
      <w:pPr>
        <w:pStyle w:val="11"/>
        <w:spacing w:after="0"/>
        <w:ind w:firstLine="488"/>
        <w:jc w:val="left"/>
        <w:rPr>
          <w:color w:val="auto"/>
        </w:rPr>
      </w:pPr>
      <w:r>
        <w:rPr>
          <w:color w:val="auto"/>
          <w:spacing w:val="2"/>
        </w:rPr>
        <w:t>预测评价范围一般与现状调查评价范围一致，预测评价范围项目占地范围外延</w:t>
      </w:r>
    </w:p>
    <w:p>
      <w:pPr>
        <w:pStyle w:val="11"/>
        <w:spacing w:after="0"/>
        <w:ind w:firstLine="0" w:firstLineChars="0"/>
        <w:jc w:val="left"/>
        <w:rPr>
          <w:color w:val="auto"/>
        </w:rPr>
      </w:pPr>
      <w:r>
        <w:rPr>
          <w:rFonts w:eastAsia="Times New Roman"/>
          <w:color w:val="auto"/>
        </w:rPr>
        <w:t>0.05km</w:t>
      </w:r>
      <w:r>
        <w:rPr>
          <w:color w:val="auto"/>
        </w:rPr>
        <w:t>。</w:t>
      </w:r>
    </w:p>
    <w:p>
      <w:pPr>
        <w:pStyle w:val="11"/>
        <w:spacing w:after="0"/>
        <w:ind w:firstLine="480"/>
        <w:jc w:val="left"/>
        <w:rPr>
          <w:color w:val="auto"/>
        </w:rPr>
      </w:pPr>
      <w:r>
        <w:rPr>
          <w:rFonts w:hint="eastAsia"/>
          <w:color w:val="auto"/>
        </w:rPr>
        <w:t>5.2.6.3</w:t>
      </w:r>
      <w:r>
        <w:rPr>
          <w:color w:val="auto"/>
        </w:rPr>
        <w:t>预测评价</w:t>
      </w:r>
    </w:p>
    <w:p>
      <w:pPr>
        <w:ind w:firstLine="480"/>
        <w:rPr>
          <w:bCs/>
          <w:color w:val="auto"/>
        </w:rPr>
      </w:pPr>
      <w:r>
        <w:rPr>
          <w:rFonts w:hint="eastAsia"/>
          <w:bCs/>
          <w:color w:val="auto"/>
        </w:rPr>
        <w:t>本项目运营期土壤污染影响主要为项目厂区产生的废水下渗影响及沼液施用区沼液过量施用产生的下渗影响。本项目产生的废水中主要污染物为</w:t>
      </w:r>
      <w:r>
        <w:rPr>
          <w:rFonts w:hint="eastAsia"/>
          <w:color w:val="auto"/>
        </w:rPr>
        <w:t>COD、氨氮、粪大肠菌群等</w:t>
      </w:r>
      <w:r>
        <w:rPr>
          <w:rFonts w:hint="eastAsia"/>
          <w:bCs/>
          <w:color w:val="auto"/>
        </w:rPr>
        <w:t>，不涉及突然土壤污染物（镉、汞、砷、铅、铬（六价）、铜、镍、石油烃），无相关的土壤评价标准。因此按照</w:t>
      </w:r>
      <w:r>
        <w:rPr>
          <w:color w:val="auto"/>
        </w:rPr>
        <w:t xml:space="preserve">《环境影响评价技术导则 </w:t>
      </w:r>
      <w:r>
        <w:rPr>
          <w:rFonts w:hint="eastAsia"/>
          <w:color w:val="auto"/>
        </w:rPr>
        <w:t>土壤</w:t>
      </w:r>
      <w:r>
        <w:rPr>
          <w:color w:val="auto"/>
        </w:rPr>
        <w:t>环境</w:t>
      </w:r>
      <w:r>
        <w:rPr>
          <w:rFonts w:hint="eastAsia"/>
          <w:color w:val="auto"/>
        </w:rPr>
        <w:t>（试行）</w:t>
      </w:r>
      <w:r>
        <w:rPr>
          <w:color w:val="auto"/>
        </w:rPr>
        <w:t>》（HJ964-2018）</w:t>
      </w:r>
      <w:r>
        <w:rPr>
          <w:rFonts w:hint="eastAsia"/>
          <w:color w:val="auto"/>
        </w:rPr>
        <w:t>土壤环境影响以定性分析为主。</w:t>
      </w:r>
    </w:p>
    <w:p>
      <w:pPr>
        <w:ind w:firstLine="480"/>
        <w:rPr>
          <w:bCs/>
          <w:color w:val="auto"/>
        </w:rPr>
      </w:pPr>
      <w:r>
        <w:rPr>
          <w:rFonts w:hint="eastAsia"/>
          <w:bCs/>
          <w:color w:val="auto"/>
        </w:rPr>
        <w:t>根据</w:t>
      </w:r>
      <w:r>
        <w:rPr>
          <w:bCs/>
          <w:color w:val="auto"/>
        </w:rPr>
        <w:t>项目</w:t>
      </w:r>
      <w:r>
        <w:rPr>
          <w:rFonts w:hint="eastAsia"/>
          <w:bCs/>
          <w:color w:val="auto"/>
        </w:rPr>
        <w:t>土壤环境质量现状监测结果显示，项目占地范围内土壤取样，监测结果显示，目前土壤中各污染物含量均低于农用地土壤污染风险筛选值（基本项目），表明区域土壤未受到污染。</w:t>
      </w:r>
    </w:p>
    <w:p>
      <w:pPr>
        <w:ind w:firstLine="480"/>
        <w:rPr>
          <w:color w:val="auto"/>
        </w:rPr>
      </w:pPr>
      <w:r>
        <w:rPr>
          <w:rFonts w:hint="eastAsia"/>
          <w:color w:val="auto"/>
        </w:rPr>
        <w:t>本项目产生的废水不存在重金属等污染物。不涉及土壤持久性污染，易吸附降解。不会对土壤质量产生明显恶化影响，环境影响很小，在采取保护措施后影响可以接受。</w:t>
      </w:r>
    </w:p>
    <w:p>
      <w:pPr>
        <w:ind w:firstLine="480"/>
        <w:rPr>
          <w:bCs/>
          <w:color w:val="auto"/>
        </w:rPr>
      </w:pPr>
      <w:r>
        <w:rPr>
          <w:bCs/>
          <w:color w:val="auto"/>
        </w:rPr>
        <w:t>沼液中含有氮、磷、钾元素，还含有丰富的多种微量原素，氨基酸，抗菌素、植物激素和水解酶，能很好改善土壤结构，促进作物生长。但沼液过量施用存在对土壤性质产生影响。</w:t>
      </w:r>
    </w:p>
    <w:p>
      <w:pPr>
        <w:ind w:firstLine="480"/>
        <w:rPr>
          <w:b/>
          <w:color w:val="auto"/>
          <w:u w:val="single"/>
        </w:rPr>
      </w:pPr>
      <w:r>
        <w:rPr>
          <w:bCs/>
          <w:color w:val="auto"/>
        </w:rPr>
        <w:t>经查阅文献资料《猪场沼液灌溉冬小麦对土壤质量的影响》（董红敏 陶秀萍 尚斌，中国农业科学院农业环境与可持续发展研究所农业部农业环境与气候变化重点开放实验室），经文献实验期间在小麦成长期，施用三次沼液，在小麦收割后对土壤进行采样检测，经检测结果显示沼液施用可增加表层土壤(0~10cm)有机质含量，最高增幅为3.0kg/hm</w:t>
      </w:r>
      <w:r>
        <w:rPr>
          <w:bCs/>
          <w:color w:val="auto"/>
          <w:vertAlign w:val="superscript"/>
        </w:rPr>
        <w:t>2</w:t>
      </w:r>
      <w:r>
        <w:rPr>
          <w:bCs/>
          <w:color w:val="auto"/>
        </w:rPr>
        <w:t>；灌溉猪场沼液有降低土壤pH值的作用，最高下降0.4个pH单位，但未发生土壤酸化；只有追施3次沼液的处理才有土壤中明显氮积累的现象。通过以上分析说明控制沼液的合理施用，可有效的为植物生长提供充足的养分，同时可预防土壤中各种物质的积累，影响土壤环境质量。本项目沼液的使用由牧原养殖场配备专业技术人员指导当地农户合理使用，严控施用量，对土壤环境的影响在可控范围内</w:t>
      </w:r>
      <w:r>
        <w:rPr>
          <w:color w:val="auto"/>
        </w:rPr>
        <w:t>。</w:t>
      </w:r>
    </w:p>
    <w:p>
      <w:pPr>
        <w:keepNext/>
        <w:keepLines/>
        <w:numPr>
          <w:ilvl w:val="3"/>
          <w:numId w:val="0"/>
        </w:numPr>
        <w:jc w:val="left"/>
        <w:outlineLvl w:val="3"/>
        <w:rPr>
          <w:color w:val="auto"/>
        </w:rPr>
      </w:pPr>
      <w:r>
        <w:rPr>
          <w:rFonts w:hint="eastAsia"/>
          <w:color w:val="auto"/>
        </w:rPr>
        <w:t>5.2.6.4保护措施及对策</w:t>
      </w:r>
    </w:p>
    <w:p>
      <w:pPr>
        <w:ind w:firstLine="480"/>
        <w:rPr>
          <w:color w:val="auto"/>
        </w:rPr>
      </w:pPr>
      <w:r>
        <w:rPr>
          <w:rFonts w:hint="eastAsia"/>
          <w:color w:val="auto"/>
        </w:rPr>
        <w:t>入渗预防措施主要为分区防渗，本项目</w:t>
      </w:r>
      <w:r>
        <w:rPr>
          <w:rFonts w:hint="eastAsia"/>
          <w:bCs/>
          <w:color w:val="auto"/>
        </w:rPr>
        <w:t>黑膜沼气池</w:t>
      </w:r>
      <w:r>
        <w:rPr>
          <w:rFonts w:hint="eastAsia"/>
          <w:color w:val="auto"/>
        </w:rPr>
        <w:t>、养殖区、危险废物暂存间、病死猪处理间，均设置为重点防渗区域。防渗区具体设置情况参照地下水影响分析章节。</w:t>
      </w:r>
    </w:p>
    <w:p>
      <w:pPr>
        <w:ind w:firstLine="480"/>
        <w:rPr>
          <w:color w:val="auto"/>
        </w:rPr>
      </w:pPr>
      <w:r>
        <w:rPr>
          <w:rFonts w:hint="eastAsia"/>
          <w:color w:val="auto"/>
        </w:rPr>
        <w:t>项目对产生的废水进行合理的治理和综合利用，以先进工艺、管道、设备、污水储存，尽可能从源头上减少可能污染物产生；严格按照国家相关规范要求，对工艺、管道、设备、污水储存及处理构筑物采取相应的措施，以防止和降低可能污染物的跑、冒、滴、漏，将废水泄漏的环境风险事故降低到最低程度；管线铺设尽量采用</w:t>
      </w:r>
      <w:r>
        <w:rPr>
          <w:color w:val="auto"/>
        </w:rPr>
        <w:t>“</w:t>
      </w:r>
      <w:r>
        <w:rPr>
          <w:rFonts w:hint="eastAsia"/>
          <w:color w:val="auto"/>
        </w:rPr>
        <w:t>可视化</w:t>
      </w:r>
      <w:r>
        <w:rPr>
          <w:color w:val="auto"/>
        </w:rPr>
        <w:t>”</w:t>
      </w:r>
      <w:r>
        <w:rPr>
          <w:rFonts w:hint="eastAsia"/>
          <w:color w:val="auto"/>
        </w:rPr>
        <w:t>原则，即管道尽可能地上铺设，做到污染物</w:t>
      </w:r>
      <w:r>
        <w:rPr>
          <w:color w:val="auto"/>
        </w:rPr>
        <w:t>“</w:t>
      </w:r>
      <w:r>
        <w:rPr>
          <w:rFonts w:hint="eastAsia"/>
          <w:color w:val="auto"/>
        </w:rPr>
        <w:t>早发现、早处理</w:t>
      </w:r>
      <w:r>
        <w:rPr>
          <w:color w:val="auto"/>
        </w:rPr>
        <w:t>”</w:t>
      </w:r>
      <w:r>
        <w:rPr>
          <w:rFonts w:hint="eastAsia"/>
          <w:color w:val="auto"/>
        </w:rPr>
        <w:t>，以减少由于埋地管道泄漏而可能造成的地下水污染。</w:t>
      </w:r>
    </w:p>
    <w:p>
      <w:pPr>
        <w:ind w:firstLine="480"/>
        <w:rPr>
          <w:color w:val="auto"/>
        </w:rPr>
      </w:pPr>
      <w:r>
        <w:rPr>
          <w:rFonts w:hint="eastAsia"/>
          <w:color w:val="auto"/>
        </w:rPr>
        <w:t>进行质量体系认证，实现</w:t>
      </w:r>
      <w:r>
        <w:rPr>
          <w:color w:val="auto"/>
        </w:rPr>
        <w:t>“</w:t>
      </w:r>
      <w:r>
        <w:rPr>
          <w:rFonts w:hint="eastAsia"/>
          <w:color w:val="auto"/>
        </w:rPr>
        <w:t>质量、安全、环境</w:t>
      </w:r>
      <w:r>
        <w:rPr>
          <w:color w:val="auto"/>
        </w:rPr>
        <w:t>”</w:t>
      </w:r>
      <w:r>
        <w:rPr>
          <w:rFonts w:hint="eastAsia"/>
          <w:color w:val="auto"/>
        </w:rPr>
        <w:t>三位一体的全面质量管理目标。</w:t>
      </w:r>
    </w:p>
    <w:p>
      <w:pPr>
        <w:ind w:firstLine="480"/>
        <w:rPr>
          <w:color w:val="auto"/>
        </w:rPr>
      </w:pPr>
      <w:r>
        <w:rPr>
          <w:rFonts w:hint="eastAsia"/>
          <w:color w:val="auto"/>
        </w:rPr>
        <w:t>设立地下水动态监测小组，负责对地下水环境监测和管理，或者委托专业的机构完成。建立有关规章制度和岗位责任制。制定风险预警方案，设立应急设施减少环境污染影响。</w:t>
      </w:r>
    </w:p>
    <w:p>
      <w:pPr>
        <w:ind w:firstLine="480"/>
        <w:rPr>
          <w:color w:val="auto"/>
        </w:rPr>
      </w:pPr>
      <w:r>
        <w:rPr>
          <w:color w:val="auto"/>
        </w:rPr>
        <w:t>本项目沼液的使用由牧原养殖场配备专业技术人员指导当地农户合理使用，严控施用量，对土壤环境的影响在可控范围内。</w:t>
      </w:r>
    </w:p>
    <w:p>
      <w:pPr>
        <w:keepNext/>
        <w:keepLines/>
        <w:numPr>
          <w:ilvl w:val="3"/>
          <w:numId w:val="0"/>
        </w:numPr>
        <w:jc w:val="left"/>
        <w:outlineLvl w:val="3"/>
        <w:rPr>
          <w:color w:val="auto"/>
        </w:rPr>
      </w:pPr>
      <w:r>
        <w:rPr>
          <w:rFonts w:hint="eastAsia"/>
          <w:color w:val="auto"/>
        </w:rPr>
        <w:t>5.2.6.5跟踪监测措施</w:t>
      </w:r>
    </w:p>
    <w:p>
      <w:pPr>
        <w:ind w:firstLine="480"/>
        <w:rPr>
          <w:bCs/>
          <w:color w:val="auto"/>
        </w:rPr>
      </w:pPr>
      <w:r>
        <w:rPr>
          <w:rFonts w:hint="eastAsia"/>
          <w:bCs/>
          <w:color w:val="auto"/>
        </w:rPr>
        <w:t>为了及时准确掌握厂区及周边土壤环境质量状况和土壤中污染物的动态变化，项目拟建立覆盖全区的土壤环境长期监控系统，包括科学、合理地设置土壤污染监控点，建立完善的监测制度，配备先进的检测仪器和设备，以便及时发现并及时控制。</w:t>
      </w:r>
    </w:p>
    <w:p>
      <w:pPr>
        <w:ind w:firstLine="480"/>
        <w:rPr>
          <w:bCs/>
          <w:color w:val="auto"/>
        </w:rPr>
      </w:pPr>
      <w:r>
        <w:rPr>
          <w:rFonts w:hint="eastAsia"/>
          <w:bCs/>
          <w:color w:val="auto"/>
        </w:rPr>
        <w:t>根据导则要求，结合项目特征，在厂区外布置处土壤跟踪监测点。各土壤跟踪监测布置情况见表5.3-35。</w:t>
      </w:r>
    </w:p>
    <w:p>
      <w:pPr>
        <w:ind w:left="480" w:leftChars="200" w:firstLine="0" w:firstLineChars="0"/>
        <w:jc w:val="center"/>
        <w:rPr>
          <w:b/>
          <w:color w:val="auto"/>
          <w:szCs w:val="21"/>
        </w:rPr>
      </w:pPr>
      <w:r>
        <w:rPr>
          <w:rFonts w:hint="eastAsia"/>
          <w:b/>
          <w:color w:val="auto"/>
          <w:szCs w:val="21"/>
        </w:rPr>
        <w:t>5.3-35            土壤跟踪监测点布置一览表</w:t>
      </w:r>
    </w:p>
    <w:tbl>
      <w:tblPr>
        <w:tblStyle w:val="27"/>
        <w:tblW w:w="4998"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987"/>
        <w:gridCol w:w="1327"/>
        <w:gridCol w:w="2031"/>
        <w:gridCol w:w="2016"/>
        <w:gridCol w:w="242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57" w:hRule="atLeast"/>
        </w:trPr>
        <w:tc>
          <w:tcPr>
            <w:tcW w:w="562" w:type="pct"/>
            <w:vAlign w:val="center"/>
          </w:tcPr>
          <w:p>
            <w:pPr>
              <w:spacing w:line="240" w:lineRule="auto"/>
              <w:ind w:firstLine="0" w:firstLineChars="0"/>
              <w:jc w:val="center"/>
              <w:rPr>
                <w:b/>
                <w:color w:val="auto"/>
                <w:kern w:val="0"/>
                <w:sz w:val="21"/>
                <w:szCs w:val="21"/>
              </w:rPr>
            </w:pPr>
            <w:r>
              <w:rPr>
                <w:rFonts w:hint="eastAsia"/>
                <w:b/>
                <w:color w:val="auto"/>
                <w:kern w:val="0"/>
                <w:sz w:val="21"/>
                <w:szCs w:val="21"/>
              </w:rPr>
              <w:t>序号</w:t>
            </w:r>
          </w:p>
        </w:tc>
        <w:tc>
          <w:tcPr>
            <w:tcW w:w="755" w:type="pct"/>
            <w:vAlign w:val="center"/>
          </w:tcPr>
          <w:p>
            <w:pPr>
              <w:spacing w:line="240" w:lineRule="auto"/>
              <w:ind w:firstLine="0" w:firstLineChars="0"/>
              <w:jc w:val="center"/>
              <w:rPr>
                <w:b/>
                <w:color w:val="auto"/>
                <w:kern w:val="0"/>
                <w:sz w:val="21"/>
                <w:szCs w:val="21"/>
              </w:rPr>
            </w:pPr>
            <w:r>
              <w:rPr>
                <w:rFonts w:hint="eastAsia"/>
                <w:b/>
                <w:color w:val="auto"/>
                <w:kern w:val="0"/>
                <w:sz w:val="21"/>
                <w:szCs w:val="21"/>
              </w:rPr>
              <w:t>监测点位置</w:t>
            </w:r>
          </w:p>
        </w:tc>
        <w:tc>
          <w:tcPr>
            <w:tcW w:w="1156" w:type="pct"/>
            <w:vAlign w:val="center"/>
          </w:tcPr>
          <w:p>
            <w:pPr>
              <w:spacing w:line="240" w:lineRule="auto"/>
              <w:ind w:firstLine="0" w:firstLineChars="0"/>
              <w:jc w:val="center"/>
              <w:rPr>
                <w:b/>
                <w:color w:val="auto"/>
                <w:kern w:val="0"/>
                <w:sz w:val="21"/>
                <w:szCs w:val="21"/>
              </w:rPr>
            </w:pPr>
            <w:r>
              <w:rPr>
                <w:rFonts w:hint="eastAsia"/>
                <w:b/>
                <w:color w:val="auto"/>
                <w:kern w:val="0"/>
                <w:sz w:val="21"/>
                <w:szCs w:val="21"/>
              </w:rPr>
              <w:t>采样深度</w:t>
            </w:r>
          </w:p>
        </w:tc>
        <w:tc>
          <w:tcPr>
            <w:tcW w:w="1147" w:type="pct"/>
            <w:vAlign w:val="center"/>
          </w:tcPr>
          <w:p>
            <w:pPr>
              <w:spacing w:line="240" w:lineRule="auto"/>
              <w:ind w:firstLine="0" w:firstLineChars="0"/>
              <w:jc w:val="center"/>
              <w:rPr>
                <w:b/>
                <w:color w:val="auto"/>
                <w:kern w:val="0"/>
                <w:sz w:val="21"/>
                <w:szCs w:val="21"/>
              </w:rPr>
            </w:pPr>
            <w:r>
              <w:rPr>
                <w:rFonts w:hint="eastAsia"/>
                <w:b/>
                <w:color w:val="auto"/>
                <w:kern w:val="0"/>
                <w:sz w:val="21"/>
                <w:szCs w:val="21"/>
              </w:rPr>
              <w:t>监测频率</w:t>
            </w:r>
          </w:p>
        </w:tc>
        <w:tc>
          <w:tcPr>
            <w:tcW w:w="1378" w:type="pct"/>
            <w:vAlign w:val="center"/>
          </w:tcPr>
          <w:p>
            <w:pPr>
              <w:spacing w:line="240" w:lineRule="auto"/>
              <w:ind w:firstLine="0" w:firstLineChars="0"/>
              <w:jc w:val="center"/>
              <w:rPr>
                <w:b/>
                <w:color w:val="auto"/>
                <w:kern w:val="0"/>
                <w:sz w:val="21"/>
                <w:szCs w:val="21"/>
              </w:rPr>
            </w:pPr>
            <w:r>
              <w:rPr>
                <w:rFonts w:hint="eastAsia"/>
                <w:b/>
                <w:color w:val="auto"/>
                <w:kern w:val="0"/>
                <w:sz w:val="21"/>
                <w:szCs w:val="21"/>
              </w:rPr>
              <w:t>监测因子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trPr>
        <w:tc>
          <w:tcPr>
            <w:tcW w:w="562" w:type="pct"/>
            <w:vAlign w:val="center"/>
          </w:tcPr>
          <w:p>
            <w:pPr>
              <w:spacing w:line="240" w:lineRule="auto"/>
              <w:ind w:firstLine="0" w:firstLineChars="0"/>
              <w:jc w:val="center"/>
              <w:rPr>
                <w:color w:val="auto"/>
                <w:kern w:val="0"/>
                <w:sz w:val="21"/>
                <w:szCs w:val="21"/>
              </w:rPr>
            </w:pPr>
            <w:r>
              <w:rPr>
                <w:rFonts w:hint="eastAsia"/>
                <w:color w:val="auto"/>
                <w:kern w:val="0"/>
                <w:sz w:val="21"/>
                <w:szCs w:val="21"/>
              </w:rPr>
              <w:t>1#</w:t>
            </w:r>
          </w:p>
        </w:tc>
        <w:tc>
          <w:tcPr>
            <w:tcW w:w="755" w:type="pct"/>
            <w:vAlign w:val="center"/>
          </w:tcPr>
          <w:p>
            <w:pPr>
              <w:spacing w:line="240" w:lineRule="auto"/>
              <w:ind w:firstLine="0" w:firstLineChars="0"/>
              <w:jc w:val="center"/>
              <w:rPr>
                <w:color w:val="auto"/>
                <w:kern w:val="0"/>
                <w:sz w:val="21"/>
                <w:szCs w:val="21"/>
              </w:rPr>
            </w:pPr>
            <w:r>
              <w:rPr>
                <w:rFonts w:hint="eastAsia"/>
                <w:color w:val="auto"/>
                <w:kern w:val="0"/>
                <w:sz w:val="21"/>
                <w:szCs w:val="21"/>
              </w:rPr>
              <w:t>厂区北侧农田</w:t>
            </w:r>
          </w:p>
        </w:tc>
        <w:tc>
          <w:tcPr>
            <w:tcW w:w="1156" w:type="pct"/>
            <w:vAlign w:val="center"/>
          </w:tcPr>
          <w:p>
            <w:pPr>
              <w:spacing w:line="240" w:lineRule="auto"/>
              <w:ind w:firstLine="0" w:firstLineChars="0"/>
              <w:jc w:val="center"/>
              <w:rPr>
                <w:color w:val="auto"/>
                <w:kern w:val="0"/>
                <w:sz w:val="21"/>
                <w:szCs w:val="21"/>
              </w:rPr>
            </w:pPr>
            <w:r>
              <w:rPr>
                <w:rFonts w:hint="eastAsia"/>
                <w:color w:val="auto"/>
                <w:kern w:val="0"/>
                <w:sz w:val="21"/>
                <w:szCs w:val="21"/>
              </w:rPr>
              <w:t>0</w:t>
            </w:r>
            <w:r>
              <w:rPr>
                <w:color w:val="auto"/>
                <w:kern w:val="0"/>
                <w:sz w:val="21"/>
                <w:szCs w:val="21"/>
              </w:rPr>
              <w:t>.2m</w:t>
            </w:r>
          </w:p>
        </w:tc>
        <w:tc>
          <w:tcPr>
            <w:tcW w:w="1147" w:type="pct"/>
            <w:vAlign w:val="center"/>
          </w:tcPr>
          <w:p>
            <w:pPr>
              <w:spacing w:line="240" w:lineRule="auto"/>
              <w:ind w:firstLine="0" w:firstLineChars="0"/>
              <w:jc w:val="center"/>
              <w:rPr>
                <w:color w:val="auto"/>
                <w:kern w:val="0"/>
                <w:sz w:val="21"/>
                <w:szCs w:val="21"/>
              </w:rPr>
            </w:pPr>
            <w:r>
              <w:rPr>
                <w:rFonts w:hint="eastAsia"/>
                <w:color w:val="auto"/>
                <w:kern w:val="0"/>
                <w:sz w:val="21"/>
                <w:szCs w:val="21"/>
              </w:rPr>
              <w:t>每5年监测</w:t>
            </w:r>
          </w:p>
          <w:p>
            <w:pPr>
              <w:spacing w:line="240" w:lineRule="auto"/>
              <w:ind w:firstLine="0" w:firstLineChars="0"/>
              <w:jc w:val="center"/>
              <w:rPr>
                <w:color w:val="auto"/>
                <w:kern w:val="0"/>
                <w:sz w:val="21"/>
                <w:szCs w:val="21"/>
              </w:rPr>
            </w:pPr>
            <w:r>
              <w:rPr>
                <w:rFonts w:hint="eastAsia"/>
                <w:color w:val="auto"/>
                <w:kern w:val="0"/>
                <w:sz w:val="21"/>
                <w:szCs w:val="21"/>
              </w:rPr>
              <w:t>一次</w:t>
            </w:r>
          </w:p>
        </w:tc>
        <w:tc>
          <w:tcPr>
            <w:tcW w:w="1378" w:type="pct"/>
            <w:vAlign w:val="center"/>
          </w:tcPr>
          <w:p>
            <w:pPr>
              <w:spacing w:line="240" w:lineRule="auto"/>
              <w:ind w:firstLine="0" w:firstLineChars="0"/>
              <w:jc w:val="center"/>
              <w:rPr>
                <w:color w:val="auto"/>
                <w:kern w:val="0"/>
                <w:sz w:val="21"/>
                <w:szCs w:val="21"/>
              </w:rPr>
            </w:pPr>
            <w:r>
              <w:rPr>
                <w:color w:val="auto"/>
                <w:sz w:val="21"/>
                <w:szCs w:val="21"/>
              </w:rPr>
              <w:t>pH、氮、磷、钾</w:t>
            </w:r>
          </w:p>
        </w:tc>
      </w:tr>
    </w:tbl>
    <w:p>
      <w:pPr>
        <w:keepNext/>
        <w:keepLines/>
        <w:numPr>
          <w:ilvl w:val="3"/>
          <w:numId w:val="0"/>
        </w:numPr>
        <w:jc w:val="left"/>
        <w:outlineLvl w:val="3"/>
        <w:rPr>
          <w:color w:val="auto"/>
        </w:rPr>
      </w:pPr>
      <w:r>
        <w:rPr>
          <w:rFonts w:hint="eastAsia"/>
          <w:color w:val="auto"/>
        </w:rPr>
        <w:t>5.2.6.6结论</w:t>
      </w:r>
    </w:p>
    <w:p>
      <w:pPr>
        <w:ind w:firstLine="480"/>
        <w:rPr>
          <w:bCs/>
          <w:color w:val="auto"/>
        </w:rPr>
      </w:pPr>
      <w:r>
        <w:rPr>
          <w:rFonts w:hint="eastAsia"/>
          <w:bCs/>
          <w:color w:val="auto"/>
        </w:rPr>
        <w:t>（</w:t>
      </w:r>
      <w:r>
        <w:rPr>
          <w:bCs/>
          <w:color w:val="auto"/>
        </w:rPr>
        <w:t>1</w:t>
      </w:r>
      <w:r>
        <w:rPr>
          <w:rFonts w:hint="eastAsia"/>
          <w:bCs/>
          <w:color w:val="auto"/>
        </w:rPr>
        <w:t>）本次土壤质量现状监测结果显示，土壤各采样区相关因子均满足相应的标准要求，项目按照设计要求进行防渗处理，项目对土壤环境影响程度较小。</w:t>
      </w:r>
    </w:p>
    <w:p>
      <w:pPr>
        <w:ind w:firstLine="480"/>
        <w:rPr>
          <w:b/>
          <w:color w:val="auto"/>
          <w:u w:val="single"/>
        </w:rPr>
      </w:pPr>
      <w:r>
        <w:rPr>
          <w:rFonts w:hint="eastAsia"/>
          <w:bCs/>
          <w:color w:val="auto"/>
        </w:rPr>
        <w:t>（</w:t>
      </w:r>
      <w:r>
        <w:rPr>
          <w:bCs/>
          <w:color w:val="auto"/>
        </w:rPr>
        <w:t>2</w:t>
      </w:r>
      <w:r>
        <w:rPr>
          <w:rFonts w:hint="eastAsia"/>
          <w:bCs/>
          <w:color w:val="auto"/>
        </w:rPr>
        <w:t>）</w:t>
      </w:r>
      <w:r>
        <w:rPr>
          <w:rFonts w:hint="eastAsia"/>
          <w:color w:val="auto"/>
        </w:rPr>
        <w:t>本项目产生的废水属于有机废水不存在重金属等污染物。不涉及土壤持久性污染，易吸附降解。不会对土壤质量产生明显恶化影响，环境影响很小，在采取保护措施后影响可以接受。</w:t>
      </w:r>
      <w:r>
        <w:rPr>
          <w:bCs/>
          <w:color w:val="auto"/>
        </w:rPr>
        <w:t>本项目沼液的使用由牧原养殖场配备专业技术人员指导当地农户合理使用，严控施用量，对土壤环境的影响在可控范围内</w:t>
      </w:r>
      <w:r>
        <w:rPr>
          <w:color w:val="auto"/>
        </w:rPr>
        <w:t>。</w:t>
      </w:r>
    </w:p>
    <w:p>
      <w:pPr>
        <w:ind w:firstLine="480"/>
        <w:rPr>
          <w:bCs/>
          <w:color w:val="auto"/>
        </w:rPr>
      </w:pPr>
      <w:r>
        <w:rPr>
          <w:rFonts w:hint="eastAsia"/>
          <w:bCs/>
          <w:color w:val="auto"/>
        </w:rPr>
        <w:t>综合以上分析，本评价认为，项目实施后对周边土壤的累积影响是可接受的。</w:t>
      </w:r>
    </w:p>
    <w:p>
      <w:pPr>
        <w:keepNext/>
        <w:keepLines/>
        <w:numPr>
          <w:ilvl w:val="3"/>
          <w:numId w:val="0"/>
        </w:numPr>
        <w:jc w:val="left"/>
        <w:outlineLvl w:val="3"/>
        <w:rPr>
          <w:color w:val="auto"/>
        </w:rPr>
      </w:pPr>
      <w:r>
        <w:rPr>
          <w:rFonts w:hint="eastAsia"/>
          <w:color w:val="auto"/>
        </w:rPr>
        <w:t>5.2.6.7土壤环境影响评价自查表</w:t>
      </w:r>
    </w:p>
    <w:p>
      <w:pPr>
        <w:ind w:firstLine="480"/>
        <w:rPr>
          <w:bCs/>
          <w:color w:val="auto"/>
        </w:rPr>
      </w:pPr>
      <w:r>
        <w:rPr>
          <w:bCs/>
          <w:color w:val="auto"/>
        </w:rPr>
        <w:t>本次</w:t>
      </w:r>
      <w:r>
        <w:rPr>
          <w:rFonts w:hint="eastAsia"/>
          <w:bCs/>
          <w:color w:val="auto"/>
        </w:rPr>
        <w:t>土壤</w:t>
      </w:r>
      <w:r>
        <w:rPr>
          <w:bCs/>
          <w:color w:val="auto"/>
        </w:rPr>
        <w:t>环境影响评价完成后，对</w:t>
      </w:r>
      <w:r>
        <w:rPr>
          <w:rFonts w:hint="eastAsia"/>
          <w:bCs/>
          <w:color w:val="auto"/>
        </w:rPr>
        <w:t>土壤</w:t>
      </w:r>
      <w:r>
        <w:rPr>
          <w:bCs/>
          <w:color w:val="auto"/>
        </w:rPr>
        <w:t>环境影响评价主要内容与结论进行自查，详见下表</w:t>
      </w:r>
      <w:r>
        <w:rPr>
          <w:rFonts w:hint="eastAsia"/>
          <w:bCs/>
          <w:color w:val="auto"/>
        </w:rPr>
        <w:t>。</w:t>
      </w:r>
    </w:p>
    <w:p>
      <w:pPr>
        <w:numPr>
          <w:ilvl w:val="0"/>
          <w:numId w:val="10"/>
        </w:numPr>
        <w:ind w:left="0" w:firstLine="482"/>
        <w:jc w:val="left"/>
        <w:rPr>
          <w:b/>
          <w:color w:val="auto"/>
          <w:szCs w:val="21"/>
        </w:rPr>
      </w:pPr>
      <w:r>
        <w:rPr>
          <w:rFonts w:hint="eastAsia"/>
          <w:b/>
          <w:color w:val="auto"/>
          <w:szCs w:val="21"/>
        </w:rPr>
        <w:t xml:space="preserve">              土壤环境影响评价自查表</w:t>
      </w:r>
    </w:p>
    <w:tbl>
      <w:tblPr>
        <w:tblStyle w:val="27"/>
        <w:tblW w:w="4998"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399"/>
        <w:gridCol w:w="1573"/>
        <w:gridCol w:w="1327"/>
        <w:gridCol w:w="1314"/>
        <w:gridCol w:w="122"/>
        <w:gridCol w:w="1068"/>
        <w:gridCol w:w="454"/>
        <w:gridCol w:w="429"/>
        <w:gridCol w:w="405"/>
        <w:gridCol w:w="557"/>
        <w:gridCol w:w="1079"/>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1130" w:type="pct"/>
            <w:gridSpan w:val="2"/>
            <w:tcBorders>
              <w:top w:val="single" w:color="000000" w:sz="8" w:space="0"/>
              <w:left w:val="nil"/>
              <w:bottom w:val="single" w:color="000000" w:sz="8" w:space="0"/>
              <w:right w:val="single" w:color="000000" w:sz="6" w:space="0"/>
            </w:tcBorders>
            <w:vAlign w:val="center"/>
          </w:tcPr>
          <w:p>
            <w:pPr>
              <w:pStyle w:val="42"/>
              <w:spacing w:line="240" w:lineRule="auto"/>
              <w:ind w:firstLine="0" w:firstLineChars="0"/>
              <w:jc w:val="center"/>
              <w:rPr>
                <w:b/>
                <w:color w:val="auto"/>
                <w:sz w:val="18"/>
                <w:szCs w:val="18"/>
              </w:rPr>
            </w:pPr>
            <w:r>
              <w:rPr>
                <w:rFonts w:hint="eastAsia"/>
                <w:b/>
                <w:color w:val="auto"/>
                <w:sz w:val="18"/>
                <w:szCs w:val="18"/>
              </w:rPr>
              <w:t>工作内容</w:t>
            </w:r>
          </w:p>
        </w:tc>
        <w:tc>
          <w:tcPr>
            <w:tcW w:w="3252" w:type="pct"/>
            <w:gridSpan w:val="8"/>
            <w:tcBorders>
              <w:top w:val="single" w:color="000000" w:sz="8" w:space="0"/>
              <w:left w:val="nil"/>
              <w:bottom w:val="single" w:color="000000" w:sz="8" w:space="0"/>
              <w:right w:val="single" w:color="000000" w:sz="6" w:space="0"/>
            </w:tcBorders>
            <w:vAlign w:val="center"/>
          </w:tcPr>
          <w:p>
            <w:pPr>
              <w:pStyle w:val="42"/>
              <w:spacing w:line="240" w:lineRule="auto"/>
              <w:ind w:firstLine="0" w:firstLineChars="0"/>
              <w:jc w:val="center"/>
              <w:rPr>
                <w:b/>
                <w:color w:val="auto"/>
                <w:sz w:val="18"/>
                <w:szCs w:val="18"/>
              </w:rPr>
            </w:pPr>
            <w:r>
              <w:rPr>
                <w:rFonts w:hint="eastAsia"/>
                <w:b/>
                <w:color w:val="auto"/>
                <w:sz w:val="18"/>
                <w:szCs w:val="18"/>
              </w:rPr>
              <w:t>完成情况</w:t>
            </w:r>
          </w:p>
        </w:tc>
        <w:tc>
          <w:tcPr>
            <w:tcW w:w="616" w:type="pct"/>
            <w:tcBorders>
              <w:top w:val="single" w:color="000000" w:sz="8" w:space="0"/>
              <w:left w:val="nil"/>
              <w:bottom w:val="single" w:color="000000" w:sz="8" w:space="0"/>
              <w:right w:val="nil"/>
            </w:tcBorders>
            <w:vAlign w:val="center"/>
          </w:tcPr>
          <w:p>
            <w:pPr>
              <w:pStyle w:val="42"/>
              <w:spacing w:line="240" w:lineRule="auto"/>
              <w:ind w:firstLine="0" w:firstLineChars="0"/>
              <w:jc w:val="center"/>
              <w:rPr>
                <w:b/>
                <w:color w:val="auto"/>
                <w:sz w:val="18"/>
                <w:szCs w:val="18"/>
              </w:rPr>
            </w:pPr>
            <w:r>
              <w:rPr>
                <w:rFonts w:hint="eastAsia"/>
                <w:b/>
                <w:color w:val="auto"/>
                <w:sz w:val="18"/>
                <w:szCs w:val="18"/>
              </w:rPr>
              <w:t>备注</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1" w:hRule="atLeast"/>
          <w:jc w:val="center"/>
        </w:trPr>
        <w:tc>
          <w:tcPr>
            <w:tcW w:w="229" w:type="pct"/>
            <w:vMerge w:val="restart"/>
            <w:tcBorders>
              <w:top w:val="nil"/>
              <w:left w:val="nil"/>
              <w:bottom w:val="single" w:color="000000" w:sz="6" w:space="0"/>
              <w:right w:val="single" w:color="000000" w:sz="6" w:space="0"/>
            </w:tcBorders>
            <w:vAlign w:val="center"/>
          </w:tcPr>
          <w:p>
            <w:pPr>
              <w:pStyle w:val="42"/>
              <w:spacing w:line="240" w:lineRule="auto"/>
              <w:ind w:firstLine="0" w:firstLineChars="0"/>
              <w:jc w:val="center"/>
              <w:rPr>
                <w:color w:val="auto"/>
                <w:sz w:val="18"/>
                <w:szCs w:val="18"/>
              </w:rPr>
            </w:pPr>
            <w:r>
              <w:rPr>
                <w:rFonts w:hint="eastAsia"/>
                <w:color w:val="auto"/>
                <w:sz w:val="18"/>
                <w:szCs w:val="18"/>
              </w:rPr>
              <w:t>影响识别</w:t>
            </w:r>
          </w:p>
        </w:tc>
        <w:tc>
          <w:tcPr>
            <w:tcW w:w="901" w:type="pct"/>
            <w:tcBorders>
              <w:top w:val="single" w:color="000000" w:sz="8" w:space="0"/>
              <w:left w:val="nil"/>
              <w:bottom w:val="single" w:color="000000" w:sz="8" w:space="0"/>
              <w:right w:val="single" w:color="000000" w:sz="6" w:space="0"/>
            </w:tcBorders>
            <w:vAlign w:val="center"/>
          </w:tcPr>
          <w:p>
            <w:pPr>
              <w:pStyle w:val="42"/>
              <w:spacing w:line="240" w:lineRule="auto"/>
              <w:ind w:firstLine="0" w:firstLineChars="0"/>
              <w:jc w:val="center"/>
              <w:rPr>
                <w:color w:val="auto"/>
                <w:sz w:val="18"/>
                <w:szCs w:val="18"/>
              </w:rPr>
            </w:pPr>
            <w:r>
              <w:rPr>
                <w:rFonts w:hint="eastAsia"/>
                <w:color w:val="auto"/>
                <w:sz w:val="18"/>
                <w:szCs w:val="18"/>
              </w:rPr>
              <w:t>影响类型</w:t>
            </w:r>
          </w:p>
        </w:tc>
        <w:tc>
          <w:tcPr>
            <w:tcW w:w="3252" w:type="pct"/>
            <w:gridSpan w:val="8"/>
            <w:tcBorders>
              <w:top w:val="single" w:color="000000" w:sz="8" w:space="0"/>
              <w:left w:val="nil"/>
              <w:bottom w:val="single" w:color="000000" w:sz="8" w:space="0"/>
              <w:right w:val="single" w:color="000000" w:sz="6" w:space="0"/>
            </w:tcBorders>
            <w:vAlign w:val="center"/>
          </w:tcPr>
          <w:p>
            <w:pPr>
              <w:pStyle w:val="42"/>
              <w:spacing w:line="240" w:lineRule="auto"/>
              <w:ind w:firstLine="0" w:firstLineChars="0"/>
              <w:rPr>
                <w:color w:val="auto"/>
                <w:sz w:val="18"/>
                <w:szCs w:val="18"/>
              </w:rPr>
            </w:pPr>
            <w:r>
              <w:rPr>
                <w:rFonts w:hint="eastAsia"/>
                <w:color w:val="auto"/>
                <w:sz w:val="18"/>
                <w:szCs w:val="18"/>
              </w:rPr>
              <w:t>污染影响型</w:t>
            </w:r>
            <w:r>
              <w:rPr>
                <w:rFonts w:ascii="Wingdings 2" w:hAnsi="Wingdings 2"/>
                <w:color w:val="auto"/>
                <w:sz w:val="18"/>
                <w:szCs w:val="18"/>
              </w:rPr>
              <w:t></w:t>
            </w:r>
            <w:r>
              <w:rPr>
                <w:rFonts w:hint="eastAsia"/>
                <w:color w:val="auto"/>
                <w:sz w:val="18"/>
                <w:szCs w:val="18"/>
              </w:rPr>
              <w:t>；生态影响型□；两种兼有□</w:t>
            </w:r>
          </w:p>
        </w:tc>
        <w:tc>
          <w:tcPr>
            <w:tcW w:w="616" w:type="pct"/>
            <w:tcBorders>
              <w:top w:val="single" w:color="000000" w:sz="8" w:space="0"/>
              <w:left w:val="nil"/>
              <w:bottom w:val="single" w:color="000000" w:sz="8" w:space="0"/>
              <w:right w:val="nil"/>
            </w:tcBorders>
            <w:vAlign w:val="center"/>
          </w:tcPr>
          <w:p>
            <w:pPr>
              <w:pStyle w:val="42"/>
              <w:spacing w:line="240" w:lineRule="auto"/>
              <w:ind w:firstLine="0" w:firstLineChars="0"/>
              <w:jc w:val="center"/>
              <w:rPr>
                <w:color w:val="auto"/>
                <w:sz w:val="18"/>
                <w:szCs w:val="18"/>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24" w:hRule="atLeast"/>
          <w:jc w:val="center"/>
        </w:trPr>
        <w:tc>
          <w:tcPr>
            <w:tcW w:w="229" w:type="pct"/>
            <w:vMerge w:val="continue"/>
            <w:tcBorders>
              <w:top w:val="nil"/>
              <w:left w:val="nil"/>
              <w:bottom w:val="single" w:color="000000" w:sz="6" w:space="0"/>
              <w:right w:val="single" w:color="000000" w:sz="6" w:space="0"/>
            </w:tcBorders>
            <w:vAlign w:val="center"/>
          </w:tcPr>
          <w:p>
            <w:pPr>
              <w:widowControl/>
              <w:spacing w:line="240" w:lineRule="auto"/>
              <w:ind w:firstLine="0" w:firstLineChars="0"/>
              <w:rPr>
                <w:rFonts w:ascii="宋体" w:hAnsi="宋体"/>
                <w:color w:val="auto"/>
                <w:sz w:val="18"/>
                <w:szCs w:val="18"/>
              </w:rPr>
            </w:pPr>
          </w:p>
        </w:tc>
        <w:tc>
          <w:tcPr>
            <w:tcW w:w="901" w:type="pct"/>
            <w:tcBorders>
              <w:top w:val="single" w:color="000000" w:sz="8" w:space="0"/>
              <w:left w:val="nil"/>
              <w:bottom w:val="single" w:color="000000" w:sz="4" w:space="0"/>
              <w:right w:val="single" w:color="000000" w:sz="6" w:space="0"/>
            </w:tcBorders>
            <w:vAlign w:val="center"/>
          </w:tcPr>
          <w:p>
            <w:pPr>
              <w:pStyle w:val="42"/>
              <w:spacing w:line="240" w:lineRule="auto"/>
              <w:ind w:firstLine="0" w:firstLineChars="0"/>
              <w:jc w:val="center"/>
              <w:rPr>
                <w:color w:val="auto"/>
                <w:sz w:val="18"/>
                <w:szCs w:val="18"/>
              </w:rPr>
            </w:pPr>
            <w:r>
              <w:rPr>
                <w:rFonts w:hint="eastAsia"/>
                <w:color w:val="auto"/>
                <w:sz w:val="18"/>
                <w:szCs w:val="18"/>
              </w:rPr>
              <w:t>土地利用类型</w:t>
            </w:r>
          </w:p>
        </w:tc>
        <w:tc>
          <w:tcPr>
            <w:tcW w:w="3252" w:type="pct"/>
            <w:gridSpan w:val="8"/>
            <w:tcBorders>
              <w:top w:val="single" w:color="000000" w:sz="8" w:space="0"/>
              <w:left w:val="nil"/>
              <w:bottom w:val="single" w:color="000000" w:sz="6" w:space="0"/>
              <w:right w:val="single" w:color="000000" w:sz="6" w:space="0"/>
            </w:tcBorders>
            <w:vAlign w:val="center"/>
          </w:tcPr>
          <w:p>
            <w:pPr>
              <w:pStyle w:val="42"/>
              <w:spacing w:line="240" w:lineRule="auto"/>
              <w:ind w:firstLine="0" w:firstLineChars="0"/>
              <w:rPr>
                <w:color w:val="auto"/>
                <w:sz w:val="18"/>
                <w:szCs w:val="18"/>
              </w:rPr>
            </w:pPr>
            <w:r>
              <w:rPr>
                <w:rFonts w:hint="eastAsia"/>
                <w:color w:val="auto"/>
                <w:sz w:val="18"/>
                <w:szCs w:val="18"/>
              </w:rPr>
              <w:t>建设用地□；农用地</w:t>
            </w:r>
            <w:r>
              <w:rPr>
                <w:rFonts w:ascii="Wingdings 2" w:hAnsi="Wingdings 2"/>
                <w:color w:val="auto"/>
                <w:sz w:val="18"/>
                <w:szCs w:val="18"/>
              </w:rPr>
              <w:t></w:t>
            </w:r>
            <w:r>
              <w:rPr>
                <w:rFonts w:hint="eastAsia"/>
                <w:color w:val="auto"/>
                <w:sz w:val="18"/>
                <w:szCs w:val="18"/>
              </w:rPr>
              <w:t>；未利用地□</w:t>
            </w:r>
          </w:p>
        </w:tc>
        <w:tc>
          <w:tcPr>
            <w:tcW w:w="616" w:type="pct"/>
            <w:tcBorders>
              <w:top w:val="single" w:color="000000" w:sz="8" w:space="0"/>
              <w:left w:val="nil"/>
              <w:bottom w:val="single" w:color="000000" w:sz="4" w:space="0"/>
              <w:right w:val="nil"/>
            </w:tcBorders>
            <w:vAlign w:val="center"/>
          </w:tcPr>
          <w:p>
            <w:pPr>
              <w:pStyle w:val="42"/>
              <w:spacing w:line="240" w:lineRule="auto"/>
              <w:ind w:firstLine="0" w:firstLineChars="0"/>
              <w:jc w:val="center"/>
              <w:rPr>
                <w:color w:val="auto"/>
                <w:sz w:val="18"/>
                <w:szCs w:val="18"/>
              </w:rPr>
            </w:pPr>
            <w:r>
              <w:rPr>
                <w:rFonts w:hint="eastAsia"/>
                <w:color w:val="auto"/>
                <w:sz w:val="18"/>
                <w:szCs w:val="18"/>
              </w:rPr>
              <w:t>土地利用类</w:t>
            </w:r>
          </w:p>
          <w:p>
            <w:pPr>
              <w:pStyle w:val="42"/>
              <w:spacing w:line="240" w:lineRule="auto"/>
              <w:ind w:firstLine="0" w:firstLineChars="0"/>
              <w:jc w:val="center"/>
              <w:rPr>
                <w:color w:val="auto"/>
                <w:sz w:val="18"/>
                <w:szCs w:val="18"/>
              </w:rPr>
            </w:pPr>
            <w:r>
              <w:rPr>
                <w:rFonts w:hint="eastAsia"/>
                <w:color w:val="auto"/>
                <w:sz w:val="18"/>
                <w:szCs w:val="18"/>
              </w:rPr>
              <w:t>型图</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229" w:type="pct"/>
            <w:vMerge w:val="continue"/>
            <w:tcBorders>
              <w:top w:val="nil"/>
              <w:left w:val="nil"/>
              <w:bottom w:val="single" w:color="000000" w:sz="6" w:space="0"/>
              <w:right w:val="single" w:color="000000" w:sz="6" w:space="0"/>
            </w:tcBorders>
            <w:vAlign w:val="center"/>
          </w:tcPr>
          <w:p>
            <w:pPr>
              <w:widowControl/>
              <w:spacing w:line="240" w:lineRule="auto"/>
              <w:ind w:firstLine="0" w:firstLineChars="0"/>
              <w:rPr>
                <w:rFonts w:ascii="宋体" w:hAnsi="宋体"/>
                <w:color w:val="auto"/>
                <w:sz w:val="18"/>
                <w:szCs w:val="18"/>
              </w:rPr>
            </w:pPr>
          </w:p>
        </w:tc>
        <w:tc>
          <w:tcPr>
            <w:tcW w:w="901" w:type="pct"/>
            <w:tcBorders>
              <w:top w:val="single" w:color="000000" w:sz="4" w:space="0"/>
              <w:left w:val="nil"/>
              <w:bottom w:val="single" w:color="000000" w:sz="6" w:space="0"/>
              <w:right w:val="single" w:color="000000" w:sz="6" w:space="0"/>
            </w:tcBorders>
            <w:vAlign w:val="center"/>
          </w:tcPr>
          <w:p>
            <w:pPr>
              <w:pStyle w:val="42"/>
              <w:spacing w:line="240" w:lineRule="auto"/>
              <w:ind w:firstLine="0" w:firstLineChars="0"/>
              <w:jc w:val="center"/>
              <w:rPr>
                <w:color w:val="auto"/>
                <w:sz w:val="18"/>
                <w:szCs w:val="18"/>
              </w:rPr>
            </w:pPr>
            <w:r>
              <w:rPr>
                <w:rFonts w:hint="eastAsia"/>
                <w:color w:val="auto"/>
                <w:sz w:val="18"/>
                <w:szCs w:val="18"/>
              </w:rPr>
              <w:t>占地规模</w:t>
            </w:r>
          </w:p>
        </w:tc>
        <w:tc>
          <w:tcPr>
            <w:tcW w:w="3252" w:type="pct"/>
            <w:gridSpan w:val="8"/>
            <w:tcBorders>
              <w:top w:val="single" w:color="000000" w:sz="6" w:space="0"/>
              <w:left w:val="nil"/>
              <w:bottom w:val="single" w:color="000000" w:sz="6" w:space="0"/>
              <w:right w:val="single" w:color="000000" w:sz="6" w:space="0"/>
            </w:tcBorders>
            <w:vAlign w:val="center"/>
          </w:tcPr>
          <w:p>
            <w:pPr>
              <w:pStyle w:val="42"/>
              <w:spacing w:line="240" w:lineRule="auto"/>
              <w:ind w:firstLine="0" w:firstLineChars="0"/>
              <w:rPr>
                <w:color w:val="auto"/>
                <w:sz w:val="18"/>
                <w:szCs w:val="18"/>
              </w:rPr>
            </w:pPr>
            <w:r>
              <w:rPr>
                <w:color w:val="auto"/>
                <w:sz w:val="18"/>
                <w:szCs w:val="18"/>
              </w:rPr>
              <w:t>（</w:t>
            </w:r>
            <w:r>
              <w:rPr>
                <w:rFonts w:hint="eastAsia"/>
                <w:color w:val="auto"/>
                <w:sz w:val="18"/>
                <w:szCs w:val="18"/>
              </w:rPr>
              <w:t>9.73</w:t>
            </w:r>
            <w:r>
              <w:rPr>
                <w:color w:val="auto"/>
                <w:sz w:val="18"/>
                <w:szCs w:val="18"/>
              </w:rPr>
              <w:t>）hm</w:t>
            </w:r>
            <w:r>
              <w:rPr>
                <w:color w:val="auto"/>
                <w:position w:val="6"/>
                <w:sz w:val="18"/>
                <w:szCs w:val="18"/>
                <w:vertAlign w:val="superscript"/>
              </w:rPr>
              <w:t>2</w:t>
            </w:r>
          </w:p>
        </w:tc>
        <w:tc>
          <w:tcPr>
            <w:tcW w:w="616" w:type="pct"/>
            <w:tcBorders>
              <w:top w:val="single" w:color="000000" w:sz="4" w:space="0"/>
              <w:left w:val="nil"/>
              <w:bottom w:val="single" w:color="000000" w:sz="6" w:space="0"/>
              <w:right w:val="nil"/>
            </w:tcBorders>
            <w:vAlign w:val="center"/>
          </w:tcPr>
          <w:p>
            <w:pPr>
              <w:pStyle w:val="42"/>
              <w:spacing w:line="240" w:lineRule="auto"/>
              <w:ind w:firstLine="0" w:firstLineChars="0"/>
              <w:jc w:val="center"/>
              <w:rPr>
                <w:color w:val="auto"/>
                <w:sz w:val="18"/>
                <w:szCs w:val="18"/>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229" w:type="pct"/>
            <w:vMerge w:val="continue"/>
            <w:tcBorders>
              <w:top w:val="nil"/>
              <w:left w:val="nil"/>
              <w:bottom w:val="single" w:color="000000" w:sz="6" w:space="0"/>
              <w:right w:val="single" w:color="000000" w:sz="6" w:space="0"/>
            </w:tcBorders>
            <w:vAlign w:val="center"/>
          </w:tcPr>
          <w:p>
            <w:pPr>
              <w:widowControl/>
              <w:spacing w:line="240" w:lineRule="auto"/>
              <w:ind w:firstLine="0" w:firstLineChars="0"/>
              <w:rPr>
                <w:rFonts w:ascii="宋体" w:hAnsi="宋体"/>
                <w:color w:val="auto"/>
                <w:sz w:val="18"/>
                <w:szCs w:val="18"/>
              </w:rPr>
            </w:pPr>
          </w:p>
        </w:tc>
        <w:tc>
          <w:tcPr>
            <w:tcW w:w="901" w:type="pct"/>
            <w:tcBorders>
              <w:top w:val="single" w:color="000000" w:sz="6" w:space="0"/>
              <w:left w:val="nil"/>
              <w:bottom w:val="single" w:color="000000" w:sz="6" w:space="0"/>
              <w:right w:val="single" w:color="000000" w:sz="6" w:space="0"/>
            </w:tcBorders>
            <w:vAlign w:val="center"/>
          </w:tcPr>
          <w:p>
            <w:pPr>
              <w:pStyle w:val="42"/>
              <w:spacing w:line="240" w:lineRule="auto"/>
              <w:ind w:firstLine="0" w:firstLineChars="0"/>
              <w:jc w:val="center"/>
              <w:rPr>
                <w:color w:val="auto"/>
                <w:sz w:val="18"/>
                <w:szCs w:val="18"/>
              </w:rPr>
            </w:pPr>
            <w:r>
              <w:rPr>
                <w:rFonts w:hint="eastAsia"/>
                <w:color w:val="auto"/>
                <w:sz w:val="18"/>
                <w:szCs w:val="18"/>
              </w:rPr>
              <w:t>敏感目标信息</w:t>
            </w:r>
          </w:p>
        </w:tc>
        <w:tc>
          <w:tcPr>
            <w:tcW w:w="2701" w:type="pct"/>
            <w:gridSpan w:val="6"/>
            <w:tcBorders>
              <w:top w:val="single" w:color="000000" w:sz="6" w:space="0"/>
              <w:left w:val="nil"/>
              <w:bottom w:val="single" w:color="000000" w:sz="6" w:space="0"/>
              <w:right w:val="nil"/>
            </w:tcBorders>
          </w:tcPr>
          <w:p>
            <w:pPr>
              <w:spacing w:line="240" w:lineRule="auto"/>
              <w:ind w:firstLine="0" w:firstLineChars="0"/>
              <w:rPr>
                <w:color w:val="auto"/>
              </w:rPr>
            </w:pPr>
          </w:p>
        </w:tc>
        <w:tc>
          <w:tcPr>
            <w:tcW w:w="232" w:type="pct"/>
            <w:tcBorders>
              <w:top w:val="single" w:color="000000" w:sz="6" w:space="0"/>
              <w:left w:val="nil"/>
              <w:bottom w:val="single" w:color="000000" w:sz="6" w:space="0"/>
              <w:right w:val="nil"/>
            </w:tcBorders>
          </w:tcPr>
          <w:p>
            <w:pPr>
              <w:spacing w:line="240" w:lineRule="auto"/>
              <w:ind w:firstLine="0" w:firstLineChars="0"/>
              <w:rPr>
                <w:color w:val="auto"/>
              </w:rPr>
            </w:pPr>
          </w:p>
        </w:tc>
        <w:tc>
          <w:tcPr>
            <w:tcW w:w="318" w:type="pct"/>
            <w:tcBorders>
              <w:top w:val="single" w:color="000000" w:sz="6" w:space="0"/>
              <w:left w:val="nil"/>
              <w:bottom w:val="single" w:color="000000" w:sz="6" w:space="0"/>
              <w:right w:val="single" w:color="000000" w:sz="6" w:space="0"/>
            </w:tcBorders>
            <w:vAlign w:val="center"/>
          </w:tcPr>
          <w:p>
            <w:pPr>
              <w:pStyle w:val="42"/>
              <w:spacing w:line="240" w:lineRule="auto"/>
              <w:ind w:firstLine="0" w:firstLineChars="0"/>
              <w:rPr>
                <w:color w:val="auto"/>
                <w:sz w:val="18"/>
                <w:szCs w:val="18"/>
              </w:rPr>
            </w:pPr>
          </w:p>
        </w:tc>
        <w:tc>
          <w:tcPr>
            <w:tcW w:w="616" w:type="pct"/>
            <w:tcBorders>
              <w:top w:val="single" w:color="000000" w:sz="6" w:space="0"/>
              <w:left w:val="nil"/>
              <w:bottom w:val="single" w:color="000000" w:sz="6" w:space="0"/>
              <w:right w:val="nil"/>
            </w:tcBorders>
            <w:vAlign w:val="center"/>
          </w:tcPr>
          <w:p>
            <w:pPr>
              <w:pStyle w:val="42"/>
              <w:spacing w:line="240" w:lineRule="auto"/>
              <w:ind w:firstLine="0" w:firstLineChars="0"/>
              <w:jc w:val="center"/>
              <w:rPr>
                <w:color w:val="auto"/>
                <w:sz w:val="18"/>
                <w:szCs w:val="18"/>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229" w:type="pct"/>
            <w:vMerge w:val="continue"/>
            <w:tcBorders>
              <w:top w:val="nil"/>
              <w:left w:val="nil"/>
              <w:bottom w:val="single" w:color="000000" w:sz="6" w:space="0"/>
              <w:right w:val="single" w:color="000000" w:sz="6" w:space="0"/>
            </w:tcBorders>
            <w:vAlign w:val="center"/>
          </w:tcPr>
          <w:p>
            <w:pPr>
              <w:widowControl/>
              <w:spacing w:line="240" w:lineRule="auto"/>
              <w:ind w:firstLine="0" w:firstLineChars="0"/>
              <w:rPr>
                <w:rFonts w:ascii="宋体" w:hAnsi="宋体"/>
                <w:color w:val="auto"/>
                <w:sz w:val="18"/>
                <w:szCs w:val="18"/>
              </w:rPr>
            </w:pPr>
          </w:p>
        </w:tc>
        <w:tc>
          <w:tcPr>
            <w:tcW w:w="901" w:type="pct"/>
            <w:tcBorders>
              <w:top w:val="single" w:color="000000" w:sz="6" w:space="0"/>
              <w:left w:val="nil"/>
              <w:bottom w:val="single" w:color="000000" w:sz="6" w:space="0"/>
              <w:right w:val="single" w:color="000000" w:sz="6" w:space="0"/>
            </w:tcBorders>
            <w:vAlign w:val="center"/>
          </w:tcPr>
          <w:p>
            <w:pPr>
              <w:pStyle w:val="42"/>
              <w:spacing w:line="240" w:lineRule="auto"/>
              <w:ind w:firstLine="0" w:firstLineChars="0"/>
              <w:jc w:val="center"/>
              <w:rPr>
                <w:color w:val="auto"/>
                <w:sz w:val="18"/>
                <w:szCs w:val="18"/>
              </w:rPr>
            </w:pPr>
            <w:r>
              <w:rPr>
                <w:rFonts w:hint="eastAsia"/>
                <w:color w:val="auto"/>
                <w:sz w:val="18"/>
                <w:szCs w:val="18"/>
              </w:rPr>
              <w:t>影响途径</w:t>
            </w:r>
          </w:p>
        </w:tc>
        <w:tc>
          <w:tcPr>
            <w:tcW w:w="2701" w:type="pct"/>
            <w:gridSpan w:val="6"/>
            <w:tcBorders>
              <w:top w:val="single" w:color="000000" w:sz="6" w:space="0"/>
              <w:left w:val="nil"/>
              <w:bottom w:val="single" w:color="000000" w:sz="6" w:space="0"/>
              <w:right w:val="nil"/>
            </w:tcBorders>
            <w:vAlign w:val="center"/>
          </w:tcPr>
          <w:p>
            <w:pPr>
              <w:pStyle w:val="42"/>
              <w:spacing w:line="240" w:lineRule="auto"/>
              <w:ind w:firstLine="0" w:firstLineChars="0"/>
              <w:rPr>
                <w:color w:val="auto"/>
                <w:sz w:val="18"/>
                <w:szCs w:val="18"/>
              </w:rPr>
            </w:pPr>
            <w:r>
              <w:rPr>
                <w:rFonts w:hint="eastAsia"/>
                <w:color w:val="auto"/>
                <w:sz w:val="18"/>
                <w:szCs w:val="18"/>
              </w:rPr>
              <w:t>大气沉降□；地面漫流□；垂直入渗</w:t>
            </w:r>
            <w:r>
              <w:rPr>
                <w:rFonts w:ascii="Wingdings 2" w:hAnsi="Wingdings 2"/>
                <w:color w:val="auto"/>
                <w:sz w:val="18"/>
                <w:szCs w:val="18"/>
              </w:rPr>
              <w:t></w:t>
            </w:r>
            <w:r>
              <w:rPr>
                <w:rFonts w:hint="eastAsia"/>
                <w:color w:val="auto"/>
                <w:sz w:val="18"/>
                <w:szCs w:val="18"/>
              </w:rPr>
              <w:t>；地下水位□；其他（</w:t>
            </w:r>
          </w:p>
        </w:tc>
        <w:tc>
          <w:tcPr>
            <w:tcW w:w="232" w:type="pct"/>
            <w:tcBorders>
              <w:top w:val="single" w:color="000000" w:sz="6" w:space="0"/>
              <w:left w:val="nil"/>
              <w:bottom w:val="single" w:color="000000" w:sz="6" w:space="0"/>
              <w:right w:val="nil"/>
            </w:tcBorders>
            <w:vAlign w:val="center"/>
          </w:tcPr>
          <w:p>
            <w:pPr>
              <w:pStyle w:val="42"/>
              <w:spacing w:line="240" w:lineRule="auto"/>
              <w:ind w:firstLine="0" w:firstLineChars="0"/>
              <w:rPr>
                <w:color w:val="auto"/>
                <w:sz w:val="18"/>
                <w:szCs w:val="18"/>
              </w:rPr>
            </w:pPr>
            <w:r>
              <w:rPr>
                <w:rFonts w:hint="eastAsia"/>
                <w:color w:val="auto"/>
                <w:sz w:val="18"/>
                <w:szCs w:val="18"/>
              </w:rPr>
              <w:t>）</w:t>
            </w:r>
          </w:p>
        </w:tc>
        <w:tc>
          <w:tcPr>
            <w:tcW w:w="318" w:type="pct"/>
            <w:tcBorders>
              <w:top w:val="single" w:color="000000" w:sz="6" w:space="0"/>
              <w:left w:val="nil"/>
              <w:bottom w:val="single" w:color="000000" w:sz="6" w:space="0"/>
              <w:right w:val="single" w:color="000000" w:sz="6" w:space="0"/>
            </w:tcBorders>
            <w:vAlign w:val="center"/>
          </w:tcPr>
          <w:p>
            <w:pPr>
              <w:pStyle w:val="42"/>
              <w:spacing w:line="240" w:lineRule="auto"/>
              <w:ind w:firstLine="0" w:firstLineChars="0"/>
              <w:rPr>
                <w:color w:val="auto"/>
                <w:sz w:val="18"/>
                <w:szCs w:val="18"/>
              </w:rPr>
            </w:pPr>
          </w:p>
        </w:tc>
        <w:tc>
          <w:tcPr>
            <w:tcW w:w="616" w:type="pct"/>
            <w:tcBorders>
              <w:top w:val="single" w:color="000000" w:sz="6" w:space="0"/>
              <w:left w:val="nil"/>
              <w:bottom w:val="single" w:color="000000" w:sz="6" w:space="0"/>
              <w:right w:val="nil"/>
            </w:tcBorders>
            <w:vAlign w:val="center"/>
          </w:tcPr>
          <w:p>
            <w:pPr>
              <w:pStyle w:val="42"/>
              <w:spacing w:line="240" w:lineRule="auto"/>
              <w:ind w:firstLine="0" w:firstLineChars="0"/>
              <w:jc w:val="center"/>
              <w:rPr>
                <w:color w:val="auto"/>
                <w:sz w:val="18"/>
                <w:szCs w:val="18"/>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1" w:hRule="atLeast"/>
          <w:jc w:val="center"/>
        </w:trPr>
        <w:tc>
          <w:tcPr>
            <w:tcW w:w="229" w:type="pct"/>
            <w:vMerge w:val="continue"/>
            <w:tcBorders>
              <w:top w:val="nil"/>
              <w:left w:val="nil"/>
              <w:bottom w:val="single" w:color="000000" w:sz="6" w:space="0"/>
              <w:right w:val="single" w:color="000000" w:sz="6" w:space="0"/>
            </w:tcBorders>
            <w:vAlign w:val="center"/>
          </w:tcPr>
          <w:p>
            <w:pPr>
              <w:widowControl/>
              <w:spacing w:line="240" w:lineRule="auto"/>
              <w:ind w:firstLine="0" w:firstLineChars="0"/>
              <w:rPr>
                <w:rFonts w:ascii="宋体" w:hAnsi="宋体"/>
                <w:color w:val="auto"/>
                <w:sz w:val="18"/>
                <w:szCs w:val="18"/>
              </w:rPr>
            </w:pPr>
          </w:p>
        </w:tc>
        <w:tc>
          <w:tcPr>
            <w:tcW w:w="901" w:type="pct"/>
            <w:tcBorders>
              <w:top w:val="single" w:color="000000" w:sz="6" w:space="0"/>
              <w:left w:val="nil"/>
              <w:bottom w:val="single" w:color="000000" w:sz="6" w:space="0"/>
              <w:right w:val="single" w:color="000000" w:sz="6" w:space="0"/>
            </w:tcBorders>
            <w:vAlign w:val="center"/>
          </w:tcPr>
          <w:p>
            <w:pPr>
              <w:pStyle w:val="42"/>
              <w:spacing w:line="240" w:lineRule="auto"/>
              <w:ind w:firstLine="0" w:firstLineChars="0"/>
              <w:jc w:val="center"/>
              <w:rPr>
                <w:color w:val="auto"/>
                <w:sz w:val="18"/>
                <w:szCs w:val="18"/>
              </w:rPr>
            </w:pPr>
            <w:r>
              <w:rPr>
                <w:rFonts w:hint="eastAsia"/>
                <w:color w:val="auto"/>
                <w:sz w:val="18"/>
                <w:szCs w:val="18"/>
              </w:rPr>
              <w:t>全部污染物</w:t>
            </w:r>
          </w:p>
        </w:tc>
        <w:tc>
          <w:tcPr>
            <w:tcW w:w="3252" w:type="pct"/>
            <w:gridSpan w:val="8"/>
            <w:tcBorders>
              <w:top w:val="single" w:color="000000" w:sz="6" w:space="0"/>
              <w:left w:val="nil"/>
              <w:bottom w:val="single" w:color="000000" w:sz="6" w:space="0"/>
              <w:right w:val="single" w:color="000000" w:sz="6" w:space="0"/>
            </w:tcBorders>
            <w:vAlign w:val="center"/>
          </w:tcPr>
          <w:p>
            <w:pPr>
              <w:pStyle w:val="42"/>
              <w:spacing w:line="240" w:lineRule="auto"/>
              <w:ind w:firstLine="0" w:firstLineChars="0"/>
              <w:rPr>
                <w:color w:val="auto"/>
                <w:sz w:val="18"/>
                <w:szCs w:val="18"/>
              </w:rPr>
            </w:pPr>
          </w:p>
        </w:tc>
        <w:tc>
          <w:tcPr>
            <w:tcW w:w="616" w:type="pct"/>
            <w:tcBorders>
              <w:top w:val="single" w:color="000000" w:sz="6" w:space="0"/>
              <w:left w:val="nil"/>
              <w:bottom w:val="single" w:color="000000" w:sz="6" w:space="0"/>
              <w:right w:val="nil"/>
            </w:tcBorders>
            <w:vAlign w:val="center"/>
          </w:tcPr>
          <w:p>
            <w:pPr>
              <w:pStyle w:val="42"/>
              <w:spacing w:line="240" w:lineRule="auto"/>
              <w:ind w:firstLine="0" w:firstLineChars="0"/>
              <w:jc w:val="center"/>
              <w:rPr>
                <w:color w:val="auto"/>
                <w:sz w:val="18"/>
                <w:szCs w:val="18"/>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229" w:type="pct"/>
            <w:vMerge w:val="continue"/>
            <w:tcBorders>
              <w:top w:val="nil"/>
              <w:left w:val="nil"/>
              <w:bottom w:val="single" w:color="000000" w:sz="6" w:space="0"/>
              <w:right w:val="single" w:color="000000" w:sz="6" w:space="0"/>
            </w:tcBorders>
            <w:vAlign w:val="center"/>
          </w:tcPr>
          <w:p>
            <w:pPr>
              <w:widowControl/>
              <w:spacing w:line="240" w:lineRule="auto"/>
              <w:ind w:firstLine="0" w:firstLineChars="0"/>
              <w:rPr>
                <w:rFonts w:ascii="宋体" w:hAnsi="宋体"/>
                <w:color w:val="auto"/>
                <w:sz w:val="18"/>
                <w:szCs w:val="18"/>
              </w:rPr>
            </w:pPr>
          </w:p>
        </w:tc>
        <w:tc>
          <w:tcPr>
            <w:tcW w:w="901" w:type="pct"/>
            <w:tcBorders>
              <w:top w:val="single" w:color="000000" w:sz="6" w:space="0"/>
              <w:left w:val="nil"/>
              <w:bottom w:val="single" w:color="000000" w:sz="6" w:space="0"/>
              <w:right w:val="single" w:color="000000" w:sz="6" w:space="0"/>
            </w:tcBorders>
            <w:vAlign w:val="center"/>
          </w:tcPr>
          <w:p>
            <w:pPr>
              <w:pStyle w:val="42"/>
              <w:spacing w:line="240" w:lineRule="auto"/>
              <w:ind w:firstLine="0" w:firstLineChars="0"/>
              <w:jc w:val="center"/>
              <w:rPr>
                <w:color w:val="auto"/>
                <w:sz w:val="18"/>
                <w:szCs w:val="18"/>
              </w:rPr>
            </w:pPr>
            <w:r>
              <w:rPr>
                <w:rFonts w:hint="eastAsia"/>
                <w:color w:val="auto"/>
                <w:sz w:val="18"/>
                <w:szCs w:val="18"/>
              </w:rPr>
              <w:t>特征因子</w:t>
            </w:r>
          </w:p>
        </w:tc>
        <w:tc>
          <w:tcPr>
            <w:tcW w:w="3252" w:type="pct"/>
            <w:gridSpan w:val="8"/>
            <w:tcBorders>
              <w:top w:val="single" w:color="000000" w:sz="6" w:space="0"/>
              <w:left w:val="nil"/>
              <w:bottom w:val="single" w:color="000000" w:sz="6" w:space="0"/>
              <w:right w:val="single" w:color="000000" w:sz="6" w:space="0"/>
            </w:tcBorders>
            <w:vAlign w:val="center"/>
          </w:tcPr>
          <w:p>
            <w:pPr>
              <w:pStyle w:val="42"/>
              <w:spacing w:line="240" w:lineRule="auto"/>
              <w:ind w:firstLine="0" w:firstLineChars="0"/>
              <w:rPr>
                <w:color w:val="auto"/>
                <w:sz w:val="18"/>
                <w:szCs w:val="18"/>
              </w:rPr>
            </w:pPr>
          </w:p>
        </w:tc>
        <w:tc>
          <w:tcPr>
            <w:tcW w:w="616" w:type="pct"/>
            <w:tcBorders>
              <w:top w:val="single" w:color="000000" w:sz="6" w:space="0"/>
              <w:left w:val="nil"/>
              <w:bottom w:val="single" w:color="000000" w:sz="6" w:space="0"/>
              <w:right w:val="nil"/>
            </w:tcBorders>
            <w:vAlign w:val="center"/>
          </w:tcPr>
          <w:p>
            <w:pPr>
              <w:pStyle w:val="42"/>
              <w:spacing w:line="240" w:lineRule="auto"/>
              <w:ind w:firstLine="0" w:firstLineChars="0"/>
              <w:jc w:val="center"/>
              <w:rPr>
                <w:color w:val="auto"/>
                <w:sz w:val="18"/>
                <w:szCs w:val="18"/>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23" w:hRule="atLeast"/>
          <w:jc w:val="center"/>
        </w:trPr>
        <w:tc>
          <w:tcPr>
            <w:tcW w:w="229" w:type="pct"/>
            <w:vMerge w:val="continue"/>
            <w:tcBorders>
              <w:top w:val="nil"/>
              <w:left w:val="nil"/>
              <w:bottom w:val="single" w:color="000000" w:sz="6" w:space="0"/>
              <w:right w:val="single" w:color="000000" w:sz="6" w:space="0"/>
            </w:tcBorders>
            <w:vAlign w:val="center"/>
          </w:tcPr>
          <w:p>
            <w:pPr>
              <w:widowControl/>
              <w:spacing w:line="240" w:lineRule="auto"/>
              <w:ind w:firstLine="0" w:firstLineChars="0"/>
              <w:rPr>
                <w:rFonts w:ascii="宋体" w:hAnsi="宋体"/>
                <w:color w:val="auto"/>
                <w:sz w:val="18"/>
                <w:szCs w:val="18"/>
              </w:rPr>
            </w:pPr>
          </w:p>
        </w:tc>
        <w:tc>
          <w:tcPr>
            <w:tcW w:w="901" w:type="pct"/>
            <w:tcBorders>
              <w:top w:val="single" w:color="000000" w:sz="6" w:space="0"/>
              <w:left w:val="nil"/>
              <w:bottom w:val="single" w:color="000000" w:sz="6" w:space="0"/>
              <w:right w:val="single" w:color="000000" w:sz="6" w:space="0"/>
            </w:tcBorders>
            <w:vAlign w:val="center"/>
          </w:tcPr>
          <w:p>
            <w:pPr>
              <w:pStyle w:val="42"/>
              <w:spacing w:line="240" w:lineRule="auto"/>
              <w:ind w:firstLine="0" w:firstLineChars="0"/>
              <w:jc w:val="center"/>
              <w:rPr>
                <w:color w:val="auto"/>
                <w:sz w:val="18"/>
                <w:szCs w:val="18"/>
              </w:rPr>
            </w:pPr>
            <w:r>
              <w:rPr>
                <w:rFonts w:hint="eastAsia"/>
                <w:color w:val="auto"/>
                <w:sz w:val="18"/>
                <w:szCs w:val="18"/>
              </w:rPr>
              <w:t>所属土壤环境影响</w:t>
            </w:r>
          </w:p>
          <w:p>
            <w:pPr>
              <w:pStyle w:val="42"/>
              <w:spacing w:line="240" w:lineRule="auto"/>
              <w:ind w:firstLine="0" w:firstLineChars="0"/>
              <w:jc w:val="center"/>
              <w:rPr>
                <w:color w:val="auto"/>
                <w:sz w:val="18"/>
                <w:szCs w:val="18"/>
              </w:rPr>
            </w:pPr>
            <w:r>
              <w:rPr>
                <w:rFonts w:hint="eastAsia"/>
                <w:color w:val="auto"/>
                <w:sz w:val="18"/>
                <w:szCs w:val="18"/>
              </w:rPr>
              <w:t>评价项目类别</w:t>
            </w:r>
          </w:p>
        </w:tc>
        <w:tc>
          <w:tcPr>
            <w:tcW w:w="3252" w:type="pct"/>
            <w:gridSpan w:val="8"/>
            <w:tcBorders>
              <w:top w:val="single" w:color="000000" w:sz="6" w:space="0"/>
              <w:left w:val="nil"/>
              <w:bottom w:val="single" w:color="000000" w:sz="6" w:space="0"/>
              <w:right w:val="single" w:color="000000" w:sz="6" w:space="0"/>
            </w:tcBorders>
            <w:vAlign w:val="center"/>
          </w:tcPr>
          <w:p>
            <w:pPr>
              <w:pStyle w:val="42"/>
              <w:spacing w:line="240" w:lineRule="auto"/>
              <w:ind w:firstLine="0" w:firstLineChars="0"/>
              <w:rPr>
                <w:color w:val="auto"/>
                <w:sz w:val="18"/>
                <w:szCs w:val="18"/>
              </w:rPr>
            </w:pPr>
            <w:r>
              <w:rPr>
                <w:rFonts w:hint="eastAsia"/>
                <w:color w:val="auto"/>
                <w:sz w:val="18"/>
                <w:szCs w:val="18"/>
              </w:rPr>
              <w:t>Ⅰ类□；Ⅱ类□；Ⅲ类</w:t>
            </w:r>
            <w:r>
              <w:rPr>
                <w:rFonts w:ascii="Wingdings 2" w:hAnsi="Wingdings 2"/>
                <w:color w:val="auto"/>
                <w:sz w:val="18"/>
                <w:szCs w:val="18"/>
              </w:rPr>
              <w:sym w:font="Wingdings 2" w:char="00A3"/>
            </w:r>
            <w:r>
              <w:rPr>
                <w:rFonts w:hint="eastAsia"/>
                <w:color w:val="auto"/>
                <w:sz w:val="18"/>
                <w:szCs w:val="18"/>
              </w:rPr>
              <w:t>；Ⅳ类□</w:t>
            </w:r>
          </w:p>
        </w:tc>
        <w:tc>
          <w:tcPr>
            <w:tcW w:w="616" w:type="pct"/>
            <w:tcBorders>
              <w:top w:val="single" w:color="000000" w:sz="6" w:space="0"/>
              <w:left w:val="nil"/>
              <w:bottom w:val="single" w:color="000000" w:sz="6" w:space="0"/>
              <w:right w:val="nil"/>
            </w:tcBorders>
            <w:vAlign w:val="center"/>
          </w:tcPr>
          <w:p>
            <w:pPr>
              <w:pStyle w:val="42"/>
              <w:spacing w:line="240" w:lineRule="auto"/>
              <w:ind w:firstLine="0" w:firstLineChars="0"/>
              <w:jc w:val="center"/>
              <w:rPr>
                <w:color w:val="auto"/>
                <w:sz w:val="18"/>
                <w:szCs w:val="18"/>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229" w:type="pct"/>
            <w:vMerge w:val="continue"/>
            <w:tcBorders>
              <w:top w:val="nil"/>
              <w:left w:val="nil"/>
              <w:bottom w:val="single" w:color="000000" w:sz="6" w:space="0"/>
              <w:right w:val="single" w:color="000000" w:sz="6" w:space="0"/>
            </w:tcBorders>
            <w:vAlign w:val="center"/>
          </w:tcPr>
          <w:p>
            <w:pPr>
              <w:widowControl/>
              <w:spacing w:line="240" w:lineRule="auto"/>
              <w:ind w:firstLine="0" w:firstLineChars="0"/>
              <w:rPr>
                <w:rFonts w:ascii="宋体" w:hAnsi="宋体"/>
                <w:color w:val="auto"/>
                <w:sz w:val="18"/>
                <w:szCs w:val="18"/>
              </w:rPr>
            </w:pPr>
          </w:p>
        </w:tc>
        <w:tc>
          <w:tcPr>
            <w:tcW w:w="901" w:type="pct"/>
            <w:tcBorders>
              <w:top w:val="single" w:color="000000" w:sz="6" w:space="0"/>
              <w:left w:val="nil"/>
              <w:bottom w:val="single" w:color="000000" w:sz="6" w:space="0"/>
              <w:right w:val="single" w:color="000000" w:sz="6" w:space="0"/>
            </w:tcBorders>
            <w:vAlign w:val="center"/>
          </w:tcPr>
          <w:p>
            <w:pPr>
              <w:pStyle w:val="42"/>
              <w:spacing w:line="240" w:lineRule="auto"/>
              <w:ind w:firstLine="0" w:firstLineChars="0"/>
              <w:jc w:val="center"/>
              <w:rPr>
                <w:color w:val="auto"/>
                <w:sz w:val="18"/>
                <w:szCs w:val="18"/>
              </w:rPr>
            </w:pPr>
            <w:r>
              <w:rPr>
                <w:rFonts w:hint="eastAsia"/>
                <w:color w:val="auto"/>
                <w:sz w:val="18"/>
                <w:szCs w:val="18"/>
              </w:rPr>
              <w:t>敏感程度</w:t>
            </w:r>
          </w:p>
        </w:tc>
        <w:tc>
          <w:tcPr>
            <w:tcW w:w="3252" w:type="pct"/>
            <w:gridSpan w:val="8"/>
            <w:tcBorders>
              <w:top w:val="single" w:color="000000" w:sz="6" w:space="0"/>
              <w:left w:val="nil"/>
              <w:bottom w:val="single" w:color="000000" w:sz="6" w:space="0"/>
              <w:right w:val="single" w:color="000000" w:sz="6" w:space="0"/>
            </w:tcBorders>
            <w:vAlign w:val="center"/>
          </w:tcPr>
          <w:p>
            <w:pPr>
              <w:pStyle w:val="42"/>
              <w:spacing w:line="240" w:lineRule="auto"/>
              <w:ind w:firstLine="0" w:firstLineChars="0"/>
              <w:rPr>
                <w:color w:val="auto"/>
                <w:sz w:val="18"/>
                <w:szCs w:val="18"/>
              </w:rPr>
            </w:pPr>
            <w:r>
              <w:rPr>
                <w:rFonts w:hint="eastAsia"/>
                <w:color w:val="auto"/>
                <w:sz w:val="18"/>
                <w:szCs w:val="18"/>
              </w:rPr>
              <w:t>敏感</w:t>
            </w:r>
            <w:r>
              <w:rPr>
                <w:rFonts w:ascii="Wingdings 2" w:hAnsi="Wingdings 2"/>
                <w:color w:val="auto"/>
                <w:sz w:val="18"/>
                <w:szCs w:val="18"/>
              </w:rPr>
              <w:t></w:t>
            </w:r>
            <w:r>
              <w:rPr>
                <w:rFonts w:hint="eastAsia"/>
                <w:color w:val="auto"/>
                <w:sz w:val="18"/>
                <w:szCs w:val="18"/>
              </w:rPr>
              <w:t>；较敏感□；不敏感□</w:t>
            </w:r>
          </w:p>
        </w:tc>
        <w:tc>
          <w:tcPr>
            <w:tcW w:w="616" w:type="pct"/>
            <w:tcBorders>
              <w:top w:val="single" w:color="000000" w:sz="6" w:space="0"/>
              <w:left w:val="nil"/>
              <w:bottom w:val="single" w:color="000000" w:sz="6" w:space="0"/>
              <w:right w:val="nil"/>
            </w:tcBorders>
            <w:vAlign w:val="center"/>
          </w:tcPr>
          <w:p>
            <w:pPr>
              <w:pStyle w:val="42"/>
              <w:spacing w:line="240" w:lineRule="auto"/>
              <w:ind w:firstLine="0" w:firstLineChars="0"/>
              <w:jc w:val="center"/>
              <w:rPr>
                <w:color w:val="auto"/>
                <w:sz w:val="18"/>
                <w:szCs w:val="18"/>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1130" w:type="pct"/>
            <w:gridSpan w:val="2"/>
            <w:tcBorders>
              <w:top w:val="single" w:color="000000" w:sz="6" w:space="0"/>
              <w:left w:val="nil"/>
              <w:bottom w:val="single" w:color="000000" w:sz="6" w:space="0"/>
              <w:right w:val="single" w:color="000000" w:sz="6" w:space="0"/>
            </w:tcBorders>
            <w:vAlign w:val="center"/>
          </w:tcPr>
          <w:p>
            <w:pPr>
              <w:pStyle w:val="42"/>
              <w:spacing w:line="240" w:lineRule="auto"/>
              <w:ind w:firstLine="0" w:firstLineChars="0"/>
              <w:jc w:val="center"/>
              <w:rPr>
                <w:color w:val="auto"/>
                <w:sz w:val="18"/>
                <w:szCs w:val="18"/>
              </w:rPr>
            </w:pPr>
            <w:r>
              <w:rPr>
                <w:rFonts w:hint="eastAsia"/>
                <w:color w:val="auto"/>
                <w:sz w:val="18"/>
                <w:szCs w:val="18"/>
              </w:rPr>
              <w:t>评价工作等级</w:t>
            </w:r>
          </w:p>
        </w:tc>
        <w:tc>
          <w:tcPr>
            <w:tcW w:w="3252" w:type="pct"/>
            <w:gridSpan w:val="8"/>
            <w:tcBorders>
              <w:top w:val="single" w:color="000000" w:sz="6" w:space="0"/>
              <w:left w:val="nil"/>
              <w:bottom w:val="single" w:color="000000" w:sz="6" w:space="0"/>
              <w:right w:val="single" w:color="000000" w:sz="6" w:space="0"/>
            </w:tcBorders>
            <w:vAlign w:val="center"/>
          </w:tcPr>
          <w:p>
            <w:pPr>
              <w:pStyle w:val="42"/>
              <w:spacing w:line="240" w:lineRule="auto"/>
              <w:ind w:firstLine="0" w:firstLineChars="0"/>
              <w:rPr>
                <w:color w:val="auto"/>
                <w:sz w:val="18"/>
                <w:szCs w:val="18"/>
              </w:rPr>
            </w:pPr>
            <w:r>
              <w:rPr>
                <w:rFonts w:hint="eastAsia"/>
                <w:color w:val="auto"/>
                <w:sz w:val="18"/>
                <w:szCs w:val="18"/>
              </w:rPr>
              <w:t>一级□；二级□；三级</w:t>
            </w:r>
            <w:r>
              <w:rPr>
                <w:rFonts w:ascii="Wingdings 2" w:hAnsi="Wingdings 2"/>
                <w:color w:val="auto"/>
                <w:sz w:val="18"/>
                <w:szCs w:val="18"/>
              </w:rPr>
              <w:sym w:font="Wingdings 2" w:char="00A3"/>
            </w:r>
          </w:p>
        </w:tc>
        <w:tc>
          <w:tcPr>
            <w:tcW w:w="616" w:type="pct"/>
            <w:tcBorders>
              <w:top w:val="single" w:color="000000" w:sz="6" w:space="0"/>
              <w:left w:val="nil"/>
              <w:bottom w:val="single" w:color="000000" w:sz="6" w:space="0"/>
              <w:right w:val="nil"/>
            </w:tcBorders>
            <w:vAlign w:val="center"/>
          </w:tcPr>
          <w:p>
            <w:pPr>
              <w:pStyle w:val="42"/>
              <w:spacing w:line="240" w:lineRule="auto"/>
              <w:ind w:firstLine="0" w:firstLineChars="0"/>
              <w:jc w:val="center"/>
              <w:rPr>
                <w:color w:val="auto"/>
                <w:sz w:val="18"/>
                <w:szCs w:val="18"/>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1" w:hRule="atLeast"/>
          <w:jc w:val="center"/>
        </w:trPr>
        <w:tc>
          <w:tcPr>
            <w:tcW w:w="229" w:type="pct"/>
            <w:vMerge w:val="restart"/>
            <w:tcBorders>
              <w:top w:val="nil"/>
              <w:left w:val="nil"/>
              <w:bottom w:val="single" w:color="000000" w:sz="6" w:space="0"/>
              <w:right w:val="single" w:color="000000" w:sz="6" w:space="0"/>
            </w:tcBorders>
            <w:vAlign w:val="center"/>
          </w:tcPr>
          <w:p>
            <w:pPr>
              <w:pStyle w:val="42"/>
              <w:spacing w:line="240" w:lineRule="auto"/>
              <w:ind w:firstLine="0" w:firstLineChars="0"/>
              <w:jc w:val="center"/>
              <w:rPr>
                <w:color w:val="auto"/>
                <w:sz w:val="18"/>
                <w:szCs w:val="18"/>
              </w:rPr>
            </w:pPr>
            <w:r>
              <w:rPr>
                <w:rFonts w:hint="eastAsia"/>
                <w:color w:val="auto"/>
                <w:sz w:val="18"/>
                <w:szCs w:val="18"/>
              </w:rPr>
              <w:t>现状调查内容</w:t>
            </w:r>
          </w:p>
        </w:tc>
        <w:tc>
          <w:tcPr>
            <w:tcW w:w="901" w:type="pct"/>
            <w:tcBorders>
              <w:top w:val="single" w:color="000000" w:sz="6" w:space="0"/>
              <w:left w:val="nil"/>
              <w:bottom w:val="single" w:color="000000" w:sz="6" w:space="0"/>
              <w:right w:val="single" w:color="000000" w:sz="6" w:space="0"/>
            </w:tcBorders>
            <w:vAlign w:val="center"/>
          </w:tcPr>
          <w:p>
            <w:pPr>
              <w:pStyle w:val="42"/>
              <w:spacing w:line="240" w:lineRule="auto"/>
              <w:ind w:firstLine="0" w:firstLineChars="0"/>
              <w:jc w:val="center"/>
              <w:rPr>
                <w:color w:val="auto"/>
                <w:sz w:val="18"/>
                <w:szCs w:val="18"/>
              </w:rPr>
            </w:pPr>
            <w:r>
              <w:rPr>
                <w:rFonts w:hint="eastAsia"/>
                <w:color w:val="auto"/>
                <w:sz w:val="18"/>
                <w:szCs w:val="18"/>
              </w:rPr>
              <w:t>资料收集</w:t>
            </w:r>
          </w:p>
        </w:tc>
        <w:tc>
          <w:tcPr>
            <w:tcW w:w="3252" w:type="pct"/>
            <w:gridSpan w:val="8"/>
            <w:tcBorders>
              <w:top w:val="single" w:color="000000" w:sz="6" w:space="0"/>
              <w:left w:val="nil"/>
              <w:bottom w:val="single" w:color="000000" w:sz="6" w:space="0"/>
              <w:right w:val="single" w:color="000000" w:sz="6" w:space="0"/>
            </w:tcBorders>
            <w:vAlign w:val="center"/>
          </w:tcPr>
          <w:p>
            <w:pPr>
              <w:pStyle w:val="42"/>
              <w:spacing w:line="240" w:lineRule="auto"/>
              <w:ind w:firstLine="0" w:firstLineChars="0"/>
              <w:rPr>
                <w:color w:val="auto"/>
                <w:sz w:val="18"/>
                <w:szCs w:val="18"/>
              </w:rPr>
            </w:pPr>
            <w:r>
              <w:rPr>
                <w:color w:val="auto"/>
                <w:sz w:val="18"/>
                <w:szCs w:val="18"/>
              </w:rPr>
              <w:t>a</w:t>
            </w:r>
            <w:r>
              <w:rPr>
                <w:rFonts w:hint="eastAsia"/>
                <w:color w:val="auto"/>
                <w:sz w:val="18"/>
                <w:szCs w:val="18"/>
              </w:rPr>
              <w:t>）</w:t>
            </w:r>
            <w:r>
              <w:rPr>
                <w:rFonts w:ascii="Wingdings 2" w:hAnsi="Wingdings 2"/>
                <w:color w:val="auto"/>
                <w:sz w:val="18"/>
                <w:szCs w:val="18"/>
              </w:rPr>
              <w:sym w:font="Wingdings 2" w:char="00A3"/>
            </w:r>
            <w:r>
              <w:rPr>
                <w:rFonts w:hint="eastAsia"/>
                <w:color w:val="auto"/>
                <w:sz w:val="18"/>
                <w:szCs w:val="18"/>
              </w:rPr>
              <w:t>；</w:t>
            </w:r>
            <w:r>
              <w:rPr>
                <w:color w:val="auto"/>
                <w:sz w:val="18"/>
                <w:szCs w:val="18"/>
              </w:rPr>
              <w:t>b</w:t>
            </w:r>
            <w:r>
              <w:rPr>
                <w:rFonts w:hint="eastAsia"/>
                <w:color w:val="auto"/>
                <w:sz w:val="18"/>
                <w:szCs w:val="18"/>
              </w:rPr>
              <w:t>）</w:t>
            </w:r>
            <w:r>
              <w:rPr>
                <w:rFonts w:ascii="Wingdings 2" w:hAnsi="Wingdings 2"/>
                <w:color w:val="auto"/>
                <w:sz w:val="18"/>
                <w:szCs w:val="18"/>
              </w:rPr>
              <w:sym w:font="Wingdings 2" w:char="00A3"/>
            </w:r>
            <w:r>
              <w:rPr>
                <w:rFonts w:hint="eastAsia"/>
                <w:color w:val="auto"/>
                <w:sz w:val="18"/>
                <w:szCs w:val="18"/>
              </w:rPr>
              <w:t>；</w:t>
            </w:r>
            <w:r>
              <w:rPr>
                <w:color w:val="auto"/>
                <w:sz w:val="18"/>
                <w:szCs w:val="18"/>
              </w:rPr>
              <w:t>c</w:t>
            </w:r>
            <w:r>
              <w:rPr>
                <w:rFonts w:hint="eastAsia"/>
                <w:color w:val="auto"/>
                <w:sz w:val="18"/>
                <w:szCs w:val="18"/>
              </w:rPr>
              <w:t>）</w:t>
            </w:r>
            <w:r>
              <w:rPr>
                <w:rFonts w:ascii="Wingdings 2" w:hAnsi="Wingdings 2"/>
                <w:color w:val="auto"/>
                <w:sz w:val="18"/>
                <w:szCs w:val="18"/>
              </w:rPr>
              <w:sym w:font="Wingdings 2" w:char="00A3"/>
            </w:r>
            <w:r>
              <w:rPr>
                <w:rFonts w:hint="eastAsia"/>
                <w:color w:val="auto"/>
                <w:sz w:val="18"/>
                <w:szCs w:val="18"/>
              </w:rPr>
              <w:t>；d）</w:t>
            </w:r>
            <w:r>
              <w:rPr>
                <w:rFonts w:ascii="Wingdings 2" w:hAnsi="Wingdings 2"/>
                <w:color w:val="auto"/>
                <w:sz w:val="18"/>
                <w:szCs w:val="18"/>
              </w:rPr>
              <w:sym w:font="Wingdings 2" w:char="00A3"/>
            </w:r>
          </w:p>
        </w:tc>
        <w:tc>
          <w:tcPr>
            <w:tcW w:w="616" w:type="pct"/>
            <w:tcBorders>
              <w:top w:val="single" w:color="000000" w:sz="6" w:space="0"/>
              <w:left w:val="nil"/>
              <w:bottom w:val="single" w:color="000000" w:sz="6" w:space="0"/>
              <w:right w:val="nil"/>
            </w:tcBorders>
            <w:vAlign w:val="center"/>
          </w:tcPr>
          <w:p>
            <w:pPr>
              <w:pStyle w:val="42"/>
              <w:spacing w:line="240" w:lineRule="auto"/>
              <w:ind w:firstLine="0" w:firstLineChars="0"/>
              <w:jc w:val="center"/>
              <w:rPr>
                <w:color w:val="auto"/>
                <w:sz w:val="18"/>
                <w:szCs w:val="18"/>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229" w:type="pct"/>
            <w:vMerge w:val="continue"/>
            <w:tcBorders>
              <w:top w:val="nil"/>
              <w:left w:val="nil"/>
              <w:bottom w:val="single" w:color="000000" w:sz="6" w:space="0"/>
              <w:right w:val="single" w:color="000000" w:sz="6" w:space="0"/>
            </w:tcBorders>
            <w:vAlign w:val="center"/>
          </w:tcPr>
          <w:p>
            <w:pPr>
              <w:widowControl/>
              <w:spacing w:line="240" w:lineRule="auto"/>
              <w:ind w:firstLine="0" w:firstLineChars="0"/>
              <w:rPr>
                <w:rFonts w:ascii="宋体" w:hAnsi="宋体"/>
                <w:color w:val="auto"/>
                <w:sz w:val="18"/>
                <w:szCs w:val="18"/>
              </w:rPr>
            </w:pPr>
          </w:p>
        </w:tc>
        <w:tc>
          <w:tcPr>
            <w:tcW w:w="901" w:type="pct"/>
            <w:tcBorders>
              <w:top w:val="single" w:color="000000" w:sz="6" w:space="0"/>
              <w:left w:val="nil"/>
              <w:bottom w:val="single" w:color="000000" w:sz="6" w:space="0"/>
              <w:right w:val="single" w:color="000000" w:sz="6" w:space="0"/>
            </w:tcBorders>
            <w:vAlign w:val="center"/>
          </w:tcPr>
          <w:p>
            <w:pPr>
              <w:pStyle w:val="42"/>
              <w:spacing w:line="240" w:lineRule="auto"/>
              <w:ind w:firstLine="0" w:firstLineChars="0"/>
              <w:jc w:val="center"/>
              <w:rPr>
                <w:color w:val="auto"/>
                <w:sz w:val="18"/>
                <w:szCs w:val="18"/>
              </w:rPr>
            </w:pPr>
            <w:r>
              <w:rPr>
                <w:rFonts w:hint="eastAsia"/>
                <w:color w:val="auto"/>
                <w:sz w:val="18"/>
                <w:szCs w:val="18"/>
              </w:rPr>
              <w:t>理化特性</w:t>
            </w:r>
          </w:p>
        </w:tc>
        <w:tc>
          <w:tcPr>
            <w:tcW w:w="3252" w:type="pct"/>
            <w:gridSpan w:val="8"/>
            <w:tcBorders>
              <w:top w:val="single" w:color="000000" w:sz="6" w:space="0"/>
              <w:left w:val="nil"/>
              <w:bottom w:val="single" w:color="000000" w:sz="6" w:space="0"/>
              <w:right w:val="single" w:color="000000" w:sz="6" w:space="0"/>
            </w:tcBorders>
            <w:vAlign w:val="center"/>
          </w:tcPr>
          <w:p>
            <w:pPr>
              <w:pStyle w:val="42"/>
              <w:spacing w:line="240" w:lineRule="auto"/>
              <w:ind w:firstLine="0" w:firstLineChars="0"/>
              <w:jc w:val="center"/>
              <w:rPr>
                <w:color w:val="auto"/>
                <w:sz w:val="18"/>
                <w:szCs w:val="18"/>
              </w:rPr>
            </w:pPr>
          </w:p>
        </w:tc>
        <w:tc>
          <w:tcPr>
            <w:tcW w:w="616" w:type="pct"/>
            <w:tcBorders>
              <w:top w:val="single" w:color="000000" w:sz="6" w:space="0"/>
              <w:left w:val="nil"/>
              <w:bottom w:val="single" w:color="000000" w:sz="6" w:space="0"/>
              <w:right w:val="nil"/>
            </w:tcBorders>
            <w:vAlign w:val="center"/>
          </w:tcPr>
          <w:p>
            <w:pPr>
              <w:pStyle w:val="42"/>
              <w:spacing w:line="240" w:lineRule="auto"/>
              <w:ind w:firstLine="0" w:firstLineChars="0"/>
              <w:jc w:val="center"/>
              <w:rPr>
                <w:color w:val="auto"/>
                <w:sz w:val="18"/>
                <w:szCs w:val="18"/>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09" w:hRule="atLeast"/>
          <w:jc w:val="center"/>
        </w:trPr>
        <w:tc>
          <w:tcPr>
            <w:tcW w:w="229" w:type="pct"/>
            <w:vMerge w:val="continue"/>
            <w:tcBorders>
              <w:top w:val="nil"/>
              <w:left w:val="nil"/>
              <w:bottom w:val="single" w:color="000000" w:sz="6" w:space="0"/>
              <w:right w:val="single" w:color="000000" w:sz="6" w:space="0"/>
            </w:tcBorders>
            <w:vAlign w:val="center"/>
          </w:tcPr>
          <w:p>
            <w:pPr>
              <w:widowControl/>
              <w:spacing w:line="240" w:lineRule="auto"/>
              <w:ind w:firstLine="0" w:firstLineChars="0"/>
              <w:rPr>
                <w:rFonts w:ascii="宋体" w:hAnsi="宋体"/>
                <w:color w:val="auto"/>
                <w:sz w:val="18"/>
                <w:szCs w:val="18"/>
              </w:rPr>
            </w:pPr>
          </w:p>
        </w:tc>
        <w:tc>
          <w:tcPr>
            <w:tcW w:w="901" w:type="pct"/>
            <w:vMerge w:val="restart"/>
            <w:tcBorders>
              <w:top w:val="nil"/>
              <w:left w:val="nil"/>
              <w:bottom w:val="single" w:color="000000" w:sz="6" w:space="0"/>
              <w:right w:val="single" w:color="000000" w:sz="6" w:space="0"/>
            </w:tcBorders>
            <w:vAlign w:val="center"/>
          </w:tcPr>
          <w:p>
            <w:pPr>
              <w:pStyle w:val="42"/>
              <w:spacing w:line="240" w:lineRule="auto"/>
              <w:ind w:firstLine="0" w:firstLineChars="0"/>
              <w:jc w:val="center"/>
              <w:rPr>
                <w:color w:val="auto"/>
                <w:sz w:val="18"/>
                <w:szCs w:val="18"/>
              </w:rPr>
            </w:pPr>
            <w:r>
              <w:rPr>
                <w:rFonts w:hint="eastAsia"/>
                <w:color w:val="auto"/>
                <w:sz w:val="18"/>
                <w:szCs w:val="18"/>
              </w:rPr>
              <w:t>现状监测点位</w:t>
            </w:r>
          </w:p>
        </w:tc>
        <w:tc>
          <w:tcPr>
            <w:tcW w:w="760" w:type="pct"/>
            <w:tcBorders>
              <w:top w:val="single" w:color="000000" w:sz="6" w:space="0"/>
              <w:left w:val="nil"/>
              <w:bottom w:val="single" w:color="000000" w:sz="4" w:space="0"/>
              <w:right w:val="single" w:color="000000" w:sz="4" w:space="0"/>
            </w:tcBorders>
            <w:vAlign w:val="center"/>
          </w:tcPr>
          <w:p>
            <w:pPr>
              <w:pStyle w:val="42"/>
              <w:spacing w:line="240" w:lineRule="auto"/>
              <w:ind w:firstLine="0" w:firstLineChars="0"/>
              <w:jc w:val="center"/>
              <w:rPr>
                <w:color w:val="auto"/>
                <w:sz w:val="18"/>
                <w:szCs w:val="18"/>
              </w:rPr>
            </w:pPr>
          </w:p>
        </w:tc>
        <w:tc>
          <w:tcPr>
            <w:tcW w:w="753" w:type="pct"/>
            <w:tcBorders>
              <w:top w:val="single" w:color="000000" w:sz="6" w:space="0"/>
              <w:left w:val="nil"/>
              <w:bottom w:val="single" w:color="000000" w:sz="4" w:space="0"/>
              <w:right w:val="single" w:color="000000" w:sz="4" w:space="0"/>
            </w:tcBorders>
            <w:vAlign w:val="center"/>
          </w:tcPr>
          <w:p>
            <w:pPr>
              <w:pStyle w:val="42"/>
              <w:spacing w:line="240" w:lineRule="auto"/>
              <w:ind w:firstLine="0" w:firstLineChars="0"/>
              <w:jc w:val="center"/>
              <w:rPr>
                <w:color w:val="auto"/>
                <w:sz w:val="18"/>
                <w:szCs w:val="18"/>
              </w:rPr>
            </w:pPr>
            <w:r>
              <w:rPr>
                <w:rFonts w:hint="eastAsia"/>
                <w:color w:val="auto"/>
                <w:sz w:val="18"/>
                <w:szCs w:val="18"/>
              </w:rPr>
              <w:t>占地范围内</w:t>
            </w:r>
          </w:p>
        </w:tc>
        <w:tc>
          <w:tcPr>
            <w:tcW w:w="682" w:type="pct"/>
            <w:gridSpan w:val="2"/>
            <w:tcBorders>
              <w:top w:val="single" w:color="000000" w:sz="6" w:space="0"/>
              <w:left w:val="nil"/>
              <w:bottom w:val="single" w:color="000000" w:sz="4" w:space="0"/>
              <w:right w:val="single" w:color="000000" w:sz="4" w:space="0"/>
            </w:tcBorders>
            <w:vAlign w:val="center"/>
          </w:tcPr>
          <w:p>
            <w:pPr>
              <w:pStyle w:val="42"/>
              <w:spacing w:line="240" w:lineRule="auto"/>
              <w:ind w:firstLine="0" w:firstLineChars="0"/>
              <w:jc w:val="center"/>
              <w:rPr>
                <w:color w:val="auto"/>
                <w:sz w:val="18"/>
                <w:szCs w:val="18"/>
              </w:rPr>
            </w:pPr>
            <w:r>
              <w:rPr>
                <w:rFonts w:hint="eastAsia"/>
                <w:color w:val="auto"/>
                <w:sz w:val="18"/>
                <w:szCs w:val="18"/>
              </w:rPr>
              <w:t>占地范围外</w:t>
            </w:r>
          </w:p>
        </w:tc>
        <w:tc>
          <w:tcPr>
            <w:tcW w:w="1055" w:type="pct"/>
            <w:gridSpan w:val="4"/>
            <w:tcBorders>
              <w:top w:val="single" w:color="000000" w:sz="6" w:space="0"/>
              <w:left w:val="nil"/>
              <w:bottom w:val="single" w:color="000000" w:sz="4" w:space="0"/>
              <w:right w:val="single" w:color="000000" w:sz="6" w:space="0"/>
            </w:tcBorders>
            <w:vAlign w:val="center"/>
          </w:tcPr>
          <w:p>
            <w:pPr>
              <w:pStyle w:val="42"/>
              <w:spacing w:line="240" w:lineRule="auto"/>
              <w:ind w:firstLine="0" w:firstLineChars="0"/>
              <w:jc w:val="center"/>
              <w:rPr>
                <w:color w:val="auto"/>
                <w:sz w:val="18"/>
                <w:szCs w:val="18"/>
              </w:rPr>
            </w:pPr>
            <w:r>
              <w:rPr>
                <w:rFonts w:hint="eastAsia"/>
                <w:color w:val="auto"/>
                <w:sz w:val="18"/>
                <w:szCs w:val="18"/>
              </w:rPr>
              <w:t>深度</w:t>
            </w:r>
          </w:p>
        </w:tc>
        <w:tc>
          <w:tcPr>
            <w:tcW w:w="616" w:type="pct"/>
            <w:vMerge w:val="restart"/>
            <w:tcBorders>
              <w:top w:val="single" w:color="000000" w:sz="6" w:space="0"/>
              <w:left w:val="nil"/>
              <w:bottom w:val="single" w:color="000000" w:sz="6" w:space="0"/>
              <w:right w:val="nil"/>
            </w:tcBorders>
            <w:vAlign w:val="center"/>
          </w:tcPr>
          <w:p>
            <w:pPr>
              <w:pStyle w:val="42"/>
              <w:spacing w:line="240" w:lineRule="auto"/>
              <w:ind w:firstLine="0" w:firstLineChars="0"/>
              <w:jc w:val="center"/>
              <w:rPr>
                <w:rFonts w:ascii="黑体"/>
                <w:color w:val="auto"/>
                <w:sz w:val="18"/>
                <w:szCs w:val="18"/>
              </w:rPr>
            </w:pPr>
          </w:p>
          <w:p>
            <w:pPr>
              <w:pStyle w:val="42"/>
              <w:spacing w:line="240" w:lineRule="auto"/>
              <w:ind w:firstLine="0" w:firstLineChars="0"/>
              <w:jc w:val="center"/>
              <w:rPr>
                <w:color w:val="auto"/>
                <w:sz w:val="18"/>
                <w:szCs w:val="18"/>
              </w:rPr>
            </w:pPr>
            <w:r>
              <w:rPr>
                <w:rFonts w:hint="eastAsia"/>
                <w:color w:val="auto"/>
                <w:sz w:val="18"/>
                <w:szCs w:val="18"/>
              </w:rPr>
              <w:t>/</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229" w:type="pct"/>
            <w:vMerge w:val="continue"/>
            <w:tcBorders>
              <w:top w:val="nil"/>
              <w:left w:val="nil"/>
              <w:bottom w:val="single" w:color="000000" w:sz="6" w:space="0"/>
              <w:right w:val="single" w:color="000000" w:sz="6" w:space="0"/>
            </w:tcBorders>
            <w:vAlign w:val="center"/>
          </w:tcPr>
          <w:p>
            <w:pPr>
              <w:widowControl/>
              <w:spacing w:line="240" w:lineRule="auto"/>
              <w:ind w:firstLine="0" w:firstLineChars="0"/>
              <w:rPr>
                <w:rFonts w:ascii="宋体" w:hAnsi="宋体"/>
                <w:color w:val="auto"/>
                <w:sz w:val="18"/>
                <w:szCs w:val="18"/>
              </w:rPr>
            </w:pPr>
          </w:p>
        </w:tc>
        <w:tc>
          <w:tcPr>
            <w:tcW w:w="901" w:type="pct"/>
            <w:vMerge w:val="continue"/>
            <w:tcBorders>
              <w:top w:val="nil"/>
              <w:left w:val="nil"/>
              <w:bottom w:val="single" w:color="000000" w:sz="6" w:space="0"/>
              <w:right w:val="single" w:color="000000" w:sz="6" w:space="0"/>
            </w:tcBorders>
            <w:vAlign w:val="center"/>
          </w:tcPr>
          <w:p>
            <w:pPr>
              <w:widowControl/>
              <w:spacing w:line="240" w:lineRule="auto"/>
              <w:ind w:firstLine="0" w:firstLineChars="0"/>
              <w:rPr>
                <w:rFonts w:ascii="宋体" w:hAnsi="宋体"/>
                <w:color w:val="auto"/>
                <w:sz w:val="18"/>
                <w:szCs w:val="18"/>
              </w:rPr>
            </w:pPr>
          </w:p>
        </w:tc>
        <w:tc>
          <w:tcPr>
            <w:tcW w:w="760" w:type="pct"/>
            <w:tcBorders>
              <w:top w:val="single" w:color="000000" w:sz="4" w:space="0"/>
              <w:left w:val="nil"/>
              <w:bottom w:val="single" w:color="000000" w:sz="4" w:space="0"/>
              <w:right w:val="single" w:color="000000" w:sz="4" w:space="0"/>
            </w:tcBorders>
            <w:vAlign w:val="center"/>
          </w:tcPr>
          <w:p>
            <w:pPr>
              <w:pStyle w:val="42"/>
              <w:spacing w:line="240" w:lineRule="auto"/>
              <w:ind w:firstLine="0" w:firstLineChars="0"/>
              <w:jc w:val="center"/>
              <w:rPr>
                <w:color w:val="auto"/>
                <w:sz w:val="18"/>
                <w:szCs w:val="18"/>
              </w:rPr>
            </w:pPr>
            <w:r>
              <w:rPr>
                <w:rFonts w:hint="eastAsia"/>
                <w:color w:val="auto"/>
                <w:sz w:val="18"/>
                <w:szCs w:val="18"/>
              </w:rPr>
              <w:t>表层样点数</w:t>
            </w:r>
          </w:p>
        </w:tc>
        <w:tc>
          <w:tcPr>
            <w:tcW w:w="753" w:type="pct"/>
            <w:tcBorders>
              <w:top w:val="single" w:color="000000" w:sz="4" w:space="0"/>
              <w:left w:val="nil"/>
              <w:bottom w:val="single" w:color="000000" w:sz="4" w:space="0"/>
              <w:right w:val="single" w:color="000000" w:sz="4" w:space="0"/>
            </w:tcBorders>
            <w:vAlign w:val="center"/>
          </w:tcPr>
          <w:p>
            <w:pPr>
              <w:pStyle w:val="42"/>
              <w:spacing w:line="240" w:lineRule="auto"/>
              <w:ind w:firstLine="0" w:firstLineChars="0"/>
              <w:jc w:val="center"/>
              <w:rPr>
                <w:color w:val="auto"/>
                <w:sz w:val="18"/>
                <w:szCs w:val="18"/>
              </w:rPr>
            </w:pPr>
            <w:r>
              <w:rPr>
                <w:rFonts w:hint="eastAsia"/>
                <w:color w:val="auto"/>
                <w:sz w:val="18"/>
                <w:szCs w:val="18"/>
              </w:rPr>
              <w:t>3</w:t>
            </w:r>
          </w:p>
        </w:tc>
        <w:tc>
          <w:tcPr>
            <w:tcW w:w="682" w:type="pct"/>
            <w:gridSpan w:val="2"/>
            <w:tcBorders>
              <w:top w:val="single" w:color="000000" w:sz="4" w:space="0"/>
              <w:left w:val="nil"/>
              <w:bottom w:val="single" w:color="000000" w:sz="4" w:space="0"/>
              <w:right w:val="single" w:color="000000" w:sz="4" w:space="0"/>
            </w:tcBorders>
            <w:vAlign w:val="center"/>
          </w:tcPr>
          <w:p>
            <w:pPr>
              <w:pStyle w:val="42"/>
              <w:spacing w:line="240" w:lineRule="auto"/>
              <w:ind w:firstLine="0" w:firstLineChars="0"/>
              <w:jc w:val="center"/>
              <w:rPr>
                <w:color w:val="auto"/>
                <w:sz w:val="18"/>
                <w:szCs w:val="18"/>
              </w:rPr>
            </w:pPr>
            <w:r>
              <w:rPr>
                <w:rFonts w:hint="eastAsia"/>
                <w:color w:val="auto"/>
                <w:sz w:val="18"/>
                <w:szCs w:val="18"/>
              </w:rPr>
              <w:t>0</w:t>
            </w:r>
          </w:p>
        </w:tc>
        <w:tc>
          <w:tcPr>
            <w:tcW w:w="1055" w:type="pct"/>
            <w:gridSpan w:val="4"/>
            <w:tcBorders>
              <w:top w:val="single" w:color="000000" w:sz="4" w:space="0"/>
              <w:left w:val="nil"/>
              <w:bottom w:val="single" w:color="000000" w:sz="4" w:space="0"/>
              <w:right w:val="single" w:color="000000" w:sz="6" w:space="0"/>
            </w:tcBorders>
            <w:vAlign w:val="center"/>
          </w:tcPr>
          <w:p>
            <w:pPr>
              <w:pStyle w:val="42"/>
              <w:spacing w:line="240" w:lineRule="auto"/>
              <w:ind w:firstLine="0" w:firstLineChars="0"/>
              <w:jc w:val="center"/>
              <w:rPr>
                <w:color w:val="auto"/>
                <w:sz w:val="18"/>
                <w:szCs w:val="18"/>
              </w:rPr>
            </w:pPr>
            <w:r>
              <w:rPr>
                <w:color w:val="auto"/>
                <w:sz w:val="18"/>
                <w:szCs w:val="18"/>
              </w:rPr>
              <w:t>0~0.2m</w:t>
            </w:r>
          </w:p>
        </w:tc>
        <w:tc>
          <w:tcPr>
            <w:tcW w:w="616" w:type="pct"/>
            <w:vMerge w:val="continue"/>
            <w:tcBorders>
              <w:top w:val="single" w:color="000000" w:sz="6" w:space="0"/>
              <w:left w:val="nil"/>
              <w:bottom w:val="single" w:color="000000" w:sz="6" w:space="0"/>
              <w:right w:val="nil"/>
            </w:tcBorders>
            <w:vAlign w:val="center"/>
          </w:tcPr>
          <w:p>
            <w:pPr>
              <w:widowControl/>
              <w:spacing w:line="240" w:lineRule="auto"/>
              <w:ind w:firstLine="0" w:firstLineChars="0"/>
              <w:rPr>
                <w:rFonts w:ascii="宋体" w:hAnsi="宋体"/>
                <w:color w:val="auto"/>
                <w:sz w:val="18"/>
                <w:szCs w:val="18"/>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4" w:hRule="atLeast"/>
          <w:jc w:val="center"/>
        </w:trPr>
        <w:tc>
          <w:tcPr>
            <w:tcW w:w="229" w:type="pct"/>
            <w:vMerge w:val="continue"/>
            <w:tcBorders>
              <w:top w:val="nil"/>
              <w:left w:val="nil"/>
              <w:bottom w:val="single" w:color="000000" w:sz="6" w:space="0"/>
              <w:right w:val="single" w:color="000000" w:sz="6" w:space="0"/>
            </w:tcBorders>
            <w:vAlign w:val="center"/>
          </w:tcPr>
          <w:p>
            <w:pPr>
              <w:widowControl/>
              <w:spacing w:line="240" w:lineRule="auto"/>
              <w:ind w:firstLine="0" w:firstLineChars="0"/>
              <w:rPr>
                <w:rFonts w:ascii="宋体" w:hAnsi="宋体"/>
                <w:color w:val="auto"/>
                <w:sz w:val="18"/>
                <w:szCs w:val="18"/>
              </w:rPr>
            </w:pPr>
          </w:p>
        </w:tc>
        <w:tc>
          <w:tcPr>
            <w:tcW w:w="901" w:type="pct"/>
            <w:vMerge w:val="continue"/>
            <w:tcBorders>
              <w:top w:val="nil"/>
              <w:left w:val="nil"/>
              <w:bottom w:val="single" w:color="000000" w:sz="6" w:space="0"/>
              <w:right w:val="single" w:color="000000" w:sz="6" w:space="0"/>
            </w:tcBorders>
            <w:vAlign w:val="center"/>
          </w:tcPr>
          <w:p>
            <w:pPr>
              <w:widowControl/>
              <w:spacing w:line="240" w:lineRule="auto"/>
              <w:ind w:firstLine="0" w:firstLineChars="0"/>
              <w:rPr>
                <w:rFonts w:ascii="宋体" w:hAnsi="宋体"/>
                <w:color w:val="auto"/>
                <w:sz w:val="18"/>
                <w:szCs w:val="18"/>
              </w:rPr>
            </w:pPr>
          </w:p>
        </w:tc>
        <w:tc>
          <w:tcPr>
            <w:tcW w:w="760" w:type="pct"/>
            <w:tcBorders>
              <w:top w:val="single" w:color="000000" w:sz="4" w:space="0"/>
              <w:left w:val="nil"/>
              <w:bottom w:val="single" w:color="000000" w:sz="6" w:space="0"/>
              <w:right w:val="single" w:color="000000" w:sz="4" w:space="0"/>
            </w:tcBorders>
            <w:vAlign w:val="center"/>
          </w:tcPr>
          <w:p>
            <w:pPr>
              <w:pStyle w:val="42"/>
              <w:spacing w:line="240" w:lineRule="auto"/>
              <w:ind w:firstLine="0" w:firstLineChars="0"/>
              <w:jc w:val="center"/>
              <w:rPr>
                <w:color w:val="auto"/>
                <w:sz w:val="18"/>
                <w:szCs w:val="18"/>
              </w:rPr>
            </w:pPr>
            <w:r>
              <w:rPr>
                <w:rFonts w:hint="eastAsia"/>
                <w:color w:val="auto"/>
                <w:sz w:val="18"/>
                <w:szCs w:val="18"/>
              </w:rPr>
              <w:t>柱状样点数</w:t>
            </w:r>
          </w:p>
        </w:tc>
        <w:tc>
          <w:tcPr>
            <w:tcW w:w="753" w:type="pct"/>
            <w:tcBorders>
              <w:top w:val="single" w:color="000000" w:sz="4" w:space="0"/>
              <w:left w:val="nil"/>
              <w:bottom w:val="single" w:color="000000" w:sz="6" w:space="0"/>
              <w:right w:val="single" w:color="000000" w:sz="4" w:space="0"/>
            </w:tcBorders>
            <w:vAlign w:val="center"/>
          </w:tcPr>
          <w:p>
            <w:pPr>
              <w:pStyle w:val="42"/>
              <w:spacing w:line="240" w:lineRule="auto"/>
              <w:ind w:firstLine="0" w:firstLineChars="0"/>
              <w:jc w:val="center"/>
              <w:rPr>
                <w:color w:val="auto"/>
                <w:sz w:val="18"/>
                <w:szCs w:val="18"/>
              </w:rPr>
            </w:pPr>
            <w:r>
              <w:rPr>
                <w:rFonts w:hint="eastAsia"/>
                <w:color w:val="auto"/>
                <w:sz w:val="18"/>
                <w:szCs w:val="18"/>
              </w:rPr>
              <w:t>/</w:t>
            </w:r>
          </w:p>
        </w:tc>
        <w:tc>
          <w:tcPr>
            <w:tcW w:w="682" w:type="pct"/>
            <w:gridSpan w:val="2"/>
            <w:tcBorders>
              <w:top w:val="single" w:color="000000" w:sz="4" w:space="0"/>
              <w:left w:val="nil"/>
              <w:bottom w:val="single" w:color="000000" w:sz="6" w:space="0"/>
              <w:right w:val="single" w:color="000000" w:sz="4" w:space="0"/>
            </w:tcBorders>
            <w:vAlign w:val="center"/>
          </w:tcPr>
          <w:p>
            <w:pPr>
              <w:pStyle w:val="42"/>
              <w:spacing w:line="240" w:lineRule="auto"/>
              <w:ind w:firstLine="0" w:firstLineChars="0"/>
              <w:jc w:val="center"/>
              <w:rPr>
                <w:color w:val="auto"/>
                <w:sz w:val="18"/>
                <w:szCs w:val="18"/>
              </w:rPr>
            </w:pPr>
            <w:r>
              <w:rPr>
                <w:rFonts w:hint="eastAsia"/>
                <w:color w:val="auto"/>
                <w:sz w:val="18"/>
                <w:szCs w:val="18"/>
              </w:rPr>
              <w:t>/</w:t>
            </w:r>
          </w:p>
        </w:tc>
        <w:tc>
          <w:tcPr>
            <w:tcW w:w="1055" w:type="pct"/>
            <w:gridSpan w:val="4"/>
            <w:tcBorders>
              <w:top w:val="single" w:color="000000" w:sz="4" w:space="0"/>
              <w:left w:val="nil"/>
              <w:bottom w:val="single" w:color="000000" w:sz="6" w:space="0"/>
              <w:right w:val="single" w:color="000000" w:sz="6" w:space="0"/>
            </w:tcBorders>
            <w:vAlign w:val="center"/>
          </w:tcPr>
          <w:p>
            <w:pPr>
              <w:pStyle w:val="42"/>
              <w:spacing w:line="240" w:lineRule="auto"/>
              <w:ind w:firstLine="0" w:firstLineChars="0"/>
              <w:jc w:val="center"/>
              <w:rPr>
                <w:color w:val="auto"/>
                <w:sz w:val="18"/>
                <w:szCs w:val="18"/>
              </w:rPr>
            </w:pPr>
          </w:p>
        </w:tc>
        <w:tc>
          <w:tcPr>
            <w:tcW w:w="616" w:type="pct"/>
            <w:vMerge w:val="continue"/>
            <w:tcBorders>
              <w:top w:val="single" w:color="000000" w:sz="6" w:space="0"/>
              <w:left w:val="nil"/>
              <w:bottom w:val="single" w:color="000000" w:sz="6" w:space="0"/>
              <w:right w:val="nil"/>
            </w:tcBorders>
            <w:vAlign w:val="center"/>
          </w:tcPr>
          <w:p>
            <w:pPr>
              <w:widowControl/>
              <w:spacing w:line="240" w:lineRule="auto"/>
              <w:ind w:firstLine="0" w:firstLineChars="0"/>
              <w:rPr>
                <w:rFonts w:ascii="宋体" w:hAnsi="宋体"/>
                <w:color w:val="auto"/>
                <w:sz w:val="18"/>
                <w:szCs w:val="18"/>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1" w:hRule="atLeast"/>
          <w:jc w:val="center"/>
        </w:trPr>
        <w:tc>
          <w:tcPr>
            <w:tcW w:w="229" w:type="pct"/>
            <w:vMerge w:val="continue"/>
            <w:tcBorders>
              <w:top w:val="nil"/>
              <w:left w:val="nil"/>
              <w:bottom w:val="single" w:color="000000" w:sz="6" w:space="0"/>
              <w:right w:val="single" w:color="000000" w:sz="6" w:space="0"/>
            </w:tcBorders>
            <w:vAlign w:val="center"/>
          </w:tcPr>
          <w:p>
            <w:pPr>
              <w:widowControl/>
              <w:spacing w:line="240" w:lineRule="auto"/>
              <w:ind w:firstLine="0" w:firstLineChars="0"/>
              <w:rPr>
                <w:rFonts w:ascii="宋体" w:hAnsi="宋体"/>
                <w:color w:val="auto"/>
                <w:sz w:val="18"/>
                <w:szCs w:val="18"/>
              </w:rPr>
            </w:pPr>
          </w:p>
        </w:tc>
        <w:tc>
          <w:tcPr>
            <w:tcW w:w="901" w:type="pct"/>
            <w:tcBorders>
              <w:top w:val="single" w:color="000000" w:sz="6" w:space="0"/>
              <w:left w:val="nil"/>
              <w:bottom w:val="single" w:color="000000" w:sz="6" w:space="0"/>
              <w:right w:val="single" w:color="000000" w:sz="6" w:space="0"/>
            </w:tcBorders>
            <w:vAlign w:val="center"/>
          </w:tcPr>
          <w:p>
            <w:pPr>
              <w:pStyle w:val="42"/>
              <w:spacing w:line="240" w:lineRule="auto"/>
              <w:ind w:firstLine="0" w:firstLineChars="0"/>
              <w:jc w:val="center"/>
              <w:rPr>
                <w:color w:val="auto"/>
                <w:sz w:val="18"/>
                <w:szCs w:val="18"/>
              </w:rPr>
            </w:pPr>
            <w:r>
              <w:rPr>
                <w:rFonts w:hint="eastAsia"/>
                <w:color w:val="auto"/>
                <w:sz w:val="18"/>
                <w:szCs w:val="18"/>
              </w:rPr>
              <w:t>现状监测因子</w:t>
            </w:r>
          </w:p>
        </w:tc>
        <w:tc>
          <w:tcPr>
            <w:tcW w:w="3252" w:type="pct"/>
            <w:gridSpan w:val="8"/>
            <w:tcBorders>
              <w:top w:val="single" w:color="000000" w:sz="6" w:space="0"/>
              <w:left w:val="nil"/>
              <w:bottom w:val="single" w:color="000000" w:sz="6" w:space="0"/>
              <w:right w:val="single" w:color="000000" w:sz="6" w:space="0"/>
            </w:tcBorders>
            <w:vAlign w:val="center"/>
          </w:tcPr>
          <w:p>
            <w:pPr>
              <w:pStyle w:val="42"/>
              <w:spacing w:line="240" w:lineRule="auto"/>
              <w:ind w:firstLine="0" w:firstLineChars="0"/>
              <w:jc w:val="center"/>
              <w:rPr>
                <w:color w:val="auto"/>
                <w:sz w:val="18"/>
                <w:szCs w:val="18"/>
              </w:rPr>
            </w:pPr>
            <w:r>
              <w:rPr>
                <w:rFonts w:hint="eastAsia"/>
                <w:color w:val="auto"/>
                <w:sz w:val="18"/>
                <w:szCs w:val="18"/>
              </w:rPr>
              <w:t>pH、镉、汞、砷、铅、铬、铜、锌、镍、</w:t>
            </w:r>
          </w:p>
        </w:tc>
        <w:tc>
          <w:tcPr>
            <w:tcW w:w="616" w:type="pct"/>
            <w:tcBorders>
              <w:top w:val="single" w:color="000000" w:sz="6" w:space="0"/>
              <w:left w:val="nil"/>
              <w:bottom w:val="single" w:color="000000" w:sz="6" w:space="0"/>
              <w:right w:val="nil"/>
            </w:tcBorders>
            <w:vAlign w:val="center"/>
          </w:tcPr>
          <w:p>
            <w:pPr>
              <w:pStyle w:val="42"/>
              <w:spacing w:line="240" w:lineRule="auto"/>
              <w:ind w:firstLine="0" w:firstLineChars="0"/>
              <w:jc w:val="center"/>
              <w:rPr>
                <w:color w:val="auto"/>
                <w:sz w:val="18"/>
                <w:szCs w:val="18"/>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229" w:type="pct"/>
            <w:vMerge w:val="restart"/>
            <w:tcBorders>
              <w:top w:val="nil"/>
              <w:left w:val="nil"/>
              <w:bottom w:val="single" w:color="000000" w:sz="6" w:space="0"/>
              <w:right w:val="single" w:color="000000" w:sz="6" w:space="0"/>
            </w:tcBorders>
            <w:vAlign w:val="center"/>
          </w:tcPr>
          <w:p>
            <w:pPr>
              <w:pStyle w:val="42"/>
              <w:spacing w:line="240" w:lineRule="auto"/>
              <w:ind w:firstLine="0" w:firstLineChars="0"/>
              <w:jc w:val="center"/>
              <w:rPr>
                <w:color w:val="auto"/>
                <w:sz w:val="18"/>
                <w:szCs w:val="18"/>
              </w:rPr>
            </w:pPr>
            <w:r>
              <w:rPr>
                <w:rFonts w:hint="eastAsia"/>
                <w:color w:val="auto"/>
                <w:sz w:val="18"/>
                <w:szCs w:val="18"/>
              </w:rPr>
              <w:t>现状评价</w:t>
            </w:r>
          </w:p>
        </w:tc>
        <w:tc>
          <w:tcPr>
            <w:tcW w:w="901" w:type="pct"/>
            <w:tcBorders>
              <w:top w:val="single" w:color="000000" w:sz="6" w:space="0"/>
              <w:left w:val="nil"/>
              <w:bottom w:val="single" w:color="000000" w:sz="6" w:space="0"/>
              <w:right w:val="single" w:color="000000" w:sz="6" w:space="0"/>
            </w:tcBorders>
            <w:vAlign w:val="center"/>
          </w:tcPr>
          <w:p>
            <w:pPr>
              <w:pStyle w:val="42"/>
              <w:spacing w:line="240" w:lineRule="auto"/>
              <w:ind w:firstLine="0" w:firstLineChars="0"/>
              <w:jc w:val="center"/>
              <w:rPr>
                <w:color w:val="auto"/>
                <w:sz w:val="18"/>
                <w:szCs w:val="18"/>
              </w:rPr>
            </w:pPr>
            <w:r>
              <w:rPr>
                <w:rFonts w:hint="eastAsia"/>
                <w:color w:val="auto"/>
                <w:sz w:val="18"/>
                <w:szCs w:val="18"/>
              </w:rPr>
              <w:t>评价因子</w:t>
            </w:r>
          </w:p>
        </w:tc>
        <w:tc>
          <w:tcPr>
            <w:tcW w:w="3252" w:type="pct"/>
            <w:gridSpan w:val="8"/>
            <w:tcBorders>
              <w:top w:val="single" w:color="000000" w:sz="6" w:space="0"/>
              <w:left w:val="nil"/>
              <w:bottom w:val="single" w:color="000000" w:sz="6" w:space="0"/>
              <w:right w:val="single" w:color="000000" w:sz="6" w:space="0"/>
            </w:tcBorders>
            <w:vAlign w:val="center"/>
          </w:tcPr>
          <w:p>
            <w:pPr>
              <w:pStyle w:val="42"/>
              <w:spacing w:line="240" w:lineRule="auto"/>
              <w:ind w:firstLine="0" w:firstLineChars="0"/>
              <w:jc w:val="center"/>
              <w:rPr>
                <w:color w:val="auto"/>
                <w:sz w:val="18"/>
                <w:szCs w:val="18"/>
              </w:rPr>
            </w:pPr>
            <w:r>
              <w:rPr>
                <w:rFonts w:hint="eastAsia"/>
                <w:color w:val="auto"/>
                <w:sz w:val="18"/>
                <w:szCs w:val="18"/>
              </w:rPr>
              <w:t>pH、镉、汞、砷、铅、铬、铜、锌、镍</w:t>
            </w:r>
          </w:p>
        </w:tc>
        <w:tc>
          <w:tcPr>
            <w:tcW w:w="616" w:type="pct"/>
            <w:tcBorders>
              <w:top w:val="single" w:color="000000" w:sz="6" w:space="0"/>
              <w:left w:val="nil"/>
              <w:bottom w:val="single" w:color="000000" w:sz="6" w:space="0"/>
              <w:right w:val="nil"/>
            </w:tcBorders>
            <w:vAlign w:val="center"/>
          </w:tcPr>
          <w:p>
            <w:pPr>
              <w:pStyle w:val="42"/>
              <w:spacing w:line="240" w:lineRule="auto"/>
              <w:ind w:firstLine="0" w:firstLineChars="0"/>
              <w:jc w:val="center"/>
              <w:rPr>
                <w:color w:val="auto"/>
                <w:sz w:val="18"/>
                <w:szCs w:val="18"/>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1" w:hRule="atLeast"/>
          <w:jc w:val="center"/>
        </w:trPr>
        <w:tc>
          <w:tcPr>
            <w:tcW w:w="229" w:type="pct"/>
            <w:vMerge w:val="continue"/>
            <w:tcBorders>
              <w:top w:val="nil"/>
              <w:left w:val="nil"/>
              <w:bottom w:val="single" w:color="000000" w:sz="6" w:space="0"/>
              <w:right w:val="single" w:color="000000" w:sz="6" w:space="0"/>
            </w:tcBorders>
            <w:vAlign w:val="center"/>
          </w:tcPr>
          <w:p>
            <w:pPr>
              <w:widowControl/>
              <w:spacing w:line="240" w:lineRule="auto"/>
              <w:ind w:firstLine="0" w:firstLineChars="0"/>
              <w:rPr>
                <w:rFonts w:ascii="宋体" w:hAnsi="宋体"/>
                <w:color w:val="auto"/>
                <w:sz w:val="18"/>
                <w:szCs w:val="18"/>
              </w:rPr>
            </w:pPr>
          </w:p>
        </w:tc>
        <w:tc>
          <w:tcPr>
            <w:tcW w:w="901" w:type="pct"/>
            <w:tcBorders>
              <w:top w:val="single" w:color="000000" w:sz="6" w:space="0"/>
              <w:left w:val="nil"/>
              <w:bottom w:val="single" w:color="000000" w:sz="6" w:space="0"/>
              <w:right w:val="single" w:color="000000" w:sz="6" w:space="0"/>
            </w:tcBorders>
            <w:vAlign w:val="center"/>
          </w:tcPr>
          <w:p>
            <w:pPr>
              <w:pStyle w:val="42"/>
              <w:spacing w:line="240" w:lineRule="auto"/>
              <w:ind w:firstLine="0" w:firstLineChars="0"/>
              <w:jc w:val="center"/>
              <w:rPr>
                <w:color w:val="auto"/>
                <w:sz w:val="18"/>
                <w:szCs w:val="18"/>
              </w:rPr>
            </w:pPr>
            <w:r>
              <w:rPr>
                <w:rFonts w:hint="eastAsia"/>
                <w:color w:val="auto"/>
                <w:sz w:val="18"/>
                <w:szCs w:val="18"/>
              </w:rPr>
              <w:t>评价标准</w:t>
            </w:r>
          </w:p>
        </w:tc>
        <w:tc>
          <w:tcPr>
            <w:tcW w:w="2701" w:type="pct"/>
            <w:gridSpan w:val="6"/>
            <w:tcBorders>
              <w:top w:val="single" w:color="000000" w:sz="6" w:space="0"/>
              <w:left w:val="nil"/>
              <w:bottom w:val="single" w:color="000000" w:sz="6" w:space="0"/>
              <w:right w:val="nil"/>
            </w:tcBorders>
            <w:vAlign w:val="center"/>
          </w:tcPr>
          <w:p>
            <w:pPr>
              <w:pStyle w:val="42"/>
              <w:spacing w:line="240" w:lineRule="auto"/>
              <w:ind w:firstLine="0" w:firstLineChars="0"/>
              <w:rPr>
                <w:color w:val="auto"/>
                <w:sz w:val="18"/>
                <w:szCs w:val="18"/>
              </w:rPr>
            </w:pPr>
            <w:r>
              <w:rPr>
                <w:color w:val="auto"/>
                <w:sz w:val="18"/>
                <w:szCs w:val="18"/>
              </w:rPr>
              <w:t>GB 15618</w:t>
            </w:r>
            <w:r>
              <w:rPr>
                <w:rFonts w:ascii="Wingdings 2" w:hAnsi="Wingdings 2"/>
                <w:color w:val="auto"/>
                <w:sz w:val="18"/>
                <w:szCs w:val="18"/>
              </w:rPr>
              <w:t></w:t>
            </w:r>
            <w:r>
              <w:rPr>
                <w:rFonts w:hint="eastAsia"/>
                <w:color w:val="auto"/>
                <w:sz w:val="18"/>
                <w:szCs w:val="18"/>
              </w:rPr>
              <w:t>；</w:t>
            </w:r>
            <w:r>
              <w:rPr>
                <w:color w:val="auto"/>
                <w:sz w:val="18"/>
                <w:szCs w:val="18"/>
              </w:rPr>
              <w:t>GB 36600</w:t>
            </w:r>
            <w:r>
              <w:rPr>
                <w:rFonts w:hint="eastAsia"/>
                <w:color w:val="auto"/>
                <w:sz w:val="18"/>
                <w:szCs w:val="18"/>
              </w:rPr>
              <w:t>□；表</w:t>
            </w:r>
            <w:r>
              <w:rPr>
                <w:color w:val="auto"/>
                <w:sz w:val="18"/>
                <w:szCs w:val="18"/>
              </w:rPr>
              <w:t>D.1</w:t>
            </w:r>
            <w:r>
              <w:rPr>
                <w:rFonts w:hint="eastAsia"/>
                <w:color w:val="auto"/>
                <w:sz w:val="18"/>
                <w:szCs w:val="18"/>
              </w:rPr>
              <w:t xml:space="preserve">□；表 </w:t>
            </w:r>
            <w:r>
              <w:rPr>
                <w:color w:val="auto"/>
                <w:sz w:val="18"/>
                <w:szCs w:val="18"/>
              </w:rPr>
              <w:t>D.2</w:t>
            </w:r>
            <w:r>
              <w:rPr>
                <w:rFonts w:hint="eastAsia"/>
                <w:color w:val="auto"/>
                <w:sz w:val="18"/>
                <w:szCs w:val="18"/>
              </w:rPr>
              <w:t>□；其他（</w:t>
            </w:r>
          </w:p>
        </w:tc>
        <w:tc>
          <w:tcPr>
            <w:tcW w:w="232" w:type="pct"/>
            <w:tcBorders>
              <w:top w:val="single" w:color="000000" w:sz="6" w:space="0"/>
              <w:left w:val="nil"/>
              <w:bottom w:val="single" w:color="000000" w:sz="6" w:space="0"/>
              <w:right w:val="nil"/>
            </w:tcBorders>
            <w:vAlign w:val="center"/>
          </w:tcPr>
          <w:p>
            <w:pPr>
              <w:pStyle w:val="42"/>
              <w:spacing w:line="240" w:lineRule="auto"/>
              <w:ind w:firstLine="0" w:firstLineChars="0"/>
              <w:rPr>
                <w:color w:val="auto"/>
                <w:sz w:val="18"/>
                <w:szCs w:val="18"/>
              </w:rPr>
            </w:pPr>
            <w:r>
              <w:rPr>
                <w:rFonts w:hint="eastAsia"/>
                <w:color w:val="auto"/>
                <w:sz w:val="18"/>
                <w:szCs w:val="18"/>
              </w:rPr>
              <w:t>）</w:t>
            </w:r>
          </w:p>
        </w:tc>
        <w:tc>
          <w:tcPr>
            <w:tcW w:w="318" w:type="pct"/>
            <w:tcBorders>
              <w:top w:val="single" w:color="000000" w:sz="6" w:space="0"/>
              <w:left w:val="nil"/>
              <w:bottom w:val="single" w:color="000000" w:sz="6" w:space="0"/>
              <w:right w:val="single" w:color="000000" w:sz="6" w:space="0"/>
            </w:tcBorders>
            <w:vAlign w:val="center"/>
          </w:tcPr>
          <w:p>
            <w:pPr>
              <w:pStyle w:val="42"/>
              <w:spacing w:line="240" w:lineRule="auto"/>
              <w:ind w:firstLine="0" w:firstLineChars="0"/>
              <w:rPr>
                <w:color w:val="auto"/>
                <w:sz w:val="18"/>
                <w:szCs w:val="18"/>
              </w:rPr>
            </w:pPr>
          </w:p>
        </w:tc>
        <w:tc>
          <w:tcPr>
            <w:tcW w:w="616" w:type="pct"/>
            <w:tcBorders>
              <w:top w:val="single" w:color="000000" w:sz="6" w:space="0"/>
              <w:left w:val="nil"/>
              <w:bottom w:val="single" w:color="000000" w:sz="6" w:space="0"/>
              <w:right w:val="nil"/>
            </w:tcBorders>
            <w:vAlign w:val="center"/>
          </w:tcPr>
          <w:p>
            <w:pPr>
              <w:pStyle w:val="42"/>
              <w:spacing w:line="240" w:lineRule="auto"/>
              <w:ind w:firstLine="0" w:firstLineChars="0"/>
              <w:jc w:val="center"/>
              <w:rPr>
                <w:color w:val="auto"/>
                <w:sz w:val="18"/>
                <w:szCs w:val="18"/>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94" w:hRule="atLeast"/>
          <w:jc w:val="center"/>
        </w:trPr>
        <w:tc>
          <w:tcPr>
            <w:tcW w:w="229" w:type="pct"/>
            <w:vMerge w:val="continue"/>
            <w:tcBorders>
              <w:top w:val="nil"/>
              <w:left w:val="nil"/>
              <w:bottom w:val="single" w:color="000000" w:sz="6" w:space="0"/>
              <w:right w:val="single" w:color="000000" w:sz="6" w:space="0"/>
            </w:tcBorders>
            <w:vAlign w:val="center"/>
          </w:tcPr>
          <w:p>
            <w:pPr>
              <w:widowControl/>
              <w:spacing w:line="240" w:lineRule="auto"/>
              <w:ind w:firstLine="0" w:firstLineChars="0"/>
              <w:rPr>
                <w:rFonts w:ascii="宋体" w:hAnsi="宋体"/>
                <w:color w:val="auto"/>
                <w:sz w:val="18"/>
                <w:szCs w:val="18"/>
              </w:rPr>
            </w:pPr>
          </w:p>
        </w:tc>
        <w:tc>
          <w:tcPr>
            <w:tcW w:w="901" w:type="pct"/>
            <w:tcBorders>
              <w:top w:val="single" w:color="000000" w:sz="6" w:space="0"/>
              <w:left w:val="nil"/>
              <w:bottom w:val="single" w:color="000000" w:sz="6" w:space="0"/>
              <w:right w:val="single" w:color="000000" w:sz="6" w:space="0"/>
            </w:tcBorders>
            <w:vAlign w:val="center"/>
          </w:tcPr>
          <w:p>
            <w:pPr>
              <w:pStyle w:val="42"/>
              <w:spacing w:line="240" w:lineRule="auto"/>
              <w:ind w:firstLine="0" w:firstLineChars="0"/>
              <w:jc w:val="center"/>
              <w:rPr>
                <w:color w:val="auto"/>
                <w:sz w:val="18"/>
                <w:szCs w:val="18"/>
              </w:rPr>
            </w:pPr>
            <w:r>
              <w:rPr>
                <w:rFonts w:hint="eastAsia"/>
                <w:color w:val="auto"/>
                <w:sz w:val="18"/>
                <w:szCs w:val="18"/>
              </w:rPr>
              <w:t>现状评价结论</w:t>
            </w:r>
          </w:p>
        </w:tc>
        <w:tc>
          <w:tcPr>
            <w:tcW w:w="3252" w:type="pct"/>
            <w:gridSpan w:val="8"/>
            <w:tcBorders>
              <w:top w:val="single" w:color="000000" w:sz="6" w:space="0"/>
              <w:left w:val="nil"/>
              <w:bottom w:val="single" w:color="000000" w:sz="6" w:space="0"/>
              <w:right w:val="single" w:color="000000" w:sz="6" w:space="0"/>
            </w:tcBorders>
            <w:vAlign w:val="center"/>
          </w:tcPr>
          <w:p>
            <w:pPr>
              <w:pStyle w:val="42"/>
              <w:spacing w:line="240" w:lineRule="auto"/>
              <w:ind w:firstLine="0" w:firstLineChars="0"/>
              <w:jc w:val="center"/>
              <w:rPr>
                <w:color w:val="auto"/>
                <w:sz w:val="18"/>
                <w:szCs w:val="18"/>
              </w:rPr>
            </w:pPr>
            <w:r>
              <w:rPr>
                <w:color w:val="auto"/>
                <w:sz w:val="18"/>
                <w:szCs w:val="18"/>
              </w:rPr>
              <w:t>各项因子均能满足《土壤环境质量 农用地土壤污染风险管控标准》（GB15618-2018）标准要求</w:t>
            </w:r>
            <w:r>
              <w:rPr>
                <w:rFonts w:hint="eastAsia"/>
                <w:color w:val="auto"/>
              </w:rPr>
              <w:t>，</w:t>
            </w:r>
            <w:r>
              <w:rPr>
                <w:rFonts w:hint="eastAsia"/>
                <w:color w:val="auto"/>
                <w:sz w:val="18"/>
                <w:szCs w:val="18"/>
              </w:rPr>
              <w:t>项目所在区域土壤环境较好</w:t>
            </w:r>
          </w:p>
        </w:tc>
        <w:tc>
          <w:tcPr>
            <w:tcW w:w="616" w:type="pct"/>
            <w:tcBorders>
              <w:top w:val="single" w:color="000000" w:sz="6" w:space="0"/>
              <w:left w:val="nil"/>
              <w:bottom w:val="single" w:color="000000" w:sz="6" w:space="0"/>
              <w:right w:val="nil"/>
            </w:tcBorders>
            <w:vAlign w:val="center"/>
          </w:tcPr>
          <w:p>
            <w:pPr>
              <w:pStyle w:val="42"/>
              <w:spacing w:line="240" w:lineRule="auto"/>
              <w:ind w:firstLine="0" w:firstLineChars="0"/>
              <w:jc w:val="center"/>
              <w:rPr>
                <w:color w:val="auto"/>
                <w:sz w:val="18"/>
                <w:szCs w:val="18"/>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1" w:hRule="atLeast"/>
          <w:jc w:val="center"/>
        </w:trPr>
        <w:tc>
          <w:tcPr>
            <w:tcW w:w="229" w:type="pct"/>
            <w:vMerge w:val="restart"/>
            <w:tcBorders>
              <w:top w:val="nil"/>
              <w:left w:val="nil"/>
              <w:bottom w:val="single" w:color="000000" w:sz="6" w:space="0"/>
              <w:right w:val="single" w:color="000000" w:sz="6" w:space="0"/>
            </w:tcBorders>
            <w:vAlign w:val="center"/>
          </w:tcPr>
          <w:p>
            <w:pPr>
              <w:pStyle w:val="42"/>
              <w:spacing w:line="240" w:lineRule="auto"/>
              <w:ind w:firstLine="0" w:firstLineChars="0"/>
              <w:jc w:val="center"/>
              <w:rPr>
                <w:color w:val="auto"/>
                <w:sz w:val="18"/>
                <w:szCs w:val="18"/>
              </w:rPr>
            </w:pPr>
            <w:r>
              <w:rPr>
                <w:rFonts w:hint="eastAsia"/>
                <w:color w:val="auto"/>
                <w:sz w:val="18"/>
                <w:szCs w:val="18"/>
              </w:rPr>
              <w:t>影响预测</w:t>
            </w:r>
          </w:p>
        </w:tc>
        <w:tc>
          <w:tcPr>
            <w:tcW w:w="901" w:type="pct"/>
            <w:tcBorders>
              <w:top w:val="single" w:color="000000" w:sz="6" w:space="0"/>
              <w:left w:val="nil"/>
              <w:bottom w:val="single" w:color="000000" w:sz="6" w:space="0"/>
              <w:right w:val="single" w:color="000000" w:sz="6" w:space="0"/>
            </w:tcBorders>
            <w:vAlign w:val="center"/>
          </w:tcPr>
          <w:p>
            <w:pPr>
              <w:pStyle w:val="42"/>
              <w:spacing w:line="240" w:lineRule="auto"/>
              <w:ind w:firstLine="0" w:firstLineChars="0"/>
              <w:jc w:val="center"/>
              <w:rPr>
                <w:color w:val="auto"/>
                <w:sz w:val="18"/>
                <w:szCs w:val="18"/>
              </w:rPr>
            </w:pPr>
            <w:r>
              <w:rPr>
                <w:rFonts w:hint="eastAsia"/>
                <w:color w:val="auto"/>
                <w:sz w:val="18"/>
                <w:szCs w:val="18"/>
              </w:rPr>
              <w:t>预测因子</w:t>
            </w:r>
          </w:p>
        </w:tc>
        <w:tc>
          <w:tcPr>
            <w:tcW w:w="3252" w:type="pct"/>
            <w:gridSpan w:val="8"/>
            <w:tcBorders>
              <w:top w:val="single" w:color="000000" w:sz="6" w:space="0"/>
              <w:left w:val="nil"/>
              <w:bottom w:val="single" w:color="000000" w:sz="6" w:space="0"/>
              <w:right w:val="single" w:color="000000" w:sz="6" w:space="0"/>
            </w:tcBorders>
            <w:vAlign w:val="center"/>
          </w:tcPr>
          <w:p>
            <w:pPr>
              <w:pStyle w:val="42"/>
              <w:spacing w:line="240" w:lineRule="auto"/>
              <w:ind w:firstLine="0" w:firstLineChars="0"/>
              <w:jc w:val="center"/>
              <w:rPr>
                <w:color w:val="auto"/>
                <w:sz w:val="18"/>
                <w:szCs w:val="18"/>
              </w:rPr>
            </w:pPr>
            <w:r>
              <w:rPr>
                <w:rFonts w:hint="eastAsia"/>
                <w:color w:val="auto"/>
                <w:sz w:val="18"/>
                <w:szCs w:val="18"/>
              </w:rPr>
              <w:t>/</w:t>
            </w:r>
          </w:p>
        </w:tc>
        <w:tc>
          <w:tcPr>
            <w:tcW w:w="616" w:type="pct"/>
            <w:tcBorders>
              <w:top w:val="single" w:color="000000" w:sz="6" w:space="0"/>
              <w:left w:val="nil"/>
              <w:bottom w:val="single" w:color="000000" w:sz="6" w:space="0"/>
              <w:right w:val="nil"/>
            </w:tcBorders>
            <w:vAlign w:val="center"/>
          </w:tcPr>
          <w:p>
            <w:pPr>
              <w:pStyle w:val="42"/>
              <w:spacing w:line="240" w:lineRule="auto"/>
              <w:ind w:firstLine="0" w:firstLineChars="0"/>
              <w:jc w:val="center"/>
              <w:rPr>
                <w:color w:val="auto"/>
                <w:sz w:val="18"/>
                <w:szCs w:val="18"/>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229" w:type="pct"/>
            <w:vMerge w:val="continue"/>
            <w:tcBorders>
              <w:top w:val="nil"/>
              <w:left w:val="nil"/>
              <w:bottom w:val="single" w:color="000000" w:sz="6" w:space="0"/>
              <w:right w:val="single" w:color="000000" w:sz="6" w:space="0"/>
            </w:tcBorders>
            <w:vAlign w:val="center"/>
          </w:tcPr>
          <w:p>
            <w:pPr>
              <w:widowControl/>
              <w:spacing w:line="240" w:lineRule="auto"/>
              <w:ind w:firstLine="0" w:firstLineChars="0"/>
              <w:rPr>
                <w:rFonts w:ascii="宋体" w:hAnsi="宋体"/>
                <w:color w:val="auto"/>
                <w:sz w:val="18"/>
                <w:szCs w:val="18"/>
              </w:rPr>
            </w:pPr>
          </w:p>
        </w:tc>
        <w:tc>
          <w:tcPr>
            <w:tcW w:w="901" w:type="pct"/>
            <w:tcBorders>
              <w:top w:val="single" w:color="000000" w:sz="6" w:space="0"/>
              <w:left w:val="nil"/>
              <w:bottom w:val="single" w:color="000000" w:sz="6" w:space="0"/>
              <w:right w:val="single" w:color="000000" w:sz="6" w:space="0"/>
            </w:tcBorders>
            <w:vAlign w:val="center"/>
          </w:tcPr>
          <w:p>
            <w:pPr>
              <w:pStyle w:val="42"/>
              <w:spacing w:line="240" w:lineRule="auto"/>
              <w:ind w:firstLine="0" w:firstLineChars="0"/>
              <w:jc w:val="center"/>
              <w:rPr>
                <w:color w:val="auto"/>
                <w:sz w:val="18"/>
                <w:szCs w:val="18"/>
              </w:rPr>
            </w:pPr>
            <w:r>
              <w:rPr>
                <w:rFonts w:hint="eastAsia"/>
                <w:color w:val="auto"/>
                <w:sz w:val="18"/>
                <w:szCs w:val="18"/>
              </w:rPr>
              <w:t>预测方法</w:t>
            </w:r>
          </w:p>
        </w:tc>
        <w:tc>
          <w:tcPr>
            <w:tcW w:w="3252" w:type="pct"/>
            <w:gridSpan w:val="8"/>
            <w:tcBorders>
              <w:top w:val="single" w:color="000000" w:sz="6" w:space="0"/>
              <w:left w:val="nil"/>
              <w:bottom w:val="single" w:color="000000" w:sz="6" w:space="0"/>
              <w:right w:val="single" w:color="000000" w:sz="6" w:space="0"/>
            </w:tcBorders>
            <w:vAlign w:val="center"/>
          </w:tcPr>
          <w:p>
            <w:pPr>
              <w:pStyle w:val="42"/>
              <w:spacing w:line="240" w:lineRule="auto"/>
              <w:ind w:firstLine="0" w:firstLineChars="0"/>
              <w:rPr>
                <w:color w:val="auto"/>
                <w:sz w:val="18"/>
                <w:szCs w:val="18"/>
              </w:rPr>
            </w:pPr>
            <w:r>
              <w:rPr>
                <w:rFonts w:hint="eastAsia"/>
                <w:color w:val="auto"/>
                <w:sz w:val="18"/>
                <w:szCs w:val="18"/>
              </w:rPr>
              <w:t>附录</w:t>
            </w:r>
            <w:r>
              <w:rPr>
                <w:rFonts w:hint="eastAsia"/>
                <w:color w:val="auto"/>
                <w:spacing w:val="-46"/>
                <w:sz w:val="18"/>
                <w:szCs w:val="18"/>
              </w:rPr>
              <w:t> </w:t>
            </w:r>
            <w:r>
              <w:rPr>
                <w:color w:val="auto"/>
                <w:sz w:val="18"/>
                <w:szCs w:val="18"/>
              </w:rPr>
              <w:t>E</w:t>
            </w:r>
            <w:r>
              <w:rPr>
                <w:rFonts w:hint="eastAsia"/>
                <w:color w:val="auto"/>
                <w:sz w:val="18"/>
                <w:szCs w:val="18"/>
              </w:rPr>
              <w:t>□；附录</w:t>
            </w:r>
            <w:r>
              <w:rPr>
                <w:rFonts w:hint="eastAsia"/>
                <w:color w:val="auto"/>
                <w:spacing w:val="-45"/>
                <w:sz w:val="18"/>
                <w:szCs w:val="18"/>
              </w:rPr>
              <w:t> </w:t>
            </w:r>
            <w:r>
              <w:rPr>
                <w:color w:val="auto"/>
                <w:sz w:val="18"/>
                <w:szCs w:val="18"/>
              </w:rPr>
              <w:t>F</w:t>
            </w:r>
            <w:r>
              <w:rPr>
                <w:rFonts w:hint="eastAsia"/>
                <w:color w:val="auto"/>
                <w:sz w:val="18"/>
                <w:szCs w:val="18"/>
              </w:rPr>
              <w:t>□；其他（定性分析）</w:t>
            </w:r>
          </w:p>
        </w:tc>
        <w:tc>
          <w:tcPr>
            <w:tcW w:w="616" w:type="pct"/>
            <w:tcBorders>
              <w:top w:val="single" w:color="000000" w:sz="6" w:space="0"/>
              <w:left w:val="nil"/>
              <w:bottom w:val="single" w:color="000000" w:sz="6" w:space="0"/>
              <w:right w:val="nil"/>
            </w:tcBorders>
            <w:vAlign w:val="center"/>
          </w:tcPr>
          <w:p>
            <w:pPr>
              <w:pStyle w:val="42"/>
              <w:spacing w:line="240" w:lineRule="auto"/>
              <w:ind w:firstLine="0" w:firstLineChars="0"/>
              <w:jc w:val="center"/>
              <w:rPr>
                <w:color w:val="auto"/>
                <w:sz w:val="18"/>
                <w:szCs w:val="18"/>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23" w:hRule="atLeast"/>
          <w:jc w:val="center"/>
        </w:trPr>
        <w:tc>
          <w:tcPr>
            <w:tcW w:w="229" w:type="pct"/>
            <w:vMerge w:val="continue"/>
            <w:tcBorders>
              <w:top w:val="nil"/>
              <w:left w:val="nil"/>
              <w:bottom w:val="single" w:color="000000" w:sz="6" w:space="0"/>
              <w:right w:val="single" w:color="000000" w:sz="6" w:space="0"/>
            </w:tcBorders>
            <w:vAlign w:val="center"/>
          </w:tcPr>
          <w:p>
            <w:pPr>
              <w:widowControl/>
              <w:spacing w:line="240" w:lineRule="auto"/>
              <w:ind w:firstLine="0" w:firstLineChars="0"/>
              <w:rPr>
                <w:rFonts w:ascii="宋体" w:hAnsi="宋体"/>
                <w:color w:val="auto"/>
                <w:sz w:val="18"/>
                <w:szCs w:val="18"/>
              </w:rPr>
            </w:pPr>
          </w:p>
        </w:tc>
        <w:tc>
          <w:tcPr>
            <w:tcW w:w="901" w:type="pct"/>
            <w:tcBorders>
              <w:top w:val="single" w:color="000000" w:sz="6" w:space="0"/>
              <w:left w:val="nil"/>
              <w:bottom w:val="single" w:color="000000" w:sz="6" w:space="0"/>
              <w:right w:val="single" w:color="000000" w:sz="6" w:space="0"/>
            </w:tcBorders>
            <w:vAlign w:val="center"/>
          </w:tcPr>
          <w:p>
            <w:pPr>
              <w:pStyle w:val="42"/>
              <w:spacing w:line="240" w:lineRule="auto"/>
              <w:ind w:firstLine="0" w:firstLineChars="0"/>
              <w:jc w:val="center"/>
              <w:rPr>
                <w:color w:val="auto"/>
                <w:sz w:val="18"/>
                <w:szCs w:val="18"/>
              </w:rPr>
            </w:pPr>
            <w:r>
              <w:rPr>
                <w:rFonts w:hint="eastAsia"/>
                <w:color w:val="auto"/>
                <w:sz w:val="18"/>
                <w:szCs w:val="18"/>
              </w:rPr>
              <w:t>预测分析内容</w:t>
            </w:r>
          </w:p>
        </w:tc>
        <w:tc>
          <w:tcPr>
            <w:tcW w:w="3252" w:type="pct"/>
            <w:gridSpan w:val="8"/>
            <w:tcBorders>
              <w:top w:val="single" w:color="000000" w:sz="6" w:space="0"/>
              <w:left w:val="nil"/>
              <w:bottom w:val="single" w:color="000000" w:sz="6" w:space="0"/>
              <w:right w:val="single" w:color="000000" w:sz="6" w:space="0"/>
            </w:tcBorders>
            <w:vAlign w:val="center"/>
          </w:tcPr>
          <w:p>
            <w:pPr>
              <w:pStyle w:val="42"/>
              <w:spacing w:line="240" w:lineRule="auto"/>
              <w:ind w:firstLine="0" w:firstLineChars="0"/>
              <w:rPr>
                <w:color w:val="auto"/>
                <w:sz w:val="18"/>
                <w:szCs w:val="18"/>
              </w:rPr>
            </w:pPr>
            <w:r>
              <w:rPr>
                <w:rFonts w:hint="eastAsia"/>
                <w:color w:val="auto"/>
                <w:sz w:val="18"/>
                <w:szCs w:val="18"/>
              </w:rPr>
              <w:t>影响范围（</w:t>
            </w:r>
            <w:r>
              <w:rPr>
                <w:rFonts w:hint="eastAsia"/>
                <w:color w:val="auto"/>
                <w:sz w:val="18"/>
                <w:szCs w:val="18"/>
              </w:rPr>
              <w:tab/>
            </w:r>
            <w:r>
              <w:rPr>
                <w:rFonts w:hint="eastAsia"/>
                <w:color w:val="auto"/>
                <w:sz w:val="18"/>
                <w:szCs w:val="18"/>
              </w:rPr>
              <w:t>）</w:t>
            </w:r>
          </w:p>
          <w:p>
            <w:pPr>
              <w:pStyle w:val="42"/>
              <w:spacing w:line="240" w:lineRule="auto"/>
              <w:ind w:firstLine="0" w:firstLineChars="0"/>
              <w:rPr>
                <w:color w:val="auto"/>
                <w:sz w:val="18"/>
                <w:szCs w:val="18"/>
              </w:rPr>
            </w:pPr>
            <w:r>
              <w:rPr>
                <w:rFonts w:hint="eastAsia"/>
                <w:color w:val="auto"/>
                <w:sz w:val="18"/>
                <w:szCs w:val="18"/>
              </w:rPr>
              <w:t>影响程度（</w:t>
            </w:r>
            <w:r>
              <w:rPr>
                <w:rFonts w:hint="eastAsia"/>
                <w:color w:val="auto"/>
                <w:sz w:val="18"/>
                <w:szCs w:val="18"/>
              </w:rPr>
              <w:tab/>
            </w:r>
            <w:r>
              <w:rPr>
                <w:rFonts w:hint="eastAsia"/>
                <w:color w:val="auto"/>
                <w:sz w:val="18"/>
                <w:szCs w:val="18"/>
              </w:rPr>
              <w:t>）</w:t>
            </w:r>
          </w:p>
        </w:tc>
        <w:tc>
          <w:tcPr>
            <w:tcW w:w="616" w:type="pct"/>
            <w:tcBorders>
              <w:top w:val="single" w:color="000000" w:sz="6" w:space="0"/>
              <w:left w:val="nil"/>
              <w:bottom w:val="single" w:color="000000" w:sz="6" w:space="0"/>
              <w:right w:val="nil"/>
            </w:tcBorders>
            <w:vAlign w:val="center"/>
          </w:tcPr>
          <w:p>
            <w:pPr>
              <w:pStyle w:val="42"/>
              <w:spacing w:line="240" w:lineRule="auto"/>
              <w:ind w:firstLine="0" w:firstLineChars="0"/>
              <w:jc w:val="center"/>
              <w:rPr>
                <w:color w:val="auto"/>
                <w:sz w:val="18"/>
                <w:szCs w:val="18"/>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24" w:hRule="atLeast"/>
          <w:jc w:val="center"/>
        </w:trPr>
        <w:tc>
          <w:tcPr>
            <w:tcW w:w="229" w:type="pct"/>
            <w:vMerge w:val="continue"/>
            <w:tcBorders>
              <w:top w:val="nil"/>
              <w:left w:val="nil"/>
              <w:bottom w:val="single" w:color="000000" w:sz="6" w:space="0"/>
              <w:right w:val="single" w:color="000000" w:sz="6" w:space="0"/>
            </w:tcBorders>
            <w:vAlign w:val="center"/>
          </w:tcPr>
          <w:p>
            <w:pPr>
              <w:widowControl/>
              <w:spacing w:line="240" w:lineRule="auto"/>
              <w:ind w:firstLine="0" w:firstLineChars="0"/>
              <w:rPr>
                <w:rFonts w:ascii="宋体" w:hAnsi="宋体"/>
                <w:color w:val="auto"/>
                <w:sz w:val="18"/>
                <w:szCs w:val="18"/>
              </w:rPr>
            </w:pPr>
          </w:p>
        </w:tc>
        <w:tc>
          <w:tcPr>
            <w:tcW w:w="901" w:type="pct"/>
            <w:tcBorders>
              <w:top w:val="single" w:color="000000" w:sz="6" w:space="0"/>
              <w:left w:val="nil"/>
              <w:bottom w:val="single" w:color="000000" w:sz="6" w:space="0"/>
              <w:right w:val="single" w:color="000000" w:sz="6" w:space="0"/>
            </w:tcBorders>
            <w:vAlign w:val="center"/>
          </w:tcPr>
          <w:p>
            <w:pPr>
              <w:pStyle w:val="42"/>
              <w:spacing w:line="240" w:lineRule="auto"/>
              <w:ind w:firstLine="0" w:firstLineChars="0"/>
              <w:jc w:val="center"/>
              <w:rPr>
                <w:color w:val="auto"/>
                <w:sz w:val="18"/>
                <w:szCs w:val="18"/>
              </w:rPr>
            </w:pPr>
            <w:r>
              <w:rPr>
                <w:rFonts w:hint="eastAsia"/>
                <w:color w:val="auto"/>
                <w:sz w:val="18"/>
                <w:szCs w:val="18"/>
              </w:rPr>
              <w:t>预测结论</w:t>
            </w:r>
          </w:p>
        </w:tc>
        <w:tc>
          <w:tcPr>
            <w:tcW w:w="3252" w:type="pct"/>
            <w:gridSpan w:val="8"/>
            <w:tcBorders>
              <w:top w:val="single" w:color="000000" w:sz="6" w:space="0"/>
              <w:left w:val="nil"/>
              <w:bottom w:val="single" w:color="000000" w:sz="6" w:space="0"/>
              <w:right w:val="single" w:color="000000" w:sz="6" w:space="0"/>
            </w:tcBorders>
            <w:vAlign w:val="center"/>
          </w:tcPr>
          <w:p>
            <w:pPr>
              <w:pStyle w:val="42"/>
              <w:spacing w:line="240" w:lineRule="auto"/>
              <w:ind w:firstLine="0" w:firstLineChars="0"/>
              <w:rPr>
                <w:color w:val="auto"/>
                <w:sz w:val="18"/>
                <w:szCs w:val="18"/>
              </w:rPr>
            </w:pPr>
            <w:r>
              <w:rPr>
                <w:rFonts w:hint="eastAsia"/>
                <w:color w:val="auto"/>
                <w:sz w:val="18"/>
                <w:szCs w:val="18"/>
              </w:rPr>
              <w:t>达标结论：</w:t>
            </w:r>
            <w:r>
              <w:rPr>
                <w:color w:val="auto"/>
                <w:sz w:val="18"/>
                <w:szCs w:val="18"/>
              </w:rPr>
              <w:t>a</w:t>
            </w:r>
            <w:r>
              <w:rPr>
                <w:rFonts w:hint="eastAsia"/>
                <w:color w:val="auto"/>
                <w:sz w:val="18"/>
                <w:szCs w:val="18"/>
              </w:rPr>
              <w:t>）</w:t>
            </w:r>
            <w:r>
              <w:rPr>
                <w:rFonts w:ascii="Wingdings 2" w:hAnsi="Wingdings 2"/>
                <w:color w:val="auto"/>
                <w:sz w:val="18"/>
                <w:szCs w:val="18"/>
              </w:rPr>
              <w:t></w:t>
            </w:r>
            <w:r>
              <w:rPr>
                <w:rFonts w:hint="eastAsia"/>
                <w:color w:val="auto"/>
                <w:sz w:val="18"/>
                <w:szCs w:val="18"/>
              </w:rPr>
              <w:t>；</w:t>
            </w:r>
            <w:r>
              <w:rPr>
                <w:color w:val="auto"/>
                <w:sz w:val="18"/>
                <w:szCs w:val="18"/>
              </w:rPr>
              <w:t>b</w:t>
            </w:r>
            <w:r>
              <w:rPr>
                <w:rFonts w:hint="eastAsia"/>
                <w:color w:val="auto"/>
                <w:sz w:val="18"/>
                <w:szCs w:val="18"/>
              </w:rPr>
              <w:t>）□；</w:t>
            </w:r>
            <w:r>
              <w:rPr>
                <w:color w:val="auto"/>
                <w:sz w:val="18"/>
                <w:szCs w:val="18"/>
              </w:rPr>
              <w:t>c</w:t>
            </w:r>
            <w:r>
              <w:rPr>
                <w:rFonts w:hint="eastAsia"/>
                <w:color w:val="auto"/>
                <w:sz w:val="18"/>
                <w:szCs w:val="18"/>
              </w:rPr>
              <w:t>）□</w:t>
            </w:r>
          </w:p>
          <w:p>
            <w:pPr>
              <w:pStyle w:val="42"/>
              <w:spacing w:line="240" w:lineRule="auto"/>
              <w:ind w:firstLine="0" w:firstLineChars="0"/>
              <w:rPr>
                <w:color w:val="auto"/>
                <w:sz w:val="18"/>
                <w:szCs w:val="18"/>
              </w:rPr>
            </w:pPr>
            <w:r>
              <w:rPr>
                <w:rFonts w:hint="eastAsia"/>
                <w:color w:val="auto"/>
                <w:sz w:val="18"/>
                <w:szCs w:val="18"/>
              </w:rPr>
              <w:t>不达标结论：</w:t>
            </w:r>
            <w:r>
              <w:rPr>
                <w:color w:val="auto"/>
                <w:sz w:val="18"/>
                <w:szCs w:val="18"/>
              </w:rPr>
              <w:t>a</w:t>
            </w:r>
            <w:r>
              <w:rPr>
                <w:rFonts w:hint="eastAsia"/>
                <w:color w:val="auto"/>
                <w:sz w:val="18"/>
                <w:szCs w:val="18"/>
              </w:rPr>
              <w:t>）□；</w:t>
            </w:r>
            <w:r>
              <w:rPr>
                <w:color w:val="auto"/>
                <w:sz w:val="18"/>
                <w:szCs w:val="18"/>
              </w:rPr>
              <w:t>b</w:t>
            </w:r>
            <w:r>
              <w:rPr>
                <w:rFonts w:hint="eastAsia"/>
                <w:color w:val="auto"/>
                <w:sz w:val="18"/>
                <w:szCs w:val="18"/>
              </w:rPr>
              <w:t>）□</w:t>
            </w:r>
          </w:p>
        </w:tc>
        <w:tc>
          <w:tcPr>
            <w:tcW w:w="616" w:type="pct"/>
            <w:tcBorders>
              <w:top w:val="single" w:color="000000" w:sz="6" w:space="0"/>
              <w:left w:val="nil"/>
              <w:bottom w:val="single" w:color="000000" w:sz="6" w:space="0"/>
              <w:right w:val="nil"/>
            </w:tcBorders>
            <w:vAlign w:val="center"/>
          </w:tcPr>
          <w:p>
            <w:pPr>
              <w:pStyle w:val="42"/>
              <w:spacing w:line="240" w:lineRule="auto"/>
              <w:ind w:firstLine="0" w:firstLineChars="0"/>
              <w:jc w:val="center"/>
              <w:rPr>
                <w:color w:val="auto"/>
                <w:sz w:val="18"/>
                <w:szCs w:val="18"/>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229" w:type="pct"/>
            <w:vMerge w:val="restart"/>
            <w:tcBorders>
              <w:top w:val="nil"/>
              <w:left w:val="nil"/>
              <w:bottom w:val="single" w:color="000000" w:sz="6" w:space="0"/>
              <w:right w:val="single" w:color="000000" w:sz="6" w:space="0"/>
            </w:tcBorders>
            <w:vAlign w:val="center"/>
          </w:tcPr>
          <w:p>
            <w:pPr>
              <w:pStyle w:val="42"/>
              <w:spacing w:line="240" w:lineRule="auto"/>
              <w:ind w:firstLine="0" w:firstLineChars="0"/>
              <w:jc w:val="center"/>
              <w:rPr>
                <w:color w:val="auto"/>
                <w:sz w:val="18"/>
                <w:szCs w:val="18"/>
              </w:rPr>
            </w:pPr>
            <w:r>
              <w:rPr>
                <w:rFonts w:hint="eastAsia"/>
                <w:color w:val="auto"/>
                <w:sz w:val="18"/>
                <w:szCs w:val="18"/>
              </w:rPr>
              <w:t>防治措施</w:t>
            </w:r>
          </w:p>
        </w:tc>
        <w:tc>
          <w:tcPr>
            <w:tcW w:w="901" w:type="pct"/>
            <w:tcBorders>
              <w:top w:val="single" w:color="000000" w:sz="6" w:space="0"/>
              <w:left w:val="nil"/>
              <w:bottom w:val="single" w:color="000000" w:sz="6" w:space="0"/>
              <w:right w:val="single" w:color="000000" w:sz="6" w:space="0"/>
            </w:tcBorders>
            <w:vAlign w:val="center"/>
          </w:tcPr>
          <w:p>
            <w:pPr>
              <w:pStyle w:val="42"/>
              <w:spacing w:line="240" w:lineRule="auto"/>
              <w:ind w:firstLine="0" w:firstLineChars="0"/>
              <w:jc w:val="center"/>
              <w:rPr>
                <w:color w:val="auto"/>
                <w:sz w:val="18"/>
                <w:szCs w:val="18"/>
              </w:rPr>
            </w:pPr>
            <w:r>
              <w:rPr>
                <w:rFonts w:hint="eastAsia"/>
                <w:color w:val="auto"/>
                <w:sz w:val="18"/>
                <w:szCs w:val="18"/>
              </w:rPr>
              <w:t>防控措施</w:t>
            </w:r>
          </w:p>
        </w:tc>
        <w:tc>
          <w:tcPr>
            <w:tcW w:w="2701" w:type="pct"/>
            <w:gridSpan w:val="6"/>
            <w:tcBorders>
              <w:top w:val="single" w:color="000000" w:sz="6" w:space="0"/>
              <w:left w:val="nil"/>
              <w:bottom w:val="single" w:color="000000" w:sz="6" w:space="0"/>
              <w:right w:val="nil"/>
            </w:tcBorders>
            <w:vAlign w:val="center"/>
          </w:tcPr>
          <w:p>
            <w:pPr>
              <w:pStyle w:val="42"/>
              <w:spacing w:line="240" w:lineRule="auto"/>
              <w:ind w:firstLine="0" w:firstLineChars="0"/>
              <w:rPr>
                <w:color w:val="auto"/>
                <w:sz w:val="18"/>
                <w:szCs w:val="18"/>
              </w:rPr>
            </w:pPr>
            <w:r>
              <w:rPr>
                <w:rFonts w:hint="eastAsia"/>
                <w:color w:val="auto"/>
                <w:sz w:val="18"/>
                <w:szCs w:val="18"/>
              </w:rPr>
              <w:t>土壤环境质量现状保障□；源头控制</w:t>
            </w:r>
            <w:r>
              <w:rPr>
                <w:rFonts w:ascii="Wingdings 2" w:hAnsi="Wingdings 2"/>
                <w:color w:val="auto"/>
                <w:sz w:val="18"/>
                <w:szCs w:val="18"/>
              </w:rPr>
              <w:t></w:t>
            </w:r>
            <w:r>
              <w:rPr>
                <w:rFonts w:hint="eastAsia"/>
                <w:color w:val="auto"/>
                <w:sz w:val="18"/>
                <w:szCs w:val="18"/>
              </w:rPr>
              <w:t>；过程防控□；其他（</w:t>
            </w:r>
          </w:p>
        </w:tc>
        <w:tc>
          <w:tcPr>
            <w:tcW w:w="232" w:type="pct"/>
            <w:tcBorders>
              <w:top w:val="single" w:color="000000" w:sz="6" w:space="0"/>
              <w:left w:val="nil"/>
              <w:bottom w:val="single" w:color="000000" w:sz="6" w:space="0"/>
              <w:right w:val="nil"/>
            </w:tcBorders>
            <w:vAlign w:val="center"/>
          </w:tcPr>
          <w:p>
            <w:pPr>
              <w:pStyle w:val="42"/>
              <w:spacing w:line="240" w:lineRule="auto"/>
              <w:ind w:firstLine="0" w:firstLineChars="0"/>
              <w:rPr>
                <w:color w:val="auto"/>
                <w:sz w:val="18"/>
                <w:szCs w:val="18"/>
              </w:rPr>
            </w:pPr>
          </w:p>
        </w:tc>
        <w:tc>
          <w:tcPr>
            <w:tcW w:w="318" w:type="pct"/>
            <w:tcBorders>
              <w:top w:val="single" w:color="000000" w:sz="6" w:space="0"/>
              <w:left w:val="nil"/>
              <w:bottom w:val="single" w:color="000000" w:sz="6" w:space="0"/>
              <w:right w:val="single" w:color="000000" w:sz="6" w:space="0"/>
            </w:tcBorders>
            <w:vAlign w:val="center"/>
          </w:tcPr>
          <w:p>
            <w:pPr>
              <w:pStyle w:val="42"/>
              <w:spacing w:line="240" w:lineRule="auto"/>
              <w:ind w:firstLine="0" w:firstLineChars="0"/>
              <w:rPr>
                <w:color w:val="auto"/>
                <w:sz w:val="18"/>
                <w:szCs w:val="18"/>
              </w:rPr>
            </w:pPr>
            <w:r>
              <w:rPr>
                <w:rFonts w:hint="eastAsia"/>
                <w:color w:val="auto"/>
                <w:sz w:val="18"/>
                <w:szCs w:val="18"/>
              </w:rPr>
              <w:t>）</w:t>
            </w:r>
          </w:p>
        </w:tc>
        <w:tc>
          <w:tcPr>
            <w:tcW w:w="616" w:type="pct"/>
            <w:tcBorders>
              <w:top w:val="single" w:color="000000" w:sz="6" w:space="0"/>
              <w:left w:val="nil"/>
              <w:bottom w:val="single" w:color="000000" w:sz="6" w:space="0"/>
              <w:right w:val="nil"/>
            </w:tcBorders>
            <w:vAlign w:val="center"/>
          </w:tcPr>
          <w:p>
            <w:pPr>
              <w:pStyle w:val="42"/>
              <w:spacing w:line="240" w:lineRule="auto"/>
              <w:ind w:firstLine="0" w:firstLineChars="0"/>
              <w:jc w:val="center"/>
              <w:rPr>
                <w:color w:val="auto"/>
                <w:sz w:val="18"/>
                <w:szCs w:val="18"/>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229" w:type="pct"/>
            <w:vMerge w:val="continue"/>
            <w:tcBorders>
              <w:top w:val="nil"/>
              <w:left w:val="nil"/>
              <w:bottom w:val="single" w:color="000000" w:sz="6" w:space="0"/>
              <w:right w:val="single" w:color="000000" w:sz="6" w:space="0"/>
            </w:tcBorders>
            <w:vAlign w:val="center"/>
          </w:tcPr>
          <w:p>
            <w:pPr>
              <w:widowControl/>
              <w:spacing w:line="240" w:lineRule="auto"/>
              <w:ind w:firstLine="0" w:firstLineChars="0"/>
              <w:rPr>
                <w:rFonts w:ascii="宋体" w:hAnsi="宋体"/>
                <w:color w:val="auto"/>
                <w:sz w:val="18"/>
                <w:szCs w:val="18"/>
              </w:rPr>
            </w:pPr>
          </w:p>
        </w:tc>
        <w:tc>
          <w:tcPr>
            <w:tcW w:w="901" w:type="pct"/>
            <w:vMerge w:val="restart"/>
            <w:tcBorders>
              <w:top w:val="nil"/>
              <w:left w:val="nil"/>
              <w:bottom w:val="single" w:color="000000" w:sz="4" w:space="0"/>
              <w:right w:val="single" w:color="000000" w:sz="6" w:space="0"/>
            </w:tcBorders>
            <w:vAlign w:val="center"/>
          </w:tcPr>
          <w:p>
            <w:pPr>
              <w:pStyle w:val="42"/>
              <w:spacing w:line="240" w:lineRule="auto"/>
              <w:ind w:firstLine="0" w:firstLineChars="0"/>
              <w:jc w:val="center"/>
              <w:rPr>
                <w:color w:val="auto"/>
                <w:sz w:val="18"/>
                <w:szCs w:val="18"/>
              </w:rPr>
            </w:pPr>
            <w:r>
              <w:rPr>
                <w:rFonts w:hint="eastAsia"/>
                <w:color w:val="auto"/>
                <w:sz w:val="18"/>
                <w:szCs w:val="18"/>
              </w:rPr>
              <w:t>跟踪监测</w:t>
            </w:r>
          </w:p>
        </w:tc>
        <w:tc>
          <w:tcPr>
            <w:tcW w:w="1583" w:type="pct"/>
            <w:gridSpan w:val="3"/>
            <w:tcBorders>
              <w:top w:val="single" w:color="000000" w:sz="6" w:space="0"/>
              <w:left w:val="nil"/>
              <w:bottom w:val="single" w:color="000000" w:sz="6" w:space="0"/>
              <w:right w:val="single" w:color="000000" w:sz="4" w:space="0"/>
            </w:tcBorders>
            <w:vAlign w:val="center"/>
          </w:tcPr>
          <w:p>
            <w:pPr>
              <w:pStyle w:val="42"/>
              <w:spacing w:line="240" w:lineRule="auto"/>
              <w:ind w:firstLine="0" w:firstLineChars="0"/>
              <w:jc w:val="center"/>
              <w:rPr>
                <w:color w:val="auto"/>
                <w:sz w:val="18"/>
                <w:szCs w:val="18"/>
              </w:rPr>
            </w:pPr>
            <w:r>
              <w:rPr>
                <w:rFonts w:hint="eastAsia"/>
                <w:color w:val="auto"/>
                <w:sz w:val="18"/>
                <w:szCs w:val="18"/>
              </w:rPr>
              <w:t>监测点数</w:t>
            </w:r>
          </w:p>
        </w:tc>
        <w:tc>
          <w:tcPr>
            <w:tcW w:w="872" w:type="pct"/>
            <w:gridSpan w:val="2"/>
            <w:tcBorders>
              <w:top w:val="single" w:color="000000" w:sz="6" w:space="0"/>
              <w:left w:val="nil"/>
              <w:bottom w:val="single" w:color="000000" w:sz="6" w:space="0"/>
              <w:right w:val="single" w:color="000000" w:sz="4" w:space="0"/>
            </w:tcBorders>
            <w:vAlign w:val="center"/>
          </w:tcPr>
          <w:p>
            <w:pPr>
              <w:pStyle w:val="42"/>
              <w:spacing w:line="240" w:lineRule="auto"/>
              <w:ind w:firstLine="0" w:firstLineChars="0"/>
              <w:jc w:val="center"/>
              <w:rPr>
                <w:color w:val="auto"/>
                <w:sz w:val="18"/>
                <w:szCs w:val="18"/>
              </w:rPr>
            </w:pPr>
            <w:r>
              <w:rPr>
                <w:rFonts w:hint="eastAsia"/>
                <w:color w:val="auto"/>
                <w:sz w:val="18"/>
                <w:szCs w:val="18"/>
              </w:rPr>
              <w:t>监测指标</w:t>
            </w:r>
          </w:p>
        </w:tc>
        <w:tc>
          <w:tcPr>
            <w:tcW w:w="796" w:type="pct"/>
            <w:gridSpan w:val="3"/>
            <w:tcBorders>
              <w:top w:val="single" w:color="000000" w:sz="6" w:space="0"/>
              <w:left w:val="nil"/>
              <w:bottom w:val="single" w:color="000000" w:sz="6" w:space="0"/>
              <w:right w:val="single" w:color="000000" w:sz="6" w:space="0"/>
            </w:tcBorders>
            <w:vAlign w:val="center"/>
          </w:tcPr>
          <w:p>
            <w:pPr>
              <w:pStyle w:val="42"/>
              <w:spacing w:line="240" w:lineRule="auto"/>
              <w:ind w:firstLine="0" w:firstLineChars="0"/>
              <w:jc w:val="center"/>
              <w:rPr>
                <w:color w:val="auto"/>
                <w:sz w:val="18"/>
                <w:szCs w:val="18"/>
              </w:rPr>
            </w:pPr>
            <w:r>
              <w:rPr>
                <w:rFonts w:hint="eastAsia"/>
                <w:color w:val="auto"/>
                <w:sz w:val="18"/>
                <w:szCs w:val="18"/>
              </w:rPr>
              <w:t>监测频次</w:t>
            </w:r>
          </w:p>
        </w:tc>
        <w:tc>
          <w:tcPr>
            <w:tcW w:w="616" w:type="pct"/>
            <w:vMerge w:val="restart"/>
            <w:tcBorders>
              <w:top w:val="nil"/>
              <w:left w:val="nil"/>
              <w:bottom w:val="single" w:color="000000" w:sz="6" w:space="0"/>
              <w:right w:val="nil"/>
            </w:tcBorders>
            <w:vAlign w:val="center"/>
          </w:tcPr>
          <w:p>
            <w:pPr>
              <w:pStyle w:val="42"/>
              <w:spacing w:line="240" w:lineRule="auto"/>
              <w:ind w:firstLine="0" w:firstLineChars="0"/>
              <w:jc w:val="center"/>
              <w:rPr>
                <w:color w:val="auto"/>
                <w:sz w:val="18"/>
                <w:szCs w:val="18"/>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09" w:hRule="atLeast"/>
          <w:jc w:val="center"/>
        </w:trPr>
        <w:tc>
          <w:tcPr>
            <w:tcW w:w="229" w:type="pct"/>
            <w:vMerge w:val="continue"/>
            <w:tcBorders>
              <w:top w:val="nil"/>
              <w:left w:val="nil"/>
              <w:bottom w:val="single" w:color="000000" w:sz="6" w:space="0"/>
              <w:right w:val="single" w:color="000000" w:sz="6" w:space="0"/>
            </w:tcBorders>
            <w:vAlign w:val="center"/>
          </w:tcPr>
          <w:p>
            <w:pPr>
              <w:widowControl/>
              <w:spacing w:line="240" w:lineRule="auto"/>
              <w:ind w:firstLine="0" w:firstLineChars="0"/>
              <w:rPr>
                <w:rFonts w:ascii="宋体" w:hAnsi="宋体"/>
                <w:color w:val="auto"/>
                <w:sz w:val="18"/>
                <w:szCs w:val="18"/>
              </w:rPr>
            </w:pPr>
          </w:p>
        </w:tc>
        <w:tc>
          <w:tcPr>
            <w:tcW w:w="901" w:type="pct"/>
            <w:vMerge w:val="continue"/>
            <w:tcBorders>
              <w:top w:val="nil"/>
              <w:left w:val="nil"/>
              <w:bottom w:val="single" w:color="000000" w:sz="4" w:space="0"/>
              <w:right w:val="single" w:color="000000" w:sz="6" w:space="0"/>
            </w:tcBorders>
            <w:vAlign w:val="center"/>
          </w:tcPr>
          <w:p>
            <w:pPr>
              <w:widowControl/>
              <w:spacing w:line="240" w:lineRule="auto"/>
              <w:ind w:firstLine="0" w:firstLineChars="0"/>
              <w:rPr>
                <w:rFonts w:ascii="宋体" w:hAnsi="宋体"/>
                <w:color w:val="auto"/>
                <w:sz w:val="18"/>
                <w:szCs w:val="18"/>
              </w:rPr>
            </w:pPr>
          </w:p>
        </w:tc>
        <w:tc>
          <w:tcPr>
            <w:tcW w:w="1583" w:type="pct"/>
            <w:gridSpan w:val="3"/>
            <w:tcBorders>
              <w:top w:val="single" w:color="000000" w:sz="6" w:space="0"/>
              <w:left w:val="nil"/>
              <w:bottom w:val="single" w:color="000000" w:sz="4" w:space="0"/>
              <w:right w:val="single" w:color="000000" w:sz="4" w:space="0"/>
            </w:tcBorders>
            <w:vAlign w:val="center"/>
          </w:tcPr>
          <w:p>
            <w:pPr>
              <w:pStyle w:val="42"/>
              <w:spacing w:line="240" w:lineRule="auto"/>
              <w:ind w:firstLine="0" w:firstLineChars="0"/>
              <w:jc w:val="center"/>
              <w:rPr>
                <w:color w:val="auto"/>
                <w:sz w:val="18"/>
                <w:szCs w:val="18"/>
              </w:rPr>
            </w:pPr>
            <w:r>
              <w:rPr>
                <w:rFonts w:hint="eastAsia"/>
                <w:color w:val="auto"/>
                <w:sz w:val="18"/>
                <w:szCs w:val="18"/>
              </w:rPr>
              <w:t>1</w:t>
            </w:r>
          </w:p>
        </w:tc>
        <w:tc>
          <w:tcPr>
            <w:tcW w:w="872" w:type="pct"/>
            <w:gridSpan w:val="2"/>
            <w:tcBorders>
              <w:top w:val="single" w:color="000000" w:sz="6" w:space="0"/>
              <w:left w:val="nil"/>
              <w:bottom w:val="nil"/>
              <w:right w:val="single" w:color="000000" w:sz="4" w:space="0"/>
            </w:tcBorders>
            <w:vAlign w:val="center"/>
          </w:tcPr>
          <w:p>
            <w:pPr>
              <w:pStyle w:val="42"/>
              <w:spacing w:line="240" w:lineRule="auto"/>
              <w:ind w:firstLine="0" w:firstLineChars="0"/>
              <w:jc w:val="center"/>
              <w:rPr>
                <w:color w:val="auto"/>
                <w:sz w:val="18"/>
                <w:szCs w:val="18"/>
              </w:rPr>
            </w:pPr>
          </w:p>
        </w:tc>
        <w:tc>
          <w:tcPr>
            <w:tcW w:w="796" w:type="pct"/>
            <w:gridSpan w:val="3"/>
            <w:tcBorders>
              <w:top w:val="single" w:color="000000" w:sz="6" w:space="0"/>
              <w:left w:val="nil"/>
              <w:bottom w:val="single" w:color="000000" w:sz="4" w:space="0"/>
              <w:right w:val="single" w:color="000000" w:sz="6" w:space="0"/>
            </w:tcBorders>
            <w:vAlign w:val="center"/>
          </w:tcPr>
          <w:p>
            <w:pPr>
              <w:pStyle w:val="42"/>
              <w:spacing w:line="240" w:lineRule="auto"/>
              <w:ind w:firstLine="0" w:firstLineChars="0"/>
              <w:jc w:val="center"/>
              <w:rPr>
                <w:color w:val="auto"/>
                <w:sz w:val="18"/>
                <w:szCs w:val="18"/>
              </w:rPr>
            </w:pPr>
            <w:r>
              <w:rPr>
                <w:rFonts w:hint="eastAsia"/>
                <w:color w:val="auto"/>
                <w:sz w:val="18"/>
                <w:szCs w:val="18"/>
              </w:rPr>
              <w:t>1次/3年</w:t>
            </w:r>
          </w:p>
        </w:tc>
        <w:tc>
          <w:tcPr>
            <w:tcW w:w="616" w:type="pct"/>
            <w:vMerge w:val="continue"/>
            <w:tcBorders>
              <w:top w:val="nil"/>
              <w:left w:val="nil"/>
              <w:bottom w:val="single" w:color="000000" w:sz="6" w:space="0"/>
              <w:right w:val="nil"/>
            </w:tcBorders>
            <w:vAlign w:val="center"/>
          </w:tcPr>
          <w:p>
            <w:pPr>
              <w:widowControl/>
              <w:spacing w:line="240" w:lineRule="auto"/>
              <w:ind w:firstLine="0" w:firstLineChars="0"/>
              <w:rPr>
                <w:rFonts w:hAnsi="宋体" w:cs="宋体"/>
                <w:color w:val="auto"/>
                <w:sz w:val="18"/>
                <w:szCs w:val="18"/>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3" w:hRule="atLeast"/>
          <w:jc w:val="center"/>
        </w:trPr>
        <w:tc>
          <w:tcPr>
            <w:tcW w:w="229" w:type="pct"/>
            <w:vMerge w:val="continue"/>
            <w:tcBorders>
              <w:top w:val="nil"/>
              <w:left w:val="nil"/>
              <w:bottom w:val="single" w:color="000000" w:sz="6" w:space="0"/>
              <w:right w:val="single" w:color="000000" w:sz="6" w:space="0"/>
            </w:tcBorders>
            <w:vAlign w:val="center"/>
          </w:tcPr>
          <w:p>
            <w:pPr>
              <w:widowControl/>
              <w:spacing w:line="240" w:lineRule="auto"/>
              <w:ind w:firstLine="0" w:firstLineChars="0"/>
              <w:rPr>
                <w:rFonts w:ascii="宋体" w:hAnsi="宋体"/>
                <w:color w:val="auto"/>
                <w:sz w:val="18"/>
                <w:szCs w:val="18"/>
              </w:rPr>
            </w:pPr>
          </w:p>
        </w:tc>
        <w:tc>
          <w:tcPr>
            <w:tcW w:w="901" w:type="pct"/>
            <w:tcBorders>
              <w:top w:val="single" w:color="000000" w:sz="4" w:space="0"/>
              <w:left w:val="nil"/>
              <w:bottom w:val="single" w:color="000000" w:sz="6" w:space="0"/>
              <w:right w:val="single" w:color="000000" w:sz="6" w:space="0"/>
            </w:tcBorders>
            <w:vAlign w:val="center"/>
          </w:tcPr>
          <w:p>
            <w:pPr>
              <w:pStyle w:val="42"/>
              <w:spacing w:line="240" w:lineRule="auto"/>
              <w:ind w:firstLine="0" w:firstLineChars="0"/>
              <w:jc w:val="center"/>
              <w:rPr>
                <w:color w:val="auto"/>
                <w:sz w:val="18"/>
                <w:szCs w:val="18"/>
              </w:rPr>
            </w:pPr>
            <w:r>
              <w:rPr>
                <w:rFonts w:hint="eastAsia"/>
                <w:color w:val="auto"/>
                <w:sz w:val="18"/>
                <w:szCs w:val="18"/>
              </w:rPr>
              <w:t>信息公开指标</w:t>
            </w:r>
          </w:p>
        </w:tc>
        <w:tc>
          <w:tcPr>
            <w:tcW w:w="3252" w:type="pct"/>
            <w:gridSpan w:val="8"/>
            <w:tcBorders>
              <w:top w:val="single" w:color="000000" w:sz="4" w:space="0"/>
              <w:left w:val="nil"/>
              <w:bottom w:val="single" w:color="000000" w:sz="6" w:space="0"/>
              <w:right w:val="single" w:color="000000" w:sz="6" w:space="0"/>
            </w:tcBorders>
            <w:vAlign w:val="center"/>
          </w:tcPr>
          <w:p>
            <w:pPr>
              <w:pStyle w:val="42"/>
              <w:spacing w:line="240" w:lineRule="auto"/>
              <w:ind w:firstLine="0" w:firstLineChars="0"/>
              <w:jc w:val="center"/>
              <w:rPr>
                <w:color w:val="auto"/>
                <w:sz w:val="18"/>
                <w:szCs w:val="18"/>
              </w:rPr>
            </w:pPr>
          </w:p>
        </w:tc>
        <w:tc>
          <w:tcPr>
            <w:tcW w:w="616" w:type="pct"/>
            <w:vMerge w:val="continue"/>
            <w:tcBorders>
              <w:top w:val="nil"/>
              <w:left w:val="nil"/>
              <w:bottom w:val="single" w:color="000000" w:sz="6" w:space="0"/>
              <w:right w:val="nil"/>
            </w:tcBorders>
            <w:vAlign w:val="center"/>
          </w:tcPr>
          <w:p>
            <w:pPr>
              <w:widowControl/>
              <w:spacing w:line="240" w:lineRule="auto"/>
              <w:ind w:firstLine="0" w:firstLineChars="0"/>
              <w:rPr>
                <w:rFonts w:hAnsi="宋体" w:cs="宋体"/>
                <w:color w:val="auto"/>
                <w:sz w:val="18"/>
                <w:szCs w:val="18"/>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1" w:hRule="atLeast"/>
          <w:jc w:val="center"/>
        </w:trPr>
        <w:tc>
          <w:tcPr>
            <w:tcW w:w="1130" w:type="pct"/>
            <w:gridSpan w:val="2"/>
            <w:tcBorders>
              <w:top w:val="single" w:color="000000" w:sz="6" w:space="0"/>
              <w:left w:val="nil"/>
              <w:bottom w:val="single" w:color="000000" w:sz="8" w:space="0"/>
              <w:right w:val="single" w:color="000000" w:sz="6" w:space="0"/>
            </w:tcBorders>
            <w:vAlign w:val="center"/>
          </w:tcPr>
          <w:p>
            <w:pPr>
              <w:pStyle w:val="42"/>
              <w:spacing w:line="240" w:lineRule="auto"/>
              <w:ind w:firstLine="0" w:firstLineChars="0"/>
              <w:jc w:val="center"/>
              <w:rPr>
                <w:color w:val="auto"/>
                <w:sz w:val="18"/>
                <w:szCs w:val="18"/>
              </w:rPr>
            </w:pPr>
            <w:r>
              <w:rPr>
                <w:rFonts w:hint="eastAsia"/>
                <w:color w:val="auto"/>
                <w:sz w:val="18"/>
                <w:szCs w:val="18"/>
              </w:rPr>
              <w:t>评价结论</w:t>
            </w:r>
          </w:p>
        </w:tc>
        <w:tc>
          <w:tcPr>
            <w:tcW w:w="3252" w:type="pct"/>
            <w:gridSpan w:val="8"/>
            <w:tcBorders>
              <w:top w:val="single" w:color="000000" w:sz="6" w:space="0"/>
              <w:left w:val="nil"/>
              <w:bottom w:val="single" w:color="000000" w:sz="8" w:space="0"/>
              <w:right w:val="single" w:color="000000" w:sz="6" w:space="0"/>
            </w:tcBorders>
            <w:vAlign w:val="center"/>
          </w:tcPr>
          <w:p>
            <w:pPr>
              <w:spacing w:line="240" w:lineRule="auto"/>
              <w:ind w:firstLine="0" w:firstLineChars="0"/>
              <w:rPr>
                <w:color w:val="auto"/>
                <w:sz w:val="18"/>
                <w:szCs w:val="18"/>
              </w:rPr>
            </w:pPr>
            <w:r>
              <w:rPr>
                <w:rFonts w:hint="eastAsia"/>
                <w:color w:val="auto"/>
                <w:sz w:val="18"/>
                <w:szCs w:val="18"/>
              </w:rPr>
              <w:t>本项目产生的废水属于有机废水不存在重金属等污染物，不涉及土壤持久性污染，废水中污染物易吸附降解，不会对土壤质量产生明显恶化影响，在采取保护措施后影响可以接受</w:t>
            </w:r>
          </w:p>
        </w:tc>
        <w:tc>
          <w:tcPr>
            <w:tcW w:w="616" w:type="pct"/>
            <w:tcBorders>
              <w:top w:val="single" w:color="000000" w:sz="6" w:space="0"/>
              <w:left w:val="nil"/>
              <w:bottom w:val="single" w:color="000000" w:sz="8" w:space="0"/>
              <w:right w:val="nil"/>
            </w:tcBorders>
            <w:vAlign w:val="center"/>
          </w:tcPr>
          <w:p>
            <w:pPr>
              <w:pStyle w:val="42"/>
              <w:spacing w:line="240" w:lineRule="auto"/>
              <w:ind w:firstLine="0" w:firstLineChars="0"/>
              <w:jc w:val="center"/>
              <w:rPr>
                <w:color w:val="auto"/>
                <w:sz w:val="18"/>
                <w:szCs w:val="18"/>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23" w:hRule="atLeast"/>
          <w:jc w:val="center"/>
        </w:trPr>
        <w:tc>
          <w:tcPr>
            <w:tcW w:w="5000" w:type="pct"/>
            <w:gridSpan w:val="11"/>
            <w:tcBorders>
              <w:top w:val="single" w:color="000000" w:sz="8" w:space="0"/>
              <w:left w:val="nil"/>
              <w:bottom w:val="single" w:color="000000" w:sz="8" w:space="0"/>
              <w:right w:val="nil"/>
            </w:tcBorders>
            <w:vAlign w:val="center"/>
          </w:tcPr>
          <w:p>
            <w:pPr>
              <w:pStyle w:val="42"/>
              <w:spacing w:line="240" w:lineRule="auto"/>
              <w:ind w:firstLine="0" w:firstLineChars="0"/>
              <w:rPr>
                <w:color w:val="auto"/>
                <w:sz w:val="18"/>
                <w:szCs w:val="18"/>
              </w:rPr>
            </w:pPr>
            <w:r>
              <w:rPr>
                <w:rFonts w:hint="eastAsia"/>
                <w:color w:val="auto"/>
                <w:sz w:val="18"/>
                <w:szCs w:val="18"/>
              </w:rPr>
              <w:t xml:space="preserve">注 </w:t>
            </w:r>
            <w:r>
              <w:rPr>
                <w:color w:val="auto"/>
                <w:sz w:val="18"/>
                <w:szCs w:val="18"/>
              </w:rPr>
              <w:t>1</w:t>
            </w:r>
            <w:r>
              <w:rPr>
                <w:rFonts w:hint="eastAsia"/>
                <w:color w:val="auto"/>
                <w:sz w:val="18"/>
                <w:szCs w:val="18"/>
              </w:rPr>
              <w:t>：“□”为勾选项，可√；“（ ）”为内容填写项；“备注”为其他补充内容。</w:t>
            </w:r>
          </w:p>
          <w:p>
            <w:pPr>
              <w:pStyle w:val="42"/>
              <w:spacing w:line="240" w:lineRule="auto"/>
              <w:ind w:firstLine="0" w:firstLineChars="0"/>
              <w:rPr>
                <w:color w:val="auto"/>
                <w:sz w:val="18"/>
                <w:szCs w:val="18"/>
              </w:rPr>
            </w:pPr>
            <w:r>
              <w:rPr>
                <w:rFonts w:hint="eastAsia"/>
                <w:color w:val="auto"/>
                <w:sz w:val="18"/>
                <w:szCs w:val="18"/>
              </w:rPr>
              <w:t xml:space="preserve">注 </w:t>
            </w:r>
            <w:r>
              <w:rPr>
                <w:color w:val="auto"/>
                <w:sz w:val="18"/>
                <w:szCs w:val="18"/>
              </w:rPr>
              <w:t>2</w:t>
            </w:r>
            <w:r>
              <w:rPr>
                <w:rFonts w:hint="eastAsia"/>
                <w:color w:val="auto"/>
                <w:sz w:val="18"/>
                <w:szCs w:val="18"/>
              </w:rPr>
              <w:t>：需要分别开展土壤环境影响评级工作的，分别填写自查表。</w:t>
            </w:r>
          </w:p>
        </w:tc>
      </w:tr>
    </w:tbl>
    <w:p>
      <w:pPr>
        <w:ind w:firstLine="0" w:firstLineChars="0"/>
        <w:jc w:val="left"/>
        <w:rPr>
          <w:b/>
          <w:bCs/>
          <w:color w:val="auto"/>
        </w:rPr>
      </w:pPr>
      <w:r>
        <w:rPr>
          <w:b/>
          <w:bCs/>
          <w:color w:val="auto"/>
        </w:rPr>
        <w:t>5.</w:t>
      </w:r>
      <w:r>
        <w:rPr>
          <w:rFonts w:hint="eastAsia"/>
          <w:b/>
          <w:bCs/>
          <w:color w:val="auto"/>
        </w:rPr>
        <w:t>2.7</w:t>
      </w:r>
      <w:r>
        <w:rPr>
          <w:b/>
          <w:bCs/>
          <w:color w:val="auto"/>
        </w:rPr>
        <w:t xml:space="preserve"> 项目生态环境影响分析</w:t>
      </w:r>
      <w:bookmarkEnd w:id="567"/>
    </w:p>
    <w:p>
      <w:pPr>
        <w:ind w:firstLine="480"/>
        <w:rPr>
          <w:color w:val="auto"/>
        </w:rPr>
      </w:pPr>
      <w:r>
        <w:rPr>
          <w:color w:val="auto"/>
        </w:rPr>
        <w:t>本项目区地势平坦，在施工过程中因降雨、地表开挖和弃土弃渣处置不当，可能会引起不同程度的水土流失及生态破坏。</w:t>
      </w:r>
    </w:p>
    <w:p>
      <w:pPr>
        <w:ind w:firstLine="482"/>
        <w:rPr>
          <w:b/>
          <w:bCs/>
          <w:color w:val="auto"/>
        </w:rPr>
      </w:pPr>
      <w:r>
        <w:rPr>
          <w:b/>
          <w:bCs/>
          <w:color w:val="auto"/>
        </w:rPr>
        <w:t>5.2.7.1项目对周围的生态破坏</w:t>
      </w:r>
    </w:p>
    <w:p>
      <w:pPr>
        <w:ind w:firstLine="480"/>
        <w:rPr>
          <w:color w:val="auto"/>
        </w:rPr>
      </w:pPr>
      <w:r>
        <w:rPr>
          <w:color w:val="auto"/>
        </w:rPr>
        <w:t>在项目建设过程中，评价区的植被（主要为农作物）将受到不同程度的占压或毁坏。在施工过程中，开挖处或者清理的植被均遭到永久性毁坏，对生物</w:t>
      </w:r>
      <w:r>
        <w:rPr>
          <w:rFonts w:hint="eastAsia"/>
          <w:color w:val="auto"/>
        </w:rPr>
        <w:t>环</w:t>
      </w:r>
      <w:r>
        <w:rPr>
          <w:color w:val="auto"/>
        </w:rPr>
        <w:t>境造成破坏，影响动物的正常生长。同时，项目建成后，由于永久占地的影响，使得项目占地范围内的土地用途发生改变，</w:t>
      </w:r>
      <w:r>
        <w:rPr>
          <w:rFonts w:hint="eastAsia"/>
          <w:color w:val="auto"/>
        </w:rPr>
        <w:t>厂区</w:t>
      </w:r>
      <w:r>
        <w:rPr>
          <w:color w:val="auto"/>
        </w:rPr>
        <w:t>内原有植被破坏，原有野生动物</w:t>
      </w:r>
      <w:r>
        <w:rPr>
          <w:rFonts w:hint="eastAsia"/>
          <w:color w:val="auto"/>
        </w:rPr>
        <w:t>环</w:t>
      </w:r>
      <w:r>
        <w:rPr>
          <w:color w:val="auto"/>
        </w:rPr>
        <w:t>境发生改变。经分析，项目生态破坏主要表现在以下几个方面：</w:t>
      </w:r>
    </w:p>
    <w:p>
      <w:pPr>
        <w:pStyle w:val="11"/>
        <w:adjustRightInd/>
        <w:snapToGrid/>
        <w:spacing w:after="0"/>
        <w:ind w:firstLine="480"/>
        <w:jc w:val="left"/>
        <w:rPr>
          <w:color w:val="auto"/>
        </w:rPr>
      </w:pPr>
      <w:r>
        <w:rPr>
          <w:color w:val="auto"/>
        </w:rPr>
        <w:t>（</w:t>
      </w:r>
      <w:r>
        <w:rPr>
          <w:rFonts w:eastAsia="Times New Roman"/>
          <w:color w:val="auto"/>
        </w:rPr>
        <w:t>1</w:t>
      </w:r>
      <w:r>
        <w:rPr>
          <w:color w:val="auto"/>
        </w:rPr>
        <w:t>）土地功能变化</w:t>
      </w:r>
      <w:r>
        <w:rPr>
          <w:color w:val="auto"/>
          <w:spacing w:val="-3"/>
        </w:rPr>
        <w:t>根据现状调查，本项目用地原为一般</w:t>
      </w:r>
      <w:r>
        <w:rPr>
          <w:rFonts w:hint="eastAsia"/>
          <w:color w:val="auto"/>
          <w:spacing w:val="-3"/>
        </w:rPr>
        <w:t>耕地</w:t>
      </w:r>
      <w:r>
        <w:rPr>
          <w:color w:val="auto"/>
          <w:spacing w:val="-3"/>
        </w:rPr>
        <w:t>，项目建成后将完全改变土地利用</w:t>
      </w:r>
      <w:r>
        <w:rPr>
          <w:color w:val="auto"/>
        </w:rPr>
        <w:t>状况，变为养殖</w:t>
      </w:r>
      <w:r>
        <w:rPr>
          <w:rFonts w:hint="eastAsia"/>
          <w:color w:val="auto"/>
        </w:rPr>
        <w:t>厂区</w:t>
      </w:r>
      <w:r>
        <w:rPr>
          <w:color w:val="auto"/>
        </w:rPr>
        <w:t>建设用地，失去其原有功能。</w:t>
      </w:r>
    </w:p>
    <w:p>
      <w:pPr>
        <w:pStyle w:val="11"/>
        <w:adjustRightInd/>
        <w:snapToGrid/>
        <w:spacing w:after="0"/>
        <w:ind w:firstLine="480"/>
        <w:jc w:val="left"/>
        <w:rPr>
          <w:color w:val="auto"/>
        </w:rPr>
      </w:pPr>
      <w:r>
        <w:rPr>
          <w:color w:val="auto"/>
        </w:rPr>
        <w:t>（</w:t>
      </w:r>
      <w:r>
        <w:rPr>
          <w:rFonts w:eastAsia="Times New Roman"/>
          <w:color w:val="auto"/>
        </w:rPr>
        <w:t>2</w:t>
      </w:r>
      <w:r>
        <w:rPr>
          <w:color w:val="auto"/>
        </w:rPr>
        <w:t xml:space="preserve">）对植被的影响 </w:t>
      </w:r>
      <w:r>
        <w:rPr>
          <w:color w:val="auto"/>
          <w:spacing w:val="-3"/>
        </w:rPr>
        <w:t>项目建设过程中场地开挖和清理及建成后各建筑物的占用，对项目区内及附</w:t>
      </w:r>
      <w:r>
        <w:rPr>
          <w:color w:val="auto"/>
          <w:spacing w:val="3"/>
        </w:rPr>
        <w:t>近的植被将造成不同程度的占压和毁坏，致使区内原有的植被生态系统不复存</w:t>
      </w:r>
      <w:r>
        <w:rPr>
          <w:color w:val="auto"/>
          <w:spacing w:val="-3"/>
        </w:rPr>
        <w:t>在，造成永久性的毁坏。项目建成后，将对</w:t>
      </w:r>
      <w:r>
        <w:rPr>
          <w:rFonts w:hint="eastAsia"/>
          <w:color w:val="auto"/>
          <w:spacing w:val="-3"/>
        </w:rPr>
        <w:t>厂区</w:t>
      </w:r>
      <w:r>
        <w:rPr>
          <w:color w:val="auto"/>
          <w:spacing w:val="-3"/>
        </w:rPr>
        <w:t>内进行绿化，能在一定程度上补</w:t>
      </w:r>
      <w:r>
        <w:rPr>
          <w:color w:val="auto"/>
        </w:rPr>
        <w:t>偿对原有生态的影响，并能使项目与周围环境更加协调，起到美化环境的效果。</w:t>
      </w:r>
    </w:p>
    <w:p>
      <w:pPr>
        <w:adjustRightInd/>
        <w:snapToGrid/>
        <w:ind w:firstLine="480"/>
        <w:rPr>
          <w:color w:val="auto"/>
        </w:rPr>
      </w:pPr>
      <w:r>
        <w:rPr>
          <w:color w:val="auto"/>
        </w:rPr>
        <w:t>（</w:t>
      </w:r>
      <w:r>
        <w:rPr>
          <w:rFonts w:eastAsia="Times New Roman"/>
          <w:color w:val="auto"/>
        </w:rPr>
        <w:t>3</w:t>
      </w:r>
      <w:r>
        <w:rPr>
          <w:color w:val="auto"/>
        </w:rPr>
        <w:t>）对动物的影响</w:t>
      </w:r>
      <w:r>
        <w:rPr>
          <w:color w:val="auto"/>
          <w:spacing w:val="-3"/>
        </w:rPr>
        <w:t>项目的建设，引起项目区及周边人员活动增加，交通噪声、废气、废水等污染物的排放增加，必然使原有野生动物生境发生改变，对区域原有的动物产生严重的影响，同时，项目永久占地促使当地原有对环境比较敏感的野生动物将进行</w:t>
      </w:r>
      <w:r>
        <w:rPr>
          <w:color w:val="auto"/>
          <w:spacing w:val="-105"/>
        </w:rPr>
        <w:t xml:space="preserve"> </w:t>
      </w:r>
      <w:r>
        <w:rPr>
          <w:color w:val="auto"/>
          <w:spacing w:val="-3"/>
        </w:rPr>
        <w:t>迁移，远离该区域，但一些适应能力较强的野生动物则会增加，对当地的野生生</w:t>
      </w:r>
      <w:r>
        <w:rPr>
          <w:color w:val="auto"/>
          <w:spacing w:val="-107"/>
        </w:rPr>
        <w:t xml:space="preserve"> </w:t>
      </w:r>
      <w:r>
        <w:rPr>
          <w:color w:val="auto"/>
          <w:spacing w:val="-3"/>
        </w:rPr>
        <w:t>态系统产生一定程度的影响，并改变区域生态系统结构，但由于项目</w:t>
      </w:r>
      <w:r>
        <w:rPr>
          <w:rFonts w:hint="eastAsia"/>
          <w:color w:val="auto"/>
          <w:spacing w:val="-3"/>
        </w:rPr>
        <w:t>厂区</w:t>
      </w:r>
      <w:r>
        <w:rPr>
          <w:color w:val="auto"/>
          <w:spacing w:val="-3"/>
        </w:rPr>
        <w:t>所占面</w:t>
      </w:r>
      <w:r>
        <w:rPr>
          <w:color w:val="auto"/>
          <w:spacing w:val="-105"/>
        </w:rPr>
        <w:t xml:space="preserve"> </w:t>
      </w:r>
      <w:r>
        <w:rPr>
          <w:color w:val="auto"/>
        </w:rPr>
        <w:t>积相对区域面积而言，比例很小，因此对动物生态系统影响有限。</w:t>
      </w:r>
    </w:p>
    <w:p>
      <w:pPr>
        <w:pStyle w:val="11"/>
        <w:adjustRightInd/>
        <w:snapToGrid/>
        <w:spacing w:after="0"/>
        <w:ind w:firstLine="480"/>
        <w:jc w:val="left"/>
        <w:rPr>
          <w:color w:val="auto"/>
        </w:rPr>
      </w:pPr>
      <w:r>
        <w:rPr>
          <w:color w:val="auto"/>
        </w:rPr>
        <w:t>（</w:t>
      </w:r>
      <w:r>
        <w:rPr>
          <w:rFonts w:eastAsia="Times New Roman"/>
          <w:color w:val="auto"/>
        </w:rPr>
        <w:t>4</w:t>
      </w:r>
      <w:r>
        <w:rPr>
          <w:color w:val="auto"/>
        </w:rPr>
        <w:t>）生态结构与功能变化</w:t>
      </w:r>
      <w:r>
        <w:rPr>
          <w:color w:val="auto"/>
          <w:spacing w:val="-3"/>
        </w:rPr>
        <w:t>项目建成后，局部地块农业生态系统消失，系统中原有的以种植农作物产生的能流、物流、信息流将消失，取而代之的是新的系统，并将超过原有农业生态系统，更超过自然生态系统。根据对当地种植情况的调查，目前</w:t>
      </w:r>
      <w:r>
        <w:rPr>
          <w:rFonts w:hint="eastAsia"/>
          <w:color w:val="auto"/>
          <w:spacing w:val="-3"/>
        </w:rPr>
        <w:t>濮阳县</w:t>
      </w:r>
      <w:r>
        <w:rPr>
          <w:color w:val="auto"/>
          <w:spacing w:val="-3"/>
        </w:rPr>
        <w:t>地区种植为</w:t>
      </w:r>
      <w:r>
        <w:rPr>
          <w:color w:val="auto"/>
          <w:spacing w:val="3"/>
        </w:rPr>
        <w:t>一年两熟，夏季收获以小麦为主、秋季收获以</w:t>
      </w:r>
      <w:r>
        <w:rPr>
          <w:rFonts w:hint="eastAsia"/>
          <w:color w:val="auto"/>
          <w:spacing w:val="3"/>
        </w:rPr>
        <w:t>玉米</w:t>
      </w:r>
      <w:r>
        <w:rPr>
          <w:color w:val="auto"/>
          <w:spacing w:val="3"/>
        </w:rPr>
        <w:t>为主，每亩土地年产值约为</w:t>
      </w:r>
      <w:r>
        <w:rPr>
          <w:rFonts w:eastAsia="Times New Roman"/>
          <w:color w:val="auto"/>
        </w:rPr>
        <w:t>2700</w:t>
      </w:r>
      <w:r>
        <w:rPr>
          <w:color w:val="auto"/>
          <w:spacing w:val="2"/>
        </w:rPr>
        <w:t>元。根据公司预测，本项目建成后，每亩地年产值约为</w:t>
      </w:r>
      <w:r>
        <w:rPr>
          <w:rFonts w:eastAsia="Times New Roman"/>
          <w:color w:val="auto"/>
        </w:rPr>
        <w:t>4</w:t>
      </w:r>
      <w:r>
        <w:rPr>
          <w:color w:val="auto"/>
        </w:rPr>
        <w:t>万元，大大提高了单位面积土地的生产能力。</w:t>
      </w:r>
    </w:p>
    <w:p>
      <w:pPr>
        <w:pStyle w:val="11"/>
        <w:adjustRightInd/>
        <w:snapToGrid/>
        <w:spacing w:after="0"/>
        <w:ind w:firstLine="468"/>
        <w:rPr>
          <w:color w:val="auto"/>
        </w:rPr>
      </w:pPr>
      <w:r>
        <w:rPr>
          <w:color w:val="auto"/>
          <w:spacing w:val="-3"/>
        </w:rPr>
        <w:t>原来农业生态系统施肥可能破坏水体功能，施肥过量将会污染土壤，改变土地结构，传播疫病，随着项目生态系统开放度扩大，能量、物质信息的输入、输</w:t>
      </w:r>
      <w:r>
        <w:rPr>
          <w:color w:val="auto"/>
          <w:spacing w:val="-107"/>
        </w:rPr>
        <w:t xml:space="preserve"> </w:t>
      </w:r>
      <w:r>
        <w:rPr>
          <w:color w:val="auto"/>
          <w:spacing w:val="-3"/>
        </w:rPr>
        <w:t>出与城市生态系统各组分之间都存在很大的联系性和依赖性，系统的功能和生产</w:t>
      </w:r>
      <w:r>
        <w:rPr>
          <w:color w:val="auto"/>
          <w:spacing w:val="-104"/>
        </w:rPr>
        <w:t xml:space="preserve"> </w:t>
      </w:r>
      <w:r>
        <w:rPr>
          <w:color w:val="auto"/>
        </w:rPr>
        <w:t>力将大大增强，同时能源、物质的消耗，向环境排放的污染物也会增多。</w:t>
      </w:r>
    </w:p>
    <w:p>
      <w:pPr>
        <w:pStyle w:val="11"/>
        <w:adjustRightInd/>
        <w:snapToGrid/>
        <w:spacing w:after="0"/>
        <w:ind w:firstLine="468"/>
        <w:rPr>
          <w:color w:val="auto"/>
        </w:rPr>
      </w:pPr>
      <w:r>
        <w:rPr>
          <w:color w:val="auto"/>
          <w:spacing w:val="-3"/>
        </w:rPr>
        <w:t>农业生态系统是一个开放的系统，依靠灌溉、施肥等物质和能量的输入；农产品的输出维持其系统，它将经济再生产、自然再生产交织在一起，构成与社会</w:t>
      </w:r>
      <w:r>
        <w:rPr>
          <w:color w:val="auto"/>
          <w:spacing w:val="-105"/>
        </w:rPr>
        <w:t xml:space="preserve"> </w:t>
      </w:r>
      <w:r>
        <w:rPr>
          <w:color w:val="auto"/>
          <w:spacing w:val="-3"/>
        </w:rPr>
        <w:t>经济区互相反馈的生态经济系统。养殖场按照科学管理进行施肥，合理安排施肥</w:t>
      </w:r>
      <w:r>
        <w:rPr>
          <w:color w:val="auto"/>
          <w:spacing w:val="-105"/>
        </w:rPr>
        <w:t xml:space="preserve"> </w:t>
      </w:r>
      <w:r>
        <w:rPr>
          <w:color w:val="auto"/>
        </w:rPr>
        <w:t>时间和频次，能够避免对区域造成污染危害。</w:t>
      </w:r>
    </w:p>
    <w:p>
      <w:pPr>
        <w:adjustRightInd/>
        <w:snapToGrid/>
        <w:ind w:firstLine="482"/>
        <w:rPr>
          <w:b/>
          <w:bCs/>
          <w:color w:val="auto"/>
        </w:rPr>
      </w:pPr>
      <w:r>
        <w:rPr>
          <w:b/>
          <w:bCs/>
          <w:color w:val="auto"/>
        </w:rPr>
        <w:t>5.2.7.2 水土流失及保护措施</w:t>
      </w:r>
    </w:p>
    <w:p>
      <w:pPr>
        <w:adjustRightInd/>
        <w:snapToGrid/>
        <w:ind w:firstLine="480"/>
        <w:rPr>
          <w:color w:val="auto"/>
        </w:rPr>
      </w:pPr>
      <w:r>
        <w:rPr>
          <w:color w:val="auto"/>
        </w:rPr>
        <w:t>（</w:t>
      </w:r>
      <w:r>
        <w:rPr>
          <w:rFonts w:eastAsia="Times New Roman"/>
          <w:color w:val="auto"/>
        </w:rPr>
        <w:t>1</w:t>
      </w:r>
      <w:r>
        <w:rPr>
          <w:color w:val="auto"/>
        </w:rPr>
        <w:t xml:space="preserve">）工程建设区水土流失概况 </w:t>
      </w:r>
      <w:r>
        <w:rPr>
          <w:color w:val="auto"/>
          <w:spacing w:val="-7"/>
        </w:rPr>
        <w:t>本项目区内地形较平坦，水土流失形式主要为水力侵蚀，主要类型包括面蚀、</w:t>
      </w:r>
      <w:r>
        <w:rPr>
          <w:color w:val="auto"/>
        </w:rPr>
        <w:t>雨滴溅蚀等。</w:t>
      </w:r>
    </w:p>
    <w:p>
      <w:pPr>
        <w:pStyle w:val="11"/>
        <w:adjustRightInd/>
        <w:snapToGrid/>
        <w:spacing w:after="0"/>
        <w:ind w:firstLine="480"/>
        <w:rPr>
          <w:color w:val="auto"/>
        </w:rPr>
      </w:pPr>
      <w:r>
        <w:rPr>
          <w:color w:val="auto"/>
        </w:rPr>
        <w:t>（</w:t>
      </w:r>
      <w:r>
        <w:rPr>
          <w:rFonts w:eastAsia="Times New Roman"/>
          <w:color w:val="auto"/>
        </w:rPr>
        <w:t>2</w:t>
      </w:r>
      <w:r>
        <w:rPr>
          <w:color w:val="auto"/>
        </w:rPr>
        <w:t>）引起水土流失的原因 自然因素和人为因素是造成该区水土流失的主要原因。</w:t>
      </w:r>
      <w:r>
        <w:rPr>
          <w:color w:val="auto"/>
          <w:spacing w:val="-7"/>
        </w:rPr>
        <w:t>自然因素有地形地貌、地面组成物质、植被及降雨等。项目区地势较为平坦，</w:t>
      </w:r>
      <w:r>
        <w:rPr>
          <w:color w:val="auto"/>
          <w:spacing w:val="-3"/>
        </w:rPr>
        <w:t>林草植被覆盖多，年内分布很不均匀，多集中在数次暴雨。形成水土流失的主要</w:t>
      </w:r>
      <w:r>
        <w:rPr>
          <w:color w:val="auto"/>
        </w:rPr>
        <w:t>自然因素是暴雨。</w:t>
      </w:r>
      <w:r>
        <w:rPr>
          <w:color w:val="auto"/>
          <w:spacing w:val="-3"/>
        </w:rPr>
        <w:t>人为因素：由于项目工程建设，土方开挖和料物堆砌损坏了原有的地形地貌和植被，施工活动扰动了原有的土体结构，致使土体抗侵蚀能力降低，造成区域</w:t>
      </w:r>
      <w:r>
        <w:rPr>
          <w:color w:val="auto"/>
          <w:spacing w:val="-106"/>
        </w:rPr>
        <w:t xml:space="preserve"> </w:t>
      </w:r>
      <w:r>
        <w:rPr>
          <w:color w:val="auto"/>
        </w:rPr>
        <w:t>加速侵蚀。</w:t>
      </w:r>
    </w:p>
    <w:p>
      <w:pPr>
        <w:pStyle w:val="11"/>
        <w:adjustRightInd/>
        <w:snapToGrid/>
        <w:spacing w:after="0"/>
        <w:ind w:firstLine="480"/>
        <w:rPr>
          <w:color w:val="auto"/>
        </w:rPr>
      </w:pPr>
      <w:r>
        <w:rPr>
          <w:color w:val="auto"/>
        </w:rPr>
        <w:t>（</w:t>
      </w:r>
      <w:r>
        <w:rPr>
          <w:rFonts w:eastAsia="Times New Roman"/>
          <w:color w:val="auto"/>
        </w:rPr>
        <w:t>3</w:t>
      </w:r>
      <w:r>
        <w:rPr>
          <w:color w:val="auto"/>
        </w:rPr>
        <w:t xml:space="preserve">）可能产生的水土流失预测 </w:t>
      </w:r>
      <w:r>
        <w:rPr>
          <w:color w:val="auto"/>
          <w:spacing w:val="-3"/>
        </w:rPr>
        <w:t>由于工程建设过程中破坏地貌植被，对该区生态环境造成破坏，同时使自然状况下的土体稳定平衡和土壤结构遭到破坏，土体疏散，土壤可蚀性增加，必然</w:t>
      </w:r>
      <w:r>
        <w:rPr>
          <w:color w:val="auto"/>
          <w:spacing w:val="-105"/>
        </w:rPr>
        <w:t xml:space="preserve"> </w:t>
      </w:r>
      <w:r>
        <w:rPr>
          <w:color w:val="auto"/>
        </w:rPr>
        <w:t>导致水土流失增加。</w:t>
      </w:r>
    </w:p>
    <w:p>
      <w:pPr>
        <w:pStyle w:val="11"/>
        <w:adjustRightInd/>
        <w:snapToGrid/>
        <w:spacing w:after="0"/>
        <w:ind w:firstLine="480"/>
        <w:rPr>
          <w:color w:val="auto"/>
        </w:rPr>
      </w:pPr>
      <w:r>
        <w:rPr>
          <w:color w:val="auto"/>
        </w:rPr>
        <w:t>（</w:t>
      </w:r>
      <w:r>
        <w:rPr>
          <w:rFonts w:eastAsia="Times New Roman"/>
          <w:color w:val="auto"/>
        </w:rPr>
        <w:t>4</w:t>
      </w:r>
      <w:r>
        <w:rPr>
          <w:color w:val="auto"/>
        </w:rPr>
        <w:t>）水土保持措施</w:t>
      </w:r>
    </w:p>
    <w:p>
      <w:pPr>
        <w:pStyle w:val="11"/>
        <w:adjustRightInd/>
        <w:snapToGrid/>
        <w:spacing w:after="0"/>
        <w:ind w:firstLine="496" w:firstLineChars="207"/>
        <w:rPr>
          <w:color w:val="auto"/>
        </w:rPr>
      </w:pPr>
      <w:r>
        <w:rPr>
          <w:color w:val="auto"/>
        </w:rPr>
        <w:t>①主体工程防治区</w:t>
      </w:r>
      <w:r>
        <w:rPr>
          <w:rFonts w:hint="eastAsia"/>
          <w:color w:val="auto"/>
        </w:rPr>
        <w:t xml:space="preserve"> </w:t>
      </w:r>
      <w:r>
        <w:rPr>
          <w:color w:val="auto"/>
          <w:spacing w:val="-10"/>
        </w:rPr>
        <w:t>主体及辅助工程开挖完工后及时对边坡进行固化护坡，在坡脚撒播草籽对裸露</w:t>
      </w:r>
      <w:r>
        <w:rPr>
          <w:color w:val="auto"/>
          <w:spacing w:val="-9"/>
        </w:rPr>
        <w:t>地表进行绿化，对进厂道路进行固化，完善排水设施，使水土流失降到最低水平。</w:t>
      </w:r>
    </w:p>
    <w:p>
      <w:pPr>
        <w:pStyle w:val="11"/>
        <w:adjustRightInd/>
        <w:snapToGrid/>
        <w:spacing w:after="0"/>
        <w:ind w:firstLine="480"/>
        <w:rPr>
          <w:color w:val="auto"/>
        </w:rPr>
      </w:pPr>
      <w:r>
        <w:rPr>
          <w:color w:val="auto"/>
        </w:rPr>
        <w:t xml:space="preserve">②施工临时工程防治区 </w:t>
      </w:r>
      <w:r>
        <w:rPr>
          <w:color w:val="auto"/>
          <w:spacing w:val="-3"/>
        </w:rPr>
        <w:t>施工临时工程主要包括施工道路和施工生产区。施工完工后，应对临时地面建筑进行清理，对土地进行平整并硬化，同时设置必要的绿化带来缓解水土流失</w:t>
      </w:r>
      <w:r>
        <w:rPr>
          <w:color w:val="auto"/>
          <w:spacing w:val="-105"/>
        </w:rPr>
        <w:t xml:space="preserve"> </w:t>
      </w:r>
      <w:r>
        <w:rPr>
          <w:color w:val="auto"/>
        </w:rPr>
        <w:t>的影响。</w:t>
      </w:r>
    </w:p>
    <w:p>
      <w:pPr>
        <w:pStyle w:val="11"/>
        <w:adjustRightInd/>
        <w:snapToGrid/>
        <w:spacing w:after="0"/>
        <w:ind w:firstLine="480"/>
        <w:rPr>
          <w:color w:val="auto"/>
        </w:rPr>
      </w:pPr>
      <w:r>
        <w:rPr>
          <w:color w:val="auto"/>
        </w:rPr>
        <w:t xml:space="preserve">③进场道路区 </w:t>
      </w:r>
      <w:r>
        <w:rPr>
          <w:color w:val="auto"/>
          <w:spacing w:val="-3"/>
        </w:rPr>
        <w:t>本工程设永久进场道路，进场道路进行硬化，两侧设混凝土路边排水沟，并</w:t>
      </w:r>
      <w:r>
        <w:rPr>
          <w:color w:val="auto"/>
        </w:rPr>
        <w:t>种植高大植物予以绿化。</w:t>
      </w:r>
      <w:r>
        <w:rPr>
          <w:color w:val="auto"/>
          <w:spacing w:val="-3"/>
        </w:rPr>
        <w:t>通过水土流失治理措施的实施，可基本控制项目建设责任范围内因工程活动引起的水土流失，项目区域的绿化可为项目责任范围内经济的可持续发展创造良</w:t>
      </w:r>
      <w:r>
        <w:rPr>
          <w:color w:val="auto"/>
          <w:spacing w:val="-104"/>
        </w:rPr>
        <w:t xml:space="preserve"> </w:t>
      </w:r>
      <w:r>
        <w:rPr>
          <w:color w:val="auto"/>
        </w:rPr>
        <w:t>好的生态环境基础。</w:t>
      </w:r>
    </w:p>
    <w:p>
      <w:pPr>
        <w:pStyle w:val="11"/>
        <w:adjustRightInd/>
        <w:snapToGrid/>
        <w:spacing w:after="0"/>
        <w:ind w:firstLine="480"/>
        <w:rPr>
          <w:color w:val="auto"/>
        </w:rPr>
      </w:pPr>
      <w:r>
        <w:rPr>
          <w:color w:val="auto"/>
        </w:rPr>
        <w:fldChar w:fldCharType="begin"/>
      </w:r>
      <w:r>
        <w:rPr>
          <w:color w:val="auto"/>
        </w:rPr>
        <w:instrText xml:space="preserve"> = 4 \* GB3 \* MERGEFORMAT </w:instrText>
      </w:r>
      <w:r>
        <w:rPr>
          <w:color w:val="auto"/>
        </w:rPr>
        <w:fldChar w:fldCharType="separate"/>
      </w:r>
      <w:r>
        <w:rPr>
          <w:color w:val="auto"/>
        </w:rPr>
        <w:t>④</w:t>
      </w:r>
      <w:r>
        <w:rPr>
          <w:color w:val="auto"/>
        </w:rPr>
        <w:fldChar w:fldCharType="end"/>
      </w:r>
      <w:r>
        <w:rPr>
          <w:color w:val="auto"/>
        </w:rPr>
        <w:t xml:space="preserve">沼液管网施工区 </w:t>
      </w:r>
      <w:r>
        <w:rPr>
          <w:color w:val="auto"/>
          <w:spacing w:val="3"/>
        </w:rPr>
        <w:t>本项目配套建设有沼液消纳管网将场内处理过的沼液作为农肥输送到周边</w:t>
      </w:r>
      <w:r>
        <w:rPr>
          <w:color w:val="auto"/>
          <w:spacing w:val="-6"/>
        </w:rPr>
        <w:t>农田。管网采用</w:t>
      </w:r>
      <w:r>
        <w:rPr>
          <w:rFonts w:eastAsia="Times New Roman"/>
          <w:color w:val="auto"/>
          <w:spacing w:val="-5"/>
        </w:rPr>
        <w:t>160mm</w:t>
      </w:r>
      <w:r>
        <w:rPr>
          <w:color w:val="auto"/>
          <w:spacing w:val="-5"/>
        </w:rPr>
        <w:t>、</w:t>
      </w:r>
      <w:r>
        <w:rPr>
          <w:rFonts w:eastAsia="Times New Roman"/>
          <w:color w:val="auto"/>
          <w:spacing w:val="-5"/>
        </w:rPr>
        <w:t>110mm</w:t>
      </w:r>
      <w:r>
        <w:rPr>
          <w:color w:val="auto"/>
        </w:rPr>
        <w:t>和</w:t>
      </w:r>
      <w:r>
        <w:rPr>
          <w:rFonts w:eastAsia="Times New Roman"/>
          <w:color w:val="auto"/>
        </w:rPr>
        <w:t>75mm</w:t>
      </w:r>
      <w:r>
        <w:rPr>
          <w:color w:val="auto"/>
        </w:rPr>
        <w:t>的</w:t>
      </w:r>
      <w:r>
        <w:rPr>
          <w:rFonts w:eastAsia="Times New Roman"/>
          <w:color w:val="auto"/>
        </w:rPr>
        <w:t>PVC</w:t>
      </w:r>
      <w:r>
        <w:rPr>
          <w:color w:val="auto"/>
          <w:spacing w:val="-3"/>
        </w:rPr>
        <w:t>管为主，管网的铺设采用人工</w:t>
      </w:r>
      <w:r>
        <w:rPr>
          <w:color w:val="auto"/>
        </w:rPr>
        <w:t>开挖管渠</w:t>
      </w:r>
      <w:r>
        <w:rPr>
          <w:rFonts w:eastAsia="Times New Roman"/>
          <w:color w:val="auto"/>
        </w:rPr>
        <w:t>-</w:t>
      </w:r>
      <w:r>
        <w:rPr>
          <w:color w:val="auto"/>
        </w:rPr>
        <w:t>放管</w:t>
      </w:r>
      <w:r>
        <w:rPr>
          <w:rFonts w:eastAsia="Times New Roman"/>
          <w:color w:val="auto"/>
        </w:rPr>
        <w:t>-</w:t>
      </w:r>
      <w:r>
        <w:rPr>
          <w:color w:val="auto"/>
        </w:rPr>
        <w:t>覆土的方法进行。由于管径较小，工程量不大并且采用人工开挖施工，为尽量减少与防止施工期造成水土流失的影响，建议采取以下措施：</w:t>
      </w:r>
    </w:p>
    <w:p>
      <w:pPr>
        <w:pStyle w:val="11"/>
        <w:adjustRightInd/>
        <w:snapToGrid/>
        <w:spacing w:after="0"/>
        <w:ind w:firstLine="480"/>
        <w:rPr>
          <w:color w:val="auto"/>
        </w:rPr>
      </w:pPr>
      <w:r>
        <w:rPr>
          <w:rFonts w:eastAsia="Times New Roman"/>
          <w:color w:val="auto"/>
        </w:rPr>
        <w:t>A</w:t>
      </w:r>
      <w:r>
        <w:rPr>
          <w:rFonts w:hint="eastAsia"/>
          <w:color w:val="auto"/>
        </w:rPr>
        <w:t>、</w:t>
      </w:r>
      <w:r>
        <w:rPr>
          <w:color w:val="auto"/>
        </w:rPr>
        <w:t>工程施工时注意合理分配施工时段，尽量避开降雨集中时段施工。</w:t>
      </w:r>
    </w:p>
    <w:p>
      <w:pPr>
        <w:pStyle w:val="11"/>
        <w:adjustRightInd/>
        <w:snapToGrid/>
        <w:spacing w:after="0"/>
        <w:ind w:firstLine="480"/>
        <w:rPr>
          <w:color w:val="auto"/>
        </w:rPr>
      </w:pPr>
      <w:r>
        <w:rPr>
          <w:rFonts w:eastAsia="Times New Roman"/>
          <w:color w:val="auto"/>
        </w:rPr>
        <w:t>B</w:t>
      </w:r>
      <w:r>
        <w:rPr>
          <w:rFonts w:hint="eastAsia"/>
          <w:color w:val="auto"/>
        </w:rPr>
        <w:t>、</w:t>
      </w:r>
      <w:r>
        <w:rPr>
          <w:color w:val="auto"/>
        </w:rPr>
        <w:t>加强施工人员的环保意识，规范其在施工当中的行为，严禁肆意破坏工程无关的土壤、植被。</w:t>
      </w:r>
    </w:p>
    <w:p>
      <w:pPr>
        <w:pStyle w:val="11"/>
        <w:adjustRightInd/>
        <w:snapToGrid/>
        <w:spacing w:after="0"/>
        <w:ind w:firstLine="480"/>
        <w:rPr>
          <w:color w:val="auto"/>
        </w:rPr>
      </w:pPr>
      <w:r>
        <w:rPr>
          <w:rFonts w:eastAsia="Times New Roman"/>
          <w:color w:val="auto"/>
        </w:rPr>
        <w:t>C</w:t>
      </w:r>
      <w:r>
        <w:rPr>
          <w:rFonts w:hint="eastAsia"/>
          <w:color w:val="auto"/>
        </w:rPr>
        <w:t>、</w:t>
      </w:r>
      <w:r>
        <w:rPr>
          <w:color w:val="auto"/>
        </w:rPr>
        <w:t>施工期间，开挖的土石方、裸露土做好防治措施，减少开挖断面宽度，</w:t>
      </w:r>
      <w:r>
        <w:rPr>
          <w:color w:val="auto"/>
          <w:spacing w:val="-3"/>
        </w:rPr>
        <w:t>禁止肆意破坏；施工结束后，做好施工便道等临时占地的平整工作，以原有土壤</w:t>
      </w:r>
      <w:r>
        <w:rPr>
          <w:color w:val="auto"/>
          <w:spacing w:val="-105"/>
        </w:rPr>
        <w:t xml:space="preserve"> </w:t>
      </w:r>
      <w:r>
        <w:rPr>
          <w:color w:val="auto"/>
        </w:rPr>
        <w:t>表层作为表层回填、平整，以保持土壤肥力。</w:t>
      </w:r>
    </w:p>
    <w:p>
      <w:pPr>
        <w:pStyle w:val="11"/>
        <w:adjustRightInd/>
        <w:snapToGrid/>
        <w:spacing w:after="0"/>
        <w:ind w:firstLine="468"/>
        <w:rPr>
          <w:color w:val="auto"/>
        </w:rPr>
      </w:pPr>
      <w:r>
        <w:rPr>
          <w:color w:val="auto"/>
          <w:spacing w:val="-3"/>
        </w:rPr>
        <w:t>综上所述，经落实评价提出的污染防治措施后，项目营运期对区域生态环境</w:t>
      </w:r>
      <w:r>
        <w:rPr>
          <w:color w:val="auto"/>
        </w:rPr>
        <w:t>影响较小。</w:t>
      </w:r>
    </w:p>
    <w:p>
      <w:pPr>
        <w:pStyle w:val="33"/>
        <w:spacing w:line="360" w:lineRule="auto"/>
        <w:jc w:val="both"/>
        <w:rPr>
          <w:rFonts w:eastAsia="黑体"/>
          <w:color w:val="auto"/>
        </w:rPr>
      </w:pPr>
      <w:bookmarkStart w:id="568" w:name="_Toc28928"/>
      <w:bookmarkStart w:id="569" w:name="_Toc29803"/>
      <w:r>
        <w:rPr>
          <w:rFonts w:eastAsia="黑体"/>
          <w:color w:val="auto"/>
        </w:rPr>
        <w:t>5.</w:t>
      </w:r>
      <w:r>
        <w:rPr>
          <w:rFonts w:hint="eastAsia" w:eastAsia="黑体"/>
          <w:color w:val="auto"/>
        </w:rPr>
        <w:t>3</w:t>
      </w:r>
      <w:r>
        <w:rPr>
          <w:rFonts w:eastAsia="黑体"/>
          <w:color w:val="auto"/>
        </w:rPr>
        <w:t xml:space="preserve">  环境风险分析</w:t>
      </w:r>
      <w:bookmarkEnd w:id="559"/>
      <w:bookmarkEnd w:id="560"/>
      <w:bookmarkEnd w:id="561"/>
      <w:bookmarkEnd w:id="562"/>
      <w:bookmarkEnd w:id="563"/>
      <w:bookmarkEnd w:id="564"/>
      <w:bookmarkEnd w:id="565"/>
      <w:bookmarkEnd w:id="566"/>
      <w:bookmarkEnd w:id="568"/>
      <w:bookmarkEnd w:id="569"/>
    </w:p>
    <w:bookmarkEnd w:id="550"/>
    <w:bookmarkEnd w:id="551"/>
    <w:bookmarkEnd w:id="552"/>
    <w:p>
      <w:pPr>
        <w:keepNext/>
        <w:keepLines/>
        <w:numPr>
          <w:ilvl w:val="2"/>
          <w:numId w:val="0"/>
        </w:numPr>
        <w:tabs>
          <w:tab w:val="left" w:pos="709"/>
        </w:tabs>
        <w:outlineLvl w:val="2"/>
        <w:rPr>
          <w:rFonts w:eastAsia="黑体"/>
          <w:bCs/>
          <w:color w:val="auto"/>
          <w:sz w:val="26"/>
          <w:szCs w:val="26"/>
          <w:lang w:val="en-GB"/>
        </w:rPr>
      </w:pPr>
      <w:bookmarkStart w:id="570" w:name="_Toc519865172"/>
      <w:r>
        <w:rPr>
          <w:rFonts w:eastAsia="黑体"/>
          <w:bCs/>
          <w:color w:val="auto"/>
          <w:sz w:val="26"/>
          <w:szCs w:val="26"/>
          <w:lang w:val="en-GB"/>
        </w:rPr>
        <w:t>5.</w:t>
      </w:r>
      <w:r>
        <w:rPr>
          <w:rFonts w:hint="eastAsia" w:eastAsia="黑体"/>
          <w:bCs/>
          <w:color w:val="auto"/>
          <w:sz w:val="26"/>
          <w:szCs w:val="26"/>
          <w:lang w:val="en-GB"/>
        </w:rPr>
        <w:t>3</w:t>
      </w:r>
      <w:r>
        <w:rPr>
          <w:rFonts w:eastAsia="黑体"/>
          <w:bCs/>
          <w:color w:val="auto"/>
          <w:sz w:val="26"/>
          <w:szCs w:val="26"/>
          <w:lang w:val="en-GB"/>
        </w:rPr>
        <w:t>.1</w:t>
      </w:r>
      <w:bookmarkEnd w:id="570"/>
      <w:r>
        <w:rPr>
          <w:rFonts w:eastAsia="黑体"/>
          <w:bCs/>
          <w:color w:val="auto"/>
          <w:sz w:val="26"/>
          <w:szCs w:val="26"/>
          <w:lang w:val="en-GB"/>
        </w:rPr>
        <w:t>风险调查</w:t>
      </w:r>
    </w:p>
    <w:p>
      <w:pPr>
        <w:keepNext/>
        <w:keepLines/>
        <w:numPr>
          <w:ilvl w:val="3"/>
          <w:numId w:val="0"/>
        </w:numPr>
        <w:jc w:val="left"/>
        <w:outlineLvl w:val="3"/>
        <w:rPr>
          <w:color w:val="auto"/>
        </w:rPr>
      </w:pPr>
      <w:r>
        <w:rPr>
          <w:color w:val="auto"/>
        </w:rPr>
        <w:t>5.</w:t>
      </w:r>
      <w:r>
        <w:rPr>
          <w:rFonts w:hint="eastAsia"/>
          <w:color w:val="auto"/>
        </w:rPr>
        <w:t>3</w:t>
      </w:r>
      <w:r>
        <w:rPr>
          <w:color w:val="auto"/>
        </w:rPr>
        <w:t>.1.1</w:t>
      </w:r>
      <w:r>
        <w:rPr>
          <w:rFonts w:hint="eastAsia"/>
          <w:color w:val="auto"/>
        </w:rPr>
        <w:t>建设项目风险源调查</w:t>
      </w:r>
    </w:p>
    <w:p>
      <w:pPr>
        <w:spacing w:line="460" w:lineRule="exact"/>
        <w:ind w:firstLine="480"/>
        <w:rPr>
          <w:bCs/>
          <w:color w:val="auto"/>
          <w:lang w:val="de-DE"/>
        </w:rPr>
      </w:pPr>
      <w:r>
        <w:rPr>
          <w:bCs/>
          <w:color w:val="auto"/>
          <w:lang w:val="de-DE"/>
        </w:rPr>
        <w:t>根据对项目使用原料、产生污染物的分析，涉及的主要危险性物质为污水处理系统产生的沼气及养殖过程产生的高浓度有机废水。</w:t>
      </w:r>
    </w:p>
    <w:p>
      <w:pPr>
        <w:spacing w:line="460" w:lineRule="exact"/>
        <w:ind w:firstLine="480"/>
        <w:rPr>
          <w:bCs/>
          <w:color w:val="auto"/>
          <w:lang w:val="de-DE"/>
        </w:rPr>
      </w:pPr>
      <w:r>
        <w:rPr>
          <w:rFonts w:hint="eastAsia"/>
          <w:bCs/>
          <w:color w:val="auto"/>
          <w:lang w:val="de-DE"/>
        </w:rPr>
        <w:t>根据《建设项目环境风险评价技术导则》（HJ 169-2018）“附录B重点关注危险物质判定标准”，本项目主要原料、辅料、燃料、污染物中的涉及的危险物质调查结果见表</w:t>
      </w:r>
      <w:r>
        <w:rPr>
          <w:bCs/>
          <w:color w:val="auto"/>
          <w:lang w:val="de-DE"/>
        </w:rPr>
        <w:t>5.3</w:t>
      </w:r>
      <w:r>
        <w:rPr>
          <w:rFonts w:hint="eastAsia"/>
          <w:bCs/>
          <w:color w:val="auto"/>
          <w:lang w:val="de-DE"/>
        </w:rPr>
        <w:t>-1。</w:t>
      </w:r>
    </w:p>
    <w:p>
      <w:pPr>
        <w:pStyle w:val="8"/>
        <w:numPr>
          <w:ilvl w:val="0"/>
          <w:numId w:val="11"/>
        </w:numPr>
        <w:spacing w:before="156" w:beforeLines="50"/>
        <w:ind w:left="0" w:firstLine="843" w:firstLineChars="400"/>
        <w:jc w:val="left"/>
        <w:rPr>
          <w:rFonts w:ascii="宋体" w:hAnsi="宋体" w:eastAsia="宋体"/>
          <w:b/>
          <w:color w:val="auto"/>
          <w:sz w:val="21"/>
          <w:szCs w:val="21"/>
        </w:rPr>
      </w:pPr>
      <w:r>
        <w:rPr>
          <w:rFonts w:hint="eastAsia" w:ascii="宋体" w:hAnsi="宋体" w:eastAsia="宋体"/>
          <w:b/>
          <w:color w:val="auto"/>
          <w:sz w:val="21"/>
          <w:szCs w:val="21"/>
        </w:rPr>
        <w:t xml:space="preserve">                   风险物质</w:t>
      </w:r>
      <w:r>
        <w:rPr>
          <w:rFonts w:ascii="宋体" w:hAnsi="宋体" w:eastAsia="宋体"/>
          <w:b/>
          <w:color w:val="auto"/>
          <w:sz w:val="21"/>
          <w:szCs w:val="21"/>
        </w:rPr>
        <w:t>调查表</w:t>
      </w:r>
    </w:p>
    <w:tbl>
      <w:tblPr>
        <w:tblStyle w:val="27"/>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684"/>
        <w:gridCol w:w="1760"/>
        <w:gridCol w:w="795"/>
        <w:gridCol w:w="1090"/>
        <w:gridCol w:w="1836"/>
        <w:gridCol w:w="944"/>
        <w:gridCol w:w="167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389" w:type="pct"/>
            <w:vAlign w:val="center"/>
          </w:tcPr>
          <w:p>
            <w:pPr>
              <w:spacing w:line="240" w:lineRule="auto"/>
              <w:ind w:firstLine="0" w:firstLineChars="0"/>
              <w:jc w:val="center"/>
              <w:rPr>
                <w:b/>
                <w:color w:val="auto"/>
                <w:kern w:val="0"/>
                <w:sz w:val="21"/>
                <w:szCs w:val="21"/>
              </w:rPr>
            </w:pPr>
            <w:r>
              <w:rPr>
                <w:rFonts w:hint="eastAsia"/>
                <w:b/>
                <w:color w:val="auto"/>
                <w:kern w:val="0"/>
                <w:sz w:val="21"/>
                <w:szCs w:val="21"/>
              </w:rPr>
              <w:t>序号</w:t>
            </w:r>
          </w:p>
        </w:tc>
        <w:tc>
          <w:tcPr>
            <w:tcW w:w="1001" w:type="pct"/>
            <w:vAlign w:val="center"/>
          </w:tcPr>
          <w:p>
            <w:pPr>
              <w:spacing w:line="240" w:lineRule="auto"/>
              <w:ind w:firstLine="0" w:firstLineChars="0"/>
              <w:jc w:val="center"/>
              <w:rPr>
                <w:b/>
                <w:color w:val="auto"/>
                <w:kern w:val="0"/>
                <w:sz w:val="21"/>
                <w:szCs w:val="21"/>
              </w:rPr>
            </w:pPr>
            <w:r>
              <w:rPr>
                <w:b/>
                <w:color w:val="auto"/>
                <w:kern w:val="0"/>
                <w:sz w:val="21"/>
                <w:szCs w:val="21"/>
              </w:rPr>
              <w:t>物质名称</w:t>
            </w:r>
          </w:p>
        </w:tc>
        <w:tc>
          <w:tcPr>
            <w:tcW w:w="452" w:type="pct"/>
            <w:vAlign w:val="center"/>
          </w:tcPr>
          <w:p>
            <w:pPr>
              <w:spacing w:line="240" w:lineRule="auto"/>
              <w:ind w:firstLine="0" w:firstLineChars="0"/>
              <w:jc w:val="center"/>
              <w:rPr>
                <w:b/>
                <w:color w:val="auto"/>
                <w:kern w:val="0"/>
                <w:sz w:val="21"/>
                <w:szCs w:val="21"/>
              </w:rPr>
            </w:pPr>
            <w:r>
              <w:rPr>
                <w:rFonts w:hint="eastAsia"/>
                <w:b/>
                <w:color w:val="auto"/>
                <w:kern w:val="0"/>
                <w:sz w:val="21"/>
                <w:szCs w:val="21"/>
              </w:rPr>
              <w:t>形态</w:t>
            </w:r>
          </w:p>
        </w:tc>
        <w:tc>
          <w:tcPr>
            <w:tcW w:w="620" w:type="pct"/>
            <w:vAlign w:val="center"/>
          </w:tcPr>
          <w:p>
            <w:pPr>
              <w:spacing w:line="240" w:lineRule="auto"/>
              <w:ind w:firstLine="0" w:firstLineChars="0"/>
              <w:jc w:val="center"/>
              <w:rPr>
                <w:b/>
                <w:color w:val="auto"/>
                <w:kern w:val="0"/>
                <w:sz w:val="21"/>
                <w:szCs w:val="21"/>
              </w:rPr>
            </w:pPr>
            <w:r>
              <w:rPr>
                <w:rFonts w:hint="eastAsia"/>
                <w:b/>
                <w:color w:val="auto"/>
                <w:kern w:val="0"/>
                <w:sz w:val="21"/>
                <w:szCs w:val="21"/>
              </w:rPr>
              <w:t>C</w:t>
            </w:r>
            <w:r>
              <w:rPr>
                <w:b/>
                <w:color w:val="auto"/>
                <w:kern w:val="0"/>
                <w:sz w:val="21"/>
                <w:szCs w:val="21"/>
              </w:rPr>
              <w:t>AS</w:t>
            </w:r>
            <w:r>
              <w:rPr>
                <w:rFonts w:hint="eastAsia"/>
                <w:b/>
                <w:color w:val="auto"/>
                <w:kern w:val="0"/>
                <w:sz w:val="21"/>
                <w:szCs w:val="21"/>
              </w:rPr>
              <w:t>号</w:t>
            </w:r>
          </w:p>
        </w:tc>
        <w:tc>
          <w:tcPr>
            <w:tcW w:w="1044" w:type="pct"/>
            <w:vAlign w:val="center"/>
          </w:tcPr>
          <w:p>
            <w:pPr>
              <w:spacing w:line="240" w:lineRule="auto"/>
              <w:ind w:firstLine="0" w:firstLineChars="0"/>
              <w:jc w:val="center"/>
              <w:rPr>
                <w:b/>
                <w:color w:val="auto"/>
                <w:kern w:val="0"/>
                <w:sz w:val="21"/>
                <w:szCs w:val="21"/>
              </w:rPr>
            </w:pPr>
            <w:r>
              <w:rPr>
                <w:rFonts w:hint="eastAsia"/>
                <w:b/>
                <w:color w:val="auto"/>
                <w:kern w:val="0"/>
                <w:sz w:val="21"/>
                <w:szCs w:val="21"/>
              </w:rPr>
              <w:t>分布</w:t>
            </w:r>
          </w:p>
        </w:tc>
        <w:tc>
          <w:tcPr>
            <w:tcW w:w="537" w:type="pct"/>
            <w:vAlign w:val="center"/>
          </w:tcPr>
          <w:p>
            <w:pPr>
              <w:spacing w:line="240" w:lineRule="auto"/>
              <w:ind w:firstLine="0" w:firstLineChars="0"/>
              <w:jc w:val="center"/>
              <w:rPr>
                <w:b/>
                <w:color w:val="auto"/>
                <w:kern w:val="0"/>
                <w:sz w:val="21"/>
                <w:szCs w:val="21"/>
              </w:rPr>
            </w:pPr>
            <w:r>
              <w:rPr>
                <w:rFonts w:hint="eastAsia"/>
                <w:b/>
                <w:color w:val="auto"/>
                <w:kern w:val="0"/>
                <w:sz w:val="21"/>
                <w:szCs w:val="21"/>
              </w:rPr>
              <w:t>最大储存量</w:t>
            </w:r>
          </w:p>
          <w:p>
            <w:pPr>
              <w:spacing w:line="240" w:lineRule="auto"/>
              <w:ind w:firstLine="0" w:firstLineChars="0"/>
              <w:jc w:val="center"/>
              <w:rPr>
                <w:b/>
                <w:color w:val="auto"/>
                <w:kern w:val="0"/>
                <w:sz w:val="21"/>
                <w:szCs w:val="21"/>
              </w:rPr>
            </w:pPr>
            <w:r>
              <w:rPr>
                <w:b/>
                <w:color w:val="auto"/>
                <w:kern w:val="0"/>
                <w:sz w:val="21"/>
                <w:szCs w:val="21"/>
              </w:rPr>
              <w:t>（t）</w:t>
            </w:r>
          </w:p>
        </w:tc>
        <w:tc>
          <w:tcPr>
            <w:tcW w:w="953" w:type="pct"/>
            <w:vAlign w:val="center"/>
          </w:tcPr>
          <w:p>
            <w:pPr>
              <w:spacing w:line="240" w:lineRule="auto"/>
              <w:ind w:firstLine="0" w:firstLineChars="0"/>
              <w:jc w:val="center"/>
              <w:rPr>
                <w:b/>
                <w:color w:val="auto"/>
                <w:kern w:val="0"/>
                <w:sz w:val="21"/>
                <w:szCs w:val="21"/>
              </w:rPr>
            </w:pPr>
            <w:r>
              <w:rPr>
                <w:rFonts w:hint="eastAsia"/>
                <w:b/>
                <w:color w:val="auto"/>
                <w:kern w:val="0"/>
                <w:sz w:val="21"/>
                <w:szCs w:val="21"/>
              </w:rPr>
              <w:t>危险</w:t>
            </w:r>
            <w:r>
              <w:rPr>
                <w:b/>
                <w:color w:val="auto"/>
                <w:kern w:val="0"/>
                <w:sz w:val="21"/>
                <w:szCs w:val="21"/>
              </w:rPr>
              <w:t>特性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389" w:type="pct"/>
            <w:vAlign w:val="center"/>
          </w:tcPr>
          <w:p>
            <w:pPr>
              <w:spacing w:line="240" w:lineRule="auto"/>
              <w:ind w:firstLine="0" w:firstLineChars="0"/>
              <w:jc w:val="center"/>
              <w:rPr>
                <w:color w:val="auto"/>
                <w:kern w:val="0"/>
                <w:sz w:val="21"/>
                <w:szCs w:val="21"/>
              </w:rPr>
            </w:pPr>
            <w:r>
              <w:rPr>
                <w:rFonts w:hint="eastAsia"/>
                <w:color w:val="auto"/>
                <w:kern w:val="0"/>
                <w:sz w:val="21"/>
                <w:szCs w:val="21"/>
              </w:rPr>
              <w:t>1</w:t>
            </w:r>
          </w:p>
        </w:tc>
        <w:tc>
          <w:tcPr>
            <w:tcW w:w="1001" w:type="pct"/>
            <w:vAlign w:val="center"/>
          </w:tcPr>
          <w:p>
            <w:pPr>
              <w:spacing w:line="240" w:lineRule="auto"/>
              <w:ind w:firstLine="0" w:firstLineChars="0"/>
              <w:jc w:val="center"/>
              <w:rPr>
                <w:color w:val="auto"/>
                <w:kern w:val="0"/>
                <w:sz w:val="21"/>
                <w:szCs w:val="21"/>
              </w:rPr>
            </w:pPr>
            <w:r>
              <w:rPr>
                <w:color w:val="auto"/>
                <w:kern w:val="0"/>
                <w:sz w:val="21"/>
                <w:szCs w:val="21"/>
              </w:rPr>
              <w:t>沼气</w:t>
            </w:r>
          </w:p>
          <w:p>
            <w:pPr>
              <w:spacing w:line="240" w:lineRule="auto"/>
              <w:ind w:firstLine="0" w:firstLineChars="0"/>
              <w:jc w:val="center"/>
              <w:rPr>
                <w:color w:val="auto"/>
                <w:kern w:val="0"/>
                <w:sz w:val="21"/>
                <w:szCs w:val="21"/>
              </w:rPr>
            </w:pPr>
            <w:r>
              <w:rPr>
                <w:color w:val="auto"/>
                <w:kern w:val="0"/>
                <w:sz w:val="21"/>
                <w:szCs w:val="21"/>
              </w:rPr>
              <w:t>（甲烷）</w:t>
            </w:r>
          </w:p>
        </w:tc>
        <w:tc>
          <w:tcPr>
            <w:tcW w:w="452" w:type="pct"/>
            <w:vAlign w:val="center"/>
          </w:tcPr>
          <w:p>
            <w:pPr>
              <w:spacing w:line="240" w:lineRule="auto"/>
              <w:ind w:firstLine="0" w:firstLineChars="0"/>
              <w:jc w:val="center"/>
              <w:rPr>
                <w:color w:val="auto"/>
                <w:kern w:val="0"/>
                <w:sz w:val="21"/>
                <w:szCs w:val="21"/>
              </w:rPr>
            </w:pPr>
            <w:r>
              <w:rPr>
                <w:rFonts w:hint="eastAsia"/>
                <w:color w:val="auto"/>
                <w:kern w:val="0"/>
                <w:sz w:val="21"/>
                <w:szCs w:val="21"/>
              </w:rPr>
              <w:t>气体</w:t>
            </w:r>
          </w:p>
        </w:tc>
        <w:tc>
          <w:tcPr>
            <w:tcW w:w="620" w:type="pct"/>
            <w:vAlign w:val="center"/>
          </w:tcPr>
          <w:p>
            <w:pPr>
              <w:spacing w:line="240" w:lineRule="auto"/>
              <w:ind w:firstLine="0" w:firstLineChars="0"/>
              <w:jc w:val="center"/>
              <w:rPr>
                <w:color w:val="auto"/>
                <w:kern w:val="0"/>
                <w:sz w:val="21"/>
                <w:szCs w:val="21"/>
              </w:rPr>
            </w:pPr>
            <w:r>
              <w:rPr>
                <w:color w:val="auto"/>
                <w:kern w:val="0"/>
                <w:sz w:val="21"/>
                <w:szCs w:val="21"/>
              </w:rPr>
              <w:t>74-82-8</w:t>
            </w:r>
          </w:p>
        </w:tc>
        <w:tc>
          <w:tcPr>
            <w:tcW w:w="1044" w:type="pct"/>
            <w:vAlign w:val="center"/>
          </w:tcPr>
          <w:p>
            <w:pPr>
              <w:spacing w:line="240" w:lineRule="auto"/>
              <w:ind w:firstLine="0" w:firstLineChars="0"/>
              <w:jc w:val="center"/>
              <w:rPr>
                <w:color w:val="auto"/>
                <w:kern w:val="0"/>
                <w:sz w:val="21"/>
                <w:szCs w:val="21"/>
              </w:rPr>
            </w:pPr>
            <w:r>
              <w:rPr>
                <w:rFonts w:hint="eastAsia"/>
                <w:color w:val="auto"/>
                <w:kern w:val="0"/>
                <w:sz w:val="21"/>
                <w:szCs w:val="21"/>
              </w:rPr>
              <w:t>黑膜</w:t>
            </w:r>
            <w:r>
              <w:rPr>
                <w:color w:val="auto"/>
                <w:kern w:val="0"/>
                <w:sz w:val="21"/>
                <w:szCs w:val="21"/>
              </w:rPr>
              <w:t>沼气池</w:t>
            </w:r>
          </w:p>
        </w:tc>
        <w:tc>
          <w:tcPr>
            <w:tcW w:w="537" w:type="pct"/>
            <w:vAlign w:val="center"/>
          </w:tcPr>
          <w:p>
            <w:pPr>
              <w:spacing w:line="240" w:lineRule="auto"/>
              <w:ind w:firstLine="0" w:firstLineChars="0"/>
              <w:jc w:val="center"/>
              <w:rPr>
                <w:color w:val="auto"/>
                <w:kern w:val="0"/>
                <w:sz w:val="21"/>
                <w:szCs w:val="21"/>
              </w:rPr>
            </w:pPr>
            <w:r>
              <w:rPr>
                <w:rFonts w:hint="eastAsia"/>
                <w:color w:val="auto"/>
                <w:kern w:val="0"/>
                <w:sz w:val="21"/>
                <w:szCs w:val="21"/>
              </w:rPr>
              <w:t>4.7</w:t>
            </w:r>
          </w:p>
        </w:tc>
        <w:tc>
          <w:tcPr>
            <w:tcW w:w="953" w:type="pct"/>
            <w:vAlign w:val="center"/>
          </w:tcPr>
          <w:p>
            <w:pPr>
              <w:spacing w:line="240" w:lineRule="auto"/>
              <w:ind w:firstLine="0" w:firstLineChars="0"/>
              <w:jc w:val="center"/>
              <w:rPr>
                <w:color w:val="auto"/>
                <w:kern w:val="0"/>
                <w:sz w:val="21"/>
                <w:szCs w:val="21"/>
              </w:rPr>
            </w:pPr>
            <w:r>
              <w:rPr>
                <w:rFonts w:hint="eastAsia"/>
                <w:color w:val="auto"/>
                <w:kern w:val="0"/>
                <w:sz w:val="21"/>
                <w:szCs w:val="21"/>
              </w:rPr>
              <w:t>易燃易爆</w:t>
            </w:r>
          </w:p>
        </w:tc>
      </w:tr>
    </w:tbl>
    <w:p>
      <w:pPr>
        <w:keepNext/>
        <w:keepLines/>
        <w:numPr>
          <w:ilvl w:val="3"/>
          <w:numId w:val="0"/>
        </w:numPr>
        <w:jc w:val="left"/>
        <w:outlineLvl w:val="3"/>
        <w:rPr>
          <w:color w:val="auto"/>
        </w:rPr>
      </w:pPr>
      <w:r>
        <w:rPr>
          <w:rFonts w:hint="eastAsia"/>
          <w:color w:val="auto"/>
        </w:rPr>
        <w:t>5.3.1.2环境敏感目标调查</w:t>
      </w:r>
    </w:p>
    <w:p>
      <w:pPr>
        <w:ind w:firstLine="480"/>
        <w:rPr>
          <w:color w:val="auto"/>
        </w:rPr>
      </w:pPr>
      <w:r>
        <w:rPr>
          <w:rFonts w:hint="eastAsia"/>
          <w:color w:val="auto"/>
        </w:rPr>
        <w:t>厂区所在区域属大气环境二类功能区，执行大气环境质量标准的二级标准。大气环境风险受体主要为周边的居民点。</w:t>
      </w:r>
    </w:p>
    <w:p>
      <w:pPr>
        <w:ind w:firstLine="480"/>
        <w:rPr>
          <w:color w:val="auto"/>
        </w:rPr>
      </w:pPr>
      <w:r>
        <w:rPr>
          <w:rFonts w:hint="eastAsia"/>
          <w:color w:val="auto"/>
        </w:rPr>
        <w:t>根据调查，在项目所在地附近区域内500m范围内无集中饮用水源保护区，也没有自然保护区和珍稀水生生物保护区。拟建项目废水经处理后</w:t>
      </w:r>
      <w:r>
        <w:rPr>
          <w:color w:val="auto"/>
        </w:rPr>
        <w:t>，全部用于施肥</w:t>
      </w:r>
      <w:r>
        <w:rPr>
          <w:rFonts w:hint="eastAsia"/>
          <w:color w:val="auto"/>
        </w:rPr>
        <w:t>。项目所在地区存在分散式地下水饮用水取水点等敏感目标。</w:t>
      </w:r>
    </w:p>
    <w:p>
      <w:pPr>
        <w:ind w:firstLine="480"/>
        <w:rPr>
          <w:rFonts w:hint="eastAsia"/>
          <w:color w:val="auto"/>
        </w:rPr>
      </w:pPr>
      <w:r>
        <w:rPr>
          <w:rFonts w:hint="eastAsia"/>
          <w:color w:val="auto"/>
        </w:rPr>
        <w:t>项目周边环境风险敏感调查结果见表</w:t>
      </w:r>
      <w:r>
        <w:rPr>
          <w:color w:val="auto"/>
        </w:rPr>
        <w:t>5.3-2</w:t>
      </w:r>
      <w:r>
        <w:rPr>
          <w:rFonts w:hint="eastAsia"/>
          <w:color w:val="auto"/>
        </w:rPr>
        <w:t>。</w:t>
      </w:r>
    </w:p>
    <w:p>
      <w:pPr>
        <w:pStyle w:val="8"/>
        <w:numPr>
          <w:ilvl w:val="0"/>
          <w:numId w:val="0"/>
        </w:numPr>
        <w:ind w:leftChars="400"/>
        <w:jc w:val="both"/>
        <w:rPr>
          <w:rFonts w:ascii="宋体" w:hAnsi="宋体" w:eastAsia="宋体"/>
          <w:b/>
          <w:color w:val="auto"/>
          <w:sz w:val="24"/>
          <w:szCs w:val="24"/>
        </w:rPr>
      </w:pPr>
    </w:p>
    <w:p>
      <w:pPr>
        <w:pStyle w:val="8"/>
        <w:numPr>
          <w:ilvl w:val="0"/>
          <w:numId w:val="11"/>
        </w:numPr>
        <w:ind w:left="0" w:firstLine="964" w:firstLineChars="400"/>
        <w:jc w:val="center"/>
        <w:rPr>
          <w:rFonts w:ascii="宋体" w:hAnsi="宋体" w:eastAsia="宋体"/>
          <w:b/>
          <w:color w:val="auto"/>
          <w:sz w:val="24"/>
          <w:szCs w:val="24"/>
        </w:rPr>
      </w:pPr>
      <w:r>
        <w:rPr>
          <w:rFonts w:hint="eastAsia" w:ascii="宋体" w:hAnsi="宋体" w:eastAsia="宋体"/>
          <w:b/>
          <w:color w:val="auto"/>
          <w:sz w:val="24"/>
          <w:szCs w:val="24"/>
        </w:rPr>
        <w:t>拟建项目环境风险敏感特征表</w:t>
      </w:r>
    </w:p>
    <w:tbl>
      <w:tblPr>
        <w:tblStyle w:val="27"/>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2251"/>
        <w:gridCol w:w="1980"/>
        <w:gridCol w:w="1891"/>
        <w:gridCol w:w="1065"/>
        <w:gridCol w:w="154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66" w:hRule="atLeast"/>
          <w:tblHeader/>
          <w:jc w:val="center"/>
        </w:trPr>
        <w:tc>
          <w:tcPr>
            <w:tcW w:w="1290" w:type="pct"/>
            <w:vMerge w:val="restart"/>
            <w:tcBorders>
              <w:tl2br w:val="nil"/>
              <w:tr2bl w:val="nil"/>
            </w:tcBorders>
            <w:vAlign w:val="center"/>
          </w:tcPr>
          <w:p>
            <w:pPr>
              <w:pStyle w:val="35"/>
              <w:spacing w:line="240" w:lineRule="auto"/>
              <w:ind w:firstLine="0" w:firstLineChars="0"/>
              <w:rPr>
                <w:b/>
                <w:color w:val="auto"/>
                <w:sz w:val="21"/>
                <w:szCs w:val="21"/>
              </w:rPr>
            </w:pPr>
            <w:r>
              <w:rPr>
                <w:b/>
                <w:color w:val="auto"/>
                <w:sz w:val="21"/>
                <w:szCs w:val="21"/>
              </w:rPr>
              <w:t>保护目标</w:t>
            </w:r>
          </w:p>
        </w:tc>
        <w:tc>
          <w:tcPr>
            <w:tcW w:w="2217" w:type="pct"/>
            <w:gridSpan w:val="2"/>
            <w:tcBorders>
              <w:tl2br w:val="nil"/>
              <w:tr2bl w:val="nil"/>
            </w:tcBorders>
            <w:vAlign w:val="center"/>
          </w:tcPr>
          <w:p>
            <w:pPr>
              <w:pStyle w:val="35"/>
              <w:spacing w:line="240" w:lineRule="auto"/>
              <w:ind w:firstLine="0" w:firstLineChars="0"/>
              <w:rPr>
                <w:b/>
                <w:color w:val="auto"/>
                <w:sz w:val="21"/>
                <w:szCs w:val="21"/>
              </w:rPr>
            </w:pPr>
            <w:r>
              <w:rPr>
                <w:b/>
                <w:color w:val="auto"/>
                <w:sz w:val="21"/>
                <w:szCs w:val="21"/>
              </w:rPr>
              <w:t>位置</w:t>
            </w:r>
          </w:p>
        </w:tc>
        <w:tc>
          <w:tcPr>
            <w:tcW w:w="610" w:type="pct"/>
            <w:vMerge w:val="restart"/>
            <w:tcBorders>
              <w:tl2br w:val="nil"/>
              <w:tr2bl w:val="nil"/>
            </w:tcBorders>
            <w:vAlign w:val="center"/>
          </w:tcPr>
          <w:p>
            <w:pPr>
              <w:pStyle w:val="35"/>
              <w:spacing w:line="240" w:lineRule="auto"/>
              <w:ind w:firstLine="0" w:firstLineChars="0"/>
              <w:rPr>
                <w:b/>
                <w:color w:val="auto"/>
                <w:sz w:val="21"/>
                <w:szCs w:val="21"/>
              </w:rPr>
            </w:pPr>
            <w:r>
              <w:rPr>
                <w:b/>
                <w:color w:val="auto"/>
                <w:sz w:val="21"/>
                <w:szCs w:val="21"/>
              </w:rPr>
              <w:t>方位</w:t>
            </w:r>
          </w:p>
        </w:tc>
        <w:tc>
          <w:tcPr>
            <w:tcW w:w="882" w:type="pct"/>
            <w:vMerge w:val="restart"/>
            <w:tcBorders>
              <w:tl2br w:val="nil"/>
              <w:tr2bl w:val="nil"/>
            </w:tcBorders>
            <w:vAlign w:val="center"/>
          </w:tcPr>
          <w:p>
            <w:pPr>
              <w:pStyle w:val="35"/>
              <w:spacing w:line="240" w:lineRule="auto"/>
              <w:ind w:firstLine="0" w:firstLineChars="0"/>
              <w:rPr>
                <w:b/>
                <w:color w:val="auto"/>
                <w:sz w:val="21"/>
                <w:szCs w:val="21"/>
              </w:rPr>
            </w:pPr>
            <w:r>
              <w:rPr>
                <w:b/>
                <w:color w:val="auto"/>
                <w:sz w:val="21"/>
                <w:szCs w:val="21"/>
              </w:rPr>
              <w:t>距厂界距离（m）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65" w:hRule="atLeast"/>
          <w:tblHeader/>
          <w:jc w:val="center"/>
        </w:trPr>
        <w:tc>
          <w:tcPr>
            <w:tcW w:w="1290" w:type="pct"/>
            <w:vMerge w:val="continue"/>
            <w:tcBorders>
              <w:tl2br w:val="nil"/>
              <w:tr2bl w:val="nil"/>
            </w:tcBorders>
            <w:vAlign w:val="center"/>
          </w:tcPr>
          <w:p>
            <w:pPr>
              <w:pStyle w:val="35"/>
              <w:spacing w:line="240" w:lineRule="auto"/>
              <w:ind w:firstLine="0" w:firstLineChars="0"/>
              <w:rPr>
                <w:b/>
                <w:color w:val="auto"/>
                <w:sz w:val="21"/>
                <w:szCs w:val="21"/>
              </w:rPr>
            </w:pPr>
          </w:p>
        </w:tc>
        <w:tc>
          <w:tcPr>
            <w:tcW w:w="1134" w:type="pct"/>
            <w:tcBorders>
              <w:tl2br w:val="nil"/>
              <w:tr2bl w:val="nil"/>
            </w:tcBorders>
            <w:vAlign w:val="center"/>
          </w:tcPr>
          <w:p>
            <w:pPr>
              <w:pStyle w:val="35"/>
              <w:spacing w:line="240" w:lineRule="auto"/>
              <w:ind w:firstLine="0" w:firstLineChars="0"/>
              <w:rPr>
                <w:b/>
                <w:color w:val="auto"/>
                <w:sz w:val="21"/>
                <w:szCs w:val="21"/>
              </w:rPr>
            </w:pPr>
            <w:r>
              <w:rPr>
                <w:b/>
                <w:color w:val="auto"/>
                <w:sz w:val="21"/>
                <w:szCs w:val="21"/>
              </w:rPr>
              <w:t>经度</w:t>
            </w:r>
          </w:p>
        </w:tc>
        <w:tc>
          <w:tcPr>
            <w:tcW w:w="1082" w:type="pct"/>
            <w:tcBorders>
              <w:tl2br w:val="nil"/>
              <w:tr2bl w:val="nil"/>
            </w:tcBorders>
            <w:vAlign w:val="center"/>
          </w:tcPr>
          <w:p>
            <w:pPr>
              <w:pStyle w:val="35"/>
              <w:spacing w:line="240" w:lineRule="auto"/>
              <w:ind w:firstLine="0" w:firstLineChars="0"/>
              <w:rPr>
                <w:b/>
                <w:color w:val="auto"/>
                <w:sz w:val="21"/>
                <w:szCs w:val="21"/>
              </w:rPr>
            </w:pPr>
            <w:r>
              <w:rPr>
                <w:b/>
                <w:color w:val="auto"/>
                <w:sz w:val="21"/>
                <w:szCs w:val="21"/>
              </w:rPr>
              <w:t>纬度</w:t>
            </w:r>
          </w:p>
        </w:tc>
        <w:tc>
          <w:tcPr>
            <w:tcW w:w="610" w:type="pct"/>
            <w:vMerge w:val="continue"/>
            <w:tcBorders>
              <w:tl2br w:val="nil"/>
              <w:tr2bl w:val="nil"/>
            </w:tcBorders>
            <w:vAlign w:val="center"/>
          </w:tcPr>
          <w:p>
            <w:pPr>
              <w:pStyle w:val="35"/>
              <w:spacing w:line="240" w:lineRule="auto"/>
              <w:ind w:firstLine="0" w:firstLineChars="0"/>
              <w:rPr>
                <w:b/>
                <w:color w:val="auto"/>
                <w:sz w:val="21"/>
                <w:szCs w:val="21"/>
              </w:rPr>
            </w:pPr>
          </w:p>
        </w:tc>
        <w:tc>
          <w:tcPr>
            <w:tcW w:w="882" w:type="pct"/>
            <w:vMerge w:val="continue"/>
            <w:tcBorders>
              <w:tl2br w:val="nil"/>
              <w:tr2bl w:val="nil"/>
            </w:tcBorders>
            <w:vAlign w:val="center"/>
          </w:tcPr>
          <w:p>
            <w:pPr>
              <w:pStyle w:val="35"/>
              <w:spacing w:line="240" w:lineRule="auto"/>
              <w:ind w:firstLine="0" w:firstLineChars="0"/>
              <w:rPr>
                <w:b/>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29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七王庙村</w:t>
            </w:r>
          </w:p>
        </w:tc>
        <w:tc>
          <w:tcPr>
            <w:tcW w:w="1134"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115.092602</w:t>
            </w:r>
          </w:p>
        </w:tc>
        <w:tc>
          <w:tcPr>
            <w:tcW w:w="108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35.657784</w:t>
            </w:r>
          </w:p>
        </w:tc>
        <w:tc>
          <w:tcPr>
            <w:tcW w:w="61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NW</w:t>
            </w:r>
          </w:p>
        </w:tc>
        <w:tc>
          <w:tcPr>
            <w:tcW w:w="1540" w:type="dxa"/>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705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44" w:hRule="atLeast"/>
          <w:jc w:val="center"/>
        </w:trPr>
        <w:tc>
          <w:tcPr>
            <w:tcW w:w="129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于屯村</w:t>
            </w:r>
          </w:p>
        </w:tc>
        <w:tc>
          <w:tcPr>
            <w:tcW w:w="1134"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115.088010</w:t>
            </w:r>
          </w:p>
        </w:tc>
        <w:tc>
          <w:tcPr>
            <w:tcW w:w="108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35.651473</w:t>
            </w:r>
          </w:p>
        </w:tc>
        <w:tc>
          <w:tcPr>
            <w:tcW w:w="61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w:t>
            </w:r>
          </w:p>
        </w:tc>
        <w:tc>
          <w:tcPr>
            <w:tcW w:w="1540" w:type="dxa"/>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740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94" w:hRule="atLeast"/>
          <w:jc w:val="center"/>
        </w:trPr>
        <w:tc>
          <w:tcPr>
            <w:tcW w:w="129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东高城村</w:t>
            </w:r>
          </w:p>
        </w:tc>
        <w:tc>
          <w:tcPr>
            <w:tcW w:w="1134"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115.097108</w:t>
            </w:r>
          </w:p>
        </w:tc>
        <w:tc>
          <w:tcPr>
            <w:tcW w:w="108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35.665595</w:t>
            </w:r>
          </w:p>
        </w:tc>
        <w:tc>
          <w:tcPr>
            <w:tcW w:w="61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NW</w:t>
            </w:r>
          </w:p>
        </w:tc>
        <w:tc>
          <w:tcPr>
            <w:tcW w:w="1540" w:type="dxa"/>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1195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94" w:hRule="atLeast"/>
          <w:jc w:val="center"/>
        </w:trPr>
        <w:tc>
          <w:tcPr>
            <w:tcW w:w="129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前吕寨村</w:t>
            </w:r>
          </w:p>
        </w:tc>
        <w:tc>
          <w:tcPr>
            <w:tcW w:w="1134"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115.079470</w:t>
            </w:r>
          </w:p>
        </w:tc>
        <w:tc>
          <w:tcPr>
            <w:tcW w:w="108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35.659563</w:t>
            </w:r>
          </w:p>
        </w:tc>
        <w:tc>
          <w:tcPr>
            <w:tcW w:w="61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NW</w:t>
            </w:r>
          </w:p>
        </w:tc>
        <w:tc>
          <w:tcPr>
            <w:tcW w:w="1540" w:type="dxa"/>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1905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57" w:hRule="atLeast"/>
          <w:jc w:val="center"/>
        </w:trPr>
        <w:tc>
          <w:tcPr>
            <w:tcW w:w="129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后吕寨村</w:t>
            </w:r>
          </w:p>
        </w:tc>
        <w:tc>
          <w:tcPr>
            <w:tcW w:w="1134"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115.078783</w:t>
            </w:r>
          </w:p>
        </w:tc>
        <w:tc>
          <w:tcPr>
            <w:tcW w:w="108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35.664409</w:t>
            </w:r>
          </w:p>
        </w:tc>
        <w:tc>
          <w:tcPr>
            <w:tcW w:w="61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NW</w:t>
            </w:r>
          </w:p>
        </w:tc>
        <w:tc>
          <w:tcPr>
            <w:tcW w:w="1540" w:type="dxa"/>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2200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56" w:hRule="atLeast"/>
          <w:jc w:val="center"/>
        </w:trPr>
        <w:tc>
          <w:tcPr>
            <w:tcW w:w="129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梨园村</w:t>
            </w:r>
          </w:p>
        </w:tc>
        <w:tc>
          <w:tcPr>
            <w:tcW w:w="1134"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115.085821</w:t>
            </w:r>
          </w:p>
        </w:tc>
        <w:tc>
          <w:tcPr>
            <w:tcW w:w="108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35.670406</w:t>
            </w:r>
          </w:p>
        </w:tc>
        <w:tc>
          <w:tcPr>
            <w:tcW w:w="61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NW</w:t>
            </w:r>
          </w:p>
        </w:tc>
        <w:tc>
          <w:tcPr>
            <w:tcW w:w="1540" w:type="dxa"/>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2260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44" w:hRule="atLeast"/>
          <w:jc w:val="center"/>
        </w:trPr>
        <w:tc>
          <w:tcPr>
            <w:tcW w:w="129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后坡村</w:t>
            </w:r>
          </w:p>
        </w:tc>
        <w:tc>
          <w:tcPr>
            <w:tcW w:w="1134"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115.077796</w:t>
            </w:r>
          </w:p>
        </w:tc>
        <w:tc>
          <w:tcPr>
            <w:tcW w:w="108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35.648683</w:t>
            </w:r>
          </w:p>
        </w:tc>
        <w:tc>
          <w:tcPr>
            <w:tcW w:w="61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W</w:t>
            </w:r>
          </w:p>
        </w:tc>
        <w:tc>
          <w:tcPr>
            <w:tcW w:w="1540" w:type="dxa"/>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1805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56" w:hRule="atLeast"/>
          <w:jc w:val="center"/>
        </w:trPr>
        <w:tc>
          <w:tcPr>
            <w:tcW w:w="129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中坡村</w:t>
            </w:r>
          </w:p>
        </w:tc>
        <w:tc>
          <w:tcPr>
            <w:tcW w:w="1134"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115.076122</w:t>
            </w:r>
          </w:p>
        </w:tc>
        <w:tc>
          <w:tcPr>
            <w:tcW w:w="108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35.644847</w:t>
            </w:r>
          </w:p>
        </w:tc>
        <w:tc>
          <w:tcPr>
            <w:tcW w:w="61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SW</w:t>
            </w:r>
          </w:p>
        </w:tc>
        <w:tc>
          <w:tcPr>
            <w:tcW w:w="1540" w:type="dxa"/>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2150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44" w:hRule="atLeast"/>
          <w:jc w:val="center"/>
        </w:trPr>
        <w:tc>
          <w:tcPr>
            <w:tcW w:w="129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李楼村</w:t>
            </w:r>
          </w:p>
        </w:tc>
        <w:tc>
          <w:tcPr>
            <w:tcW w:w="1134"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115.077195</w:t>
            </w:r>
          </w:p>
        </w:tc>
        <w:tc>
          <w:tcPr>
            <w:tcW w:w="108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35.637662</w:t>
            </w:r>
          </w:p>
        </w:tc>
        <w:tc>
          <w:tcPr>
            <w:tcW w:w="61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SW</w:t>
            </w:r>
          </w:p>
        </w:tc>
        <w:tc>
          <w:tcPr>
            <w:tcW w:w="1540" w:type="dxa"/>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2450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29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桑园村</w:t>
            </w:r>
          </w:p>
        </w:tc>
        <w:tc>
          <w:tcPr>
            <w:tcW w:w="1134"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115.092130</w:t>
            </w:r>
          </w:p>
        </w:tc>
        <w:tc>
          <w:tcPr>
            <w:tcW w:w="108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35.639755</w:t>
            </w:r>
          </w:p>
        </w:tc>
        <w:tc>
          <w:tcPr>
            <w:tcW w:w="61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S</w:t>
            </w:r>
          </w:p>
        </w:tc>
        <w:tc>
          <w:tcPr>
            <w:tcW w:w="1540" w:type="dxa"/>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1400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29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老王庄村</w:t>
            </w:r>
          </w:p>
        </w:tc>
        <w:tc>
          <w:tcPr>
            <w:tcW w:w="1134"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115.099769</w:t>
            </w:r>
          </w:p>
        </w:tc>
        <w:tc>
          <w:tcPr>
            <w:tcW w:w="108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35.638569</w:t>
            </w:r>
          </w:p>
        </w:tc>
        <w:tc>
          <w:tcPr>
            <w:tcW w:w="61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S</w:t>
            </w:r>
          </w:p>
        </w:tc>
        <w:tc>
          <w:tcPr>
            <w:tcW w:w="1540" w:type="dxa"/>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1060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29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冯寨村</w:t>
            </w:r>
          </w:p>
        </w:tc>
        <w:tc>
          <w:tcPr>
            <w:tcW w:w="1134"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115.113029</w:t>
            </w:r>
          </w:p>
        </w:tc>
        <w:tc>
          <w:tcPr>
            <w:tcW w:w="108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35.644254</w:t>
            </w:r>
          </w:p>
        </w:tc>
        <w:tc>
          <w:tcPr>
            <w:tcW w:w="61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SE</w:t>
            </w:r>
          </w:p>
        </w:tc>
        <w:tc>
          <w:tcPr>
            <w:tcW w:w="1540" w:type="dxa"/>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850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29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东郭集村</w:t>
            </w:r>
          </w:p>
        </w:tc>
        <w:tc>
          <w:tcPr>
            <w:tcW w:w="1134"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115.116420</w:t>
            </w:r>
          </w:p>
        </w:tc>
        <w:tc>
          <w:tcPr>
            <w:tcW w:w="108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35.641220</w:t>
            </w:r>
          </w:p>
        </w:tc>
        <w:tc>
          <w:tcPr>
            <w:tcW w:w="61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SE</w:t>
            </w:r>
          </w:p>
        </w:tc>
        <w:tc>
          <w:tcPr>
            <w:tcW w:w="1540" w:type="dxa"/>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1220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290" w:type="pct"/>
            <w:vAlign w:val="center"/>
          </w:tcPr>
          <w:p>
            <w:pPr>
              <w:spacing w:line="240" w:lineRule="auto"/>
              <w:ind w:firstLine="0" w:firstLineChars="0"/>
              <w:jc w:val="center"/>
              <w:rPr>
                <w:color w:val="auto"/>
                <w:sz w:val="21"/>
                <w:szCs w:val="21"/>
              </w:rPr>
            </w:pPr>
            <w:r>
              <w:rPr>
                <w:rFonts w:hint="eastAsia"/>
                <w:color w:val="auto"/>
                <w:sz w:val="21"/>
                <w:szCs w:val="21"/>
              </w:rPr>
              <w:t>柳寨村</w:t>
            </w:r>
          </w:p>
        </w:tc>
        <w:tc>
          <w:tcPr>
            <w:tcW w:w="1134" w:type="pct"/>
            <w:vAlign w:val="center"/>
          </w:tcPr>
          <w:p>
            <w:pPr>
              <w:spacing w:line="240" w:lineRule="auto"/>
              <w:ind w:firstLine="0" w:firstLineChars="0"/>
              <w:jc w:val="center"/>
              <w:rPr>
                <w:color w:val="auto"/>
                <w:sz w:val="21"/>
                <w:szCs w:val="21"/>
              </w:rPr>
            </w:pPr>
            <w:r>
              <w:rPr>
                <w:rFonts w:hint="eastAsia"/>
                <w:color w:val="auto"/>
                <w:sz w:val="21"/>
                <w:szCs w:val="21"/>
              </w:rPr>
              <w:t>115.125647</w:t>
            </w:r>
          </w:p>
        </w:tc>
        <w:tc>
          <w:tcPr>
            <w:tcW w:w="1082" w:type="pct"/>
            <w:vAlign w:val="center"/>
          </w:tcPr>
          <w:p>
            <w:pPr>
              <w:spacing w:line="240" w:lineRule="auto"/>
              <w:ind w:firstLine="0" w:firstLineChars="0"/>
              <w:jc w:val="center"/>
              <w:rPr>
                <w:color w:val="auto"/>
                <w:sz w:val="21"/>
                <w:szCs w:val="21"/>
              </w:rPr>
            </w:pPr>
            <w:r>
              <w:rPr>
                <w:rFonts w:hint="eastAsia"/>
                <w:color w:val="auto"/>
                <w:sz w:val="21"/>
                <w:szCs w:val="21"/>
              </w:rPr>
              <w:t>35.648265</w:t>
            </w:r>
          </w:p>
        </w:tc>
        <w:tc>
          <w:tcPr>
            <w:tcW w:w="610" w:type="pct"/>
            <w:vAlign w:val="center"/>
          </w:tcPr>
          <w:p>
            <w:pPr>
              <w:spacing w:line="240" w:lineRule="auto"/>
              <w:ind w:firstLine="0" w:firstLineChars="0"/>
              <w:jc w:val="center"/>
              <w:rPr>
                <w:color w:val="auto"/>
                <w:sz w:val="21"/>
                <w:szCs w:val="21"/>
              </w:rPr>
            </w:pPr>
            <w:r>
              <w:rPr>
                <w:rFonts w:hint="eastAsia"/>
                <w:color w:val="auto"/>
                <w:sz w:val="21"/>
                <w:szCs w:val="21"/>
              </w:rPr>
              <w:t>SE</w:t>
            </w:r>
          </w:p>
        </w:tc>
        <w:tc>
          <w:tcPr>
            <w:tcW w:w="1540" w:type="dxa"/>
            <w:vAlign w:val="center"/>
          </w:tcPr>
          <w:p>
            <w:pPr>
              <w:spacing w:line="240" w:lineRule="auto"/>
              <w:ind w:firstLine="0" w:firstLineChars="0"/>
              <w:jc w:val="center"/>
              <w:rPr>
                <w:bCs/>
                <w:color w:val="auto"/>
                <w:sz w:val="21"/>
                <w:szCs w:val="21"/>
              </w:rPr>
            </w:pPr>
            <w:r>
              <w:rPr>
                <w:rFonts w:hint="eastAsia"/>
                <w:bCs/>
                <w:color w:val="auto"/>
                <w:sz w:val="21"/>
                <w:szCs w:val="21"/>
              </w:rPr>
              <w:t>1450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290" w:type="pct"/>
            <w:vAlign w:val="center"/>
          </w:tcPr>
          <w:p>
            <w:pPr>
              <w:spacing w:line="240" w:lineRule="auto"/>
              <w:ind w:firstLine="0" w:firstLineChars="0"/>
              <w:jc w:val="center"/>
              <w:rPr>
                <w:color w:val="auto"/>
                <w:sz w:val="21"/>
                <w:szCs w:val="21"/>
              </w:rPr>
            </w:pPr>
            <w:r>
              <w:rPr>
                <w:rFonts w:hint="eastAsia"/>
                <w:color w:val="auto"/>
                <w:sz w:val="21"/>
                <w:szCs w:val="21"/>
              </w:rPr>
              <w:t>安寨村</w:t>
            </w:r>
          </w:p>
        </w:tc>
        <w:tc>
          <w:tcPr>
            <w:tcW w:w="1134" w:type="pct"/>
            <w:vAlign w:val="center"/>
          </w:tcPr>
          <w:p>
            <w:pPr>
              <w:spacing w:line="240" w:lineRule="auto"/>
              <w:ind w:firstLine="0" w:firstLineChars="0"/>
              <w:jc w:val="center"/>
              <w:rPr>
                <w:color w:val="auto"/>
                <w:sz w:val="21"/>
                <w:szCs w:val="21"/>
              </w:rPr>
            </w:pPr>
            <w:r>
              <w:rPr>
                <w:rFonts w:hint="eastAsia"/>
                <w:color w:val="auto"/>
                <w:sz w:val="21"/>
                <w:szCs w:val="21"/>
              </w:rPr>
              <w:t>115.109425</w:t>
            </w:r>
          </w:p>
        </w:tc>
        <w:tc>
          <w:tcPr>
            <w:tcW w:w="1082" w:type="pct"/>
            <w:vAlign w:val="center"/>
          </w:tcPr>
          <w:p>
            <w:pPr>
              <w:spacing w:line="240" w:lineRule="auto"/>
              <w:ind w:firstLine="0" w:firstLineChars="0"/>
              <w:jc w:val="center"/>
              <w:rPr>
                <w:color w:val="auto"/>
                <w:sz w:val="21"/>
                <w:szCs w:val="21"/>
              </w:rPr>
            </w:pPr>
            <w:r>
              <w:rPr>
                <w:rFonts w:hint="eastAsia"/>
                <w:color w:val="auto"/>
                <w:sz w:val="21"/>
                <w:szCs w:val="21"/>
              </w:rPr>
              <w:t>35.661864</w:t>
            </w:r>
          </w:p>
        </w:tc>
        <w:tc>
          <w:tcPr>
            <w:tcW w:w="610" w:type="pct"/>
            <w:vAlign w:val="center"/>
          </w:tcPr>
          <w:p>
            <w:pPr>
              <w:spacing w:line="240" w:lineRule="auto"/>
              <w:ind w:firstLine="0" w:firstLineChars="0"/>
              <w:jc w:val="center"/>
              <w:rPr>
                <w:color w:val="auto"/>
                <w:sz w:val="21"/>
                <w:szCs w:val="21"/>
              </w:rPr>
            </w:pPr>
            <w:r>
              <w:rPr>
                <w:rFonts w:hint="eastAsia"/>
                <w:color w:val="auto"/>
                <w:sz w:val="21"/>
                <w:szCs w:val="21"/>
              </w:rPr>
              <w:t>N</w:t>
            </w:r>
          </w:p>
        </w:tc>
        <w:tc>
          <w:tcPr>
            <w:tcW w:w="1540" w:type="dxa"/>
            <w:vAlign w:val="center"/>
          </w:tcPr>
          <w:p>
            <w:pPr>
              <w:spacing w:line="240" w:lineRule="auto"/>
              <w:ind w:firstLine="0" w:firstLineChars="0"/>
              <w:jc w:val="center"/>
              <w:rPr>
                <w:bCs/>
                <w:color w:val="auto"/>
                <w:sz w:val="21"/>
                <w:szCs w:val="21"/>
              </w:rPr>
            </w:pPr>
            <w:r>
              <w:rPr>
                <w:rFonts w:hint="eastAsia"/>
                <w:bCs/>
                <w:color w:val="auto"/>
                <w:sz w:val="21"/>
                <w:szCs w:val="21"/>
              </w:rPr>
              <w:t>970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290" w:type="pct"/>
            <w:vAlign w:val="center"/>
          </w:tcPr>
          <w:p>
            <w:pPr>
              <w:spacing w:line="240" w:lineRule="auto"/>
              <w:ind w:firstLine="0" w:firstLineChars="0"/>
              <w:jc w:val="center"/>
              <w:rPr>
                <w:color w:val="auto"/>
                <w:sz w:val="21"/>
                <w:szCs w:val="21"/>
              </w:rPr>
            </w:pPr>
            <w:r>
              <w:rPr>
                <w:rFonts w:hint="eastAsia"/>
                <w:color w:val="auto"/>
                <w:sz w:val="21"/>
                <w:szCs w:val="21"/>
              </w:rPr>
              <w:t>东草庙村</w:t>
            </w:r>
          </w:p>
        </w:tc>
        <w:tc>
          <w:tcPr>
            <w:tcW w:w="1134" w:type="pct"/>
            <w:vAlign w:val="center"/>
          </w:tcPr>
          <w:p>
            <w:pPr>
              <w:spacing w:line="240" w:lineRule="auto"/>
              <w:ind w:firstLine="0" w:firstLineChars="0"/>
              <w:jc w:val="center"/>
              <w:rPr>
                <w:color w:val="auto"/>
                <w:sz w:val="21"/>
                <w:szCs w:val="21"/>
              </w:rPr>
            </w:pPr>
            <w:r>
              <w:rPr>
                <w:rFonts w:hint="eastAsia"/>
                <w:color w:val="auto"/>
                <w:sz w:val="21"/>
                <w:szCs w:val="21"/>
              </w:rPr>
              <w:t>115.113759</w:t>
            </w:r>
          </w:p>
        </w:tc>
        <w:tc>
          <w:tcPr>
            <w:tcW w:w="1082" w:type="pct"/>
            <w:vAlign w:val="center"/>
          </w:tcPr>
          <w:p>
            <w:pPr>
              <w:spacing w:line="240" w:lineRule="auto"/>
              <w:ind w:firstLine="0" w:firstLineChars="0"/>
              <w:jc w:val="center"/>
              <w:rPr>
                <w:color w:val="auto"/>
                <w:sz w:val="21"/>
                <w:szCs w:val="21"/>
              </w:rPr>
            </w:pPr>
            <w:r>
              <w:rPr>
                <w:rFonts w:hint="eastAsia"/>
                <w:color w:val="auto"/>
                <w:sz w:val="21"/>
                <w:szCs w:val="21"/>
              </w:rPr>
              <w:t>35.668698</w:t>
            </w:r>
          </w:p>
        </w:tc>
        <w:tc>
          <w:tcPr>
            <w:tcW w:w="610" w:type="pct"/>
            <w:vAlign w:val="center"/>
          </w:tcPr>
          <w:p>
            <w:pPr>
              <w:spacing w:line="240" w:lineRule="auto"/>
              <w:ind w:firstLine="0" w:firstLineChars="0"/>
              <w:jc w:val="center"/>
              <w:rPr>
                <w:color w:val="auto"/>
                <w:sz w:val="21"/>
                <w:szCs w:val="21"/>
              </w:rPr>
            </w:pPr>
            <w:r>
              <w:rPr>
                <w:rFonts w:hint="eastAsia"/>
                <w:color w:val="auto"/>
                <w:sz w:val="21"/>
                <w:szCs w:val="21"/>
              </w:rPr>
              <w:t>NE</w:t>
            </w:r>
          </w:p>
        </w:tc>
        <w:tc>
          <w:tcPr>
            <w:tcW w:w="1540" w:type="dxa"/>
            <w:vAlign w:val="center"/>
          </w:tcPr>
          <w:p>
            <w:pPr>
              <w:spacing w:line="240" w:lineRule="auto"/>
              <w:ind w:firstLine="0" w:firstLineChars="0"/>
              <w:jc w:val="center"/>
              <w:rPr>
                <w:bCs/>
                <w:color w:val="auto"/>
                <w:sz w:val="21"/>
                <w:szCs w:val="21"/>
              </w:rPr>
            </w:pPr>
            <w:r>
              <w:rPr>
                <w:rFonts w:hint="eastAsia"/>
                <w:bCs/>
                <w:color w:val="auto"/>
                <w:sz w:val="21"/>
                <w:szCs w:val="21"/>
              </w:rPr>
              <w:t>1795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290" w:type="pct"/>
            <w:vAlign w:val="center"/>
          </w:tcPr>
          <w:p>
            <w:pPr>
              <w:spacing w:line="240" w:lineRule="auto"/>
              <w:ind w:firstLine="0" w:firstLineChars="0"/>
              <w:jc w:val="center"/>
              <w:rPr>
                <w:color w:val="auto"/>
                <w:sz w:val="21"/>
                <w:szCs w:val="21"/>
              </w:rPr>
            </w:pPr>
            <w:r>
              <w:rPr>
                <w:rFonts w:hint="eastAsia"/>
                <w:color w:val="auto"/>
                <w:sz w:val="21"/>
                <w:szCs w:val="21"/>
              </w:rPr>
              <w:t>中草庙村</w:t>
            </w:r>
          </w:p>
        </w:tc>
        <w:tc>
          <w:tcPr>
            <w:tcW w:w="1134" w:type="pct"/>
            <w:vAlign w:val="center"/>
          </w:tcPr>
          <w:p>
            <w:pPr>
              <w:spacing w:line="240" w:lineRule="auto"/>
              <w:ind w:firstLine="0" w:firstLineChars="0"/>
              <w:jc w:val="center"/>
              <w:rPr>
                <w:color w:val="auto"/>
                <w:sz w:val="21"/>
                <w:szCs w:val="21"/>
              </w:rPr>
            </w:pPr>
            <w:r>
              <w:rPr>
                <w:rFonts w:hint="eastAsia"/>
                <w:color w:val="auto"/>
                <w:sz w:val="21"/>
                <w:szCs w:val="21"/>
              </w:rPr>
              <w:t>115.109124</w:t>
            </w:r>
          </w:p>
        </w:tc>
        <w:tc>
          <w:tcPr>
            <w:tcW w:w="1082" w:type="pct"/>
            <w:vAlign w:val="center"/>
          </w:tcPr>
          <w:p>
            <w:pPr>
              <w:spacing w:line="240" w:lineRule="auto"/>
              <w:ind w:firstLine="0" w:firstLineChars="0"/>
              <w:jc w:val="center"/>
              <w:rPr>
                <w:color w:val="auto"/>
                <w:sz w:val="21"/>
                <w:szCs w:val="21"/>
              </w:rPr>
            </w:pPr>
            <w:r>
              <w:rPr>
                <w:rFonts w:hint="eastAsia"/>
                <w:color w:val="auto"/>
                <w:sz w:val="21"/>
                <w:szCs w:val="21"/>
              </w:rPr>
              <w:t>35.669116</w:t>
            </w:r>
          </w:p>
        </w:tc>
        <w:tc>
          <w:tcPr>
            <w:tcW w:w="610" w:type="pct"/>
            <w:vAlign w:val="center"/>
          </w:tcPr>
          <w:p>
            <w:pPr>
              <w:spacing w:line="240" w:lineRule="auto"/>
              <w:ind w:firstLine="0" w:firstLineChars="0"/>
              <w:jc w:val="center"/>
              <w:rPr>
                <w:color w:val="auto"/>
                <w:sz w:val="21"/>
                <w:szCs w:val="21"/>
              </w:rPr>
            </w:pPr>
            <w:r>
              <w:rPr>
                <w:rFonts w:hint="eastAsia"/>
                <w:color w:val="auto"/>
                <w:sz w:val="21"/>
                <w:szCs w:val="21"/>
              </w:rPr>
              <w:t>NE</w:t>
            </w:r>
          </w:p>
        </w:tc>
        <w:tc>
          <w:tcPr>
            <w:tcW w:w="1540" w:type="dxa"/>
            <w:vAlign w:val="center"/>
          </w:tcPr>
          <w:p>
            <w:pPr>
              <w:spacing w:line="240" w:lineRule="auto"/>
              <w:ind w:firstLine="0" w:firstLineChars="0"/>
              <w:jc w:val="center"/>
              <w:rPr>
                <w:bCs/>
                <w:color w:val="auto"/>
                <w:sz w:val="21"/>
                <w:szCs w:val="21"/>
              </w:rPr>
            </w:pPr>
            <w:r>
              <w:rPr>
                <w:rFonts w:hint="eastAsia"/>
                <w:bCs/>
                <w:color w:val="auto"/>
                <w:sz w:val="21"/>
                <w:szCs w:val="21"/>
              </w:rPr>
              <w:t>1650</w:t>
            </w:r>
          </w:p>
        </w:tc>
      </w:tr>
    </w:tbl>
    <w:p>
      <w:pPr>
        <w:keepNext/>
        <w:keepLines/>
        <w:numPr>
          <w:ilvl w:val="2"/>
          <w:numId w:val="0"/>
        </w:numPr>
        <w:tabs>
          <w:tab w:val="left" w:pos="709"/>
        </w:tabs>
        <w:outlineLvl w:val="2"/>
        <w:rPr>
          <w:rFonts w:eastAsia="黑体"/>
          <w:bCs/>
          <w:color w:val="auto"/>
          <w:sz w:val="26"/>
          <w:szCs w:val="26"/>
          <w:lang w:val="en-GB"/>
        </w:rPr>
      </w:pPr>
      <w:r>
        <w:rPr>
          <w:rFonts w:eastAsia="黑体"/>
          <w:bCs/>
          <w:color w:val="auto"/>
          <w:sz w:val="26"/>
          <w:szCs w:val="26"/>
          <w:lang w:val="en-GB"/>
        </w:rPr>
        <w:t>5.</w:t>
      </w:r>
      <w:r>
        <w:rPr>
          <w:rFonts w:hint="eastAsia" w:eastAsia="黑体"/>
          <w:bCs/>
          <w:color w:val="auto"/>
          <w:sz w:val="26"/>
          <w:szCs w:val="26"/>
          <w:lang w:val="en-GB"/>
        </w:rPr>
        <w:t>3</w:t>
      </w:r>
      <w:r>
        <w:rPr>
          <w:rFonts w:eastAsia="黑体"/>
          <w:bCs/>
          <w:color w:val="auto"/>
          <w:sz w:val="26"/>
          <w:szCs w:val="26"/>
          <w:lang w:val="en-GB"/>
        </w:rPr>
        <w:t>.</w:t>
      </w:r>
      <w:r>
        <w:rPr>
          <w:rFonts w:hint="eastAsia" w:eastAsia="黑体"/>
          <w:bCs/>
          <w:color w:val="auto"/>
          <w:sz w:val="26"/>
          <w:szCs w:val="26"/>
          <w:lang w:val="en-GB"/>
        </w:rPr>
        <w:t>2环境风险潜势初判</w:t>
      </w:r>
    </w:p>
    <w:p>
      <w:pPr>
        <w:keepNext/>
        <w:keepLines/>
        <w:numPr>
          <w:ilvl w:val="3"/>
          <w:numId w:val="0"/>
        </w:numPr>
        <w:jc w:val="left"/>
        <w:outlineLvl w:val="3"/>
        <w:rPr>
          <w:color w:val="auto"/>
        </w:rPr>
      </w:pPr>
      <w:r>
        <w:rPr>
          <w:rFonts w:hint="eastAsia"/>
          <w:color w:val="auto"/>
        </w:rPr>
        <w:t>5.3.2.1P值确定</w:t>
      </w:r>
    </w:p>
    <w:p>
      <w:pPr>
        <w:ind w:firstLine="480"/>
        <w:rPr>
          <w:bCs/>
          <w:color w:val="auto"/>
          <w:lang w:val="de-DE"/>
        </w:rPr>
      </w:pPr>
      <w:r>
        <w:rPr>
          <w:rFonts w:hint="eastAsia"/>
          <w:bCs/>
          <w:color w:val="auto"/>
          <w:lang w:val="de-DE"/>
        </w:rPr>
        <w:t>（1）危险物质数量与临界量比值Q</w:t>
      </w:r>
    </w:p>
    <w:p>
      <w:pPr>
        <w:ind w:firstLine="480"/>
        <w:rPr>
          <w:bCs/>
          <w:color w:val="auto"/>
          <w:lang w:val="de-DE"/>
        </w:rPr>
      </w:pPr>
      <w:r>
        <w:rPr>
          <w:bCs/>
          <w:color w:val="auto"/>
          <w:lang w:val="de-DE"/>
        </w:rPr>
        <w:t>根据《建设项目环境风险评价导则》（HJ169-2018）附录B</w:t>
      </w:r>
      <w:r>
        <w:rPr>
          <w:rFonts w:hint="eastAsia"/>
          <w:bCs/>
          <w:color w:val="auto"/>
          <w:lang w:val="de-DE"/>
        </w:rPr>
        <w:t>物质及</w:t>
      </w:r>
      <w:r>
        <w:rPr>
          <w:bCs/>
          <w:color w:val="auto"/>
          <w:lang w:val="de-DE"/>
        </w:rPr>
        <w:t>临界量来进行筛选。</w:t>
      </w:r>
    </w:p>
    <w:p>
      <w:pPr>
        <w:ind w:firstLine="480"/>
        <w:rPr>
          <w:bCs/>
          <w:color w:val="auto"/>
          <w:lang w:val="de-DE"/>
        </w:rPr>
      </w:pPr>
      <w:r>
        <w:rPr>
          <w:bCs/>
          <w:color w:val="auto"/>
          <w:lang w:val="de-DE"/>
        </w:rPr>
        <w:t>计算所涉及的每种危险物质在厂界内的最大存在总量与其在附录B中对应临界量的比值。在不同厂区的同一种物质，按其在厂界内的最大存在总量计算。当只涉及一种危险物质时，计算该物质的总量与其临界量比值，即为Q。当存在多种危险物质时，则按下式计算物质总量与其临界量比值。</w:t>
      </w:r>
    </w:p>
    <w:p>
      <w:pPr>
        <w:ind w:firstLine="1276" w:firstLineChars="532"/>
        <w:rPr>
          <w:bCs/>
          <w:color w:val="auto"/>
          <w:lang w:val="de-DE"/>
        </w:rPr>
      </w:pPr>
      <w:r>
        <w:rPr>
          <w:bCs/>
          <w:color w:val="auto"/>
          <w:lang w:val="de-DE"/>
        </w:rPr>
        <w:t>Q=q</w:t>
      </w:r>
      <w:r>
        <w:rPr>
          <w:bCs/>
          <w:color w:val="auto"/>
          <w:vertAlign w:val="subscript"/>
          <w:lang w:val="de-DE"/>
        </w:rPr>
        <w:t>1</w:t>
      </w:r>
      <w:r>
        <w:rPr>
          <w:bCs/>
          <w:color w:val="auto"/>
          <w:lang w:val="de-DE"/>
        </w:rPr>
        <w:t>/Q</w:t>
      </w:r>
      <w:r>
        <w:rPr>
          <w:bCs/>
          <w:color w:val="auto"/>
          <w:vertAlign w:val="subscript"/>
          <w:lang w:val="de-DE"/>
        </w:rPr>
        <w:t>1</w:t>
      </w:r>
      <w:r>
        <w:rPr>
          <w:bCs/>
          <w:color w:val="auto"/>
          <w:lang w:val="de-DE"/>
        </w:rPr>
        <w:t xml:space="preserve"> + q</w:t>
      </w:r>
      <w:r>
        <w:rPr>
          <w:bCs/>
          <w:color w:val="auto"/>
          <w:vertAlign w:val="subscript"/>
          <w:lang w:val="de-DE"/>
        </w:rPr>
        <w:t>2</w:t>
      </w:r>
      <w:r>
        <w:rPr>
          <w:bCs/>
          <w:color w:val="auto"/>
          <w:lang w:val="de-DE"/>
        </w:rPr>
        <w:t>/Q</w:t>
      </w:r>
      <w:r>
        <w:rPr>
          <w:bCs/>
          <w:color w:val="auto"/>
          <w:vertAlign w:val="subscript"/>
          <w:lang w:val="de-DE"/>
        </w:rPr>
        <w:t>2</w:t>
      </w:r>
      <w:r>
        <w:rPr>
          <w:bCs/>
          <w:color w:val="auto"/>
          <w:lang w:val="de-DE"/>
        </w:rPr>
        <w:t xml:space="preserve"> …… + q</w:t>
      </w:r>
      <w:r>
        <w:rPr>
          <w:bCs/>
          <w:color w:val="auto"/>
          <w:vertAlign w:val="subscript"/>
          <w:lang w:val="de-DE"/>
        </w:rPr>
        <w:t>n</w:t>
      </w:r>
      <w:r>
        <w:rPr>
          <w:bCs/>
          <w:color w:val="auto"/>
          <w:lang w:val="de-DE"/>
        </w:rPr>
        <w:t>/Q</w:t>
      </w:r>
      <w:r>
        <w:rPr>
          <w:bCs/>
          <w:color w:val="auto"/>
          <w:vertAlign w:val="subscript"/>
          <w:lang w:val="de-DE"/>
        </w:rPr>
        <w:t>n</w:t>
      </w:r>
      <w:r>
        <w:rPr>
          <w:bCs/>
          <w:color w:val="auto"/>
          <w:lang w:val="de-DE"/>
        </w:rPr>
        <w:t xml:space="preserve"> </w:t>
      </w:r>
    </w:p>
    <w:p>
      <w:pPr>
        <w:ind w:firstLine="480"/>
        <w:rPr>
          <w:bCs/>
          <w:color w:val="auto"/>
          <w:lang w:val="de-DE"/>
        </w:rPr>
      </w:pPr>
      <w:r>
        <w:rPr>
          <w:bCs/>
          <w:color w:val="auto"/>
          <w:lang w:val="de-DE"/>
        </w:rPr>
        <w:t>式中：   q</w:t>
      </w:r>
      <w:r>
        <w:rPr>
          <w:bCs/>
          <w:color w:val="auto"/>
          <w:vertAlign w:val="subscript"/>
          <w:lang w:val="de-DE"/>
        </w:rPr>
        <w:t>1</w:t>
      </w:r>
      <w:r>
        <w:rPr>
          <w:bCs/>
          <w:color w:val="auto"/>
          <w:lang w:val="de-DE"/>
        </w:rPr>
        <w:t>、q</w:t>
      </w:r>
      <w:r>
        <w:rPr>
          <w:bCs/>
          <w:color w:val="auto"/>
          <w:vertAlign w:val="subscript"/>
          <w:lang w:val="de-DE"/>
        </w:rPr>
        <w:t>2</w:t>
      </w:r>
      <w:r>
        <w:rPr>
          <w:bCs/>
          <w:color w:val="auto"/>
          <w:lang w:val="de-DE"/>
        </w:rPr>
        <w:t>…qn — 每种危险物质的最大存在总量，t。</w:t>
      </w:r>
    </w:p>
    <w:p>
      <w:pPr>
        <w:ind w:firstLine="1200" w:firstLineChars="500"/>
        <w:rPr>
          <w:bCs/>
          <w:color w:val="auto"/>
          <w:lang w:val="de-DE"/>
        </w:rPr>
      </w:pPr>
      <w:r>
        <w:rPr>
          <w:bCs/>
          <w:color w:val="auto"/>
          <w:lang w:val="de-DE"/>
        </w:rPr>
        <w:t>Q</w:t>
      </w:r>
      <w:r>
        <w:rPr>
          <w:bCs/>
          <w:color w:val="auto"/>
          <w:vertAlign w:val="subscript"/>
          <w:lang w:val="de-DE"/>
        </w:rPr>
        <w:t>1</w:t>
      </w:r>
      <w:r>
        <w:rPr>
          <w:bCs/>
          <w:color w:val="auto"/>
          <w:lang w:val="de-DE"/>
        </w:rPr>
        <w:t>、Q</w:t>
      </w:r>
      <w:r>
        <w:rPr>
          <w:bCs/>
          <w:color w:val="auto"/>
          <w:vertAlign w:val="subscript"/>
          <w:lang w:val="de-DE"/>
        </w:rPr>
        <w:t>2</w:t>
      </w:r>
      <w:r>
        <w:rPr>
          <w:bCs/>
          <w:color w:val="auto"/>
          <w:lang w:val="de-DE"/>
        </w:rPr>
        <w:t>…Qn — 每种危险物质相对应的临界量，t。</w:t>
      </w:r>
    </w:p>
    <w:p>
      <w:pPr>
        <w:ind w:firstLine="1200" w:firstLineChars="500"/>
        <w:rPr>
          <w:bCs/>
          <w:color w:val="auto"/>
          <w:lang w:val="de-DE"/>
        </w:rPr>
      </w:pPr>
      <w:r>
        <w:rPr>
          <w:bCs/>
          <w:color w:val="auto"/>
          <w:lang w:val="de-DE"/>
        </w:rPr>
        <w:t>当Q＜1时，该项目环境风险潜势为I。</w:t>
      </w:r>
    </w:p>
    <w:p>
      <w:pPr>
        <w:ind w:firstLine="1200" w:firstLineChars="500"/>
        <w:rPr>
          <w:bCs/>
          <w:color w:val="auto"/>
          <w:lang w:val="de-DE"/>
        </w:rPr>
      </w:pPr>
      <w:r>
        <w:rPr>
          <w:bCs/>
          <w:color w:val="auto"/>
          <w:lang w:val="de-DE"/>
        </w:rPr>
        <w:t>当Q≥1时，将Q值划分为：（1）1≤Q＜10：（2）10≤Q＜100（3）Q≥100</w:t>
      </w:r>
    </w:p>
    <w:p>
      <w:pPr>
        <w:ind w:firstLine="480"/>
        <w:rPr>
          <w:bCs/>
          <w:color w:val="auto"/>
          <w:lang w:val="de-DE"/>
        </w:rPr>
      </w:pPr>
      <w:r>
        <w:rPr>
          <w:rFonts w:hint="eastAsia"/>
          <w:bCs/>
          <w:color w:val="auto"/>
          <w:lang w:val="de-DE"/>
        </w:rPr>
        <w:t>本项目黑膜沼气池集发酵、贮气于一体，不需另外设置沼气贮存设施，沼气最大日产量为</w:t>
      </w:r>
      <w:r>
        <w:rPr>
          <w:rFonts w:hint="eastAsia"/>
          <w:bCs/>
          <w:color w:val="auto"/>
        </w:rPr>
        <w:t>652.08</w:t>
      </w:r>
      <w:r>
        <w:rPr>
          <w:rFonts w:hint="eastAsia"/>
          <w:bCs/>
          <w:color w:val="auto"/>
          <w:lang w:val="de-DE"/>
        </w:rPr>
        <w:t>m</w:t>
      </w:r>
      <w:r>
        <w:rPr>
          <w:rFonts w:hint="eastAsia"/>
          <w:bCs/>
          <w:color w:val="auto"/>
          <w:vertAlign w:val="superscript"/>
          <w:lang w:val="de-DE"/>
        </w:rPr>
        <w:t>3</w:t>
      </w:r>
      <w:r>
        <w:rPr>
          <w:rFonts w:hint="eastAsia"/>
          <w:bCs/>
          <w:color w:val="auto"/>
          <w:lang w:val="de-DE"/>
        </w:rPr>
        <w:t>（夏季），产生的沼气用于食堂，其余火炬放空。考虑到安全因素，沼气储存高度不能超过2.5m，一旦达到2.5m就要及时引入火炬放空。沼气最大储存量为</w:t>
      </w:r>
      <w:r>
        <w:rPr>
          <w:rFonts w:hint="eastAsia"/>
          <w:bCs/>
          <w:color w:val="auto"/>
        </w:rPr>
        <w:t>6520.8</w:t>
      </w:r>
      <w:r>
        <w:rPr>
          <w:rFonts w:hint="eastAsia"/>
          <w:bCs/>
          <w:color w:val="auto"/>
          <w:lang w:val="de-DE"/>
        </w:rPr>
        <w:t>m</w:t>
      </w:r>
      <w:r>
        <w:rPr>
          <w:rFonts w:hint="eastAsia"/>
          <w:bCs/>
          <w:color w:val="auto"/>
          <w:vertAlign w:val="superscript"/>
          <w:lang w:val="de-DE"/>
        </w:rPr>
        <w:t>3</w:t>
      </w:r>
      <w:r>
        <w:rPr>
          <w:rFonts w:hint="eastAsia"/>
          <w:bCs/>
          <w:color w:val="auto"/>
          <w:lang w:val="de-DE"/>
        </w:rPr>
        <w:t>（储存量以单日沼气最大产生量的10倍进行计算，沼气密度1.221kg/m</w:t>
      </w:r>
      <w:r>
        <w:rPr>
          <w:rFonts w:hint="eastAsia"/>
          <w:bCs/>
          <w:color w:val="auto"/>
          <w:vertAlign w:val="superscript"/>
          <w:lang w:val="de-DE"/>
        </w:rPr>
        <w:t>3</w:t>
      </w:r>
      <w:r>
        <w:rPr>
          <w:rFonts w:hint="eastAsia"/>
          <w:bCs/>
          <w:color w:val="auto"/>
          <w:lang w:val="de-DE"/>
        </w:rPr>
        <w:t>），折合</w:t>
      </w:r>
      <w:r>
        <w:rPr>
          <w:rFonts w:hint="eastAsia"/>
          <w:bCs/>
          <w:color w:val="auto"/>
        </w:rPr>
        <w:t>7.96</w:t>
      </w:r>
      <w:r>
        <w:rPr>
          <w:rFonts w:hint="eastAsia"/>
          <w:bCs/>
          <w:color w:val="auto"/>
          <w:lang w:val="de-DE"/>
        </w:rPr>
        <w:t>t，沼气中甲烷含量为60%，则甲烷最大储存量为</w:t>
      </w:r>
      <w:r>
        <w:rPr>
          <w:rFonts w:hint="eastAsia"/>
          <w:bCs/>
          <w:color w:val="auto"/>
        </w:rPr>
        <w:t>4.7</w:t>
      </w:r>
      <w:r>
        <w:rPr>
          <w:rFonts w:hint="eastAsia"/>
          <w:bCs/>
          <w:color w:val="auto"/>
          <w:lang w:val="de-DE"/>
        </w:rPr>
        <w:t>t。</w:t>
      </w:r>
    </w:p>
    <w:p>
      <w:pPr>
        <w:spacing w:line="460" w:lineRule="exact"/>
        <w:ind w:firstLine="480"/>
        <w:rPr>
          <w:bCs/>
          <w:color w:val="auto"/>
          <w:lang w:val="de-DE"/>
        </w:rPr>
      </w:pPr>
      <w:r>
        <w:rPr>
          <w:bCs/>
          <w:color w:val="auto"/>
          <w:lang w:val="de-DE"/>
        </w:rPr>
        <w:t>拟建工程危险物质Q值计算见表5</w:t>
      </w:r>
      <w:r>
        <w:rPr>
          <w:rFonts w:hint="eastAsia"/>
          <w:bCs/>
          <w:color w:val="auto"/>
          <w:lang w:val="de-DE"/>
        </w:rPr>
        <w:t>.3</w:t>
      </w:r>
      <w:r>
        <w:rPr>
          <w:bCs/>
          <w:color w:val="auto"/>
          <w:lang w:val="de-DE"/>
        </w:rPr>
        <w:t>-3。</w:t>
      </w:r>
    </w:p>
    <w:p>
      <w:pPr>
        <w:pStyle w:val="8"/>
        <w:numPr>
          <w:ilvl w:val="0"/>
          <w:numId w:val="11"/>
        </w:numPr>
        <w:spacing w:before="156" w:beforeLines="50"/>
        <w:ind w:left="0" w:firstLine="843" w:firstLineChars="400"/>
        <w:jc w:val="left"/>
        <w:rPr>
          <w:rFonts w:ascii="宋体" w:hAnsi="宋体" w:eastAsia="宋体"/>
          <w:b/>
          <w:color w:val="auto"/>
        </w:rPr>
      </w:pPr>
      <w:r>
        <w:rPr>
          <w:rFonts w:hint="eastAsia" w:ascii="宋体" w:hAnsi="宋体" w:eastAsia="宋体"/>
          <w:b/>
          <w:color w:val="auto"/>
          <w:sz w:val="21"/>
          <w:szCs w:val="21"/>
        </w:rPr>
        <w:t xml:space="preserve">                      </w:t>
      </w:r>
      <w:r>
        <w:rPr>
          <w:rFonts w:ascii="宋体" w:hAnsi="宋体" w:eastAsia="宋体"/>
          <w:b/>
          <w:color w:val="auto"/>
          <w:sz w:val="21"/>
          <w:szCs w:val="21"/>
        </w:rPr>
        <w:t>危险源辨识</w:t>
      </w:r>
    </w:p>
    <w:tbl>
      <w:tblPr>
        <w:tblStyle w:val="27"/>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718"/>
        <w:gridCol w:w="1714"/>
        <w:gridCol w:w="1199"/>
        <w:gridCol w:w="2408"/>
        <w:gridCol w:w="1717"/>
        <w:gridCol w:w="103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09" w:type="pct"/>
            <w:vAlign w:val="center"/>
          </w:tcPr>
          <w:p>
            <w:pPr>
              <w:spacing w:line="240" w:lineRule="auto"/>
              <w:ind w:firstLine="0" w:firstLineChars="0"/>
              <w:jc w:val="center"/>
              <w:rPr>
                <w:b/>
                <w:color w:val="auto"/>
                <w:kern w:val="0"/>
                <w:sz w:val="21"/>
                <w:szCs w:val="21"/>
              </w:rPr>
            </w:pPr>
            <w:r>
              <w:rPr>
                <w:rFonts w:hint="eastAsia"/>
                <w:b/>
                <w:color w:val="auto"/>
                <w:kern w:val="0"/>
                <w:sz w:val="21"/>
                <w:szCs w:val="21"/>
              </w:rPr>
              <w:t>序号</w:t>
            </w:r>
          </w:p>
        </w:tc>
        <w:tc>
          <w:tcPr>
            <w:tcW w:w="975" w:type="pct"/>
            <w:vAlign w:val="center"/>
          </w:tcPr>
          <w:p>
            <w:pPr>
              <w:spacing w:line="240" w:lineRule="auto"/>
              <w:ind w:firstLine="0" w:firstLineChars="0"/>
              <w:jc w:val="center"/>
              <w:rPr>
                <w:b/>
                <w:color w:val="auto"/>
                <w:kern w:val="0"/>
                <w:sz w:val="21"/>
                <w:szCs w:val="21"/>
              </w:rPr>
            </w:pPr>
            <w:r>
              <w:rPr>
                <w:rFonts w:hint="eastAsia"/>
                <w:b/>
                <w:color w:val="auto"/>
                <w:kern w:val="0"/>
                <w:sz w:val="21"/>
                <w:szCs w:val="21"/>
              </w:rPr>
              <w:t>危险</w:t>
            </w:r>
            <w:r>
              <w:rPr>
                <w:b/>
                <w:color w:val="auto"/>
                <w:kern w:val="0"/>
                <w:sz w:val="21"/>
                <w:szCs w:val="21"/>
              </w:rPr>
              <w:t>物质名称</w:t>
            </w:r>
          </w:p>
        </w:tc>
        <w:tc>
          <w:tcPr>
            <w:tcW w:w="682" w:type="pct"/>
            <w:vAlign w:val="center"/>
          </w:tcPr>
          <w:p>
            <w:pPr>
              <w:spacing w:line="240" w:lineRule="auto"/>
              <w:ind w:firstLine="0" w:firstLineChars="0"/>
              <w:jc w:val="center"/>
              <w:rPr>
                <w:b/>
                <w:color w:val="auto"/>
                <w:kern w:val="0"/>
                <w:sz w:val="21"/>
                <w:szCs w:val="21"/>
              </w:rPr>
            </w:pPr>
            <w:r>
              <w:rPr>
                <w:rFonts w:hint="eastAsia"/>
                <w:b/>
                <w:color w:val="auto"/>
                <w:kern w:val="0"/>
                <w:sz w:val="21"/>
                <w:szCs w:val="21"/>
              </w:rPr>
              <w:t>CAS号</w:t>
            </w:r>
          </w:p>
        </w:tc>
        <w:tc>
          <w:tcPr>
            <w:tcW w:w="1370" w:type="pct"/>
            <w:vAlign w:val="center"/>
          </w:tcPr>
          <w:p>
            <w:pPr>
              <w:spacing w:line="240" w:lineRule="auto"/>
              <w:ind w:firstLine="0" w:firstLineChars="0"/>
              <w:jc w:val="center"/>
              <w:rPr>
                <w:b/>
                <w:color w:val="auto"/>
                <w:kern w:val="0"/>
                <w:sz w:val="21"/>
                <w:szCs w:val="21"/>
              </w:rPr>
            </w:pPr>
            <w:r>
              <w:rPr>
                <w:b/>
                <w:color w:val="auto"/>
                <w:kern w:val="0"/>
                <w:sz w:val="21"/>
                <w:szCs w:val="21"/>
              </w:rPr>
              <w:t>最大</w:t>
            </w:r>
            <w:r>
              <w:rPr>
                <w:rFonts w:hint="eastAsia"/>
                <w:b/>
                <w:color w:val="auto"/>
                <w:kern w:val="0"/>
                <w:sz w:val="21"/>
                <w:szCs w:val="21"/>
              </w:rPr>
              <w:t>存在总</w:t>
            </w:r>
            <w:r>
              <w:rPr>
                <w:b/>
                <w:color w:val="auto"/>
                <w:kern w:val="0"/>
                <w:sz w:val="21"/>
                <w:szCs w:val="21"/>
              </w:rPr>
              <w:t>量（t）</w:t>
            </w:r>
          </w:p>
        </w:tc>
        <w:tc>
          <w:tcPr>
            <w:tcW w:w="974" w:type="pct"/>
            <w:vAlign w:val="center"/>
          </w:tcPr>
          <w:p>
            <w:pPr>
              <w:spacing w:line="240" w:lineRule="auto"/>
              <w:ind w:firstLine="0" w:firstLineChars="0"/>
              <w:jc w:val="center"/>
              <w:rPr>
                <w:b/>
                <w:color w:val="auto"/>
                <w:kern w:val="0"/>
                <w:sz w:val="21"/>
                <w:szCs w:val="21"/>
              </w:rPr>
            </w:pPr>
            <w:r>
              <w:rPr>
                <w:b/>
                <w:color w:val="auto"/>
                <w:kern w:val="0"/>
                <w:sz w:val="21"/>
                <w:szCs w:val="21"/>
              </w:rPr>
              <w:t>临界量（t）</w:t>
            </w:r>
          </w:p>
        </w:tc>
        <w:tc>
          <w:tcPr>
            <w:tcW w:w="586" w:type="pct"/>
            <w:vAlign w:val="center"/>
          </w:tcPr>
          <w:p>
            <w:pPr>
              <w:spacing w:line="240" w:lineRule="auto"/>
              <w:ind w:firstLine="0" w:firstLineChars="0"/>
              <w:jc w:val="center"/>
              <w:rPr>
                <w:b/>
                <w:color w:val="auto"/>
                <w:kern w:val="0"/>
                <w:sz w:val="21"/>
                <w:szCs w:val="21"/>
              </w:rPr>
            </w:pPr>
            <w:r>
              <w:rPr>
                <w:b/>
                <w:color w:val="auto"/>
                <w:kern w:val="0"/>
                <w:sz w:val="21"/>
                <w:szCs w:val="21"/>
              </w:rPr>
              <w:t>Q值</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09" w:type="pct"/>
            <w:vAlign w:val="center"/>
          </w:tcPr>
          <w:p>
            <w:pPr>
              <w:spacing w:line="240" w:lineRule="auto"/>
              <w:ind w:firstLine="0" w:firstLineChars="0"/>
              <w:jc w:val="center"/>
              <w:rPr>
                <w:color w:val="auto"/>
                <w:kern w:val="0"/>
                <w:sz w:val="21"/>
                <w:szCs w:val="21"/>
              </w:rPr>
            </w:pPr>
            <w:r>
              <w:rPr>
                <w:rFonts w:hint="eastAsia"/>
                <w:color w:val="auto"/>
                <w:kern w:val="0"/>
                <w:sz w:val="21"/>
                <w:szCs w:val="21"/>
              </w:rPr>
              <w:t>1</w:t>
            </w:r>
          </w:p>
        </w:tc>
        <w:tc>
          <w:tcPr>
            <w:tcW w:w="975" w:type="pct"/>
            <w:vAlign w:val="center"/>
          </w:tcPr>
          <w:p>
            <w:pPr>
              <w:spacing w:line="240" w:lineRule="auto"/>
              <w:ind w:firstLine="0" w:firstLineChars="0"/>
              <w:jc w:val="center"/>
              <w:rPr>
                <w:color w:val="auto"/>
                <w:kern w:val="0"/>
                <w:sz w:val="21"/>
                <w:szCs w:val="21"/>
              </w:rPr>
            </w:pPr>
            <w:r>
              <w:rPr>
                <w:rFonts w:hint="eastAsia"/>
                <w:color w:val="auto"/>
                <w:kern w:val="0"/>
                <w:sz w:val="21"/>
                <w:szCs w:val="21"/>
              </w:rPr>
              <w:t>甲烷</w:t>
            </w:r>
          </w:p>
        </w:tc>
        <w:tc>
          <w:tcPr>
            <w:tcW w:w="682" w:type="pct"/>
            <w:vAlign w:val="center"/>
          </w:tcPr>
          <w:p>
            <w:pPr>
              <w:spacing w:line="240" w:lineRule="auto"/>
              <w:ind w:firstLine="0" w:firstLineChars="0"/>
              <w:jc w:val="center"/>
              <w:rPr>
                <w:color w:val="auto"/>
                <w:kern w:val="0"/>
                <w:sz w:val="21"/>
                <w:szCs w:val="21"/>
              </w:rPr>
            </w:pPr>
            <w:r>
              <w:rPr>
                <w:rFonts w:hint="eastAsia"/>
                <w:color w:val="auto"/>
                <w:kern w:val="0"/>
                <w:sz w:val="21"/>
                <w:szCs w:val="21"/>
              </w:rPr>
              <w:t>74-82-8</w:t>
            </w:r>
          </w:p>
        </w:tc>
        <w:tc>
          <w:tcPr>
            <w:tcW w:w="1370" w:type="pct"/>
            <w:vAlign w:val="center"/>
          </w:tcPr>
          <w:p>
            <w:pPr>
              <w:spacing w:line="240" w:lineRule="auto"/>
              <w:ind w:firstLine="0" w:firstLineChars="0"/>
              <w:jc w:val="center"/>
              <w:rPr>
                <w:color w:val="auto"/>
                <w:kern w:val="0"/>
                <w:sz w:val="21"/>
                <w:szCs w:val="21"/>
              </w:rPr>
            </w:pPr>
            <w:r>
              <w:rPr>
                <w:rFonts w:hint="eastAsia"/>
                <w:color w:val="auto"/>
                <w:kern w:val="0"/>
                <w:sz w:val="21"/>
                <w:szCs w:val="21"/>
              </w:rPr>
              <w:t>4.7</w:t>
            </w:r>
          </w:p>
        </w:tc>
        <w:tc>
          <w:tcPr>
            <w:tcW w:w="974" w:type="pct"/>
            <w:vAlign w:val="center"/>
          </w:tcPr>
          <w:p>
            <w:pPr>
              <w:spacing w:line="240" w:lineRule="auto"/>
              <w:ind w:firstLine="0" w:firstLineChars="0"/>
              <w:jc w:val="center"/>
              <w:rPr>
                <w:color w:val="auto"/>
                <w:kern w:val="0"/>
                <w:sz w:val="21"/>
                <w:szCs w:val="21"/>
              </w:rPr>
            </w:pPr>
            <w:r>
              <w:rPr>
                <w:color w:val="auto"/>
                <w:kern w:val="0"/>
                <w:sz w:val="21"/>
                <w:szCs w:val="21"/>
              </w:rPr>
              <w:t>10</w:t>
            </w:r>
          </w:p>
        </w:tc>
        <w:tc>
          <w:tcPr>
            <w:tcW w:w="586" w:type="pct"/>
            <w:vAlign w:val="center"/>
          </w:tcPr>
          <w:p>
            <w:pPr>
              <w:spacing w:line="240" w:lineRule="auto"/>
              <w:ind w:firstLine="0" w:firstLineChars="0"/>
              <w:jc w:val="center"/>
              <w:rPr>
                <w:color w:val="auto"/>
                <w:kern w:val="0"/>
                <w:sz w:val="21"/>
                <w:szCs w:val="21"/>
              </w:rPr>
            </w:pPr>
            <w:r>
              <w:rPr>
                <w:color w:val="auto"/>
                <w:kern w:val="0"/>
                <w:sz w:val="21"/>
                <w:szCs w:val="21"/>
              </w:rPr>
              <w:t>0.</w:t>
            </w:r>
            <w:r>
              <w:rPr>
                <w:rFonts w:hint="eastAsia"/>
                <w:color w:val="auto"/>
                <w:kern w:val="0"/>
                <w:sz w:val="21"/>
                <w:szCs w:val="21"/>
              </w:rPr>
              <w:t>47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413" w:type="pct"/>
            <w:gridSpan w:val="5"/>
            <w:vAlign w:val="center"/>
          </w:tcPr>
          <w:p>
            <w:pPr>
              <w:spacing w:line="240" w:lineRule="auto"/>
              <w:ind w:firstLine="0" w:firstLineChars="0"/>
              <w:jc w:val="center"/>
              <w:rPr>
                <w:color w:val="auto"/>
                <w:kern w:val="0"/>
                <w:sz w:val="21"/>
                <w:szCs w:val="21"/>
              </w:rPr>
            </w:pPr>
            <w:r>
              <w:rPr>
                <w:rFonts w:hint="eastAsia"/>
                <w:color w:val="auto"/>
                <w:kern w:val="0"/>
                <w:sz w:val="21"/>
                <w:szCs w:val="21"/>
              </w:rPr>
              <w:t>项目Q值∑</w:t>
            </w:r>
          </w:p>
        </w:tc>
        <w:tc>
          <w:tcPr>
            <w:tcW w:w="586" w:type="pct"/>
            <w:vAlign w:val="center"/>
          </w:tcPr>
          <w:p>
            <w:pPr>
              <w:spacing w:line="240" w:lineRule="auto"/>
              <w:ind w:firstLine="0" w:firstLineChars="0"/>
              <w:jc w:val="center"/>
              <w:rPr>
                <w:color w:val="auto"/>
                <w:kern w:val="0"/>
                <w:sz w:val="21"/>
                <w:szCs w:val="21"/>
              </w:rPr>
            </w:pPr>
            <w:r>
              <w:rPr>
                <w:rFonts w:hint="eastAsia"/>
                <w:color w:val="auto"/>
                <w:kern w:val="0"/>
                <w:sz w:val="21"/>
                <w:szCs w:val="21"/>
              </w:rPr>
              <w:t>0.47</w:t>
            </w:r>
          </w:p>
        </w:tc>
      </w:tr>
    </w:tbl>
    <w:p>
      <w:pPr>
        <w:adjustRightInd/>
        <w:snapToGrid/>
        <w:spacing w:line="520" w:lineRule="exact"/>
        <w:ind w:firstLine="480"/>
        <w:rPr>
          <w:color w:val="auto"/>
        </w:rPr>
      </w:pPr>
      <w:r>
        <w:rPr>
          <w:rFonts w:hint="eastAsia"/>
          <w:bCs/>
          <w:color w:val="auto"/>
        </w:rPr>
        <w:t>从统计看，拟建工程危险物质数量与临界量比值</w:t>
      </w:r>
      <w:r>
        <w:rPr>
          <w:bCs/>
          <w:color w:val="auto"/>
        </w:rPr>
        <w:t>Q</w:t>
      </w:r>
      <w:r>
        <w:rPr>
          <w:rFonts w:hint="eastAsia"/>
          <w:bCs/>
          <w:color w:val="auto"/>
        </w:rPr>
        <w:t>为0.47</w:t>
      </w:r>
      <w:r>
        <w:rPr>
          <w:rFonts w:hint="eastAsia"/>
          <w:bCs/>
          <w:color w:val="auto"/>
          <w:lang w:val="de-DE"/>
        </w:rPr>
        <w:t>。</w:t>
      </w:r>
      <w:r>
        <w:rPr>
          <w:rFonts w:hint="eastAsia"/>
          <w:color w:val="auto"/>
        </w:rPr>
        <w:t>该项目环境风险潜势为Ⅰ。</w:t>
      </w:r>
    </w:p>
    <w:p>
      <w:pPr>
        <w:keepNext/>
        <w:keepLines/>
        <w:numPr>
          <w:ilvl w:val="3"/>
          <w:numId w:val="0"/>
        </w:numPr>
        <w:jc w:val="left"/>
        <w:outlineLvl w:val="3"/>
        <w:rPr>
          <w:color w:val="auto"/>
        </w:rPr>
      </w:pPr>
      <w:r>
        <w:rPr>
          <w:rFonts w:hint="eastAsia"/>
          <w:color w:val="auto"/>
        </w:rPr>
        <w:t>5.</w:t>
      </w:r>
      <w:r>
        <w:rPr>
          <w:color w:val="auto"/>
        </w:rPr>
        <w:t>3.2.</w:t>
      </w:r>
      <w:r>
        <w:rPr>
          <w:rFonts w:hint="eastAsia"/>
          <w:color w:val="auto"/>
        </w:rPr>
        <w:t>2项目风险评价工作等级划分</w:t>
      </w:r>
    </w:p>
    <w:p>
      <w:pPr>
        <w:ind w:firstLine="480"/>
        <w:rPr>
          <w:bCs/>
          <w:color w:val="auto"/>
        </w:rPr>
      </w:pPr>
      <w:r>
        <w:rPr>
          <w:rFonts w:hint="eastAsia"/>
          <w:bCs/>
          <w:color w:val="auto"/>
        </w:rPr>
        <w:t>根据</w:t>
      </w:r>
      <w:r>
        <w:rPr>
          <w:rFonts w:hint="eastAsia"/>
          <w:bCs/>
          <w:color w:val="auto"/>
          <w:lang w:val="de-DE"/>
        </w:rPr>
        <w:t>《建设项目环境风险评价导则》（</w:t>
      </w:r>
      <w:r>
        <w:rPr>
          <w:bCs/>
          <w:color w:val="auto"/>
          <w:lang w:val="de-DE"/>
        </w:rPr>
        <w:t>HJ169-2018</w:t>
      </w:r>
      <w:r>
        <w:rPr>
          <w:rFonts w:hint="eastAsia"/>
          <w:bCs/>
          <w:color w:val="auto"/>
          <w:lang w:val="de-DE"/>
        </w:rPr>
        <w:t>）</w:t>
      </w:r>
      <w:r>
        <w:rPr>
          <w:rFonts w:hint="eastAsia"/>
          <w:bCs/>
          <w:color w:val="auto"/>
        </w:rPr>
        <w:t>，风险评价工作级别划分表见表</w:t>
      </w:r>
      <w:r>
        <w:rPr>
          <w:bCs/>
          <w:color w:val="auto"/>
        </w:rPr>
        <w:t>5.3-</w:t>
      </w:r>
      <w:r>
        <w:rPr>
          <w:rFonts w:hint="eastAsia"/>
          <w:bCs/>
          <w:color w:val="auto"/>
        </w:rPr>
        <w:t>4。</w:t>
      </w:r>
    </w:p>
    <w:p>
      <w:pPr>
        <w:pStyle w:val="8"/>
        <w:numPr>
          <w:ilvl w:val="0"/>
          <w:numId w:val="11"/>
        </w:numPr>
        <w:ind w:left="0" w:firstLine="964" w:firstLineChars="400"/>
        <w:jc w:val="left"/>
        <w:rPr>
          <w:color w:val="auto"/>
          <w:kern w:val="0"/>
          <w:sz w:val="24"/>
          <w:szCs w:val="24"/>
        </w:rPr>
      </w:pPr>
      <w:r>
        <w:rPr>
          <w:rFonts w:hint="eastAsia" w:ascii="宋体" w:hAnsi="宋体" w:eastAsia="宋体"/>
          <w:b/>
          <w:color w:val="auto"/>
          <w:sz w:val="24"/>
          <w:szCs w:val="24"/>
        </w:rPr>
        <w:t xml:space="preserve">                   风险评价工作级别表</w:t>
      </w:r>
    </w:p>
    <w:tbl>
      <w:tblPr>
        <w:tblStyle w:val="27"/>
        <w:tblW w:w="0" w:type="auto"/>
        <w:tblInd w:w="108" w:type="dxa"/>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406"/>
        <w:gridCol w:w="1515"/>
        <w:gridCol w:w="1945"/>
        <w:gridCol w:w="2160"/>
        <w:gridCol w:w="1513"/>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06" w:type="dxa"/>
            <w:tcBorders>
              <w:top w:val="single" w:color="auto" w:sz="4" w:space="0"/>
              <w:left w:val="nil"/>
              <w:bottom w:val="single" w:color="auto" w:sz="6" w:space="0"/>
              <w:right w:val="single" w:color="auto" w:sz="6" w:space="0"/>
            </w:tcBorders>
            <w:vAlign w:val="center"/>
          </w:tcPr>
          <w:p>
            <w:pPr>
              <w:spacing w:line="240" w:lineRule="auto"/>
              <w:ind w:firstLine="0" w:firstLineChars="0"/>
              <w:jc w:val="center"/>
              <w:rPr>
                <w:color w:val="auto"/>
                <w:kern w:val="0"/>
                <w:sz w:val="18"/>
                <w:szCs w:val="18"/>
              </w:rPr>
            </w:pPr>
            <w:r>
              <w:rPr>
                <w:rFonts w:hint="eastAsia"/>
                <w:color w:val="auto"/>
                <w:kern w:val="0"/>
                <w:sz w:val="18"/>
                <w:szCs w:val="18"/>
              </w:rPr>
              <w:t>环境风险潜势</w:t>
            </w:r>
          </w:p>
        </w:tc>
        <w:tc>
          <w:tcPr>
            <w:tcW w:w="1515" w:type="dxa"/>
            <w:tcBorders>
              <w:top w:val="single" w:color="auto" w:sz="4" w:space="0"/>
              <w:left w:val="single" w:color="auto" w:sz="6" w:space="0"/>
              <w:bottom w:val="single" w:color="auto" w:sz="6" w:space="0"/>
              <w:right w:val="single" w:color="auto" w:sz="6" w:space="0"/>
            </w:tcBorders>
            <w:vAlign w:val="center"/>
          </w:tcPr>
          <w:p>
            <w:pPr>
              <w:spacing w:line="240" w:lineRule="auto"/>
              <w:ind w:firstLine="0" w:firstLineChars="0"/>
              <w:jc w:val="center"/>
              <w:rPr>
                <w:color w:val="auto"/>
                <w:kern w:val="0"/>
                <w:sz w:val="18"/>
                <w:szCs w:val="18"/>
              </w:rPr>
            </w:pPr>
            <w:r>
              <w:rPr>
                <w:rFonts w:hint="eastAsia" w:ascii="宋体" w:hAnsi="宋体" w:cs="宋体"/>
                <w:color w:val="auto"/>
                <w:kern w:val="0"/>
                <w:sz w:val="18"/>
                <w:szCs w:val="18"/>
              </w:rPr>
              <w:t>Ⅳ</w:t>
            </w:r>
            <w:r>
              <w:rPr>
                <w:rFonts w:hint="eastAsia"/>
                <w:color w:val="auto"/>
                <w:kern w:val="0"/>
                <w:sz w:val="18"/>
                <w:szCs w:val="18"/>
              </w:rPr>
              <w:t>、</w:t>
            </w:r>
            <w:r>
              <w:rPr>
                <w:rFonts w:hint="eastAsia" w:ascii="宋体" w:hAnsi="宋体" w:cs="宋体"/>
                <w:color w:val="auto"/>
                <w:kern w:val="0"/>
                <w:sz w:val="18"/>
                <w:szCs w:val="18"/>
              </w:rPr>
              <w:t>Ⅳ</w:t>
            </w:r>
            <w:r>
              <w:rPr>
                <w:color w:val="auto"/>
                <w:kern w:val="0"/>
                <w:sz w:val="18"/>
                <w:szCs w:val="18"/>
                <w:vertAlign w:val="superscript"/>
              </w:rPr>
              <w:t>+</w:t>
            </w:r>
          </w:p>
        </w:tc>
        <w:tc>
          <w:tcPr>
            <w:tcW w:w="1945" w:type="dxa"/>
            <w:tcBorders>
              <w:top w:val="single" w:color="auto" w:sz="4" w:space="0"/>
              <w:left w:val="single" w:color="auto" w:sz="6" w:space="0"/>
              <w:bottom w:val="single" w:color="auto" w:sz="6" w:space="0"/>
              <w:right w:val="single" w:color="auto" w:sz="6" w:space="0"/>
            </w:tcBorders>
            <w:vAlign w:val="center"/>
          </w:tcPr>
          <w:p>
            <w:pPr>
              <w:spacing w:line="240" w:lineRule="auto"/>
              <w:ind w:firstLine="0" w:firstLineChars="0"/>
              <w:jc w:val="center"/>
              <w:rPr>
                <w:color w:val="auto"/>
                <w:kern w:val="0"/>
                <w:sz w:val="18"/>
                <w:szCs w:val="18"/>
              </w:rPr>
            </w:pPr>
            <w:r>
              <w:rPr>
                <w:rFonts w:hint="eastAsia" w:ascii="宋体" w:hAnsi="宋体" w:cs="宋体"/>
                <w:color w:val="auto"/>
                <w:kern w:val="0"/>
                <w:sz w:val="18"/>
                <w:szCs w:val="18"/>
              </w:rPr>
              <w:t>Ⅲ</w:t>
            </w:r>
          </w:p>
        </w:tc>
        <w:tc>
          <w:tcPr>
            <w:tcW w:w="2160" w:type="dxa"/>
            <w:tcBorders>
              <w:top w:val="single" w:color="auto" w:sz="4" w:space="0"/>
              <w:left w:val="single" w:color="auto" w:sz="6" w:space="0"/>
              <w:bottom w:val="single" w:color="auto" w:sz="6" w:space="0"/>
              <w:right w:val="single" w:color="auto" w:sz="6" w:space="0"/>
            </w:tcBorders>
            <w:vAlign w:val="center"/>
          </w:tcPr>
          <w:p>
            <w:pPr>
              <w:spacing w:line="240" w:lineRule="auto"/>
              <w:ind w:firstLine="0" w:firstLineChars="0"/>
              <w:jc w:val="center"/>
              <w:rPr>
                <w:color w:val="auto"/>
                <w:kern w:val="0"/>
                <w:sz w:val="18"/>
                <w:szCs w:val="18"/>
              </w:rPr>
            </w:pPr>
            <w:r>
              <w:rPr>
                <w:rFonts w:hint="eastAsia" w:ascii="宋体" w:hAnsi="宋体" w:cs="宋体"/>
                <w:color w:val="auto"/>
                <w:kern w:val="0"/>
                <w:sz w:val="18"/>
                <w:szCs w:val="18"/>
              </w:rPr>
              <w:t>Ⅱ</w:t>
            </w:r>
          </w:p>
        </w:tc>
        <w:tc>
          <w:tcPr>
            <w:tcW w:w="1513" w:type="dxa"/>
            <w:tcBorders>
              <w:top w:val="single" w:color="auto" w:sz="4" w:space="0"/>
              <w:left w:val="single" w:color="auto" w:sz="6" w:space="0"/>
              <w:bottom w:val="single" w:color="auto" w:sz="6" w:space="0"/>
              <w:right w:val="nil"/>
            </w:tcBorders>
            <w:vAlign w:val="center"/>
          </w:tcPr>
          <w:p>
            <w:pPr>
              <w:spacing w:line="240" w:lineRule="auto"/>
              <w:ind w:firstLine="0" w:firstLineChars="0"/>
              <w:jc w:val="center"/>
              <w:rPr>
                <w:color w:val="auto"/>
                <w:kern w:val="0"/>
                <w:sz w:val="18"/>
                <w:szCs w:val="18"/>
              </w:rPr>
            </w:pPr>
            <w:r>
              <w:rPr>
                <w:rFonts w:hint="eastAsia" w:ascii="宋体" w:hAnsi="宋体" w:cs="宋体"/>
                <w:color w:val="auto"/>
                <w:kern w:val="0"/>
                <w:sz w:val="18"/>
                <w:szCs w:val="18"/>
              </w:rPr>
              <w:t>Ⅰ</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06" w:type="dxa"/>
            <w:tcBorders>
              <w:top w:val="single" w:color="auto" w:sz="6" w:space="0"/>
              <w:left w:val="nil"/>
              <w:bottom w:val="single" w:color="auto" w:sz="6" w:space="0"/>
              <w:right w:val="single" w:color="auto" w:sz="6" w:space="0"/>
            </w:tcBorders>
            <w:vAlign w:val="center"/>
          </w:tcPr>
          <w:p>
            <w:pPr>
              <w:spacing w:line="240" w:lineRule="auto"/>
              <w:ind w:firstLine="0" w:firstLineChars="0"/>
              <w:jc w:val="center"/>
              <w:rPr>
                <w:color w:val="auto"/>
                <w:kern w:val="0"/>
                <w:sz w:val="18"/>
                <w:szCs w:val="18"/>
              </w:rPr>
            </w:pPr>
            <w:r>
              <w:rPr>
                <w:rFonts w:hint="eastAsia"/>
                <w:color w:val="auto"/>
                <w:kern w:val="0"/>
                <w:sz w:val="18"/>
                <w:szCs w:val="18"/>
              </w:rPr>
              <w:t>评价工作等级</w:t>
            </w:r>
          </w:p>
        </w:tc>
        <w:tc>
          <w:tcPr>
            <w:tcW w:w="1515" w:type="dxa"/>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color w:val="auto"/>
                <w:kern w:val="0"/>
                <w:sz w:val="18"/>
                <w:szCs w:val="18"/>
              </w:rPr>
            </w:pPr>
            <w:r>
              <w:rPr>
                <w:rFonts w:hint="eastAsia"/>
                <w:color w:val="auto"/>
                <w:kern w:val="0"/>
                <w:sz w:val="18"/>
                <w:szCs w:val="18"/>
              </w:rPr>
              <w:t>一</w:t>
            </w:r>
          </w:p>
        </w:tc>
        <w:tc>
          <w:tcPr>
            <w:tcW w:w="1945" w:type="dxa"/>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color w:val="auto"/>
                <w:kern w:val="0"/>
                <w:sz w:val="18"/>
                <w:szCs w:val="18"/>
              </w:rPr>
            </w:pPr>
            <w:r>
              <w:rPr>
                <w:rFonts w:hint="eastAsia"/>
                <w:color w:val="auto"/>
                <w:kern w:val="0"/>
                <w:sz w:val="18"/>
                <w:szCs w:val="18"/>
              </w:rPr>
              <w:t>二</w:t>
            </w:r>
          </w:p>
        </w:tc>
        <w:tc>
          <w:tcPr>
            <w:tcW w:w="2160" w:type="dxa"/>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color w:val="auto"/>
                <w:kern w:val="0"/>
                <w:sz w:val="18"/>
                <w:szCs w:val="18"/>
              </w:rPr>
            </w:pPr>
            <w:r>
              <w:rPr>
                <w:rFonts w:hint="eastAsia"/>
                <w:color w:val="auto"/>
                <w:kern w:val="0"/>
                <w:sz w:val="18"/>
                <w:szCs w:val="18"/>
              </w:rPr>
              <w:t>三</w:t>
            </w:r>
          </w:p>
        </w:tc>
        <w:tc>
          <w:tcPr>
            <w:tcW w:w="1513" w:type="dxa"/>
            <w:tcBorders>
              <w:top w:val="single" w:color="auto" w:sz="6" w:space="0"/>
              <w:left w:val="single" w:color="auto" w:sz="6" w:space="0"/>
              <w:bottom w:val="single" w:color="auto" w:sz="6" w:space="0"/>
              <w:right w:val="nil"/>
            </w:tcBorders>
            <w:vAlign w:val="center"/>
          </w:tcPr>
          <w:p>
            <w:pPr>
              <w:spacing w:line="240" w:lineRule="auto"/>
              <w:ind w:firstLine="0" w:firstLineChars="0"/>
              <w:jc w:val="center"/>
              <w:rPr>
                <w:color w:val="auto"/>
                <w:kern w:val="0"/>
                <w:sz w:val="18"/>
                <w:szCs w:val="18"/>
              </w:rPr>
            </w:pPr>
            <w:r>
              <w:rPr>
                <w:rFonts w:hint="eastAsia"/>
                <w:color w:val="auto"/>
                <w:kern w:val="0"/>
                <w:sz w:val="18"/>
                <w:szCs w:val="18"/>
              </w:rPr>
              <w:t>简单分析</w:t>
            </w:r>
            <w:r>
              <w:rPr>
                <w:color w:val="auto"/>
                <w:kern w:val="0"/>
                <w:sz w:val="18"/>
                <w:szCs w:val="18"/>
                <w:vertAlign w:val="superscript"/>
              </w:rPr>
              <w:t>a</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539" w:type="dxa"/>
            <w:gridSpan w:val="5"/>
            <w:tcBorders>
              <w:top w:val="single" w:color="auto" w:sz="6" w:space="0"/>
              <w:left w:val="nil"/>
              <w:bottom w:val="single" w:color="auto" w:sz="4" w:space="0"/>
              <w:right w:val="nil"/>
            </w:tcBorders>
            <w:vAlign w:val="center"/>
          </w:tcPr>
          <w:p>
            <w:pPr>
              <w:spacing w:line="240" w:lineRule="auto"/>
              <w:ind w:firstLine="0" w:firstLineChars="0"/>
              <w:rPr>
                <w:color w:val="auto"/>
                <w:kern w:val="0"/>
                <w:sz w:val="18"/>
                <w:szCs w:val="18"/>
              </w:rPr>
            </w:pPr>
            <w:r>
              <w:rPr>
                <w:color w:val="auto"/>
                <w:kern w:val="0"/>
                <w:sz w:val="18"/>
                <w:szCs w:val="18"/>
              </w:rPr>
              <w:t>a</w:t>
            </w:r>
            <w:r>
              <w:rPr>
                <w:rFonts w:hint="eastAsia"/>
                <w:color w:val="auto"/>
                <w:kern w:val="0"/>
                <w:sz w:val="18"/>
                <w:szCs w:val="18"/>
              </w:rPr>
              <w:t>是相对于详细评价工作内容而言，在描述危险物质、影响途径、环境危害后果、风险防范措施等方面给出定性的说明。见附录</w:t>
            </w:r>
            <w:r>
              <w:rPr>
                <w:color w:val="auto"/>
                <w:kern w:val="0"/>
                <w:sz w:val="18"/>
                <w:szCs w:val="18"/>
              </w:rPr>
              <w:t>A</w:t>
            </w:r>
            <w:r>
              <w:rPr>
                <w:rFonts w:hint="eastAsia"/>
                <w:color w:val="auto"/>
                <w:kern w:val="0"/>
                <w:sz w:val="18"/>
                <w:szCs w:val="18"/>
              </w:rPr>
              <w:t>。</w:t>
            </w:r>
          </w:p>
        </w:tc>
      </w:tr>
    </w:tbl>
    <w:p>
      <w:pPr>
        <w:ind w:firstLine="480"/>
        <w:rPr>
          <w:color w:val="auto"/>
        </w:rPr>
      </w:pPr>
      <w:r>
        <w:rPr>
          <w:rFonts w:hint="eastAsia"/>
          <w:bCs/>
          <w:color w:val="auto"/>
        </w:rPr>
        <w:t>由以上分析可知，拟建工程的环境风险潜势综合等级为I级，</w:t>
      </w:r>
      <w:r>
        <w:rPr>
          <w:rFonts w:hint="eastAsia"/>
          <w:color w:val="auto"/>
        </w:rPr>
        <w:t>根据《建设项目环境风险评价技术导则》（HJ/T169－2018）评价工作等级划分要求，确定本项目评价工作等级为简单分析。项目周围500m范围内无村庄环境敏感目标。</w:t>
      </w:r>
      <w:r>
        <w:rPr>
          <w:color w:val="auto"/>
        </w:rPr>
        <w:t>项目风险评价范围见图</w:t>
      </w:r>
      <w:r>
        <w:rPr>
          <w:rFonts w:hint="eastAsia"/>
          <w:color w:val="auto"/>
        </w:rPr>
        <w:t>5-5</w:t>
      </w:r>
      <w:r>
        <w:rPr>
          <w:color w:val="auto"/>
        </w:rPr>
        <w:t>。</w:t>
      </w:r>
    </w:p>
    <w:p>
      <w:pPr>
        <w:spacing w:line="240" w:lineRule="auto"/>
        <w:ind w:firstLine="0" w:firstLineChars="0"/>
        <w:jc w:val="center"/>
        <w:rPr>
          <w:rFonts w:ascii="宋体" w:hAnsi="宋体" w:cs="宋体"/>
          <w:color w:val="auto"/>
          <w:sz w:val="20"/>
          <w:szCs w:val="20"/>
        </w:rPr>
      </w:pPr>
      <w:r>
        <w:rPr>
          <w:rFonts w:ascii="黑体" w:hAnsi="黑体" w:eastAsia="黑体"/>
          <w:color w:val="auto"/>
          <w:sz w:val="28"/>
        </w:rPr>
        <w:drawing>
          <wp:anchor distT="0" distB="0" distL="114300" distR="114300" simplePos="0" relativeHeight="251651072" behindDoc="0" locked="0" layoutInCell="1" allowOverlap="1">
            <wp:simplePos x="0" y="0"/>
            <wp:positionH relativeFrom="column">
              <wp:posOffset>5226685</wp:posOffset>
            </wp:positionH>
            <wp:positionV relativeFrom="paragraph">
              <wp:posOffset>12700</wp:posOffset>
            </wp:positionV>
            <wp:extent cx="329565" cy="506730"/>
            <wp:effectExtent l="0" t="0" r="13335" b="7620"/>
            <wp:wrapNone/>
            <wp:docPr id="3" name="图片 282" descr="15381002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82" descr="1538100204(1)"/>
                    <pic:cNvPicPr>
                      <a:picLocks noChangeAspect="1"/>
                    </pic:cNvPicPr>
                  </pic:nvPicPr>
                  <pic:blipFill>
                    <a:blip r:embed="rId74"/>
                    <a:stretch>
                      <a:fillRect/>
                    </a:stretch>
                  </pic:blipFill>
                  <pic:spPr>
                    <a:xfrm>
                      <a:off x="0" y="0"/>
                      <a:ext cx="329565" cy="506730"/>
                    </a:xfrm>
                    <a:prstGeom prst="rect">
                      <a:avLst/>
                    </a:prstGeom>
                    <a:noFill/>
                    <a:ln>
                      <a:noFill/>
                    </a:ln>
                  </pic:spPr>
                </pic:pic>
              </a:graphicData>
            </a:graphic>
          </wp:anchor>
        </w:drawing>
      </w:r>
      <w:r>
        <w:rPr>
          <w:color w:val="auto"/>
        </w:rPr>
        <w:drawing>
          <wp:inline distT="0" distB="0" distL="114300" distR="114300">
            <wp:extent cx="5535930" cy="5220970"/>
            <wp:effectExtent l="12700" t="12700" r="13970" b="2413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75"/>
                    <a:stretch>
                      <a:fillRect/>
                    </a:stretch>
                  </pic:blipFill>
                  <pic:spPr>
                    <a:xfrm>
                      <a:off x="0" y="0"/>
                      <a:ext cx="5535930" cy="5220970"/>
                    </a:xfrm>
                    <a:prstGeom prst="rect">
                      <a:avLst/>
                    </a:prstGeom>
                    <a:noFill/>
                    <a:ln w="12700" cmpd="sng">
                      <a:solidFill>
                        <a:schemeClr val="tx1"/>
                      </a:solidFill>
                      <a:prstDash val="solid"/>
                    </a:ln>
                  </pic:spPr>
                </pic:pic>
              </a:graphicData>
            </a:graphic>
          </wp:inline>
        </w:drawing>
      </w:r>
    </w:p>
    <w:p>
      <w:pPr>
        <w:tabs>
          <w:tab w:val="left" w:pos="1725"/>
        </w:tabs>
        <w:spacing w:before="34"/>
        <w:ind w:left="117" w:firstLine="422"/>
        <w:jc w:val="center"/>
        <w:rPr>
          <w:rFonts w:eastAsia="Times New Roman"/>
          <w:color w:val="auto"/>
        </w:rPr>
      </w:pPr>
      <w:r>
        <w:rPr>
          <w:rFonts w:ascii="宋体" w:hAnsi="宋体" w:cs="宋体"/>
          <w:b/>
          <w:bCs/>
          <w:color w:val="auto"/>
          <w:sz w:val="21"/>
          <w:szCs w:val="21"/>
        </w:rPr>
        <w:t>图</w:t>
      </w:r>
      <w:r>
        <w:rPr>
          <w:rFonts w:ascii="宋体" w:hAnsi="宋体" w:cs="宋体"/>
          <w:b/>
          <w:bCs/>
          <w:color w:val="auto"/>
          <w:spacing w:val="-56"/>
          <w:sz w:val="21"/>
          <w:szCs w:val="21"/>
        </w:rPr>
        <w:t xml:space="preserve"> </w:t>
      </w:r>
      <w:r>
        <w:rPr>
          <w:rFonts w:eastAsia="Times New Roman"/>
          <w:b/>
          <w:bCs/>
          <w:color w:val="auto"/>
          <w:sz w:val="21"/>
          <w:szCs w:val="21"/>
        </w:rPr>
        <w:t>5</w:t>
      </w:r>
      <w:r>
        <w:rPr>
          <w:rFonts w:hint="eastAsia"/>
          <w:b/>
          <w:bCs/>
          <w:color w:val="auto"/>
          <w:sz w:val="21"/>
          <w:szCs w:val="21"/>
        </w:rPr>
        <w:t>-5</w:t>
      </w:r>
      <w:r>
        <w:rPr>
          <w:rFonts w:eastAsia="Times New Roman"/>
          <w:b/>
          <w:bCs/>
          <w:color w:val="auto"/>
          <w:sz w:val="21"/>
          <w:szCs w:val="21"/>
        </w:rPr>
        <w:tab/>
      </w:r>
      <w:r>
        <w:rPr>
          <w:rFonts w:ascii="宋体" w:hAnsi="宋体" w:cs="宋体"/>
          <w:b/>
          <w:bCs/>
          <w:color w:val="auto"/>
          <w:sz w:val="21"/>
          <w:szCs w:val="21"/>
        </w:rPr>
        <w:t>项目风险评价范围</w:t>
      </w:r>
    </w:p>
    <w:p>
      <w:pPr>
        <w:keepNext/>
        <w:keepLines/>
        <w:numPr>
          <w:ilvl w:val="2"/>
          <w:numId w:val="0"/>
        </w:numPr>
        <w:tabs>
          <w:tab w:val="left" w:pos="709"/>
        </w:tabs>
        <w:outlineLvl w:val="2"/>
        <w:rPr>
          <w:rFonts w:eastAsia="黑体"/>
          <w:bCs/>
          <w:color w:val="auto"/>
          <w:sz w:val="26"/>
          <w:szCs w:val="26"/>
          <w:lang w:val="en-GB"/>
        </w:rPr>
      </w:pPr>
      <w:r>
        <w:rPr>
          <w:rFonts w:eastAsia="黑体"/>
          <w:bCs/>
          <w:color w:val="auto"/>
          <w:sz w:val="26"/>
          <w:szCs w:val="26"/>
          <w:lang w:val="en-GB"/>
        </w:rPr>
        <w:t>5.</w:t>
      </w:r>
      <w:r>
        <w:rPr>
          <w:rFonts w:hint="eastAsia" w:eastAsia="黑体"/>
          <w:bCs/>
          <w:color w:val="auto"/>
          <w:sz w:val="26"/>
          <w:szCs w:val="26"/>
          <w:lang w:val="en-GB"/>
        </w:rPr>
        <w:t>3</w:t>
      </w:r>
      <w:r>
        <w:rPr>
          <w:rFonts w:eastAsia="黑体"/>
          <w:bCs/>
          <w:color w:val="auto"/>
          <w:sz w:val="26"/>
          <w:szCs w:val="26"/>
          <w:lang w:val="en-GB"/>
        </w:rPr>
        <w:t>.</w:t>
      </w:r>
      <w:r>
        <w:rPr>
          <w:rFonts w:hint="eastAsia" w:eastAsia="黑体"/>
          <w:bCs/>
          <w:color w:val="auto"/>
          <w:sz w:val="26"/>
          <w:szCs w:val="26"/>
          <w:lang w:val="en-GB"/>
        </w:rPr>
        <w:t>3 风险识别</w:t>
      </w:r>
    </w:p>
    <w:p>
      <w:pPr>
        <w:keepNext/>
        <w:keepLines/>
        <w:numPr>
          <w:ilvl w:val="3"/>
          <w:numId w:val="0"/>
        </w:numPr>
        <w:jc w:val="left"/>
        <w:outlineLvl w:val="3"/>
        <w:rPr>
          <w:color w:val="auto"/>
        </w:rPr>
      </w:pPr>
      <w:r>
        <w:rPr>
          <w:rFonts w:hint="eastAsia"/>
          <w:color w:val="auto"/>
        </w:rPr>
        <w:t>5.3.3.1物质危险性识别</w:t>
      </w:r>
    </w:p>
    <w:p>
      <w:pPr>
        <w:ind w:firstLine="480"/>
        <w:rPr>
          <w:bCs/>
          <w:color w:val="auto"/>
          <w:lang w:val="de-DE"/>
        </w:rPr>
      </w:pPr>
      <w:r>
        <w:rPr>
          <w:rFonts w:hint="eastAsia"/>
          <w:bCs/>
          <w:color w:val="auto"/>
          <w:lang w:val="de-DE"/>
        </w:rPr>
        <w:t>经查对</w:t>
      </w:r>
      <w:r>
        <w:rPr>
          <w:bCs/>
          <w:color w:val="auto"/>
          <w:lang w:val="de-DE"/>
        </w:rPr>
        <w:t>《建设项目环境风险评价技术导则》（HJ169-2018）</w:t>
      </w:r>
      <w:r>
        <w:rPr>
          <w:rFonts w:hint="eastAsia"/>
          <w:bCs/>
          <w:color w:val="auto"/>
          <w:lang w:val="de-DE"/>
        </w:rPr>
        <w:t>，本</w:t>
      </w:r>
      <w:r>
        <w:rPr>
          <w:bCs/>
          <w:color w:val="auto"/>
          <w:lang w:val="de-DE"/>
        </w:rPr>
        <w:t>项目涉及的</w:t>
      </w:r>
      <w:r>
        <w:rPr>
          <w:rFonts w:hint="eastAsia"/>
          <w:bCs/>
          <w:color w:val="auto"/>
          <w:lang w:val="de-DE"/>
        </w:rPr>
        <w:t>危险物质主要为沼气（主要成分为甲烷），</w:t>
      </w:r>
      <w:r>
        <w:rPr>
          <w:bCs/>
          <w:color w:val="auto"/>
          <w:lang w:val="de-DE"/>
        </w:rPr>
        <w:t>危险物质</w:t>
      </w:r>
      <w:r>
        <w:rPr>
          <w:rFonts w:hint="eastAsia"/>
          <w:bCs/>
          <w:color w:val="auto"/>
          <w:lang w:val="de-DE"/>
        </w:rPr>
        <w:t>名称及CAS号见表5.3-</w:t>
      </w:r>
      <w:r>
        <w:rPr>
          <w:rFonts w:hint="eastAsia"/>
          <w:bCs/>
          <w:color w:val="auto"/>
        </w:rPr>
        <w:t>5</w:t>
      </w:r>
      <w:r>
        <w:rPr>
          <w:rFonts w:hint="eastAsia"/>
          <w:bCs/>
          <w:color w:val="auto"/>
          <w:lang w:val="de-DE"/>
        </w:rPr>
        <w:t>。危险物质</w:t>
      </w:r>
      <w:r>
        <w:rPr>
          <w:bCs/>
          <w:color w:val="auto"/>
          <w:lang w:val="de-DE"/>
        </w:rPr>
        <w:t>理化性质见5.</w:t>
      </w:r>
      <w:r>
        <w:rPr>
          <w:rFonts w:hint="eastAsia"/>
          <w:bCs/>
          <w:color w:val="auto"/>
          <w:lang w:val="de-DE"/>
        </w:rPr>
        <w:t>3</w:t>
      </w:r>
      <w:r>
        <w:rPr>
          <w:bCs/>
          <w:color w:val="auto"/>
          <w:lang w:val="de-DE"/>
        </w:rPr>
        <w:t>-</w:t>
      </w:r>
      <w:r>
        <w:rPr>
          <w:rFonts w:hint="eastAsia"/>
          <w:bCs/>
          <w:color w:val="auto"/>
        </w:rPr>
        <w:t>6</w:t>
      </w:r>
      <w:r>
        <w:rPr>
          <w:bCs/>
          <w:color w:val="auto"/>
          <w:lang w:val="de-DE"/>
        </w:rPr>
        <w:t>。</w:t>
      </w:r>
    </w:p>
    <w:p>
      <w:pPr>
        <w:pStyle w:val="8"/>
        <w:numPr>
          <w:ilvl w:val="0"/>
          <w:numId w:val="11"/>
        </w:numPr>
        <w:ind w:left="0" w:firstLine="843" w:firstLineChars="400"/>
        <w:jc w:val="left"/>
        <w:rPr>
          <w:rFonts w:ascii="宋体" w:hAnsi="宋体" w:eastAsia="宋体"/>
          <w:b/>
          <w:color w:val="auto"/>
          <w:sz w:val="21"/>
          <w:szCs w:val="21"/>
        </w:rPr>
      </w:pPr>
      <w:r>
        <w:rPr>
          <w:rFonts w:hint="eastAsia" w:ascii="宋体" w:hAnsi="宋体" w:eastAsia="宋体"/>
          <w:b/>
          <w:color w:val="auto"/>
          <w:sz w:val="21"/>
          <w:szCs w:val="21"/>
        </w:rPr>
        <w:t xml:space="preserve">                 </w:t>
      </w:r>
      <w:r>
        <w:rPr>
          <w:rFonts w:ascii="宋体" w:hAnsi="宋体" w:eastAsia="宋体"/>
          <w:b/>
          <w:color w:val="auto"/>
          <w:sz w:val="21"/>
          <w:szCs w:val="21"/>
        </w:rPr>
        <w:t>危险性物质识别表</w:t>
      </w:r>
    </w:p>
    <w:tbl>
      <w:tblPr>
        <w:tblStyle w:val="27"/>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1813"/>
        <w:gridCol w:w="1786"/>
        <w:gridCol w:w="1403"/>
        <w:gridCol w:w="1892"/>
        <w:gridCol w:w="189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1032" w:type="pct"/>
            <w:vAlign w:val="center"/>
          </w:tcPr>
          <w:p>
            <w:pPr>
              <w:spacing w:line="240" w:lineRule="auto"/>
              <w:ind w:firstLine="0" w:firstLineChars="0"/>
              <w:jc w:val="center"/>
              <w:rPr>
                <w:color w:val="auto"/>
                <w:kern w:val="0"/>
                <w:sz w:val="21"/>
                <w:szCs w:val="21"/>
              </w:rPr>
            </w:pPr>
            <w:r>
              <w:rPr>
                <w:color w:val="auto"/>
                <w:kern w:val="0"/>
                <w:sz w:val="21"/>
                <w:szCs w:val="21"/>
              </w:rPr>
              <w:t>物质名称</w:t>
            </w:r>
          </w:p>
        </w:tc>
        <w:tc>
          <w:tcPr>
            <w:tcW w:w="1016" w:type="pct"/>
            <w:vAlign w:val="center"/>
          </w:tcPr>
          <w:p>
            <w:pPr>
              <w:spacing w:line="240" w:lineRule="auto"/>
              <w:ind w:firstLine="0" w:firstLineChars="0"/>
              <w:jc w:val="center"/>
              <w:rPr>
                <w:color w:val="auto"/>
                <w:kern w:val="0"/>
                <w:sz w:val="21"/>
                <w:szCs w:val="21"/>
              </w:rPr>
            </w:pPr>
            <w:r>
              <w:rPr>
                <w:rFonts w:hint="eastAsia"/>
                <w:color w:val="auto"/>
                <w:kern w:val="0"/>
                <w:sz w:val="21"/>
                <w:szCs w:val="21"/>
              </w:rPr>
              <w:t>CAS号</w:t>
            </w:r>
          </w:p>
        </w:tc>
        <w:tc>
          <w:tcPr>
            <w:tcW w:w="798" w:type="pct"/>
            <w:vAlign w:val="center"/>
          </w:tcPr>
          <w:p>
            <w:pPr>
              <w:spacing w:line="240" w:lineRule="auto"/>
              <w:ind w:firstLine="0" w:firstLineChars="0"/>
              <w:jc w:val="center"/>
              <w:rPr>
                <w:color w:val="auto"/>
                <w:kern w:val="0"/>
                <w:sz w:val="21"/>
                <w:szCs w:val="21"/>
              </w:rPr>
            </w:pPr>
            <w:r>
              <w:rPr>
                <w:rFonts w:hint="eastAsia"/>
                <w:color w:val="auto"/>
                <w:kern w:val="0"/>
                <w:sz w:val="21"/>
                <w:szCs w:val="21"/>
              </w:rPr>
              <w:t>主要</w:t>
            </w:r>
            <w:r>
              <w:rPr>
                <w:color w:val="auto"/>
                <w:kern w:val="0"/>
                <w:sz w:val="21"/>
                <w:szCs w:val="21"/>
              </w:rPr>
              <w:t>危险特性</w:t>
            </w:r>
          </w:p>
        </w:tc>
        <w:tc>
          <w:tcPr>
            <w:tcW w:w="1076" w:type="pct"/>
            <w:vAlign w:val="center"/>
          </w:tcPr>
          <w:p>
            <w:pPr>
              <w:spacing w:line="240" w:lineRule="auto"/>
              <w:ind w:firstLine="0" w:firstLineChars="0"/>
              <w:jc w:val="center"/>
              <w:rPr>
                <w:color w:val="auto"/>
                <w:kern w:val="0"/>
                <w:sz w:val="21"/>
                <w:szCs w:val="21"/>
              </w:rPr>
            </w:pPr>
            <w:r>
              <w:rPr>
                <w:rFonts w:hint="eastAsia"/>
                <w:color w:val="auto"/>
                <w:kern w:val="0"/>
                <w:sz w:val="21"/>
                <w:szCs w:val="21"/>
              </w:rPr>
              <w:t>大气毒性终点浓度</w:t>
            </w:r>
            <w:r>
              <w:rPr>
                <w:color w:val="auto"/>
                <w:kern w:val="0"/>
                <w:sz w:val="21"/>
                <w:szCs w:val="21"/>
              </w:rPr>
              <w:t>-1</w:t>
            </w:r>
          </w:p>
        </w:tc>
        <w:tc>
          <w:tcPr>
            <w:tcW w:w="1076" w:type="pct"/>
            <w:vAlign w:val="center"/>
          </w:tcPr>
          <w:p>
            <w:pPr>
              <w:spacing w:line="240" w:lineRule="auto"/>
              <w:ind w:firstLine="0" w:firstLineChars="0"/>
              <w:jc w:val="center"/>
              <w:rPr>
                <w:color w:val="auto"/>
                <w:kern w:val="0"/>
                <w:sz w:val="21"/>
                <w:szCs w:val="21"/>
              </w:rPr>
            </w:pPr>
            <w:r>
              <w:rPr>
                <w:rFonts w:hint="eastAsia"/>
                <w:color w:val="auto"/>
                <w:kern w:val="0"/>
                <w:sz w:val="21"/>
                <w:szCs w:val="21"/>
              </w:rPr>
              <w:t>大气毒性终点浓度</w:t>
            </w:r>
            <w:r>
              <w:rPr>
                <w:color w:val="auto"/>
                <w:kern w:val="0"/>
                <w:sz w:val="21"/>
                <w:szCs w:val="21"/>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1032" w:type="pct"/>
            <w:vAlign w:val="center"/>
          </w:tcPr>
          <w:p>
            <w:pPr>
              <w:spacing w:line="240" w:lineRule="auto"/>
              <w:ind w:firstLine="0" w:firstLineChars="0"/>
              <w:jc w:val="center"/>
              <w:rPr>
                <w:color w:val="auto"/>
                <w:kern w:val="0"/>
                <w:sz w:val="21"/>
                <w:szCs w:val="21"/>
              </w:rPr>
            </w:pPr>
            <w:r>
              <w:rPr>
                <w:rFonts w:hint="eastAsia"/>
                <w:color w:val="auto"/>
                <w:kern w:val="0"/>
                <w:sz w:val="21"/>
                <w:szCs w:val="21"/>
              </w:rPr>
              <w:t>甲烷</w:t>
            </w:r>
          </w:p>
        </w:tc>
        <w:tc>
          <w:tcPr>
            <w:tcW w:w="1016" w:type="pct"/>
            <w:vAlign w:val="center"/>
          </w:tcPr>
          <w:p>
            <w:pPr>
              <w:spacing w:line="240" w:lineRule="auto"/>
              <w:ind w:firstLine="0" w:firstLineChars="0"/>
              <w:jc w:val="center"/>
              <w:rPr>
                <w:color w:val="auto"/>
                <w:kern w:val="0"/>
                <w:sz w:val="21"/>
                <w:szCs w:val="21"/>
              </w:rPr>
            </w:pPr>
            <w:r>
              <w:rPr>
                <w:rFonts w:hint="eastAsia"/>
                <w:color w:val="auto"/>
                <w:kern w:val="0"/>
                <w:sz w:val="21"/>
                <w:szCs w:val="21"/>
              </w:rPr>
              <w:t>74-82-8</w:t>
            </w:r>
          </w:p>
        </w:tc>
        <w:tc>
          <w:tcPr>
            <w:tcW w:w="798" w:type="pct"/>
            <w:vAlign w:val="center"/>
          </w:tcPr>
          <w:p>
            <w:pPr>
              <w:spacing w:line="240" w:lineRule="auto"/>
              <w:ind w:firstLine="0" w:firstLineChars="0"/>
              <w:jc w:val="center"/>
              <w:rPr>
                <w:color w:val="auto"/>
                <w:kern w:val="0"/>
                <w:sz w:val="21"/>
                <w:szCs w:val="21"/>
              </w:rPr>
            </w:pPr>
            <w:r>
              <w:rPr>
                <w:rFonts w:hint="eastAsia"/>
                <w:color w:val="auto"/>
                <w:kern w:val="0"/>
                <w:sz w:val="21"/>
                <w:szCs w:val="21"/>
              </w:rPr>
              <w:t>低毒性</w:t>
            </w:r>
          </w:p>
        </w:tc>
        <w:tc>
          <w:tcPr>
            <w:tcW w:w="1076" w:type="pct"/>
            <w:vAlign w:val="center"/>
          </w:tcPr>
          <w:p>
            <w:pPr>
              <w:spacing w:line="240" w:lineRule="auto"/>
              <w:ind w:firstLine="0" w:firstLineChars="0"/>
              <w:jc w:val="center"/>
              <w:rPr>
                <w:color w:val="auto"/>
                <w:kern w:val="0"/>
                <w:sz w:val="21"/>
                <w:szCs w:val="21"/>
              </w:rPr>
            </w:pPr>
            <w:r>
              <w:rPr>
                <w:rFonts w:hint="eastAsia"/>
                <w:color w:val="auto"/>
                <w:kern w:val="0"/>
                <w:sz w:val="21"/>
                <w:szCs w:val="21"/>
              </w:rPr>
              <w:t>26000</w:t>
            </w:r>
            <w:r>
              <w:rPr>
                <w:color w:val="auto"/>
                <w:kern w:val="0"/>
                <w:sz w:val="21"/>
                <w:szCs w:val="21"/>
              </w:rPr>
              <w:t>0</w:t>
            </w:r>
          </w:p>
        </w:tc>
        <w:tc>
          <w:tcPr>
            <w:tcW w:w="1076" w:type="pct"/>
            <w:vAlign w:val="center"/>
          </w:tcPr>
          <w:p>
            <w:pPr>
              <w:spacing w:line="240" w:lineRule="auto"/>
              <w:ind w:firstLine="0" w:firstLineChars="0"/>
              <w:jc w:val="center"/>
              <w:rPr>
                <w:color w:val="auto"/>
                <w:kern w:val="0"/>
                <w:sz w:val="21"/>
                <w:szCs w:val="21"/>
              </w:rPr>
            </w:pPr>
            <w:r>
              <w:rPr>
                <w:rFonts w:hint="eastAsia"/>
                <w:color w:val="auto"/>
                <w:kern w:val="0"/>
                <w:sz w:val="21"/>
                <w:szCs w:val="21"/>
              </w:rPr>
              <w:t>150000</w:t>
            </w:r>
          </w:p>
        </w:tc>
      </w:tr>
    </w:tbl>
    <w:p>
      <w:pPr>
        <w:pStyle w:val="8"/>
        <w:spacing w:before="156" w:beforeLines="50"/>
        <w:ind w:left="960" w:leftChars="400" w:firstLine="0" w:firstLineChars="0"/>
        <w:jc w:val="left"/>
        <w:rPr>
          <w:rFonts w:ascii="宋体" w:hAnsi="宋体" w:eastAsia="宋体"/>
          <w:b/>
          <w:color w:val="auto"/>
          <w:sz w:val="21"/>
          <w:szCs w:val="21"/>
        </w:rPr>
      </w:pPr>
    </w:p>
    <w:p>
      <w:pPr>
        <w:pStyle w:val="8"/>
        <w:numPr>
          <w:ilvl w:val="0"/>
          <w:numId w:val="11"/>
        </w:numPr>
        <w:spacing w:before="156" w:beforeLines="50"/>
        <w:ind w:left="0" w:firstLine="964" w:firstLineChars="400"/>
        <w:jc w:val="center"/>
        <w:rPr>
          <w:rFonts w:ascii="宋体" w:hAnsi="宋体" w:eastAsia="宋体"/>
          <w:b/>
          <w:color w:val="auto"/>
          <w:sz w:val="24"/>
          <w:szCs w:val="24"/>
        </w:rPr>
      </w:pPr>
      <w:r>
        <w:rPr>
          <w:rFonts w:hint="eastAsia" w:ascii="宋体" w:hAnsi="宋体" w:eastAsia="宋体"/>
          <w:b/>
          <w:color w:val="auto"/>
          <w:sz w:val="24"/>
          <w:szCs w:val="24"/>
        </w:rPr>
        <w:t>甲烷的理化性质及危险特性</w:t>
      </w:r>
    </w:p>
    <w:tbl>
      <w:tblPr>
        <w:tblStyle w:val="27"/>
        <w:tblW w:w="5000" w:type="pct"/>
        <w:jc w:val="center"/>
        <w:tblBorders>
          <w:top w:val="single" w:color="auto" w:sz="2" w:space="0"/>
          <w:left w:val="none" w:color="auto" w:sz="0" w:space="0"/>
          <w:bottom w:val="single" w:color="auto" w:sz="2" w:space="0"/>
          <w:right w:val="none" w:color="auto" w:sz="0" w:space="0"/>
          <w:insideH w:val="single" w:color="auto" w:sz="2" w:space="0"/>
          <w:insideV w:val="single" w:color="auto" w:sz="6" w:space="0"/>
        </w:tblBorders>
        <w:tblLayout w:type="autofit"/>
        <w:tblCellMar>
          <w:top w:w="0" w:type="dxa"/>
          <w:left w:w="108" w:type="dxa"/>
          <w:bottom w:w="0" w:type="dxa"/>
          <w:right w:w="108" w:type="dxa"/>
        </w:tblCellMar>
      </w:tblPr>
      <w:tblGrid>
        <w:gridCol w:w="1692"/>
        <w:gridCol w:w="2795"/>
        <w:gridCol w:w="2337"/>
        <w:gridCol w:w="20"/>
        <w:gridCol w:w="2102"/>
      </w:tblGrid>
      <w:tr>
        <w:tblPrEx>
          <w:tblBorders>
            <w:top w:val="single" w:color="auto" w:sz="2" w:space="0"/>
            <w:left w:val="none" w:color="auto" w:sz="0" w:space="0"/>
            <w:bottom w:val="single" w:color="auto" w:sz="2" w:space="0"/>
            <w:right w:val="none" w:color="auto" w:sz="0" w:space="0"/>
            <w:insideH w:val="single" w:color="auto" w:sz="2" w:space="0"/>
            <w:insideV w:val="single" w:color="auto" w:sz="6" w:space="0"/>
          </w:tblBorders>
          <w:tblCellMar>
            <w:top w:w="0" w:type="dxa"/>
            <w:left w:w="108" w:type="dxa"/>
            <w:bottom w:w="0" w:type="dxa"/>
            <w:right w:w="108" w:type="dxa"/>
          </w:tblCellMar>
        </w:tblPrEx>
        <w:trPr>
          <w:trHeight w:val="340" w:hRule="atLeast"/>
          <w:tblHeader/>
          <w:jc w:val="center"/>
        </w:trPr>
        <w:tc>
          <w:tcPr>
            <w:tcW w:w="5000" w:type="pct"/>
            <w:gridSpan w:val="5"/>
            <w:vAlign w:val="center"/>
          </w:tcPr>
          <w:p>
            <w:pPr>
              <w:spacing w:line="240" w:lineRule="auto"/>
              <w:ind w:firstLine="0" w:firstLineChars="0"/>
              <w:rPr>
                <w:color w:val="auto"/>
                <w:sz w:val="21"/>
                <w:szCs w:val="21"/>
              </w:rPr>
            </w:pPr>
            <w:r>
              <w:rPr>
                <w:rFonts w:hAnsi="宋体"/>
                <w:color w:val="auto"/>
                <w:sz w:val="21"/>
                <w:szCs w:val="21"/>
              </w:rPr>
              <w:t>第一部分</w:t>
            </w:r>
            <w:r>
              <w:rPr>
                <w:color w:val="auto"/>
                <w:sz w:val="21"/>
                <w:szCs w:val="21"/>
              </w:rPr>
              <w:t xml:space="preserve">    </w:t>
            </w:r>
            <w:r>
              <w:rPr>
                <w:rFonts w:hAnsi="宋体"/>
                <w:color w:val="auto"/>
                <w:sz w:val="21"/>
                <w:szCs w:val="21"/>
              </w:rPr>
              <w:t>危险性概述</w:t>
            </w:r>
          </w:p>
        </w:tc>
      </w:tr>
      <w:tr>
        <w:tblPrEx>
          <w:tblBorders>
            <w:top w:val="single" w:color="auto" w:sz="2" w:space="0"/>
            <w:left w:val="none" w:color="auto" w:sz="0" w:space="0"/>
            <w:bottom w:val="single" w:color="auto" w:sz="2" w:space="0"/>
            <w:right w:val="none" w:color="auto" w:sz="0" w:space="0"/>
            <w:insideH w:val="single" w:color="auto" w:sz="2" w:space="0"/>
            <w:insideV w:val="single" w:color="auto" w:sz="6" w:space="0"/>
          </w:tblBorders>
          <w:tblCellMar>
            <w:top w:w="0" w:type="dxa"/>
            <w:left w:w="108" w:type="dxa"/>
            <w:bottom w:w="0" w:type="dxa"/>
            <w:right w:w="108" w:type="dxa"/>
          </w:tblCellMar>
        </w:tblPrEx>
        <w:trPr>
          <w:trHeight w:val="340" w:hRule="atLeast"/>
          <w:tblHeader/>
          <w:jc w:val="center"/>
        </w:trPr>
        <w:tc>
          <w:tcPr>
            <w:tcW w:w="946" w:type="pct"/>
            <w:vAlign w:val="center"/>
          </w:tcPr>
          <w:p>
            <w:pPr>
              <w:spacing w:line="240" w:lineRule="auto"/>
              <w:ind w:firstLine="0" w:firstLineChars="0"/>
              <w:rPr>
                <w:color w:val="auto"/>
                <w:sz w:val="21"/>
                <w:szCs w:val="21"/>
              </w:rPr>
            </w:pPr>
            <w:r>
              <w:rPr>
                <w:rFonts w:hAnsi="宋体"/>
                <w:color w:val="auto"/>
                <w:sz w:val="21"/>
                <w:szCs w:val="21"/>
              </w:rPr>
              <w:t>危险性类别：</w:t>
            </w:r>
          </w:p>
        </w:tc>
        <w:tc>
          <w:tcPr>
            <w:tcW w:w="1562" w:type="pct"/>
            <w:vAlign w:val="center"/>
          </w:tcPr>
          <w:p>
            <w:pPr>
              <w:spacing w:line="240" w:lineRule="auto"/>
              <w:ind w:firstLine="0" w:firstLineChars="0"/>
              <w:rPr>
                <w:color w:val="auto"/>
                <w:sz w:val="21"/>
                <w:szCs w:val="21"/>
              </w:rPr>
            </w:pPr>
            <w:r>
              <w:rPr>
                <w:color w:val="auto"/>
                <w:sz w:val="21"/>
                <w:szCs w:val="21"/>
              </w:rPr>
              <w:t>4</w:t>
            </w:r>
            <w:r>
              <w:rPr>
                <w:rFonts w:hAnsi="宋体"/>
                <w:color w:val="auto"/>
                <w:sz w:val="21"/>
                <w:szCs w:val="21"/>
              </w:rPr>
              <w:t>（易燃气体）。</w:t>
            </w:r>
          </w:p>
        </w:tc>
        <w:tc>
          <w:tcPr>
            <w:tcW w:w="1306" w:type="pct"/>
            <w:vAlign w:val="center"/>
          </w:tcPr>
          <w:p>
            <w:pPr>
              <w:spacing w:line="240" w:lineRule="auto"/>
              <w:ind w:firstLine="0" w:firstLineChars="0"/>
              <w:rPr>
                <w:color w:val="auto"/>
                <w:sz w:val="21"/>
                <w:szCs w:val="21"/>
              </w:rPr>
            </w:pPr>
            <w:r>
              <w:rPr>
                <w:rFonts w:hAnsi="宋体"/>
                <w:color w:val="auto"/>
                <w:sz w:val="21"/>
                <w:szCs w:val="21"/>
              </w:rPr>
              <w:t>燃爆危险：</w:t>
            </w:r>
          </w:p>
        </w:tc>
        <w:tc>
          <w:tcPr>
            <w:tcW w:w="1183" w:type="pct"/>
            <w:gridSpan w:val="2"/>
            <w:vAlign w:val="center"/>
          </w:tcPr>
          <w:p>
            <w:pPr>
              <w:spacing w:line="240" w:lineRule="auto"/>
              <w:ind w:firstLine="0" w:firstLineChars="0"/>
              <w:rPr>
                <w:color w:val="auto"/>
                <w:sz w:val="21"/>
                <w:szCs w:val="21"/>
              </w:rPr>
            </w:pPr>
            <w:r>
              <w:rPr>
                <w:rFonts w:hAnsi="宋体"/>
                <w:color w:val="auto"/>
                <w:sz w:val="21"/>
                <w:szCs w:val="21"/>
              </w:rPr>
              <w:t>易燃。</w:t>
            </w:r>
          </w:p>
        </w:tc>
      </w:tr>
      <w:tr>
        <w:tblPrEx>
          <w:tblBorders>
            <w:top w:val="single" w:color="auto" w:sz="2" w:space="0"/>
            <w:left w:val="none" w:color="auto" w:sz="0" w:space="0"/>
            <w:bottom w:val="single" w:color="auto" w:sz="2" w:space="0"/>
            <w:right w:val="none" w:color="auto" w:sz="0" w:space="0"/>
            <w:insideH w:val="single" w:color="auto" w:sz="2" w:space="0"/>
            <w:insideV w:val="single" w:color="auto" w:sz="6" w:space="0"/>
          </w:tblBorders>
          <w:tblCellMar>
            <w:top w:w="0" w:type="dxa"/>
            <w:left w:w="108" w:type="dxa"/>
            <w:bottom w:w="0" w:type="dxa"/>
            <w:right w:w="108" w:type="dxa"/>
          </w:tblCellMar>
        </w:tblPrEx>
        <w:trPr>
          <w:trHeight w:val="340" w:hRule="atLeast"/>
          <w:tblHeader/>
          <w:jc w:val="center"/>
        </w:trPr>
        <w:tc>
          <w:tcPr>
            <w:tcW w:w="946" w:type="pct"/>
            <w:vAlign w:val="center"/>
          </w:tcPr>
          <w:p>
            <w:pPr>
              <w:spacing w:line="240" w:lineRule="auto"/>
              <w:ind w:firstLine="0" w:firstLineChars="0"/>
              <w:rPr>
                <w:color w:val="auto"/>
                <w:sz w:val="21"/>
                <w:szCs w:val="21"/>
              </w:rPr>
            </w:pPr>
            <w:r>
              <w:rPr>
                <w:rFonts w:hAnsi="宋体"/>
                <w:color w:val="auto"/>
                <w:sz w:val="21"/>
                <w:szCs w:val="21"/>
              </w:rPr>
              <w:t>侵入途径：</w:t>
            </w:r>
          </w:p>
        </w:tc>
        <w:tc>
          <w:tcPr>
            <w:tcW w:w="1562" w:type="pct"/>
            <w:vAlign w:val="center"/>
          </w:tcPr>
          <w:p>
            <w:pPr>
              <w:spacing w:line="240" w:lineRule="auto"/>
              <w:ind w:firstLine="0" w:firstLineChars="0"/>
              <w:rPr>
                <w:color w:val="auto"/>
                <w:sz w:val="21"/>
                <w:szCs w:val="21"/>
              </w:rPr>
            </w:pPr>
            <w:r>
              <w:rPr>
                <w:rFonts w:hAnsi="宋体"/>
                <w:color w:val="auto"/>
                <w:sz w:val="21"/>
                <w:szCs w:val="21"/>
              </w:rPr>
              <w:t>吸入</w:t>
            </w:r>
          </w:p>
        </w:tc>
        <w:tc>
          <w:tcPr>
            <w:tcW w:w="1306" w:type="pct"/>
            <w:vAlign w:val="center"/>
          </w:tcPr>
          <w:p>
            <w:pPr>
              <w:spacing w:line="240" w:lineRule="auto"/>
              <w:ind w:firstLine="0" w:firstLineChars="0"/>
              <w:rPr>
                <w:color w:val="auto"/>
                <w:sz w:val="21"/>
                <w:szCs w:val="21"/>
              </w:rPr>
            </w:pPr>
            <w:r>
              <w:rPr>
                <w:rFonts w:hAnsi="宋体"/>
                <w:color w:val="auto"/>
                <w:sz w:val="21"/>
                <w:szCs w:val="21"/>
              </w:rPr>
              <w:t>有害燃烧产物：</w:t>
            </w:r>
          </w:p>
        </w:tc>
        <w:tc>
          <w:tcPr>
            <w:tcW w:w="1183" w:type="pct"/>
            <w:gridSpan w:val="2"/>
            <w:vAlign w:val="center"/>
          </w:tcPr>
          <w:p>
            <w:pPr>
              <w:spacing w:line="240" w:lineRule="auto"/>
              <w:ind w:firstLine="0" w:firstLineChars="0"/>
              <w:rPr>
                <w:color w:val="auto"/>
                <w:sz w:val="21"/>
                <w:szCs w:val="21"/>
              </w:rPr>
            </w:pPr>
            <w:r>
              <w:rPr>
                <w:rFonts w:hAnsi="宋体"/>
                <w:color w:val="auto"/>
                <w:sz w:val="21"/>
                <w:szCs w:val="21"/>
              </w:rPr>
              <w:t>一氧化碳、二氧化碳</w:t>
            </w:r>
          </w:p>
        </w:tc>
      </w:tr>
      <w:tr>
        <w:tblPrEx>
          <w:tblBorders>
            <w:top w:val="single" w:color="auto" w:sz="2" w:space="0"/>
            <w:left w:val="none" w:color="auto" w:sz="0" w:space="0"/>
            <w:bottom w:val="single" w:color="auto" w:sz="2" w:space="0"/>
            <w:right w:val="none" w:color="auto" w:sz="0" w:space="0"/>
            <w:insideH w:val="single" w:color="auto" w:sz="2" w:space="0"/>
            <w:insideV w:val="single" w:color="auto" w:sz="6" w:space="0"/>
          </w:tblBorders>
          <w:tblCellMar>
            <w:top w:w="0" w:type="dxa"/>
            <w:left w:w="108" w:type="dxa"/>
            <w:bottom w:w="0" w:type="dxa"/>
            <w:right w:w="108" w:type="dxa"/>
          </w:tblCellMar>
        </w:tblPrEx>
        <w:trPr>
          <w:trHeight w:val="340" w:hRule="atLeast"/>
          <w:tblHeader/>
          <w:jc w:val="center"/>
        </w:trPr>
        <w:tc>
          <w:tcPr>
            <w:tcW w:w="946" w:type="pct"/>
            <w:vAlign w:val="center"/>
          </w:tcPr>
          <w:p>
            <w:pPr>
              <w:spacing w:line="240" w:lineRule="auto"/>
              <w:ind w:firstLine="0" w:firstLineChars="0"/>
              <w:rPr>
                <w:color w:val="auto"/>
                <w:sz w:val="21"/>
                <w:szCs w:val="21"/>
              </w:rPr>
            </w:pPr>
            <w:r>
              <w:rPr>
                <w:rFonts w:hAnsi="宋体"/>
                <w:color w:val="auto"/>
                <w:sz w:val="21"/>
                <w:szCs w:val="21"/>
              </w:rPr>
              <w:t>健康危害：</w:t>
            </w:r>
          </w:p>
        </w:tc>
        <w:tc>
          <w:tcPr>
            <w:tcW w:w="4053" w:type="pct"/>
            <w:gridSpan w:val="4"/>
            <w:vAlign w:val="center"/>
          </w:tcPr>
          <w:p>
            <w:pPr>
              <w:spacing w:line="240" w:lineRule="auto"/>
              <w:ind w:firstLine="0" w:firstLineChars="0"/>
              <w:rPr>
                <w:color w:val="auto"/>
                <w:sz w:val="21"/>
                <w:szCs w:val="21"/>
              </w:rPr>
            </w:pPr>
            <w:r>
              <w:rPr>
                <w:rFonts w:hAnsi="宋体"/>
                <w:color w:val="auto"/>
                <w:sz w:val="21"/>
                <w:szCs w:val="21"/>
              </w:rPr>
              <w:t>甲烷对人基本无毒，但浓度过高时，使空气中氧含量明显降低，使人窒息。当空气中甲烷达</w:t>
            </w:r>
            <w:r>
              <w:rPr>
                <w:color w:val="auto"/>
                <w:sz w:val="21"/>
                <w:szCs w:val="21"/>
              </w:rPr>
              <w:t>25%</w:t>
            </w:r>
            <w:r>
              <w:rPr>
                <w:rFonts w:hint="eastAsia"/>
                <w:color w:val="auto"/>
                <w:sz w:val="21"/>
                <w:szCs w:val="21"/>
              </w:rPr>
              <w:t>~</w:t>
            </w:r>
            <w:r>
              <w:rPr>
                <w:color w:val="auto"/>
                <w:sz w:val="21"/>
                <w:szCs w:val="21"/>
              </w:rPr>
              <w:t>30%</w:t>
            </w:r>
            <w:r>
              <w:rPr>
                <w:rFonts w:hAnsi="宋体"/>
                <w:color w:val="auto"/>
                <w:sz w:val="21"/>
                <w:szCs w:val="21"/>
              </w:rPr>
              <w:t>时，可引起头痛、头晕、乏力、注意力不集中、呼吸和心跳加速、共济失调。若不及时脱离，可致窒息死亡。皮肤接触液化本品，可致冻伤。</w:t>
            </w:r>
          </w:p>
        </w:tc>
      </w:tr>
      <w:tr>
        <w:tblPrEx>
          <w:tblBorders>
            <w:top w:val="single" w:color="auto" w:sz="2" w:space="0"/>
            <w:left w:val="none" w:color="auto" w:sz="0" w:space="0"/>
            <w:bottom w:val="single" w:color="auto" w:sz="2" w:space="0"/>
            <w:right w:val="none" w:color="auto" w:sz="0" w:space="0"/>
            <w:insideH w:val="single" w:color="auto" w:sz="2" w:space="0"/>
            <w:insideV w:val="single" w:color="auto" w:sz="6" w:space="0"/>
          </w:tblBorders>
          <w:tblCellMar>
            <w:top w:w="0" w:type="dxa"/>
            <w:left w:w="108" w:type="dxa"/>
            <w:bottom w:w="0" w:type="dxa"/>
            <w:right w:w="108" w:type="dxa"/>
          </w:tblCellMar>
        </w:tblPrEx>
        <w:trPr>
          <w:trHeight w:val="340" w:hRule="atLeast"/>
          <w:tblHeader/>
          <w:jc w:val="center"/>
        </w:trPr>
        <w:tc>
          <w:tcPr>
            <w:tcW w:w="5000" w:type="pct"/>
            <w:gridSpan w:val="5"/>
            <w:vAlign w:val="center"/>
          </w:tcPr>
          <w:p>
            <w:pPr>
              <w:spacing w:line="240" w:lineRule="auto"/>
              <w:ind w:firstLine="0" w:firstLineChars="0"/>
              <w:rPr>
                <w:color w:val="auto"/>
                <w:sz w:val="21"/>
                <w:szCs w:val="21"/>
              </w:rPr>
            </w:pPr>
            <w:r>
              <w:rPr>
                <w:rFonts w:hAnsi="宋体"/>
                <w:color w:val="auto"/>
                <w:sz w:val="21"/>
                <w:szCs w:val="21"/>
              </w:rPr>
              <w:t>第二部分</w:t>
            </w:r>
            <w:r>
              <w:rPr>
                <w:color w:val="auto"/>
                <w:sz w:val="21"/>
                <w:szCs w:val="21"/>
              </w:rPr>
              <w:t xml:space="preserve">   </w:t>
            </w:r>
            <w:r>
              <w:rPr>
                <w:rFonts w:hAnsi="宋体"/>
                <w:color w:val="auto"/>
                <w:sz w:val="21"/>
                <w:szCs w:val="21"/>
              </w:rPr>
              <w:t>理化特性</w:t>
            </w:r>
          </w:p>
        </w:tc>
      </w:tr>
      <w:tr>
        <w:tblPrEx>
          <w:tblBorders>
            <w:top w:val="single" w:color="auto" w:sz="2" w:space="0"/>
            <w:left w:val="none" w:color="auto" w:sz="0" w:space="0"/>
            <w:bottom w:val="single" w:color="auto" w:sz="2" w:space="0"/>
            <w:right w:val="none" w:color="auto" w:sz="0" w:space="0"/>
            <w:insideH w:val="single" w:color="auto" w:sz="2" w:space="0"/>
            <w:insideV w:val="single" w:color="auto" w:sz="6" w:space="0"/>
          </w:tblBorders>
          <w:tblCellMar>
            <w:top w:w="0" w:type="dxa"/>
            <w:left w:w="108" w:type="dxa"/>
            <w:bottom w:w="0" w:type="dxa"/>
            <w:right w:w="108" w:type="dxa"/>
          </w:tblCellMar>
        </w:tblPrEx>
        <w:trPr>
          <w:trHeight w:val="340" w:hRule="atLeast"/>
          <w:tblHeader/>
          <w:jc w:val="center"/>
        </w:trPr>
        <w:tc>
          <w:tcPr>
            <w:tcW w:w="946" w:type="pct"/>
            <w:vAlign w:val="center"/>
          </w:tcPr>
          <w:p>
            <w:pPr>
              <w:spacing w:line="240" w:lineRule="auto"/>
              <w:ind w:firstLine="0" w:firstLineChars="0"/>
              <w:rPr>
                <w:color w:val="auto"/>
                <w:sz w:val="21"/>
                <w:szCs w:val="21"/>
              </w:rPr>
            </w:pPr>
            <w:r>
              <w:rPr>
                <w:rFonts w:hAnsi="宋体"/>
                <w:color w:val="auto"/>
                <w:sz w:val="21"/>
                <w:szCs w:val="21"/>
              </w:rPr>
              <w:t>外观及性状：</w:t>
            </w:r>
          </w:p>
        </w:tc>
        <w:tc>
          <w:tcPr>
            <w:tcW w:w="4053" w:type="pct"/>
            <w:gridSpan w:val="4"/>
            <w:vAlign w:val="center"/>
          </w:tcPr>
          <w:p>
            <w:pPr>
              <w:spacing w:line="240" w:lineRule="auto"/>
              <w:ind w:firstLine="0" w:firstLineChars="0"/>
              <w:rPr>
                <w:color w:val="auto"/>
                <w:sz w:val="21"/>
                <w:szCs w:val="21"/>
              </w:rPr>
            </w:pPr>
            <w:r>
              <w:rPr>
                <w:rFonts w:hAnsi="宋体"/>
                <w:color w:val="auto"/>
                <w:sz w:val="21"/>
                <w:szCs w:val="21"/>
              </w:rPr>
              <w:t>无色无臭气体</w:t>
            </w:r>
          </w:p>
        </w:tc>
      </w:tr>
      <w:tr>
        <w:tblPrEx>
          <w:tblBorders>
            <w:top w:val="single" w:color="auto" w:sz="2" w:space="0"/>
            <w:left w:val="none" w:color="auto" w:sz="0" w:space="0"/>
            <w:bottom w:val="single" w:color="auto" w:sz="2" w:space="0"/>
            <w:right w:val="none" w:color="auto" w:sz="0" w:space="0"/>
            <w:insideH w:val="single" w:color="auto" w:sz="2" w:space="0"/>
            <w:insideV w:val="single" w:color="auto" w:sz="6" w:space="0"/>
          </w:tblBorders>
          <w:tblCellMar>
            <w:top w:w="0" w:type="dxa"/>
            <w:left w:w="108" w:type="dxa"/>
            <w:bottom w:w="0" w:type="dxa"/>
            <w:right w:w="108" w:type="dxa"/>
          </w:tblCellMar>
        </w:tblPrEx>
        <w:trPr>
          <w:trHeight w:val="340" w:hRule="atLeast"/>
          <w:tblHeader/>
          <w:jc w:val="center"/>
        </w:trPr>
        <w:tc>
          <w:tcPr>
            <w:tcW w:w="946" w:type="pct"/>
            <w:vAlign w:val="center"/>
          </w:tcPr>
          <w:p>
            <w:pPr>
              <w:spacing w:line="240" w:lineRule="auto"/>
              <w:ind w:firstLine="0" w:firstLineChars="0"/>
              <w:rPr>
                <w:color w:val="auto"/>
                <w:sz w:val="21"/>
                <w:szCs w:val="21"/>
              </w:rPr>
            </w:pPr>
            <w:r>
              <w:rPr>
                <w:rFonts w:hAnsi="宋体"/>
                <w:color w:val="auto"/>
                <w:sz w:val="21"/>
                <w:szCs w:val="21"/>
              </w:rPr>
              <w:t>熔点（</w:t>
            </w:r>
            <w:r>
              <w:rPr>
                <w:rFonts w:ascii="宋体" w:hAnsi="宋体"/>
                <w:color w:val="auto"/>
                <w:sz w:val="21"/>
                <w:szCs w:val="21"/>
              </w:rPr>
              <w:t>℃</w:t>
            </w:r>
            <w:r>
              <w:rPr>
                <w:rFonts w:hAnsi="宋体"/>
                <w:color w:val="auto"/>
                <w:sz w:val="21"/>
                <w:szCs w:val="21"/>
              </w:rPr>
              <w:t>）：</w:t>
            </w:r>
          </w:p>
        </w:tc>
        <w:tc>
          <w:tcPr>
            <w:tcW w:w="1562" w:type="pct"/>
            <w:vAlign w:val="center"/>
          </w:tcPr>
          <w:p>
            <w:pPr>
              <w:spacing w:line="240" w:lineRule="auto"/>
              <w:ind w:firstLine="0" w:firstLineChars="0"/>
              <w:rPr>
                <w:color w:val="auto"/>
                <w:sz w:val="21"/>
                <w:szCs w:val="21"/>
              </w:rPr>
            </w:pPr>
            <w:r>
              <w:rPr>
                <w:color w:val="auto"/>
                <w:sz w:val="21"/>
                <w:szCs w:val="21"/>
              </w:rPr>
              <w:t>&lt;-182.5</w:t>
            </w:r>
            <w:r>
              <w:rPr>
                <w:color w:val="auto"/>
                <w:sz w:val="21"/>
                <w:szCs w:val="21"/>
                <w:vertAlign w:val="superscript"/>
              </w:rPr>
              <w:t>0</w:t>
            </w:r>
            <w:r>
              <w:rPr>
                <w:color w:val="auto"/>
                <w:sz w:val="21"/>
                <w:szCs w:val="21"/>
              </w:rPr>
              <w:t>C</w:t>
            </w:r>
          </w:p>
        </w:tc>
        <w:tc>
          <w:tcPr>
            <w:tcW w:w="1306" w:type="pct"/>
            <w:vAlign w:val="center"/>
          </w:tcPr>
          <w:p>
            <w:pPr>
              <w:spacing w:line="240" w:lineRule="auto"/>
              <w:ind w:firstLine="0" w:firstLineChars="0"/>
              <w:rPr>
                <w:color w:val="auto"/>
                <w:sz w:val="21"/>
                <w:szCs w:val="21"/>
              </w:rPr>
            </w:pPr>
            <w:r>
              <w:rPr>
                <w:rFonts w:hAnsi="宋体"/>
                <w:color w:val="auto"/>
                <w:sz w:val="21"/>
                <w:szCs w:val="21"/>
              </w:rPr>
              <w:t>相对密度（水＝</w:t>
            </w:r>
            <w:r>
              <w:rPr>
                <w:color w:val="auto"/>
                <w:sz w:val="21"/>
                <w:szCs w:val="21"/>
              </w:rPr>
              <w:t>1</w:t>
            </w:r>
            <w:r>
              <w:rPr>
                <w:rFonts w:hAnsi="宋体"/>
                <w:color w:val="auto"/>
                <w:sz w:val="21"/>
                <w:szCs w:val="21"/>
              </w:rPr>
              <w:t>）</w:t>
            </w:r>
          </w:p>
        </w:tc>
        <w:tc>
          <w:tcPr>
            <w:tcW w:w="1183" w:type="pct"/>
            <w:gridSpan w:val="2"/>
            <w:vAlign w:val="center"/>
          </w:tcPr>
          <w:p>
            <w:pPr>
              <w:spacing w:line="240" w:lineRule="auto"/>
              <w:ind w:firstLine="0" w:firstLineChars="0"/>
              <w:rPr>
                <w:color w:val="auto"/>
                <w:sz w:val="21"/>
                <w:szCs w:val="21"/>
              </w:rPr>
            </w:pPr>
            <w:r>
              <w:rPr>
                <w:color w:val="auto"/>
                <w:sz w:val="21"/>
                <w:szCs w:val="21"/>
              </w:rPr>
              <w:t>0.42</w:t>
            </w:r>
            <w:r>
              <w:rPr>
                <w:rFonts w:hAnsi="宋体"/>
                <w:color w:val="auto"/>
                <w:sz w:val="21"/>
                <w:szCs w:val="21"/>
              </w:rPr>
              <w:t>（</w:t>
            </w:r>
            <w:r>
              <w:rPr>
                <w:color w:val="auto"/>
                <w:sz w:val="21"/>
                <w:szCs w:val="21"/>
              </w:rPr>
              <w:t>-164</w:t>
            </w:r>
            <w:r>
              <w:rPr>
                <w:color w:val="auto"/>
                <w:sz w:val="21"/>
                <w:szCs w:val="21"/>
                <w:vertAlign w:val="superscript"/>
              </w:rPr>
              <w:t>0</w:t>
            </w:r>
            <w:r>
              <w:rPr>
                <w:color w:val="auto"/>
                <w:sz w:val="21"/>
                <w:szCs w:val="21"/>
              </w:rPr>
              <w:t>C</w:t>
            </w:r>
            <w:r>
              <w:rPr>
                <w:rFonts w:hAnsi="宋体"/>
                <w:color w:val="auto"/>
                <w:sz w:val="21"/>
                <w:szCs w:val="21"/>
              </w:rPr>
              <w:t>）</w:t>
            </w:r>
          </w:p>
        </w:tc>
      </w:tr>
      <w:tr>
        <w:tblPrEx>
          <w:tblBorders>
            <w:top w:val="single" w:color="auto" w:sz="2" w:space="0"/>
            <w:left w:val="none" w:color="auto" w:sz="0" w:space="0"/>
            <w:bottom w:val="single" w:color="auto" w:sz="2" w:space="0"/>
            <w:right w:val="none" w:color="auto" w:sz="0" w:space="0"/>
            <w:insideH w:val="single" w:color="auto" w:sz="2" w:space="0"/>
            <w:insideV w:val="single" w:color="auto" w:sz="6" w:space="0"/>
          </w:tblBorders>
          <w:tblCellMar>
            <w:top w:w="0" w:type="dxa"/>
            <w:left w:w="108" w:type="dxa"/>
            <w:bottom w:w="0" w:type="dxa"/>
            <w:right w:w="108" w:type="dxa"/>
          </w:tblCellMar>
        </w:tblPrEx>
        <w:trPr>
          <w:trHeight w:val="340" w:hRule="atLeast"/>
          <w:tblHeader/>
          <w:jc w:val="center"/>
        </w:trPr>
        <w:tc>
          <w:tcPr>
            <w:tcW w:w="946" w:type="pct"/>
            <w:vAlign w:val="center"/>
          </w:tcPr>
          <w:p>
            <w:pPr>
              <w:spacing w:line="240" w:lineRule="auto"/>
              <w:ind w:firstLine="0" w:firstLineChars="0"/>
              <w:rPr>
                <w:color w:val="auto"/>
                <w:sz w:val="21"/>
                <w:szCs w:val="21"/>
              </w:rPr>
            </w:pPr>
            <w:r>
              <w:rPr>
                <w:rFonts w:hAnsi="宋体"/>
                <w:color w:val="auto"/>
                <w:sz w:val="21"/>
                <w:szCs w:val="21"/>
              </w:rPr>
              <w:t>闪点（</w:t>
            </w:r>
            <w:r>
              <w:rPr>
                <w:rFonts w:ascii="宋体" w:hAnsi="宋体"/>
                <w:color w:val="auto"/>
                <w:sz w:val="21"/>
                <w:szCs w:val="21"/>
              </w:rPr>
              <w:t>℃</w:t>
            </w:r>
            <w:r>
              <w:rPr>
                <w:rFonts w:hAnsi="宋体"/>
                <w:color w:val="auto"/>
                <w:sz w:val="21"/>
                <w:szCs w:val="21"/>
              </w:rPr>
              <w:t>）：</w:t>
            </w:r>
          </w:p>
        </w:tc>
        <w:tc>
          <w:tcPr>
            <w:tcW w:w="1562" w:type="pct"/>
            <w:vAlign w:val="center"/>
          </w:tcPr>
          <w:p>
            <w:pPr>
              <w:spacing w:line="240" w:lineRule="auto"/>
              <w:ind w:firstLine="0" w:firstLineChars="0"/>
              <w:rPr>
                <w:color w:val="auto"/>
                <w:sz w:val="21"/>
                <w:szCs w:val="21"/>
              </w:rPr>
            </w:pPr>
            <w:r>
              <w:rPr>
                <w:color w:val="auto"/>
                <w:sz w:val="21"/>
                <w:szCs w:val="21"/>
              </w:rPr>
              <w:t>-18842%</w:t>
            </w:r>
            <w:r>
              <w:rPr>
                <w:rFonts w:hAnsi="宋体"/>
                <w:color w:val="auto"/>
                <w:sz w:val="21"/>
                <w:szCs w:val="21"/>
              </w:rPr>
              <w:t>浓度</w:t>
            </w:r>
            <w:r>
              <w:rPr>
                <w:color w:val="auto"/>
                <w:sz w:val="21"/>
                <w:szCs w:val="21"/>
              </w:rPr>
              <w:t>×60</w:t>
            </w:r>
            <w:r>
              <w:rPr>
                <w:rFonts w:hAnsi="宋体"/>
                <w:color w:val="auto"/>
                <w:sz w:val="21"/>
                <w:szCs w:val="21"/>
              </w:rPr>
              <w:t>分钟</w:t>
            </w:r>
          </w:p>
        </w:tc>
        <w:tc>
          <w:tcPr>
            <w:tcW w:w="1306" w:type="pct"/>
            <w:vAlign w:val="center"/>
          </w:tcPr>
          <w:p>
            <w:pPr>
              <w:spacing w:line="240" w:lineRule="auto"/>
              <w:ind w:firstLine="0" w:firstLineChars="0"/>
              <w:rPr>
                <w:color w:val="auto"/>
                <w:sz w:val="21"/>
                <w:szCs w:val="21"/>
              </w:rPr>
            </w:pPr>
            <w:r>
              <w:rPr>
                <w:rFonts w:hAnsi="宋体"/>
                <w:color w:val="auto"/>
                <w:sz w:val="21"/>
                <w:szCs w:val="21"/>
              </w:rPr>
              <w:t>相对密度（空气</w:t>
            </w:r>
            <w:r>
              <w:rPr>
                <w:color w:val="auto"/>
                <w:sz w:val="21"/>
                <w:szCs w:val="21"/>
              </w:rPr>
              <w:t>=1</w:t>
            </w:r>
            <w:r>
              <w:rPr>
                <w:rFonts w:hAnsi="宋体"/>
                <w:color w:val="auto"/>
                <w:sz w:val="21"/>
                <w:szCs w:val="21"/>
              </w:rPr>
              <w:t>）</w:t>
            </w:r>
          </w:p>
        </w:tc>
        <w:tc>
          <w:tcPr>
            <w:tcW w:w="1183" w:type="pct"/>
            <w:gridSpan w:val="2"/>
            <w:vAlign w:val="center"/>
          </w:tcPr>
          <w:p>
            <w:pPr>
              <w:spacing w:line="240" w:lineRule="auto"/>
              <w:ind w:firstLine="0" w:firstLineChars="0"/>
              <w:rPr>
                <w:color w:val="auto"/>
                <w:sz w:val="21"/>
                <w:szCs w:val="21"/>
              </w:rPr>
            </w:pPr>
            <w:r>
              <w:rPr>
                <w:color w:val="auto"/>
                <w:sz w:val="21"/>
                <w:szCs w:val="21"/>
              </w:rPr>
              <w:t>0.55</w:t>
            </w:r>
          </w:p>
        </w:tc>
      </w:tr>
      <w:tr>
        <w:tblPrEx>
          <w:tblBorders>
            <w:top w:val="single" w:color="auto" w:sz="2" w:space="0"/>
            <w:left w:val="none" w:color="auto" w:sz="0" w:space="0"/>
            <w:bottom w:val="single" w:color="auto" w:sz="2" w:space="0"/>
            <w:right w:val="none" w:color="auto" w:sz="0" w:space="0"/>
            <w:insideH w:val="single" w:color="auto" w:sz="2" w:space="0"/>
            <w:insideV w:val="single" w:color="auto" w:sz="6" w:space="0"/>
          </w:tblBorders>
          <w:tblCellMar>
            <w:top w:w="0" w:type="dxa"/>
            <w:left w:w="108" w:type="dxa"/>
            <w:bottom w:w="0" w:type="dxa"/>
            <w:right w:w="108" w:type="dxa"/>
          </w:tblCellMar>
        </w:tblPrEx>
        <w:trPr>
          <w:trHeight w:val="340" w:hRule="atLeast"/>
          <w:tblHeader/>
          <w:jc w:val="center"/>
        </w:trPr>
        <w:tc>
          <w:tcPr>
            <w:tcW w:w="946" w:type="pct"/>
            <w:vAlign w:val="center"/>
          </w:tcPr>
          <w:p>
            <w:pPr>
              <w:spacing w:line="240" w:lineRule="auto"/>
              <w:ind w:firstLine="0" w:firstLineChars="0"/>
              <w:rPr>
                <w:color w:val="auto"/>
                <w:sz w:val="21"/>
                <w:szCs w:val="21"/>
              </w:rPr>
            </w:pPr>
            <w:r>
              <w:rPr>
                <w:rFonts w:hAnsi="宋体"/>
                <w:color w:val="auto"/>
                <w:sz w:val="21"/>
                <w:szCs w:val="21"/>
              </w:rPr>
              <w:t>最低点火能量</w:t>
            </w:r>
          </w:p>
        </w:tc>
        <w:tc>
          <w:tcPr>
            <w:tcW w:w="1562" w:type="pct"/>
            <w:vAlign w:val="center"/>
          </w:tcPr>
          <w:p>
            <w:pPr>
              <w:spacing w:line="240" w:lineRule="auto"/>
              <w:ind w:firstLine="0" w:firstLineChars="0"/>
              <w:rPr>
                <w:color w:val="auto"/>
                <w:sz w:val="21"/>
                <w:szCs w:val="21"/>
              </w:rPr>
            </w:pPr>
            <w:r>
              <w:rPr>
                <w:color w:val="auto"/>
                <w:sz w:val="21"/>
                <w:szCs w:val="21"/>
              </w:rPr>
              <w:t>0.28mj</w:t>
            </w:r>
          </w:p>
        </w:tc>
        <w:tc>
          <w:tcPr>
            <w:tcW w:w="1306" w:type="pct"/>
            <w:vAlign w:val="center"/>
          </w:tcPr>
          <w:p>
            <w:pPr>
              <w:spacing w:line="240" w:lineRule="auto"/>
              <w:ind w:firstLine="0" w:firstLineChars="0"/>
              <w:rPr>
                <w:color w:val="auto"/>
                <w:sz w:val="21"/>
                <w:szCs w:val="21"/>
              </w:rPr>
            </w:pPr>
            <w:r>
              <w:rPr>
                <w:rFonts w:hAnsi="宋体"/>
                <w:color w:val="auto"/>
                <w:sz w:val="21"/>
                <w:szCs w:val="21"/>
              </w:rPr>
              <w:t>爆炸上限％（</w:t>
            </w:r>
            <w:r>
              <w:rPr>
                <w:color w:val="auto"/>
                <w:sz w:val="21"/>
                <w:szCs w:val="21"/>
              </w:rPr>
              <w:t>V/V</w:t>
            </w:r>
            <w:r>
              <w:rPr>
                <w:rFonts w:hAnsi="宋体"/>
                <w:color w:val="auto"/>
                <w:sz w:val="21"/>
                <w:szCs w:val="21"/>
              </w:rPr>
              <w:t>）：</w:t>
            </w:r>
          </w:p>
        </w:tc>
        <w:tc>
          <w:tcPr>
            <w:tcW w:w="1183" w:type="pct"/>
            <w:gridSpan w:val="2"/>
            <w:vAlign w:val="center"/>
          </w:tcPr>
          <w:p>
            <w:pPr>
              <w:spacing w:line="240" w:lineRule="auto"/>
              <w:ind w:firstLine="0" w:firstLineChars="0"/>
              <w:rPr>
                <w:color w:val="auto"/>
                <w:sz w:val="21"/>
                <w:szCs w:val="21"/>
              </w:rPr>
            </w:pPr>
            <w:r>
              <w:rPr>
                <w:color w:val="auto"/>
                <w:sz w:val="21"/>
                <w:szCs w:val="21"/>
              </w:rPr>
              <w:t>15%</w:t>
            </w:r>
            <w:r>
              <w:rPr>
                <w:rFonts w:hAnsi="宋体"/>
                <w:color w:val="auto"/>
                <w:sz w:val="21"/>
                <w:szCs w:val="21"/>
              </w:rPr>
              <w:t>（体积百分比）</w:t>
            </w:r>
          </w:p>
        </w:tc>
      </w:tr>
      <w:tr>
        <w:tblPrEx>
          <w:tblBorders>
            <w:top w:val="single" w:color="auto" w:sz="2" w:space="0"/>
            <w:left w:val="none" w:color="auto" w:sz="0" w:space="0"/>
            <w:bottom w:val="single" w:color="auto" w:sz="2" w:space="0"/>
            <w:right w:val="none" w:color="auto" w:sz="0" w:space="0"/>
            <w:insideH w:val="single" w:color="auto" w:sz="2" w:space="0"/>
            <w:insideV w:val="single" w:color="auto" w:sz="6" w:space="0"/>
          </w:tblBorders>
          <w:tblCellMar>
            <w:top w:w="0" w:type="dxa"/>
            <w:left w:w="108" w:type="dxa"/>
            <w:bottom w:w="0" w:type="dxa"/>
            <w:right w:w="108" w:type="dxa"/>
          </w:tblCellMar>
        </w:tblPrEx>
        <w:trPr>
          <w:trHeight w:val="340" w:hRule="atLeast"/>
          <w:tblHeader/>
          <w:jc w:val="center"/>
        </w:trPr>
        <w:tc>
          <w:tcPr>
            <w:tcW w:w="946" w:type="pct"/>
            <w:vAlign w:val="center"/>
          </w:tcPr>
          <w:p>
            <w:pPr>
              <w:spacing w:line="240" w:lineRule="auto"/>
              <w:ind w:firstLine="0" w:firstLineChars="0"/>
              <w:rPr>
                <w:color w:val="auto"/>
                <w:sz w:val="21"/>
                <w:szCs w:val="21"/>
              </w:rPr>
            </w:pPr>
            <w:r>
              <w:rPr>
                <w:rFonts w:hAnsi="宋体"/>
                <w:color w:val="auto"/>
                <w:sz w:val="21"/>
                <w:szCs w:val="21"/>
              </w:rPr>
              <w:t>沸点（</w:t>
            </w:r>
            <w:r>
              <w:rPr>
                <w:rFonts w:ascii="宋体" w:hAnsi="宋体"/>
                <w:color w:val="auto"/>
                <w:sz w:val="21"/>
                <w:szCs w:val="21"/>
              </w:rPr>
              <w:t>℃</w:t>
            </w:r>
            <w:r>
              <w:rPr>
                <w:rFonts w:hAnsi="宋体"/>
                <w:color w:val="auto"/>
                <w:sz w:val="21"/>
                <w:szCs w:val="21"/>
              </w:rPr>
              <w:t>）：</w:t>
            </w:r>
          </w:p>
        </w:tc>
        <w:tc>
          <w:tcPr>
            <w:tcW w:w="1562" w:type="pct"/>
            <w:vAlign w:val="center"/>
          </w:tcPr>
          <w:p>
            <w:pPr>
              <w:spacing w:line="240" w:lineRule="auto"/>
              <w:ind w:firstLine="0" w:firstLineChars="0"/>
              <w:rPr>
                <w:color w:val="auto"/>
                <w:sz w:val="21"/>
                <w:szCs w:val="21"/>
              </w:rPr>
            </w:pPr>
            <w:r>
              <w:rPr>
                <w:color w:val="auto"/>
                <w:sz w:val="21"/>
                <w:szCs w:val="21"/>
              </w:rPr>
              <w:t>-161.5</w:t>
            </w:r>
            <w:r>
              <w:rPr>
                <w:color w:val="auto"/>
                <w:sz w:val="21"/>
                <w:szCs w:val="21"/>
                <w:vertAlign w:val="superscript"/>
              </w:rPr>
              <w:t>0</w:t>
            </w:r>
            <w:r>
              <w:rPr>
                <w:color w:val="auto"/>
                <w:sz w:val="21"/>
                <w:szCs w:val="21"/>
              </w:rPr>
              <w:t>C</w:t>
            </w:r>
          </w:p>
        </w:tc>
        <w:tc>
          <w:tcPr>
            <w:tcW w:w="1306" w:type="pct"/>
            <w:vAlign w:val="center"/>
          </w:tcPr>
          <w:p>
            <w:pPr>
              <w:spacing w:line="240" w:lineRule="auto"/>
              <w:ind w:firstLine="0" w:firstLineChars="0"/>
              <w:rPr>
                <w:color w:val="auto"/>
                <w:sz w:val="21"/>
                <w:szCs w:val="21"/>
              </w:rPr>
            </w:pPr>
            <w:r>
              <w:rPr>
                <w:rFonts w:hAnsi="宋体"/>
                <w:color w:val="auto"/>
                <w:sz w:val="21"/>
                <w:szCs w:val="21"/>
              </w:rPr>
              <w:t>爆炸下限％（</w:t>
            </w:r>
            <w:r>
              <w:rPr>
                <w:color w:val="auto"/>
                <w:sz w:val="21"/>
                <w:szCs w:val="21"/>
              </w:rPr>
              <w:t>V/V</w:t>
            </w:r>
            <w:r>
              <w:rPr>
                <w:rFonts w:hAnsi="宋体"/>
                <w:color w:val="auto"/>
                <w:sz w:val="21"/>
                <w:szCs w:val="21"/>
              </w:rPr>
              <w:t>）：</w:t>
            </w:r>
          </w:p>
        </w:tc>
        <w:tc>
          <w:tcPr>
            <w:tcW w:w="1183" w:type="pct"/>
            <w:gridSpan w:val="2"/>
            <w:vAlign w:val="center"/>
          </w:tcPr>
          <w:p>
            <w:pPr>
              <w:spacing w:line="240" w:lineRule="auto"/>
              <w:ind w:firstLine="0" w:firstLineChars="0"/>
              <w:rPr>
                <w:color w:val="auto"/>
                <w:sz w:val="21"/>
                <w:szCs w:val="21"/>
              </w:rPr>
            </w:pPr>
            <w:r>
              <w:rPr>
                <w:color w:val="auto"/>
                <w:sz w:val="21"/>
                <w:szCs w:val="21"/>
              </w:rPr>
              <w:t>5.15%</w:t>
            </w:r>
          </w:p>
        </w:tc>
      </w:tr>
      <w:tr>
        <w:tblPrEx>
          <w:tblBorders>
            <w:top w:val="single" w:color="auto" w:sz="2" w:space="0"/>
            <w:left w:val="none" w:color="auto" w:sz="0" w:space="0"/>
            <w:bottom w:val="single" w:color="auto" w:sz="2" w:space="0"/>
            <w:right w:val="none" w:color="auto" w:sz="0" w:space="0"/>
            <w:insideH w:val="single" w:color="auto" w:sz="2" w:space="0"/>
            <w:insideV w:val="single" w:color="auto" w:sz="6" w:space="0"/>
          </w:tblBorders>
          <w:tblCellMar>
            <w:top w:w="0" w:type="dxa"/>
            <w:left w:w="108" w:type="dxa"/>
            <w:bottom w:w="0" w:type="dxa"/>
            <w:right w:w="108" w:type="dxa"/>
          </w:tblCellMar>
        </w:tblPrEx>
        <w:trPr>
          <w:trHeight w:val="340" w:hRule="atLeast"/>
          <w:tblHeader/>
          <w:jc w:val="center"/>
        </w:trPr>
        <w:tc>
          <w:tcPr>
            <w:tcW w:w="946" w:type="pct"/>
            <w:vAlign w:val="center"/>
          </w:tcPr>
          <w:p>
            <w:pPr>
              <w:spacing w:line="240" w:lineRule="auto"/>
              <w:ind w:firstLine="0" w:firstLineChars="0"/>
              <w:rPr>
                <w:color w:val="auto"/>
                <w:sz w:val="21"/>
                <w:szCs w:val="21"/>
              </w:rPr>
            </w:pPr>
            <w:r>
              <w:rPr>
                <w:rFonts w:hAnsi="宋体"/>
                <w:color w:val="auto"/>
                <w:sz w:val="21"/>
                <w:szCs w:val="21"/>
              </w:rPr>
              <w:t>溶解性：</w:t>
            </w:r>
          </w:p>
        </w:tc>
        <w:tc>
          <w:tcPr>
            <w:tcW w:w="4053" w:type="pct"/>
            <w:gridSpan w:val="4"/>
            <w:vAlign w:val="center"/>
          </w:tcPr>
          <w:p>
            <w:pPr>
              <w:spacing w:line="240" w:lineRule="auto"/>
              <w:ind w:firstLine="0" w:firstLineChars="0"/>
              <w:rPr>
                <w:color w:val="auto"/>
                <w:sz w:val="21"/>
                <w:szCs w:val="21"/>
              </w:rPr>
            </w:pPr>
            <w:r>
              <w:rPr>
                <w:rFonts w:hAnsi="宋体"/>
                <w:color w:val="auto"/>
                <w:sz w:val="21"/>
                <w:szCs w:val="21"/>
              </w:rPr>
              <w:t>微溶于水、溶于醇、乙醚。</w:t>
            </w:r>
          </w:p>
        </w:tc>
      </w:tr>
      <w:tr>
        <w:tblPrEx>
          <w:tblBorders>
            <w:top w:val="single" w:color="auto" w:sz="2" w:space="0"/>
            <w:left w:val="none" w:color="auto" w:sz="0" w:space="0"/>
            <w:bottom w:val="single" w:color="auto" w:sz="2" w:space="0"/>
            <w:right w:val="none" w:color="auto" w:sz="0" w:space="0"/>
            <w:insideH w:val="single" w:color="auto" w:sz="2" w:space="0"/>
            <w:insideV w:val="single" w:color="auto" w:sz="6" w:space="0"/>
          </w:tblBorders>
          <w:tblCellMar>
            <w:top w:w="0" w:type="dxa"/>
            <w:left w:w="108" w:type="dxa"/>
            <w:bottom w:w="0" w:type="dxa"/>
            <w:right w:w="108" w:type="dxa"/>
          </w:tblCellMar>
        </w:tblPrEx>
        <w:trPr>
          <w:trHeight w:val="340" w:hRule="atLeast"/>
          <w:tblHeader/>
          <w:jc w:val="center"/>
        </w:trPr>
        <w:tc>
          <w:tcPr>
            <w:tcW w:w="946" w:type="pct"/>
            <w:vAlign w:val="center"/>
          </w:tcPr>
          <w:p>
            <w:pPr>
              <w:spacing w:line="240" w:lineRule="auto"/>
              <w:ind w:firstLine="0" w:firstLineChars="0"/>
              <w:rPr>
                <w:color w:val="auto"/>
                <w:sz w:val="21"/>
                <w:szCs w:val="21"/>
              </w:rPr>
            </w:pPr>
            <w:r>
              <w:rPr>
                <w:rFonts w:hAnsi="宋体"/>
                <w:color w:val="auto"/>
                <w:sz w:val="21"/>
                <w:szCs w:val="21"/>
              </w:rPr>
              <w:t>主要用途：</w:t>
            </w:r>
          </w:p>
        </w:tc>
        <w:tc>
          <w:tcPr>
            <w:tcW w:w="4053" w:type="pct"/>
            <w:gridSpan w:val="4"/>
            <w:vAlign w:val="center"/>
          </w:tcPr>
          <w:p>
            <w:pPr>
              <w:spacing w:line="240" w:lineRule="auto"/>
              <w:ind w:firstLine="0" w:firstLineChars="0"/>
              <w:rPr>
                <w:color w:val="auto"/>
                <w:sz w:val="21"/>
                <w:szCs w:val="21"/>
              </w:rPr>
            </w:pPr>
            <w:r>
              <w:rPr>
                <w:rFonts w:hAnsi="宋体"/>
                <w:color w:val="auto"/>
                <w:sz w:val="21"/>
                <w:szCs w:val="21"/>
              </w:rPr>
              <w:t>主要用作燃料和用于炭黑、氢、乙炔、甲醛等的制造</w:t>
            </w:r>
          </w:p>
        </w:tc>
      </w:tr>
      <w:tr>
        <w:tblPrEx>
          <w:tblBorders>
            <w:top w:val="single" w:color="auto" w:sz="2" w:space="0"/>
            <w:left w:val="none" w:color="auto" w:sz="0" w:space="0"/>
            <w:bottom w:val="single" w:color="auto" w:sz="2" w:space="0"/>
            <w:right w:val="none" w:color="auto" w:sz="0" w:space="0"/>
            <w:insideH w:val="single" w:color="auto" w:sz="2" w:space="0"/>
            <w:insideV w:val="single" w:color="auto" w:sz="6" w:space="0"/>
          </w:tblBorders>
          <w:tblCellMar>
            <w:top w:w="0" w:type="dxa"/>
            <w:left w:w="108" w:type="dxa"/>
            <w:bottom w:w="0" w:type="dxa"/>
            <w:right w:w="108" w:type="dxa"/>
          </w:tblCellMar>
        </w:tblPrEx>
        <w:trPr>
          <w:trHeight w:val="340" w:hRule="atLeast"/>
          <w:tblHeader/>
          <w:jc w:val="center"/>
        </w:trPr>
        <w:tc>
          <w:tcPr>
            <w:tcW w:w="5000" w:type="pct"/>
            <w:gridSpan w:val="5"/>
            <w:vAlign w:val="center"/>
          </w:tcPr>
          <w:p>
            <w:pPr>
              <w:spacing w:line="240" w:lineRule="auto"/>
              <w:ind w:firstLine="0" w:firstLineChars="0"/>
              <w:rPr>
                <w:color w:val="auto"/>
                <w:sz w:val="21"/>
                <w:szCs w:val="21"/>
              </w:rPr>
            </w:pPr>
            <w:r>
              <w:rPr>
                <w:rFonts w:hAnsi="宋体"/>
                <w:color w:val="auto"/>
                <w:sz w:val="21"/>
                <w:szCs w:val="21"/>
              </w:rPr>
              <w:t>第三部分</w:t>
            </w:r>
            <w:r>
              <w:rPr>
                <w:color w:val="auto"/>
                <w:sz w:val="21"/>
                <w:szCs w:val="21"/>
              </w:rPr>
              <w:t xml:space="preserve">   </w:t>
            </w:r>
            <w:r>
              <w:rPr>
                <w:rFonts w:hAnsi="宋体"/>
                <w:color w:val="auto"/>
                <w:sz w:val="21"/>
                <w:szCs w:val="21"/>
              </w:rPr>
              <w:t>稳定性及化学活性</w:t>
            </w:r>
          </w:p>
        </w:tc>
      </w:tr>
      <w:tr>
        <w:tblPrEx>
          <w:tblBorders>
            <w:top w:val="single" w:color="auto" w:sz="2" w:space="0"/>
            <w:left w:val="none" w:color="auto" w:sz="0" w:space="0"/>
            <w:bottom w:val="single" w:color="auto" w:sz="2" w:space="0"/>
            <w:right w:val="none" w:color="auto" w:sz="0" w:space="0"/>
            <w:insideH w:val="single" w:color="auto" w:sz="2" w:space="0"/>
            <w:insideV w:val="single" w:color="auto" w:sz="6" w:space="0"/>
          </w:tblBorders>
          <w:tblCellMar>
            <w:top w:w="0" w:type="dxa"/>
            <w:left w:w="108" w:type="dxa"/>
            <w:bottom w:w="0" w:type="dxa"/>
            <w:right w:w="108" w:type="dxa"/>
          </w:tblCellMar>
        </w:tblPrEx>
        <w:trPr>
          <w:trHeight w:val="340" w:hRule="atLeast"/>
          <w:tblHeader/>
          <w:jc w:val="center"/>
        </w:trPr>
        <w:tc>
          <w:tcPr>
            <w:tcW w:w="946" w:type="pct"/>
            <w:vAlign w:val="center"/>
          </w:tcPr>
          <w:p>
            <w:pPr>
              <w:spacing w:line="240" w:lineRule="auto"/>
              <w:ind w:firstLine="0" w:firstLineChars="0"/>
              <w:rPr>
                <w:color w:val="auto"/>
                <w:sz w:val="21"/>
                <w:szCs w:val="21"/>
              </w:rPr>
            </w:pPr>
            <w:r>
              <w:rPr>
                <w:rFonts w:hAnsi="宋体"/>
                <w:color w:val="auto"/>
                <w:sz w:val="21"/>
                <w:szCs w:val="21"/>
              </w:rPr>
              <w:t>稳定性：</w:t>
            </w:r>
          </w:p>
        </w:tc>
        <w:tc>
          <w:tcPr>
            <w:tcW w:w="1562" w:type="pct"/>
            <w:vAlign w:val="center"/>
          </w:tcPr>
          <w:p>
            <w:pPr>
              <w:spacing w:line="240" w:lineRule="auto"/>
              <w:ind w:firstLine="0" w:firstLineChars="0"/>
              <w:rPr>
                <w:color w:val="auto"/>
                <w:sz w:val="21"/>
                <w:szCs w:val="21"/>
              </w:rPr>
            </w:pPr>
            <w:r>
              <w:rPr>
                <w:rFonts w:hAnsi="宋体"/>
                <w:color w:val="auto"/>
                <w:sz w:val="21"/>
                <w:szCs w:val="21"/>
              </w:rPr>
              <w:t>稳定</w:t>
            </w:r>
          </w:p>
        </w:tc>
        <w:tc>
          <w:tcPr>
            <w:tcW w:w="1317" w:type="pct"/>
            <w:gridSpan w:val="2"/>
            <w:vAlign w:val="center"/>
          </w:tcPr>
          <w:p>
            <w:pPr>
              <w:spacing w:line="240" w:lineRule="auto"/>
              <w:ind w:firstLine="0" w:firstLineChars="0"/>
              <w:rPr>
                <w:color w:val="auto"/>
                <w:sz w:val="21"/>
                <w:szCs w:val="21"/>
              </w:rPr>
            </w:pPr>
            <w:r>
              <w:rPr>
                <w:rFonts w:hAnsi="宋体"/>
                <w:color w:val="auto"/>
                <w:sz w:val="21"/>
                <w:szCs w:val="21"/>
              </w:rPr>
              <w:t>避免接触的条件：</w:t>
            </w:r>
          </w:p>
        </w:tc>
        <w:tc>
          <w:tcPr>
            <w:tcW w:w="1172" w:type="pct"/>
            <w:vAlign w:val="center"/>
          </w:tcPr>
          <w:p>
            <w:pPr>
              <w:spacing w:line="240" w:lineRule="auto"/>
              <w:ind w:firstLine="0" w:firstLineChars="0"/>
              <w:rPr>
                <w:color w:val="auto"/>
                <w:sz w:val="21"/>
                <w:szCs w:val="21"/>
              </w:rPr>
            </w:pPr>
            <w:r>
              <w:rPr>
                <w:rFonts w:hAnsi="宋体"/>
                <w:color w:val="auto"/>
                <w:sz w:val="21"/>
                <w:szCs w:val="21"/>
              </w:rPr>
              <w:t>明火、高热。</w:t>
            </w:r>
          </w:p>
        </w:tc>
      </w:tr>
      <w:tr>
        <w:tblPrEx>
          <w:tblBorders>
            <w:top w:val="single" w:color="auto" w:sz="2" w:space="0"/>
            <w:left w:val="none" w:color="auto" w:sz="0" w:space="0"/>
            <w:bottom w:val="single" w:color="auto" w:sz="2" w:space="0"/>
            <w:right w:val="none" w:color="auto" w:sz="0" w:space="0"/>
            <w:insideH w:val="single" w:color="auto" w:sz="2" w:space="0"/>
            <w:insideV w:val="single" w:color="auto" w:sz="6" w:space="0"/>
          </w:tblBorders>
          <w:tblCellMar>
            <w:top w:w="0" w:type="dxa"/>
            <w:left w:w="108" w:type="dxa"/>
            <w:bottom w:w="0" w:type="dxa"/>
            <w:right w:w="108" w:type="dxa"/>
          </w:tblCellMar>
        </w:tblPrEx>
        <w:trPr>
          <w:trHeight w:val="340" w:hRule="atLeast"/>
          <w:tblHeader/>
          <w:jc w:val="center"/>
        </w:trPr>
        <w:tc>
          <w:tcPr>
            <w:tcW w:w="946" w:type="pct"/>
            <w:vAlign w:val="center"/>
          </w:tcPr>
          <w:p>
            <w:pPr>
              <w:spacing w:line="240" w:lineRule="auto"/>
              <w:ind w:firstLine="0" w:firstLineChars="0"/>
              <w:rPr>
                <w:color w:val="auto"/>
                <w:sz w:val="21"/>
                <w:szCs w:val="21"/>
              </w:rPr>
            </w:pPr>
            <w:r>
              <w:rPr>
                <w:rFonts w:hAnsi="宋体"/>
                <w:color w:val="auto"/>
                <w:sz w:val="21"/>
                <w:szCs w:val="21"/>
              </w:rPr>
              <w:t>禁配物：</w:t>
            </w:r>
          </w:p>
        </w:tc>
        <w:tc>
          <w:tcPr>
            <w:tcW w:w="1562" w:type="pct"/>
            <w:vAlign w:val="center"/>
          </w:tcPr>
          <w:p>
            <w:pPr>
              <w:spacing w:line="240" w:lineRule="auto"/>
              <w:ind w:firstLine="0" w:firstLineChars="0"/>
              <w:rPr>
                <w:color w:val="auto"/>
                <w:sz w:val="21"/>
                <w:szCs w:val="21"/>
              </w:rPr>
            </w:pPr>
            <w:r>
              <w:rPr>
                <w:rFonts w:hAnsi="宋体"/>
                <w:color w:val="auto"/>
                <w:sz w:val="21"/>
                <w:szCs w:val="21"/>
              </w:rPr>
              <w:t>强氧化剂</w:t>
            </w:r>
          </w:p>
        </w:tc>
        <w:tc>
          <w:tcPr>
            <w:tcW w:w="1317" w:type="pct"/>
            <w:gridSpan w:val="2"/>
            <w:vAlign w:val="center"/>
          </w:tcPr>
          <w:p>
            <w:pPr>
              <w:spacing w:line="240" w:lineRule="auto"/>
              <w:ind w:firstLine="0" w:firstLineChars="0"/>
              <w:rPr>
                <w:color w:val="auto"/>
                <w:sz w:val="21"/>
                <w:szCs w:val="21"/>
              </w:rPr>
            </w:pPr>
            <w:r>
              <w:rPr>
                <w:rFonts w:hAnsi="宋体"/>
                <w:color w:val="auto"/>
                <w:sz w:val="21"/>
                <w:szCs w:val="21"/>
              </w:rPr>
              <w:t>聚合危害：</w:t>
            </w:r>
          </w:p>
        </w:tc>
        <w:tc>
          <w:tcPr>
            <w:tcW w:w="1172" w:type="pct"/>
            <w:vAlign w:val="center"/>
          </w:tcPr>
          <w:p>
            <w:pPr>
              <w:spacing w:line="240" w:lineRule="auto"/>
              <w:ind w:firstLine="0" w:firstLineChars="0"/>
              <w:rPr>
                <w:color w:val="auto"/>
                <w:sz w:val="21"/>
                <w:szCs w:val="21"/>
              </w:rPr>
            </w:pPr>
            <w:r>
              <w:rPr>
                <w:rFonts w:hAnsi="宋体"/>
                <w:color w:val="auto"/>
                <w:sz w:val="21"/>
                <w:szCs w:val="21"/>
              </w:rPr>
              <w:t>不聚合</w:t>
            </w:r>
          </w:p>
        </w:tc>
      </w:tr>
      <w:tr>
        <w:tblPrEx>
          <w:tblBorders>
            <w:top w:val="single" w:color="auto" w:sz="2" w:space="0"/>
            <w:left w:val="none" w:color="auto" w:sz="0" w:space="0"/>
            <w:bottom w:val="single" w:color="auto" w:sz="2" w:space="0"/>
            <w:right w:val="none" w:color="auto" w:sz="0" w:space="0"/>
            <w:insideH w:val="single" w:color="auto" w:sz="2" w:space="0"/>
            <w:insideV w:val="single" w:color="auto" w:sz="6" w:space="0"/>
          </w:tblBorders>
          <w:tblCellMar>
            <w:top w:w="0" w:type="dxa"/>
            <w:left w:w="108" w:type="dxa"/>
            <w:bottom w:w="0" w:type="dxa"/>
            <w:right w:w="108" w:type="dxa"/>
          </w:tblCellMar>
        </w:tblPrEx>
        <w:trPr>
          <w:trHeight w:val="340" w:hRule="atLeast"/>
          <w:tblHeader/>
          <w:jc w:val="center"/>
        </w:trPr>
        <w:tc>
          <w:tcPr>
            <w:tcW w:w="946" w:type="pct"/>
            <w:vAlign w:val="center"/>
          </w:tcPr>
          <w:p>
            <w:pPr>
              <w:spacing w:line="240" w:lineRule="auto"/>
              <w:ind w:firstLine="0" w:firstLineChars="0"/>
              <w:rPr>
                <w:color w:val="auto"/>
                <w:sz w:val="21"/>
                <w:szCs w:val="21"/>
              </w:rPr>
            </w:pPr>
            <w:r>
              <w:rPr>
                <w:rFonts w:hAnsi="宋体"/>
                <w:color w:val="auto"/>
                <w:sz w:val="21"/>
                <w:szCs w:val="21"/>
              </w:rPr>
              <w:t>分解产物：</w:t>
            </w:r>
          </w:p>
        </w:tc>
        <w:tc>
          <w:tcPr>
            <w:tcW w:w="4053" w:type="pct"/>
            <w:gridSpan w:val="4"/>
            <w:vAlign w:val="center"/>
          </w:tcPr>
          <w:p>
            <w:pPr>
              <w:spacing w:line="240" w:lineRule="auto"/>
              <w:ind w:firstLine="0" w:firstLineChars="0"/>
              <w:rPr>
                <w:color w:val="auto"/>
                <w:sz w:val="21"/>
                <w:szCs w:val="21"/>
              </w:rPr>
            </w:pPr>
            <w:r>
              <w:rPr>
                <w:rFonts w:hAnsi="宋体"/>
                <w:color w:val="auto"/>
                <w:sz w:val="21"/>
                <w:szCs w:val="21"/>
              </w:rPr>
              <w:t>一氧化碳、二氧化碳。</w:t>
            </w:r>
          </w:p>
        </w:tc>
      </w:tr>
      <w:tr>
        <w:tblPrEx>
          <w:tblBorders>
            <w:top w:val="single" w:color="auto" w:sz="2" w:space="0"/>
            <w:left w:val="none" w:color="auto" w:sz="0" w:space="0"/>
            <w:bottom w:val="single" w:color="auto" w:sz="2" w:space="0"/>
            <w:right w:val="none" w:color="auto" w:sz="0" w:space="0"/>
            <w:insideH w:val="single" w:color="auto" w:sz="2" w:space="0"/>
            <w:insideV w:val="single" w:color="auto" w:sz="6" w:space="0"/>
          </w:tblBorders>
          <w:tblCellMar>
            <w:top w:w="0" w:type="dxa"/>
            <w:left w:w="108" w:type="dxa"/>
            <w:bottom w:w="0" w:type="dxa"/>
            <w:right w:w="108" w:type="dxa"/>
          </w:tblCellMar>
        </w:tblPrEx>
        <w:trPr>
          <w:trHeight w:val="340" w:hRule="atLeast"/>
          <w:tblHeader/>
          <w:jc w:val="center"/>
        </w:trPr>
        <w:tc>
          <w:tcPr>
            <w:tcW w:w="5000" w:type="pct"/>
            <w:gridSpan w:val="5"/>
            <w:vAlign w:val="center"/>
          </w:tcPr>
          <w:p>
            <w:pPr>
              <w:spacing w:line="240" w:lineRule="auto"/>
              <w:ind w:firstLine="0" w:firstLineChars="0"/>
              <w:rPr>
                <w:color w:val="auto"/>
                <w:sz w:val="21"/>
                <w:szCs w:val="21"/>
              </w:rPr>
            </w:pPr>
            <w:r>
              <w:rPr>
                <w:rFonts w:hAnsi="宋体"/>
                <w:color w:val="auto"/>
                <w:sz w:val="21"/>
                <w:szCs w:val="21"/>
              </w:rPr>
              <w:t>第四部分</w:t>
            </w:r>
            <w:r>
              <w:rPr>
                <w:color w:val="auto"/>
                <w:sz w:val="21"/>
                <w:szCs w:val="21"/>
              </w:rPr>
              <w:t xml:space="preserve">  </w:t>
            </w:r>
            <w:r>
              <w:rPr>
                <w:rFonts w:hAnsi="宋体"/>
                <w:color w:val="auto"/>
                <w:sz w:val="21"/>
                <w:szCs w:val="21"/>
              </w:rPr>
              <w:t>毒理学资料</w:t>
            </w:r>
          </w:p>
        </w:tc>
      </w:tr>
      <w:tr>
        <w:tblPrEx>
          <w:tblBorders>
            <w:top w:val="single" w:color="auto" w:sz="2" w:space="0"/>
            <w:left w:val="none" w:color="auto" w:sz="0" w:space="0"/>
            <w:bottom w:val="single" w:color="auto" w:sz="2" w:space="0"/>
            <w:right w:val="none" w:color="auto" w:sz="0" w:space="0"/>
            <w:insideH w:val="single" w:color="auto" w:sz="2" w:space="0"/>
            <w:insideV w:val="single" w:color="auto" w:sz="6" w:space="0"/>
          </w:tblBorders>
          <w:tblCellMar>
            <w:top w:w="0" w:type="dxa"/>
            <w:left w:w="108" w:type="dxa"/>
            <w:bottom w:w="0" w:type="dxa"/>
            <w:right w:w="108" w:type="dxa"/>
          </w:tblCellMar>
        </w:tblPrEx>
        <w:trPr>
          <w:trHeight w:val="340" w:hRule="atLeast"/>
          <w:tblHeader/>
          <w:jc w:val="center"/>
        </w:trPr>
        <w:tc>
          <w:tcPr>
            <w:tcW w:w="946" w:type="pct"/>
            <w:vAlign w:val="center"/>
          </w:tcPr>
          <w:p>
            <w:pPr>
              <w:spacing w:line="240" w:lineRule="auto"/>
              <w:ind w:firstLine="0" w:firstLineChars="0"/>
              <w:rPr>
                <w:color w:val="auto"/>
                <w:sz w:val="21"/>
                <w:szCs w:val="21"/>
              </w:rPr>
            </w:pPr>
            <w:r>
              <w:rPr>
                <w:rFonts w:hAnsi="宋体"/>
                <w:color w:val="auto"/>
                <w:sz w:val="21"/>
                <w:szCs w:val="21"/>
              </w:rPr>
              <w:t>急性毒性：</w:t>
            </w:r>
          </w:p>
        </w:tc>
        <w:tc>
          <w:tcPr>
            <w:tcW w:w="4053" w:type="pct"/>
            <w:gridSpan w:val="4"/>
            <w:vAlign w:val="center"/>
          </w:tcPr>
          <w:p>
            <w:pPr>
              <w:spacing w:line="240" w:lineRule="auto"/>
              <w:ind w:firstLine="0" w:firstLineChars="0"/>
              <w:rPr>
                <w:color w:val="auto"/>
                <w:kern w:val="0"/>
                <w:sz w:val="21"/>
                <w:szCs w:val="21"/>
              </w:rPr>
            </w:pPr>
            <w:r>
              <w:rPr>
                <w:color w:val="auto"/>
                <w:kern w:val="0"/>
                <w:sz w:val="21"/>
                <w:szCs w:val="21"/>
              </w:rPr>
              <w:t>LC</w:t>
            </w:r>
            <w:r>
              <w:rPr>
                <w:color w:val="auto"/>
                <w:kern w:val="0"/>
                <w:sz w:val="21"/>
                <w:szCs w:val="21"/>
                <w:vertAlign w:val="subscript"/>
              </w:rPr>
              <w:t>50</w:t>
            </w:r>
            <w:r>
              <w:rPr>
                <w:color w:val="auto"/>
                <w:kern w:val="0"/>
                <w:sz w:val="21"/>
                <w:szCs w:val="21"/>
              </w:rPr>
              <w:t>=50%</w:t>
            </w:r>
            <w:r>
              <w:rPr>
                <w:rFonts w:hint="eastAsia"/>
                <w:color w:val="auto"/>
                <w:kern w:val="0"/>
                <w:sz w:val="21"/>
                <w:szCs w:val="21"/>
              </w:rPr>
              <w:t>，</w:t>
            </w:r>
            <w:r>
              <w:rPr>
                <w:color w:val="auto"/>
                <w:kern w:val="0"/>
                <w:sz w:val="21"/>
                <w:szCs w:val="21"/>
              </w:rPr>
              <w:t>毒性分级：</w:t>
            </w:r>
            <w:r>
              <w:rPr>
                <w:rFonts w:hint="eastAsia" w:ascii="宋体" w:hAnsi="宋体" w:cs="宋体"/>
                <w:color w:val="auto"/>
                <w:kern w:val="0"/>
                <w:sz w:val="21"/>
                <w:szCs w:val="21"/>
              </w:rPr>
              <w:t>Ⅳ</w:t>
            </w:r>
            <w:r>
              <w:rPr>
                <w:color w:val="auto"/>
                <w:kern w:val="0"/>
                <w:sz w:val="21"/>
                <w:szCs w:val="21"/>
              </w:rPr>
              <w:t>(轻度危害)</w:t>
            </w:r>
          </w:p>
        </w:tc>
      </w:tr>
      <w:tr>
        <w:tblPrEx>
          <w:tblBorders>
            <w:top w:val="single" w:color="auto" w:sz="2" w:space="0"/>
            <w:left w:val="none" w:color="auto" w:sz="0" w:space="0"/>
            <w:bottom w:val="single" w:color="auto" w:sz="2" w:space="0"/>
            <w:right w:val="none" w:color="auto" w:sz="0" w:space="0"/>
            <w:insideH w:val="single" w:color="auto" w:sz="2" w:space="0"/>
            <w:insideV w:val="single" w:color="auto" w:sz="6" w:space="0"/>
          </w:tblBorders>
          <w:tblCellMar>
            <w:top w:w="0" w:type="dxa"/>
            <w:left w:w="108" w:type="dxa"/>
            <w:bottom w:w="0" w:type="dxa"/>
            <w:right w:w="108" w:type="dxa"/>
          </w:tblCellMar>
        </w:tblPrEx>
        <w:trPr>
          <w:trHeight w:val="340" w:hRule="atLeast"/>
          <w:tblHeader/>
          <w:jc w:val="center"/>
        </w:trPr>
        <w:tc>
          <w:tcPr>
            <w:tcW w:w="946" w:type="pct"/>
            <w:vAlign w:val="center"/>
          </w:tcPr>
          <w:p>
            <w:pPr>
              <w:spacing w:line="240" w:lineRule="auto"/>
              <w:ind w:firstLine="0" w:firstLineChars="0"/>
              <w:rPr>
                <w:color w:val="auto"/>
                <w:sz w:val="21"/>
                <w:szCs w:val="21"/>
              </w:rPr>
            </w:pPr>
            <w:r>
              <w:rPr>
                <w:rFonts w:hAnsi="宋体"/>
                <w:color w:val="auto"/>
                <w:sz w:val="21"/>
                <w:szCs w:val="21"/>
              </w:rPr>
              <w:t>毒性：</w:t>
            </w:r>
          </w:p>
        </w:tc>
        <w:tc>
          <w:tcPr>
            <w:tcW w:w="4053" w:type="pct"/>
            <w:gridSpan w:val="4"/>
            <w:vAlign w:val="center"/>
          </w:tcPr>
          <w:p>
            <w:pPr>
              <w:spacing w:line="240" w:lineRule="auto"/>
              <w:ind w:firstLine="0" w:firstLineChars="0"/>
              <w:rPr>
                <w:color w:val="auto"/>
                <w:sz w:val="21"/>
                <w:szCs w:val="21"/>
              </w:rPr>
            </w:pPr>
            <w:r>
              <w:rPr>
                <w:rFonts w:hAnsi="宋体"/>
                <w:color w:val="auto"/>
                <w:sz w:val="21"/>
                <w:szCs w:val="21"/>
              </w:rPr>
              <w:t>属微毒类。允许气体安全地扩散到大气中或当作燃料使用。有单纯性窒息作用，在高浓度时因缺氧窒息而引起中毒。空气中达到</w:t>
            </w:r>
            <w:r>
              <w:rPr>
                <w:color w:val="auto"/>
                <w:sz w:val="21"/>
                <w:szCs w:val="21"/>
              </w:rPr>
              <w:t>25%</w:t>
            </w:r>
            <w:r>
              <w:rPr>
                <w:rFonts w:hint="eastAsia"/>
                <w:color w:val="auto"/>
                <w:sz w:val="21"/>
                <w:szCs w:val="21"/>
              </w:rPr>
              <w:t>~</w:t>
            </w:r>
            <w:r>
              <w:rPr>
                <w:color w:val="auto"/>
                <w:sz w:val="21"/>
                <w:szCs w:val="21"/>
              </w:rPr>
              <w:t>30%</w:t>
            </w:r>
            <w:r>
              <w:rPr>
                <w:rFonts w:hAnsi="宋体"/>
                <w:color w:val="auto"/>
                <w:sz w:val="21"/>
                <w:szCs w:val="21"/>
              </w:rPr>
              <w:t>出现头昏、呼吸加速、运动失调。</w:t>
            </w:r>
          </w:p>
        </w:tc>
      </w:tr>
    </w:tbl>
    <w:p>
      <w:pPr>
        <w:keepNext/>
        <w:keepLines/>
        <w:numPr>
          <w:ilvl w:val="3"/>
          <w:numId w:val="0"/>
        </w:numPr>
        <w:jc w:val="left"/>
        <w:outlineLvl w:val="3"/>
        <w:rPr>
          <w:color w:val="auto"/>
        </w:rPr>
      </w:pPr>
      <w:r>
        <w:rPr>
          <w:color w:val="auto"/>
        </w:rPr>
        <w:t>5.</w:t>
      </w:r>
      <w:r>
        <w:rPr>
          <w:rFonts w:hint="eastAsia"/>
          <w:color w:val="auto"/>
        </w:rPr>
        <w:t>3</w:t>
      </w:r>
      <w:r>
        <w:rPr>
          <w:color w:val="auto"/>
        </w:rPr>
        <w:t>.1.2</w:t>
      </w:r>
      <w:r>
        <w:rPr>
          <w:rFonts w:hint="eastAsia"/>
          <w:color w:val="auto"/>
        </w:rPr>
        <w:t>生产系统</w:t>
      </w:r>
      <w:r>
        <w:rPr>
          <w:color w:val="auto"/>
        </w:rPr>
        <w:t>危险性识别</w:t>
      </w:r>
    </w:p>
    <w:p>
      <w:pPr>
        <w:ind w:firstLine="480"/>
        <w:rPr>
          <w:bCs/>
          <w:color w:val="auto"/>
          <w:lang w:val="de-DE"/>
        </w:rPr>
      </w:pPr>
      <w:r>
        <w:rPr>
          <w:rFonts w:hint="eastAsia"/>
          <w:bCs/>
          <w:color w:val="auto"/>
          <w:lang w:val="de-DE"/>
        </w:rPr>
        <w:t>本项目属于生猪养殖项目，生产过程中黑膜沼气池可能存在危险性，主要为沼气危险性和黑膜沼气池中沼液泄漏危险性。</w:t>
      </w:r>
    </w:p>
    <w:p>
      <w:pPr>
        <w:ind w:firstLine="480"/>
        <w:rPr>
          <w:bCs/>
          <w:color w:val="auto"/>
          <w:lang w:val="de-DE"/>
        </w:rPr>
      </w:pPr>
      <w:r>
        <w:rPr>
          <w:rFonts w:hint="eastAsia"/>
          <w:bCs/>
          <w:color w:val="auto"/>
          <w:lang w:val="de-DE"/>
        </w:rPr>
        <w:t>（1）沼气危险性识别</w:t>
      </w:r>
    </w:p>
    <w:p>
      <w:pPr>
        <w:ind w:firstLine="480"/>
        <w:rPr>
          <w:bCs/>
          <w:color w:val="auto"/>
        </w:rPr>
      </w:pPr>
      <w:r>
        <w:rPr>
          <w:bCs/>
          <w:color w:val="auto"/>
        </w:rPr>
        <w:t>本项目养猪场沼气工程为黑膜沼气池，集发酵、贮气于一体，不需另外设置沼气贮存设施。沼气通过管道输送到</w:t>
      </w:r>
      <w:r>
        <w:rPr>
          <w:rFonts w:hint="eastAsia"/>
          <w:bCs/>
          <w:color w:val="auto"/>
        </w:rPr>
        <w:t>食堂</w:t>
      </w:r>
      <w:r>
        <w:rPr>
          <w:bCs/>
          <w:color w:val="auto"/>
        </w:rPr>
        <w:t>使用，</w:t>
      </w:r>
      <w:r>
        <w:rPr>
          <w:rFonts w:hint="eastAsia"/>
          <w:bCs/>
          <w:color w:val="auto"/>
        </w:rPr>
        <w:t>输送管道不涉及沼气存储，</w:t>
      </w:r>
      <w:r>
        <w:rPr>
          <w:bCs/>
          <w:color w:val="auto"/>
        </w:rPr>
        <w:t>故涉及的风险主要为沼气池中的沼气泄漏</w:t>
      </w:r>
      <w:r>
        <w:rPr>
          <w:rFonts w:hint="eastAsia"/>
          <w:bCs/>
          <w:color w:val="auto"/>
        </w:rPr>
        <w:t>污染环境空气、</w:t>
      </w:r>
      <w:r>
        <w:rPr>
          <w:bCs/>
          <w:color w:val="auto"/>
        </w:rPr>
        <w:t>引发火灾、爆炸事故。</w:t>
      </w:r>
    </w:p>
    <w:p>
      <w:pPr>
        <w:ind w:firstLine="480"/>
        <w:rPr>
          <w:bCs/>
          <w:color w:val="auto"/>
          <w:lang w:val="de-DE"/>
        </w:rPr>
      </w:pPr>
      <w:r>
        <w:rPr>
          <w:rFonts w:hint="eastAsia"/>
          <w:bCs/>
          <w:color w:val="auto"/>
          <w:lang w:val="de-DE"/>
        </w:rPr>
        <w:t>（2）黑膜沼气池中未处理高浓度有机废水危险性</w:t>
      </w:r>
      <w:r>
        <w:rPr>
          <w:bCs/>
          <w:color w:val="auto"/>
          <w:lang w:val="de-DE"/>
        </w:rPr>
        <w:t>。</w:t>
      </w:r>
    </w:p>
    <w:p>
      <w:pPr>
        <w:ind w:firstLine="480"/>
        <w:jc w:val="distribute"/>
        <w:rPr>
          <w:color w:val="auto"/>
          <w:lang w:val="de-DE"/>
        </w:rPr>
      </w:pPr>
      <w:r>
        <w:rPr>
          <w:rFonts w:hint="eastAsia"/>
          <w:color w:val="auto"/>
          <w:lang w:val="de-DE"/>
        </w:rPr>
        <w:t>本项目废水经收集、干湿分离后进入黑膜沼气池，沼气池由黑膜密闭覆盖，不存在雨水淋滤导致沼液漫溢的可能。事故废水主要为黑膜沼气池及沼液输送管道破损，防渗措施不完好，造成未经处理的沼液进入外部环境，对区域内地下水和土壤形成污染。</w:t>
      </w:r>
    </w:p>
    <w:p>
      <w:pPr>
        <w:ind w:firstLine="480"/>
        <w:rPr>
          <w:color w:val="auto"/>
          <w:lang w:val="de-DE"/>
        </w:rPr>
      </w:pPr>
      <w:r>
        <w:rPr>
          <w:rFonts w:hint="eastAsia"/>
          <w:color w:val="auto"/>
          <w:lang w:val="de-DE"/>
        </w:rPr>
        <w:t>根据以上分析，项目风险识别结果见下表</w:t>
      </w:r>
    </w:p>
    <w:p>
      <w:pPr>
        <w:pStyle w:val="8"/>
        <w:numPr>
          <w:ilvl w:val="0"/>
          <w:numId w:val="11"/>
        </w:numPr>
        <w:ind w:left="0" w:firstLine="964" w:firstLineChars="400"/>
        <w:jc w:val="center"/>
        <w:rPr>
          <w:color w:val="auto"/>
          <w:kern w:val="0"/>
          <w:sz w:val="24"/>
          <w:szCs w:val="24"/>
        </w:rPr>
      </w:pPr>
      <w:r>
        <w:rPr>
          <w:rFonts w:hint="eastAsia" w:ascii="宋体" w:hAnsi="宋体" w:eastAsia="宋体"/>
          <w:b/>
          <w:color w:val="auto"/>
          <w:sz w:val="24"/>
          <w:szCs w:val="24"/>
        </w:rPr>
        <w:t>各危险单元潜在风险因素识别表</w:t>
      </w:r>
    </w:p>
    <w:tbl>
      <w:tblPr>
        <w:tblStyle w:val="27"/>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1369"/>
        <w:gridCol w:w="1191"/>
        <w:gridCol w:w="2096"/>
        <w:gridCol w:w="2516"/>
        <w:gridCol w:w="161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779" w:type="pct"/>
            <w:vAlign w:val="center"/>
          </w:tcPr>
          <w:p>
            <w:pPr>
              <w:spacing w:line="240" w:lineRule="auto"/>
              <w:ind w:firstLine="0" w:firstLineChars="0"/>
              <w:jc w:val="center"/>
              <w:rPr>
                <w:color w:val="auto"/>
                <w:kern w:val="0"/>
                <w:sz w:val="21"/>
                <w:szCs w:val="21"/>
              </w:rPr>
            </w:pPr>
            <w:r>
              <w:rPr>
                <w:rFonts w:hint="eastAsia"/>
                <w:color w:val="auto"/>
                <w:kern w:val="0"/>
                <w:sz w:val="21"/>
                <w:szCs w:val="21"/>
              </w:rPr>
              <w:t>危险</w:t>
            </w:r>
            <w:r>
              <w:rPr>
                <w:color w:val="auto"/>
                <w:kern w:val="0"/>
                <w:sz w:val="21"/>
                <w:szCs w:val="21"/>
              </w:rPr>
              <w:t>单元</w:t>
            </w:r>
          </w:p>
        </w:tc>
        <w:tc>
          <w:tcPr>
            <w:tcW w:w="678" w:type="pct"/>
            <w:vAlign w:val="center"/>
          </w:tcPr>
          <w:p>
            <w:pPr>
              <w:spacing w:line="240" w:lineRule="auto"/>
              <w:ind w:firstLine="0" w:firstLineChars="0"/>
              <w:jc w:val="center"/>
              <w:rPr>
                <w:color w:val="auto"/>
                <w:kern w:val="0"/>
                <w:sz w:val="21"/>
                <w:szCs w:val="21"/>
              </w:rPr>
            </w:pPr>
            <w:r>
              <w:rPr>
                <w:rFonts w:hint="eastAsia"/>
                <w:color w:val="auto"/>
                <w:kern w:val="0"/>
                <w:sz w:val="21"/>
                <w:szCs w:val="21"/>
              </w:rPr>
              <w:t>风险源</w:t>
            </w:r>
          </w:p>
        </w:tc>
        <w:tc>
          <w:tcPr>
            <w:tcW w:w="1193" w:type="pct"/>
            <w:vAlign w:val="center"/>
          </w:tcPr>
          <w:p>
            <w:pPr>
              <w:spacing w:line="240" w:lineRule="auto"/>
              <w:ind w:firstLine="0" w:firstLineChars="0"/>
              <w:jc w:val="center"/>
              <w:rPr>
                <w:color w:val="auto"/>
                <w:kern w:val="0"/>
                <w:sz w:val="21"/>
                <w:szCs w:val="21"/>
              </w:rPr>
            </w:pPr>
            <w:r>
              <w:rPr>
                <w:rFonts w:hint="eastAsia"/>
                <w:color w:val="auto"/>
                <w:kern w:val="0"/>
                <w:sz w:val="21"/>
                <w:szCs w:val="21"/>
              </w:rPr>
              <w:t>主要</w:t>
            </w:r>
            <w:r>
              <w:rPr>
                <w:color w:val="auto"/>
                <w:kern w:val="0"/>
                <w:sz w:val="21"/>
                <w:szCs w:val="21"/>
              </w:rPr>
              <w:t>危险物质</w:t>
            </w:r>
          </w:p>
        </w:tc>
        <w:tc>
          <w:tcPr>
            <w:tcW w:w="1432" w:type="pct"/>
            <w:vAlign w:val="center"/>
          </w:tcPr>
          <w:p>
            <w:pPr>
              <w:spacing w:line="240" w:lineRule="auto"/>
              <w:ind w:firstLine="0" w:firstLineChars="0"/>
              <w:jc w:val="center"/>
              <w:rPr>
                <w:color w:val="auto"/>
                <w:kern w:val="0"/>
                <w:sz w:val="21"/>
                <w:szCs w:val="21"/>
              </w:rPr>
            </w:pPr>
            <w:r>
              <w:rPr>
                <w:rFonts w:hint="eastAsia"/>
                <w:color w:val="auto"/>
                <w:kern w:val="0"/>
                <w:sz w:val="21"/>
                <w:szCs w:val="21"/>
              </w:rPr>
              <w:t>风险</w:t>
            </w:r>
            <w:r>
              <w:rPr>
                <w:color w:val="auto"/>
                <w:kern w:val="0"/>
                <w:sz w:val="21"/>
                <w:szCs w:val="21"/>
              </w:rPr>
              <w:t>因素</w:t>
            </w:r>
          </w:p>
        </w:tc>
        <w:tc>
          <w:tcPr>
            <w:tcW w:w="918" w:type="pct"/>
            <w:vAlign w:val="center"/>
          </w:tcPr>
          <w:p>
            <w:pPr>
              <w:spacing w:line="240" w:lineRule="auto"/>
              <w:ind w:firstLine="0" w:firstLineChars="0"/>
              <w:jc w:val="center"/>
              <w:rPr>
                <w:color w:val="auto"/>
                <w:kern w:val="0"/>
                <w:sz w:val="21"/>
                <w:szCs w:val="21"/>
              </w:rPr>
            </w:pPr>
            <w:r>
              <w:rPr>
                <w:rFonts w:hint="eastAsia"/>
                <w:color w:val="auto"/>
                <w:kern w:val="0"/>
                <w:sz w:val="21"/>
                <w:szCs w:val="21"/>
              </w:rPr>
              <w:t>影响</w:t>
            </w:r>
            <w:r>
              <w:rPr>
                <w:color w:val="auto"/>
                <w:kern w:val="0"/>
                <w:sz w:val="21"/>
                <w:szCs w:val="21"/>
              </w:rPr>
              <w:t>因素</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779" w:type="pct"/>
            <w:vMerge w:val="restart"/>
            <w:vAlign w:val="center"/>
          </w:tcPr>
          <w:p>
            <w:pPr>
              <w:spacing w:line="240" w:lineRule="auto"/>
              <w:ind w:firstLine="0" w:firstLineChars="0"/>
              <w:jc w:val="center"/>
              <w:rPr>
                <w:color w:val="auto"/>
                <w:kern w:val="0"/>
                <w:sz w:val="21"/>
                <w:szCs w:val="21"/>
              </w:rPr>
            </w:pPr>
            <w:r>
              <w:rPr>
                <w:rFonts w:hint="eastAsia"/>
                <w:color w:val="auto"/>
                <w:kern w:val="0"/>
                <w:sz w:val="21"/>
                <w:szCs w:val="21"/>
              </w:rPr>
              <w:t>污水处理</w:t>
            </w:r>
            <w:r>
              <w:rPr>
                <w:color w:val="auto"/>
                <w:kern w:val="0"/>
                <w:sz w:val="21"/>
                <w:szCs w:val="21"/>
              </w:rPr>
              <w:t>设施</w:t>
            </w:r>
          </w:p>
        </w:tc>
        <w:tc>
          <w:tcPr>
            <w:tcW w:w="678" w:type="pct"/>
            <w:vMerge w:val="restart"/>
            <w:vAlign w:val="center"/>
          </w:tcPr>
          <w:p>
            <w:pPr>
              <w:spacing w:line="240" w:lineRule="auto"/>
              <w:ind w:firstLine="0" w:firstLineChars="0"/>
              <w:jc w:val="center"/>
              <w:rPr>
                <w:color w:val="auto"/>
                <w:kern w:val="0"/>
                <w:sz w:val="21"/>
                <w:szCs w:val="21"/>
              </w:rPr>
            </w:pPr>
            <w:r>
              <w:rPr>
                <w:rFonts w:hint="eastAsia"/>
                <w:color w:val="auto"/>
                <w:kern w:val="0"/>
                <w:sz w:val="21"/>
                <w:szCs w:val="21"/>
              </w:rPr>
              <w:t>黑膜沼气池</w:t>
            </w:r>
          </w:p>
        </w:tc>
        <w:tc>
          <w:tcPr>
            <w:tcW w:w="1193" w:type="pct"/>
            <w:vAlign w:val="center"/>
          </w:tcPr>
          <w:p>
            <w:pPr>
              <w:spacing w:line="240" w:lineRule="auto"/>
              <w:ind w:firstLine="0" w:firstLineChars="0"/>
              <w:jc w:val="center"/>
              <w:rPr>
                <w:color w:val="auto"/>
                <w:kern w:val="0"/>
                <w:sz w:val="21"/>
                <w:szCs w:val="21"/>
              </w:rPr>
            </w:pPr>
            <w:r>
              <w:rPr>
                <w:rFonts w:hint="eastAsia"/>
                <w:color w:val="auto"/>
                <w:kern w:val="0"/>
                <w:sz w:val="21"/>
                <w:szCs w:val="21"/>
              </w:rPr>
              <w:t>甲烷</w:t>
            </w:r>
          </w:p>
        </w:tc>
        <w:tc>
          <w:tcPr>
            <w:tcW w:w="1432" w:type="pct"/>
            <w:vAlign w:val="center"/>
          </w:tcPr>
          <w:p>
            <w:pPr>
              <w:spacing w:line="240" w:lineRule="auto"/>
              <w:ind w:firstLine="0" w:firstLineChars="0"/>
              <w:jc w:val="center"/>
              <w:rPr>
                <w:color w:val="auto"/>
                <w:kern w:val="0"/>
                <w:sz w:val="21"/>
                <w:szCs w:val="21"/>
              </w:rPr>
            </w:pPr>
            <w:r>
              <w:rPr>
                <w:rFonts w:hint="eastAsia"/>
                <w:color w:val="auto"/>
                <w:kern w:val="0"/>
                <w:sz w:val="21"/>
                <w:szCs w:val="21"/>
              </w:rPr>
              <w:t>泄漏</w:t>
            </w:r>
            <w:r>
              <w:rPr>
                <w:color w:val="auto"/>
                <w:kern w:val="0"/>
                <w:sz w:val="21"/>
                <w:szCs w:val="21"/>
              </w:rPr>
              <w:t>/</w:t>
            </w:r>
            <w:r>
              <w:rPr>
                <w:rFonts w:hint="eastAsia"/>
                <w:color w:val="auto"/>
                <w:kern w:val="0"/>
                <w:sz w:val="21"/>
                <w:szCs w:val="21"/>
              </w:rPr>
              <w:t>火灾</w:t>
            </w:r>
            <w:r>
              <w:rPr>
                <w:color w:val="auto"/>
                <w:kern w:val="0"/>
                <w:sz w:val="21"/>
                <w:szCs w:val="21"/>
              </w:rPr>
              <w:t>/</w:t>
            </w:r>
            <w:r>
              <w:rPr>
                <w:rFonts w:hint="eastAsia"/>
                <w:color w:val="auto"/>
                <w:kern w:val="0"/>
                <w:sz w:val="21"/>
                <w:szCs w:val="21"/>
              </w:rPr>
              <w:t>爆炸</w:t>
            </w:r>
          </w:p>
        </w:tc>
        <w:tc>
          <w:tcPr>
            <w:tcW w:w="918" w:type="pct"/>
            <w:vAlign w:val="center"/>
          </w:tcPr>
          <w:p>
            <w:pPr>
              <w:spacing w:line="240" w:lineRule="auto"/>
              <w:ind w:firstLine="0" w:firstLineChars="0"/>
              <w:jc w:val="center"/>
              <w:rPr>
                <w:color w:val="auto"/>
                <w:kern w:val="0"/>
                <w:sz w:val="21"/>
                <w:szCs w:val="21"/>
              </w:rPr>
            </w:pPr>
            <w:r>
              <w:rPr>
                <w:rFonts w:hint="eastAsia"/>
                <w:color w:val="auto"/>
                <w:kern w:val="0"/>
                <w:sz w:val="21"/>
                <w:szCs w:val="21"/>
              </w:rPr>
              <w:t>大气</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779" w:type="pct"/>
            <w:vMerge w:val="continue"/>
            <w:vAlign w:val="center"/>
          </w:tcPr>
          <w:p>
            <w:pPr>
              <w:spacing w:line="240" w:lineRule="auto"/>
              <w:ind w:firstLine="0" w:firstLineChars="0"/>
              <w:jc w:val="center"/>
              <w:rPr>
                <w:color w:val="auto"/>
                <w:kern w:val="0"/>
                <w:sz w:val="21"/>
                <w:szCs w:val="21"/>
              </w:rPr>
            </w:pPr>
          </w:p>
        </w:tc>
        <w:tc>
          <w:tcPr>
            <w:tcW w:w="678" w:type="pct"/>
            <w:vMerge w:val="continue"/>
            <w:vAlign w:val="center"/>
          </w:tcPr>
          <w:p>
            <w:pPr>
              <w:spacing w:line="240" w:lineRule="auto"/>
              <w:ind w:firstLine="0" w:firstLineChars="0"/>
              <w:jc w:val="center"/>
              <w:rPr>
                <w:color w:val="auto"/>
                <w:kern w:val="0"/>
                <w:sz w:val="21"/>
                <w:szCs w:val="21"/>
              </w:rPr>
            </w:pPr>
          </w:p>
        </w:tc>
        <w:tc>
          <w:tcPr>
            <w:tcW w:w="1193" w:type="pct"/>
            <w:vAlign w:val="center"/>
          </w:tcPr>
          <w:p>
            <w:pPr>
              <w:spacing w:line="240" w:lineRule="auto"/>
              <w:ind w:firstLine="0" w:firstLineChars="0"/>
              <w:jc w:val="center"/>
              <w:rPr>
                <w:color w:val="auto"/>
                <w:kern w:val="0"/>
                <w:sz w:val="21"/>
                <w:szCs w:val="21"/>
              </w:rPr>
            </w:pPr>
            <w:r>
              <w:rPr>
                <w:rFonts w:hint="eastAsia"/>
                <w:color w:val="auto"/>
                <w:kern w:val="0"/>
                <w:sz w:val="21"/>
                <w:szCs w:val="21"/>
              </w:rPr>
              <w:t>沼液</w:t>
            </w:r>
          </w:p>
        </w:tc>
        <w:tc>
          <w:tcPr>
            <w:tcW w:w="1432" w:type="pct"/>
            <w:vAlign w:val="center"/>
          </w:tcPr>
          <w:p>
            <w:pPr>
              <w:spacing w:line="240" w:lineRule="auto"/>
              <w:ind w:firstLine="0" w:firstLineChars="0"/>
              <w:jc w:val="center"/>
              <w:rPr>
                <w:color w:val="auto"/>
                <w:kern w:val="0"/>
                <w:sz w:val="21"/>
                <w:szCs w:val="21"/>
              </w:rPr>
            </w:pPr>
            <w:r>
              <w:rPr>
                <w:rFonts w:hint="eastAsia"/>
                <w:color w:val="auto"/>
                <w:kern w:val="0"/>
                <w:sz w:val="21"/>
                <w:szCs w:val="21"/>
              </w:rPr>
              <w:t>泄漏</w:t>
            </w:r>
          </w:p>
        </w:tc>
        <w:tc>
          <w:tcPr>
            <w:tcW w:w="918" w:type="pct"/>
            <w:vAlign w:val="center"/>
          </w:tcPr>
          <w:p>
            <w:pPr>
              <w:spacing w:line="240" w:lineRule="auto"/>
              <w:ind w:firstLine="0" w:firstLineChars="0"/>
              <w:jc w:val="center"/>
              <w:rPr>
                <w:color w:val="auto"/>
                <w:kern w:val="0"/>
                <w:sz w:val="21"/>
                <w:szCs w:val="21"/>
              </w:rPr>
            </w:pPr>
            <w:r>
              <w:rPr>
                <w:rFonts w:hint="eastAsia"/>
                <w:color w:val="auto"/>
                <w:kern w:val="0"/>
                <w:sz w:val="21"/>
                <w:szCs w:val="21"/>
              </w:rPr>
              <w:t>地表水、地下水</w:t>
            </w:r>
          </w:p>
        </w:tc>
      </w:tr>
    </w:tbl>
    <w:p>
      <w:pPr>
        <w:keepNext/>
        <w:keepLines/>
        <w:numPr>
          <w:ilvl w:val="3"/>
          <w:numId w:val="0"/>
        </w:numPr>
        <w:jc w:val="left"/>
        <w:outlineLvl w:val="3"/>
        <w:rPr>
          <w:color w:val="auto"/>
        </w:rPr>
      </w:pPr>
      <w:r>
        <w:rPr>
          <w:rFonts w:hint="eastAsia"/>
          <w:color w:val="auto"/>
        </w:rPr>
        <w:t>5.3.3.</w:t>
      </w:r>
      <w:r>
        <w:rPr>
          <w:color w:val="auto"/>
        </w:rPr>
        <w:t>3</w:t>
      </w:r>
      <w:r>
        <w:rPr>
          <w:rFonts w:hint="eastAsia"/>
          <w:color w:val="auto"/>
        </w:rPr>
        <w:t>风险识别结果</w:t>
      </w:r>
    </w:p>
    <w:p>
      <w:pPr>
        <w:autoSpaceDE w:val="0"/>
        <w:autoSpaceDN w:val="0"/>
        <w:ind w:firstLine="480"/>
        <w:jc w:val="left"/>
        <w:rPr>
          <w:color w:val="auto"/>
        </w:rPr>
      </w:pPr>
      <w:r>
        <w:rPr>
          <w:rFonts w:hint="eastAsia"/>
          <w:color w:val="auto"/>
        </w:rPr>
        <w:t>环境风险源是发生突发环境事件的主要源头，可能发生的环境风险类型包括危险物质泄漏等引发的伴生/次生污染物排放、环保设施非正常运行等。影响方式因受体不同分别表现为大气环境污染、水环境污染、土壤污染等。</w:t>
      </w:r>
    </w:p>
    <w:p>
      <w:pPr>
        <w:autoSpaceDE w:val="0"/>
        <w:autoSpaceDN w:val="0"/>
        <w:ind w:firstLine="0" w:firstLineChars="0"/>
        <w:jc w:val="left"/>
        <w:rPr>
          <w:color w:val="auto"/>
        </w:rPr>
      </w:pPr>
      <w:r>
        <w:rPr>
          <w:rFonts w:hint="eastAsia"/>
          <w:color w:val="auto"/>
        </w:rPr>
        <w:t>危险物质主要通过水、大气、地下水、土壤等途径进入环境。拟建项目</w:t>
      </w:r>
      <w:r>
        <w:rPr>
          <w:rFonts w:hint="eastAsia"/>
          <w:bCs/>
          <w:color w:val="auto"/>
        </w:rPr>
        <w:t>黑膜沼气池</w:t>
      </w:r>
      <w:r>
        <w:rPr>
          <w:rFonts w:hint="eastAsia"/>
          <w:color w:val="auto"/>
        </w:rPr>
        <w:t>，采取分区防控的方式进行地下水污染防治，事故状态下的事故废水可以得到有效的收集，也不会直接进入到地下水中。综合看，发生环境风险事件时，本次项目危险物质主要通过大气进入环境中。</w:t>
      </w:r>
    </w:p>
    <w:p>
      <w:pPr>
        <w:autoSpaceDE w:val="0"/>
        <w:autoSpaceDN w:val="0"/>
        <w:ind w:firstLine="480"/>
        <w:rPr>
          <w:color w:val="auto"/>
        </w:rPr>
      </w:pPr>
      <w:r>
        <w:rPr>
          <w:rFonts w:hint="eastAsia"/>
          <w:color w:val="auto"/>
        </w:rPr>
        <w:t>根据上述识别与分析，本项目主要风险事故有以下几种：（1）沼气泄漏会引发局部地区空气中甲烷浓度过高，大量吸入甲烷后引发中毒。（2）沼气燃烧及爆炸，产生大量CO</w:t>
      </w:r>
      <w:r>
        <w:rPr>
          <w:rFonts w:hint="eastAsia"/>
          <w:color w:val="auto"/>
          <w:vertAlign w:val="subscript"/>
        </w:rPr>
        <w:t>2</w:t>
      </w:r>
      <w:r>
        <w:rPr>
          <w:rFonts w:hint="eastAsia"/>
          <w:color w:val="auto"/>
        </w:rPr>
        <w:t>，引发局部地区空气中CO</w:t>
      </w:r>
      <w:r>
        <w:rPr>
          <w:rFonts w:hint="eastAsia"/>
          <w:color w:val="auto"/>
          <w:vertAlign w:val="subscript"/>
        </w:rPr>
        <w:t>2</w:t>
      </w:r>
      <w:r>
        <w:rPr>
          <w:rFonts w:hint="eastAsia"/>
          <w:color w:val="auto"/>
        </w:rPr>
        <w:t>浓度过高，大量吸入后引发中毒。（3）高浓度有机废水泄漏，污染土壤、地表水及地下水。</w:t>
      </w:r>
    </w:p>
    <w:p>
      <w:pPr>
        <w:autoSpaceDE w:val="0"/>
        <w:autoSpaceDN w:val="0"/>
        <w:ind w:firstLine="480"/>
        <w:rPr>
          <w:color w:val="auto"/>
        </w:rPr>
      </w:pPr>
      <w:r>
        <w:rPr>
          <w:rFonts w:hint="eastAsia"/>
          <w:color w:val="auto"/>
        </w:rPr>
        <w:t>根据以上分析，拟建设项目风险识别结果见下表：</w:t>
      </w:r>
    </w:p>
    <w:p>
      <w:pPr>
        <w:pStyle w:val="8"/>
        <w:numPr>
          <w:ilvl w:val="0"/>
          <w:numId w:val="11"/>
        </w:numPr>
        <w:ind w:left="0" w:firstLine="0" w:firstLineChars="0"/>
        <w:jc w:val="center"/>
        <w:rPr>
          <w:rFonts w:ascii="宋体" w:hAnsi="宋体" w:eastAsia="宋体"/>
          <w:b/>
          <w:color w:val="auto"/>
          <w:sz w:val="24"/>
          <w:szCs w:val="24"/>
        </w:rPr>
      </w:pPr>
      <w:r>
        <w:rPr>
          <w:rFonts w:hint="eastAsia" w:ascii="宋体" w:hAnsi="宋体" w:eastAsia="宋体"/>
          <w:b/>
          <w:color w:val="auto"/>
          <w:sz w:val="24"/>
          <w:szCs w:val="24"/>
        </w:rPr>
        <w:t>环境风险识别汇总表</w:t>
      </w:r>
    </w:p>
    <w:tbl>
      <w:tblPr>
        <w:tblStyle w:val="27"/>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1072"/>
        <w:gridCol w:w="1340"/>
        <w:gridCol w:w="1190"/>
        <w:gridCol w:w="1785"/>
        <w:gridCol w:w="1936"/>
        <w:gridCol w:w="146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610" w:type="pct"/>
            <w:vAlign w:val="center"/>
          </w:tcPr>
          <w:p>
            <w:pPr>
              <w:spacing w:line="240" w:lineRule="auto"/>
              <w:ind w:firstLine="0" w:firstLineChars="0"/>
              <w:jc w:val="center"/>
              <w:rPr>
                <w:b/>
                <w:color w:val="auto"/>
                <w:kern w:val="0"/>
                <w:sz w:val="21"/>
                <w:szCs w:val="21"/>
              </w:rPr>
            </w:pPr>
            <w:r>
              <w:rPr>
                <w:rFonts w:hint="eastAsia"/>
                <w:b/>
                <w:color w:val="auto"/>
                <w:kern w:val="0"/>
                <w:sz w:val="21"/>
                <w:szCs w:val="21"/>
              </w:rPr>
              <w:t>危险单元</w:t>
            </w:r>
          </w:p>
        </w:tc>
        <w:tc>
          <w:tcPr>
            <w:tcW w:w="762" w:type="pct"/>
            <w:vAlign w:val="center"/>
          </w:tcPr>
          <w:p>
            <w:pPr>
              <w:spacing w:line="240" w:lineRule="auto"/>
              <w:ind w:firstLine="0" w:firstLineChars="0"/>
              <w:jc w:val="center"/>
              <w:rPr>
                <w:b/>
                <w:color w:val="auto"/>
                <w:kern w:val="0"/>
                <w:sz w:val="21"/>
                <w:szCs w:val="21"/>
              </w:rPr>
            </w:pPr>
            <w:r>
              <w:rPr>
                <w:rFonts w:hint="eastAsia"/>
                <w:b/>
                <w:color w:val="auto"/>
                <w:kern w:val="0"/>
                <w:sz w:val="21"/>
                <w:szCs w:val="21"/>
              </w:rPr>
              <w:t>风险源</w:t>
            </w:r>
          </w:p>
        </w:tc>
        <w:tc>
          <w:tcPr>
            <w:tcW w:w="677" w:type="pct"/>
            <w:vAlign w:val="center"/>
          </w:tcPr>
          <w:p>
            <w:pPr>
              <w:spacing w:line="240" w:lineRule="auto"/>
              <w:ind w:firstLine="0" w:firstLineChars="0"/>
              <w:jc w:val="center"/>
              <w:rPr>
                <w:b/>
                <w:color w:val="auto"/>
                <w:kern w:val="0"/>
                <w:sz w:val="21"/>
                <w:szCs w:val="21"/>
              </w:rPr>
            </w:pPr>
            <w:r>
              <w:rPr>
                <w:rFonts w:hint="eastAsia"/>
                <w:b/>
                <w:color w:val="auto"/>
                <w:kern w:val="0"/>
                <w:sz w:val="21"/>
                <w:szCs w:val="21"/>
              </w:rPr>
              <w:t>主要危险物质</w:t>
            </w:r>
          </w:p>
        </w:tc>
        <w:tc>
          <w:tcPr>
            <w:tcW w:w="1015" w:type="pct"/>
            <w:vAlign w:val="center"/>
          </w:tcPr>
          <w:p>
            <w:pPr>
              <w:spacing w:line="240" w:lineRule="auto"/>
              <w:ind w:firstLine="0" w:firstLineChars="0"/>
              <w:jc w:val="center"/>
              <w:rPr>
                <w:b/>
                <w:color w:val="auto"/>
                <w:kern w:val="0"/>
                <w:sz w:val="21"/>
                <w:szCs w:val="21"/>
              </w:rPr>
            </w:pPr>
            <w:r>
              <w:rPr>
                <w:rFonts w:hint="eastAsia"/>
                <w:b/>
                <w:color w:val="auto"/>
                <w:kern w:val="0"/>
                <w:sz w:val="21"/>
                <w:szCs w:val="21"/>
              </w:rPr>
              <w:t>环境风险类型</w:t>
            </w:r>
          </w:p>
        </w:tc>
        <w:tc>
          <w:tcPr>
            <w:tcW w:w="1101" w:type="pct"/>
            <w:vAlign w:val="center"/>
          </w:tcPr>
          <w:p>
            <w:pPr>
              <w:spacing w:line="240" w:lineRule="auto"/>
              <w:ind w:firstLine="0" w:firstLineChars="0"/>
              <w:jc w:val="center"/>
              <w:rPr>
                <w:b/>
                <w:color w:val="auto"/>
                <w:spacing w:val="-8"/>
                <w:kern w:val="0"/>
                <w:sz w:val="21"/>
                <w:szCs w:val="21"/>
              </w:rPr>
            </w:pPr>
            <w:r>
              <w:rPr>
                <w:rFonts w:hint="eastAsia"/>
                <w:b/>
                <w:color w:val="auto"/>
                <w:spacing w:val="-8"/>
                <w:kern w:val="0"/>
                <w:sz w:val="21"/>
                <w:szCs w:val="21"/>
              </w:rPr>
              <w:t>环境影响途径</w:t>
            </w:r>
          </w:p>
        </w:tc>
        <w:tc>
          <w:tcPr>
            <w:tcW w:w="832" w:type="pct"/>
            <w:vAlign w:val="center"/>
          </w:tcPr>
          <w:p>
            <w:pPr>
              <w:spacing w:line="240" w:lineRule="auto"/>
              <w:ind w:firstLine="0" w:firstLineChars="0"/>
              <w:jc w:val="center"/>
              <w:rPr>
                <w:b/>
                <w:color w:val="auto"/>
                <w:kern w:val="0"/>
                <w:sz w:val="21"/>
                <w:szCs w:val="21"/>
              </w:rPr>
            </w:pPr>
            <w:r>
              <w:rPr>
                <w:rFonts w:hint="eastAsia"/>
                <w:b/>
                <w:color w:val="auto"/>
                <w:kern w:val="0"/>
                <w:sz w:val="21"/>
                <w:szCs w:val="21"/>
              </w:rPr>
              <w:t>可能受影响的环境敏感目标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610" w:type="pct"/>
            <w:vMerge w:val="restart"/>
            <w:vAlign w:val="center"/>
          </w:tcPr>
          <w:p>
            <w:pPr>
              <w:spacing w:line="240" w:lineRule="auto"/>
              <w:ind w:firstLine="0" w:firstLineChars="0"/>
              <w:jc w:val="center"/>
              <w:rPr>
                <w:color w:val="auto"/>
                <w:kern w:val="0"/>
                <w:sz w:val="21"/>
                <w:szCs w:val="21"/>
              </w:rPr>
            </w:pPr>
            <w:r>
              <w:rPr>
                <w:rFonts w:hint="eastAsia"/>
                <w:color w:val="auto"/>
                <w:kern w:val="0"/>
                <w:sz w:val="21"/>
                <w:szCs w:val="21"/>
              </w:rPr>
              <w:t>污水</w:t>
            </w:r>
          </w:p>
          <w:p>
            <w:pPr>
              <w:spacing w:line="240" w:lineRule="auto"/>
              <w:ind w:firstLine="0" w:firstLineChars="0"/>
              <w:jc w:val="center"/>
              <w:rPr>
                <w:color w:val="auto"/>
                <w:kern w:val="0"/>
                <w:sz w:val="21"/>
                <w:szCs w:val="21"/>
              </w:rPr>
            </w:pPr>
            <w:r>
              <w:rPr>
                <w:rFonts w:hint="eastAsia"/>
                <w:color w:val="auto"/>
                <w:kern w:val="0"/>
                <w:sz w:val="21"/>
                <w:szCs w:val="21"/>
              </w:rPr>
              <w:t>处理站</w:t>
            </w:r>
          </w:p>
        </w:tc>
        <w:tc>
          <w:tcPr>
            <w:tcW w:w="762" w:type="pct"/>
            <w:vAlign w:val="center"/>
          </w:tcPr>
          <w:p>
            <w:pPr>
              <w:spacing w:line="240" w:lineRule="auto"/>
              <w:ind w:firstLine="0" w:firstLineChars="0"/>
              <w:jc w:val="center"/>
              <w:rPr>
                <w:color w:val="auto"/>
                <w:kern w:val="0"/>
                <w:sz w:val="21"/>
                <w:szCs w:val="21"/>
              </w:rPr>
            </w:pPr>
            <w:r>
              <w:rPr>
                <w:rFonts w:hint="eastAsia"/>
                <w:color w:val="auto"/>
                <w:kern w:val="0"/>
                <w:sz w:val="21"/>
                <w:szCs w:val="21"/>
              </w:rPr>
              <w:t>沼气池</w:t>
            </w:r>
          </w:p>
        </w:tc>
        <w:tc>
          <w:tcPr>
            <w:tcW w:w="677" w:type="pct"/>
            <w:vAlign w:val="center"/>
          </w:tcPr>
          <w:p>
            <w:pPr>
              <w:spacing w:line="240" w:lineRule="auto"/>
              <w:ind w:firstLine="0" w:firstLineChars="0"/>
              <w:jc w:val="center"/>
              <w:rPr>
                <w:color w:val="auto"/>
                <w:kern w:val="0"/>
                <w:sz w:val="21"/>
                <w:szCs w:val="21"/>
              </w:rPr>
            </w:pPr>
            <w:r>
              <w:rPr>
                <w:rFonts w:hint="eastAsia"/>
                <w:color w:val="auto"/>
                <w:kern w:val="0"/>
                <w:sz w:val="21"/>
                <w:szCs w:val="21"/>
              </w:rPr>
              <w:t>甲烷</w:t>
            </w:r>
          </w:p>
        </w:tc>
        <w:tc>
          <w:tcPr>
            <w:tcW w:w="1015" w:type="pct"/>
            <w:vAlign w:val="center"/>
          </w:tcPr>
          <w:p>
            <w:pPr>
              <w:spacing w:line="240" w:lineRule="auto"/>
              <w:ind w:firstLine="0" w:firstLineChars="0"/>
              <w:jc w:val="center"/>
              <w:rPr>
                <w:color w:val="auto"/>
                <w:kern w:val="0"/>
                <w:sz w:val="21"/>
                <w:szCs w:val="21"/>
              </w:rPr>
            </w:pPr>
            <w:r>
              <w:rPr>
                <w:rFonts w:hint="eastAsia"/>
                <w:color w:val="auto"/>
                <w:kern w:val="0"/>
                <w:sz w:val="21"/>
                <w:szCs w:val="21"/>
              </w:rPr>
              <w:t>泄漏、燃烧、爆炸</w:t>
            </w:r>
          </w:p>
        </w:tc>
        <w:tc>
          <w:tcPr>
            <w:tcW w:w="1101" w:type="pct"/>
            <w:vAlign w:val="center"/>
          </w:tcPr>
          <w:p>
            <w:pPr>
              <w:spacing w:line="240" w:lineRule="auto"/>
              <w:ind w:firstLine="0" w:firstLineChars="0"/>
              <w:jc w:val="center"/>
              <w:rPr>
                <w:color w:val="auto"/>
                <w:kern w:val="0"/>
                <w:sz w:val="21"/>
                <w:szCs w:val="21"/>
              </w:rPr>
            </w:pPr>
            <w:r>
              <w:rPr>
                <w:rFonts w:hint="eastAsia"/>
                <w:color w:val="auto"/>
                <w:kern w:val="0"/>
                <w:sz w:val="21"/>
                <w:szCs w:val="21"/>
              </w:rPr>
              <w:t>大气环境</w:t>
            </w:r>
          </w:p>
        </w:tc>
        <w:tc>
          <w:tcPr>
            <w:tcW w:w="832" w:type="pct"/>
            <w:vMerge w:val="restart"/>
            <w:vAlign w:val="center"/>
          </w:tcPr>
          <w:p>
            <w:pPr>
              <w:spacing w:line="240" w:lineRule="auto"/>
              <w:ind w:firstLine="0" w:firstLineChars="0"/>
              <w:jc w:val="center"/>
              <w:rPr>
                <w:color w:val="auto"/>
                <w:kern w:val="0"/>
                <w:sz w:val="21"/>
                <w:szCs w:val="21"/>
              </w:rPr>
            </w:pPr>
            <w:r>
              <w:rPr>
                <w:rFonts w:hint="eastAsia"/>
                <w:color w:val="auto"/>
                <w:kern w:val="0"/>
                <w:sz w:val="21"/>
                <w:szCs w:val="21"/>
              </w:rPr>
              <w:t>居住区等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528" w:hRule="atLeast"/>
        </w:trPr>
        <w:tc>
          <w:tcPr>
            <w:tcW w:w="610" w:type="pct"/>
            <w:vMerge w:val="continue"/>
            <w:vAlign w:val="center"/>
          </w:tcPr>
          <w:p>
            <w:pPr>
              <w:spacing w:line="240" w:lineRule="auto"/>
              <w:ind w:firstLine="0" w:firstLineChars="0"/>
              <w:jc w:val="center"/>
              <w:rPr>
                <w:color w:val="auto"/>
                <w:kern w:val="0"/>
                <w:sz w:val="21"/>
                <w:szCs w:val="21"/>
              </w:rPr>
            </w:pPr>
          </w:p>
        </w:tc>
        <w:tc>
          <w:tcPr>
            <w:tcW w:w="762" w:type="pct"/>
            <w:vAlign w:val="center"/>
          </w:tcPr>
          <w:p>
            <w:pPr>
              <w:spacing w:line="240" w:lineRule="auto"/>
              <w:ind w:firstLine="0" w:firstLineChars="0"/>
              <w:jc w:val="center"/>
              <w:rPr>
                <w:color w:val="auto"/>
                <w:kern w:val="0"/>
                <w:sz w:val="21"/>
                <w:szCs w:val="21"/>
              </w:rPr>
            </w:pPr>
            <w:r>
              <w:rPr>
                <w:rFonts w:hint="eastAsia"/>
                <w:color w:val="auto"/>
                <w:kern w:val="0"/>
                <w:sz w:val="21"/>
                <w:szCs w:val="21"/>
              </w:rPr>
              <w:t>输送管线</w:t>
            </w:r>
          </w:p>
        </w:tc>
        <w:tc>
          <w:tcPr>
            <w:tcW w:w="677" w:type="pct"/>
            <w:vAlign w:val="center"/>
          </w:tcPr>
          <w:p>
            <w:pPr>
              <w:spacing w:line="240" w:lineRule="auto"/>
              <w:ind w:firstLine="0" w:firstLineChars="0"/>
              <w:jc w:val="center"/>
              <w:rPr>
                <w:color w:val="auto"/>
                <w:kern w:val="0"/>
                <w:sz w:val="21"/>
                <w:szCs w:val="21"/>
              </w:rPr>
            </w:pPr>
            <w:r>
              <w:rPr>
                <w:rFonts w:hint="eastAsia"/>
                <w:color w:val="auto"/>
                <w:kern w:val="0"/>
                <w:sz w:val="21"/>
                <w:szCs w:val="21"/>
              </w:rPr>
              <w:t>甲烷</w:t>
            </w:r>
          </w:p>
        </w:tc>
        <w:tc>
          <w:tcPr>
            <w:tcW w:w="1015" w:type="pct"/>
            <w:vAlign w:val="center"/>
          </w:tcPr>
          <w:p>
            <w:pPr>
              <w:spacing w:line="240" w:lineRule="auto"/>
              <w:ind w:firstLine="0" w:firstLineChars="0"/>
              <w:jc w:val="center"/>
              <w:rPr>
                <w:color w:val="auto"/>
                <w:kern w:val="0"/>
                <w:sz w:val="21"/>
                <w:szCs w:val="21"/>
              </w:rPr>
            </w:pPr>
            <w:r>
              <w:rPr>
                <w:rFonts w:hint="eastAsia"/>
                <w:color w:val="auto"/>
                <w:kern w:val="0"/>
                <w:sz w:val="21"/>
                <w:szCs w:val="21"/>
              </w:rPr>
              <w:t>泄漏、燃烧、爆炸</w:t>
            </w:r>
          </w:p>
        </w:tc>
        <w:tc>
          <w:tcPr>
            <w:tcW w:w="1101" w:type="pct"/>
            <w:vAlign w:val="center"/>
          </w:tcPr>
          <w:p>
            <w:pPr>
              <w:spacing w:line="240" w:lineRule="auto"/>
              <w:ind w:firstLine="0" w:firstLineChars="0"/>
              <w:jc w:val="center"/>
              <w:rPr>
                <w:color w:val="auto"/>
                <w:kern w:val="0"/>
                <w:sz w:val="21"/>
                <w:szCs w:val="21"/>
              </w:rPr>
            </w:pPr>
            <w:r>
              <w:rPr>
                <w:rFonts w:hint="eastAsia"/>
                <w:color w:val="auto"/>
                <w:kern w:val="0"/>
                <w:sz w:val="21"/>
                <w:szCs w:val="21"/>
              </w:rPr>
              <w:t>大气环境</w:t>
            </w:r>
          </w:p>
        </w:tc>
        <w:tc>
          <w:tcPr>
            <w:tcW w:w="832" w:type="pct"/>
            <w:vMerge w:val="continue"/>
            <w:vAlign w:val="center"/>
          </w:tcPr>
          <w:p>
            <w:pPr>
              <w:spacing w:line="240" w:lineRule="auto"/>
              <w:ind w:firstLine="0" w:firstLineChars="0"/>
              <w:jc w:val="center"/>
              <w:rPr>
                <w:color w:val="auto"/>
                <w:kern w:val="0"/>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528" w:hRule="atLeast"/>
        </w:trPr>
        <w:tc>
          <w:tcPr>
            <w:tcW w:w="610" w:type="pct"/>
            <w:vMerge w:val="continue"/>
            <w:vAlign w:val="center"/>
          </w:tcPr>
          <w:p>
            <w:pPr>
              <w:spacing w:line="240" w:lineRule="auto"/>
              <w:ind w:firstLine="0" w:firstLineChars="0"/>
              <w:jc w:val="center"/>
              <w:rPr>
                <w:color w:val="auto"/>
                <w:kern w:val="0"/>
                <w:sz w:val="21"/>
                <w:szCs w:val="21"/>
              </w:rPr>
            </w:pPr>
          </w:p>
        </w:tc>
        <w:tc>
          <w:tcPr>
            <w:tcW w:w="762" w:type="pct"/>
            <w:vAlign w:val="center"/>
          </w:tcPr>
          <w:p>
            <w:pPr>
              <w:spacing w:line="240" w:lineRule="auto"/>
              <w:ind w:firstLine="0" w:firstLineChars="0"/>
              <w:jc w:val="center"/>
              <w:rPr>
                <w:color w:val="auto"/>
                <w:kern w:val="0"/>
                <w:sz w:val="21"/>
                <w:szCs w:val="21"/>
              </w:rPr>
            </w:pPr>
            <w:r>
              <w:rPr>
                <w:rFonts w:hint="eastAsia"/>
                <w:color w:val="auto"/>
                <w:kern w:val="0"/>
                <w:sz w:val="21"/>
                <w:szCs w:val="21"/>
              </w:rPr>
              <w:t>污水输送管线</w:t>
            </w:r>
          </w:p>
        </w:tc>
        <w:tc>
          <w:tcPr>
            <w:tcW w:w="677" w:type="pct"/>
            <w:vAlign w:val="center"/>
          </w:tcPr>
          <w:p>
            <w:pPr>
              <w:spacing w:line="240" w:lineRule="auto"/>
              <w:ind w:firstLine="0" w:firstLineChars="0"/>
              <w:jc w:val="center"/>
              <w:rPr>
                <w:color w:val="auto"/>
                <w:kern w:val="0"/>
                <w:sz w:val="21"/>
                <w:szCs w:val="21"/>
              </w:rPr>
            </w:pPr>
            <w:r>
              <w:rPr>
                <w:rFonts w:hint="eastAsia"/>
                <w:color w:val="auto"/>
                <w:kern w:val="0"/>
                <w:sz w:val="21"/>
                <w:szCs w:val="21"/>
              </w:rPr>
              <w:t>沼液</w:t>
            </w:r>
          </w:p>
        </w:tc>
        <w:tc>
          <w:tcPr>
            <w:tcW w:w="1015" w:type="pct"/>
            <w:vAlign w:val="center"/>
          </w:tcPr>
          <w:p>
            <w:pPr>
              <w:spacing w:line="240" w:lineRule="auto"/>
              <w:ind w:firstLine="0" w:firstLineChars="0"/>
              <w:jc w:val="center"/>
              <w:rPr>
                <w:color w:val="auto"/>
                <w:kern w:val="0"/>
                <w:sz w:val="21"/>
                <w:szCs w:val="21"/>
              </w:rPr>
            </w:pPr>
            <w:r>
              <w:rPr>
                <w:rFonts w:hint="eastAsia"/>
                <w:color w:val="auto"/>
                <w:kern w:val="0"/>
                <w:sz w:val="21"/>
                <w:szCs w:val="21"/>
              </w:rPr>
              <w:t>泄漏</w:t>
            </w:r>
          </w:p>
        </w:tc>
        <w:tc>
          <w:tcPr>
            <w:tcW w:w="1101" w:type="pct"/>
            <w:vAlign w:val="center"/>
          </w:tcPr>
          <w:p>
            <w:pPr>
              <w:spacing w:line="240" w:lineRule="auto"/>
              <w:ind w:firstLine="0" w:firstLineChars="0"/>
              <w:jc w:val="center"/>
              <w:rPr>
                <w:color w:val="auto"/>
                <w:spacing w:val="-8"/>
                <w:kern w:val="0"/>
                <w:sz w:val="21"/>
                <w:szCs w:val="21"/>
              </w:rPr>
            </w:pPr>
            <w:r>
              <w:rPr>
                <w:rFonts w:hint="eastAsia"/>
                <w:color w:val="auto"/>
                <w:spacing w:val="-8"/>
                <w:kern w:val="0"/>
                <w:sz w:val="21"/>
                <w:szCs w:val="21"/>
              </w:rPr>
              <w:t>土壤、地表水、地下水</w:t>
            </w:r>
          </w:p>
        </w:tc>
        <w:tc>
          <w:tcPr>
            <w:tcW w:w="832" w:type="pct"/>
            <w:vMerge w:val="continue"/>
            <w:vAlign w:val="center"/>
          </w:tcPr>
          <w:p>
            <w:pPr>
              <w:spacing w:line="240" w:lineRule="auto"/>
              <w:ind w:firstLine="0" w:firstLineChars="0"/>
              <w:jc w:val="center"/>
              <w:rPr>
                <w:color w:val="auto"/>
                <w:kern w:val="0"/>
                <w:sz w:val="21"/>
                <w:szCs w:val="21"/>
              </w:rPr>
            </w:pPr>
          </w:p>
        </w:tc>
      </w:tr>
    </w:tbl>
    <w:p>
      <w:pPr>
        <w:keepNext/>
        <w:keepLines/>
        <w:numPr>
          <w:ilvl w:val="2"/>
          <w:numId w:val="0"/>
        </w:numPr>
        <w:tabs>
          <w:tab w:val="left" w:pos="709"/>
        </w:tabs>
        <w:outlineLvl w:val="2"/>
        <w:rPr>
          <w:rFonts w:eastAsia="黑体"/>
          <w:bCs/>
          <w:color w:val="auto"/>
          <w:sz w:val="26"/>
          <w:szCs w:val="26"/>
          <w:lang w:val="en-GB"/>
        </w:rPr>
      </w:pPr>
      <w:r>
        <w:rPr>
          <w:rFonts w:eastAsia="黑体"/>
          <w:bCs/>
          <w:color w:val="auto"/>
          <w:sz w:val="26"/>
          <w:szCs w:val="26"/>
          <w:lang w:val="en-GB"/>
        </w:rPr>
        <w:t>5.</w:t>
      </w:r>
      <w:r>
        <w:rPr>
          <w:rFonts w:hint="eastAsia" w:eastAsia="黑体"/>
          <w:bCs/>
          <w:color w:val="auto"/>
          <w:sz w:val="26"/>
          <w:szCs w:val="26"/>
          <w:lang w:val="en-GB"/>
        </w:rPr>
        <w:t>3</w:t>
      </w:r>
      <w:r>
        <w:rPr>
          <w:rFonts w:eastAsia="黑体"/>
          <w:bCs/>
          <w:color w:val="auto"/>
          <w:sz w:val="26"/>
          <w:szCs w:val="26"/>
          <w:lang w:val="en-GB"/>
        </w:rPr>
        <w:t>.</w:t>
      </w:r>
      <w:r>
        <w:rPr>
          <w:rFonts w:hint="eastAsia" w:eastAsia="黑体"/>
          <w:bCs/>
          <w:color w:val="auto"/>
          <w:sz w:val="26"/>
          <w:szCs w:val="26"/>
        </w:rPr>
        <w:t>4</w:t>
      </w:r>
      <w:r>
        <w:rPr>
          <w:rFonts w:hint="eastAsia" w:eastAsia="黑体"/>
          <w:bCs/>
          <w:color w:val="auto"/>
          <w:sz w:val="26"/>
          <w:szCs w:val="26"/>
          <w:lang w:val="en-GB"/>
        </w:rPr>
        <w:t xml:space="preserve"> 环境风险防范措施</w:t>
      </w:r>
    </w:p>
    <w:p>
      <w:pPr>
        <w:keepNext/>
        <w:keepLines/>
        <w:numPr>
          <w:ilvl w:val="3"/>
          <w:numId w:val="0"/>
        </w:numPr>
        <w:outlineLvl w:val="3"/>
        <w:rPr>
          <w:color w:val="auto"/>
        </w:rPr>
      </w:pPr>
      <w:r>
        <w:rPr>
          <w:color w:val="auto"/>
        </w:rPr>
        <w:t>5.</w:t>
      </w:r>
      <w:r>
        <w:rPr>
          <w:rFonts w:hint="eastAsia"/>
          <w:color w:val="auto"/>
        </w:rPr>
        <w:t>3</w:t>
      </w:r>
      <w:r>
        <w:rPr>
          <w:color w:val="auto"/>
        </w:rPr>
        <w:t>.</w:t>
      </w:r>
      <w:r>
        <w:rPr>
          <w:rFonts w:hint="eastAsia"/>
          <w:color w:val="auto"/>
        </w:rPr>
        <w:t>4</w:t>
      </w:r>
      <w:r>
        <w:rPr>
          <w:color w:val="auto"/>
        </w:rPr>
        <w:t>.</w:t>
      </w:r>
      <w:r>
        <w:rPr>
          <w:rFonts w:hint="eastAsia"/>
          <w:color w:val="auto"/>
        </w:rPr>
        <w:t>1</w:t>
      </w:r>
      <w:r>
        <w:rPr>
          <w:color w:val="auto"/>
        </w:rPr>
        <w:t>沼气泄漏预防</w:t>
      </w:r>
    </w:p>
    <w:p>
      <w:pPr>
        <w:widowControl/>
        <w:ind w:firstLine="480"/>
        <w:rPr>
          <w:color w:val="auto"/>
          <w:kern w:val="0"/>
        </w:rPr>
      </w:pPr>
      <w:r>
        <w:rPr>
          <w:color w:val="auto"/>
          <w:kern w:val="0"/>
        </w:rPr>
        <w:t>（1）黑膜沼气池、管线进行适当的整体试验、外观检查或非破坏性的测厚检查、射线探伤，检查记录应存档备查。定期对黑膜沼气池外部检查，及时发现破损和漏处。</w:t>
      </w:r>
    </w:p>
    <w:p>
      <w:pPr>
        <w:widowControl/>
        <w:ind w:firstLine="480"/>
        <w:rPr>
          <w:color w:val="auto"/>
          <w:kern w:val="0"/>
        </w:rPr>
      </w:pPr>
      <w:r>
        <w:rPr>
          <w:color w:val="auto"/>
          <w:kern w:val="0"/>
        </w:rPr>
        <w:t>（2）黑膜沼气池施工阶段确保四周粘严，同时黑膜沼气池四周设置防护网。</w:t>
      </w:r>
    </w:p>
    <w:p>
      <w:pPr>
        <w:widowControl/>
        <w:ind w:firstLine="0" w:firstLineChars="0"/>
        <w:rPr>
          <w:color w:val="auto"/>
          <w:kern w:val="0"/>
        </w:rPr>
      </w:pPr>
      <w:r>
        <w:rPr>
          <w:color w:val="auto"/>
          <w:kern w:val="0"/>
        </w:rPr>
        <w:t>经常检查管道，若地下管道应采用防腐蚀材料，并在埋设的地面作标记，以防开挖时破坏管道，地上管道应防止汽车碰撞，并控制管道支撑的磨损。定期系统试压、定期检漏。管道施工应按规范要求进行。</w:t>
      </w:r>
    </w:p>
    <w:p>
      <w:pPr>
        <w:ind w:firstLine="480"/>
        <w:rPr>
          <w:color w:val="auto"/>
        </w:rPr>
      </w:pPr>
      <w:r>
        <w:rPr>
          <w:bCs/>
          <w:color w:val="auto"/>
        </w:rPr>
        <w:t>（4）</w:t>
      </w:r>
      <w:r>
        <w:rPr>
          <w:color w:val="auto"/>
        </w:rPr>
        <w:t>定期对设备进行安全检测，检测内容、时间、人员应有记录保存，安全检测应根据设备的安全性、危险性设定检测频次。</w:t>
      </w:r>
    </w:p>
    <w:p>
      <w:pPr>
        <w:ind w:firstLine="480"/>
        <w:rPr>
          <w:color w:val="auto"/>
        </w:rPr>
      </w:pPr>
      <w:r>
        <w:rPr>
          <w:color w:val="auto"/>
        </w:rPr>
        <w:t>（5）严控火源</w:t>
      </w:r>
    </w:p>
    <w:p>
      <w:pPr>
        <w:ind w:firstLine="480"/>
        <w:rPr>
          <w:color w:val="auto"/>
        </w:rPr>
      </w:pPr>
      <w:r>
        <w:rPr>
          <w:color w:val="auto"/>
        </w:rPr>
        <w:t>a、严禁火源进入治污区，对明火严格控制，在黑膜沼气池附近20m内不准有明火；b、对设备维修检查，需进行维修焊接，应经安全部门确认、准许，并有记录在案；另外，在危险区作业是不能使用能产生撞击火花的金属物体，应用铜工具，如用钢工具，表面应涂黄油；c、在黑膜沼气池上设置永久性接地装置；d、在装置区内的所有设备，电气装置都应满足防爆防火的要求。</w:t>
      </w:r>
    </w:p>
    <w:p>
      <w:pPr>
        <w:ind w:firstLine="480"/>
        <w:rPr>
          <w:color w:val="auto"/>
        </w:rPr>
      </w:pPr>
      <w:r>
        <w:rPr>
          <w:color w:val="auto"/>
        </w:rPr>
        <w:t>（6）人员的管理</w:t>
      </w:r>
    </w:p>
    <w:p>
      <w:pPr>
        <w:ind w:firstLine="480"/>
        <w:rPr>
          <w:color w:val="auto"/>
        </w:rPr>
      </w:pPr>
      <w:r>
        <w:rPr>
          <w:color w:val="auto"/>
        </w:rPr>
        <w:t>a、加强沼气安全知识的宣传，加强对有关人员的培训教育和考核；</w:t>
      </w:r>
    </w:p>
    <w:p>
      <w:pPr>
        <w:ind w:firstLine="480"/>
        <w:rPr>
          <w:color w:val="auto"/>
        </w:rPr>
      </w:pPr>
      <w:r>
        <w:rPr>
          <w:color w:val="auto"/>
        </w:rPr>
        <w:t>b、严格规章制度和安全操作规程，强化安全监督检查和管理；</w:t>
      </w:r>
    </w:p>
    <w:p>
      <w:pPr>
        <w:ind w:firstLine="480"/>
        <w:rPr>
          <w:color w:val="auto"/>
        </w:rPr>
      </w:pPr>
      <w:r>
        <w:rPr>
          <w:color w:val="auto"/>
        </w:rPr>
        <w:t>c、沼气工程外设专职人员进行监理和维护，严禁其他人员进入。</w:t>
      </w:r>
    </w:p>
    <w:p>
      <w:pPr>
        <w:keepNext/>
        <w:keepLines/>
        <w:numPr>
          <w:ilvl w:val="3"/>
          <w:numId w:val="0"/>
        </w:numPr>
        <w:outlineLvl w:val="3"/>
        <w:rPr>
          <w:color w:val="auto"/>
        </w:rPr>
      </w:pPr>
      <w:r>
        <w:rPr>
          <w:color w:val="auto"/>
        </w:rPr>
        <w:t>5.</w:t>
      </w:r>
      <w:r>
        <w:rPr>
          <w:rFonts w:hint="eastAsia"/>
          <w:color w:val="auto"/>
        </w:rPr>
        <w:t>3</w:t>
      </w:r>
      <w:r>
        <w:rPr>
          <w:color w:val="auto"/>
        </w:rPr>
        <w:t>.</w:t>
      </w:r>
      <w:r>
        <w:rPr>
          <w:rFonts w:hint="eastAsia"/>
          <w:color w:val="auto"/>
        </w:rPr>
        <w:t>4</w:t>
      </w:r>
      <w:r>
        <w:rPr>
          <w:color w:val="auto"/>
        </w:rPr>
        <w:t>.</w:t>
      </w:r>
      <w:r>
        <w:rPr>
          <w:rFonts w:hint="eastAsia"/>
          <w:color w:val="auto"/>
        </w:rPr>
        <w:t>2黑膜沼气池</w:t>
      </w:r>
      <w:r>
        <w:rPr>
          <w:color w:val="auto"/>
        </w:rPr>
        <w:t>泄漏预防</w:t>
      </w:r>
      <w:r>
        <w:rPr>
          <w:rFonts w:hint="eastAsia"/>
          <w:color w:val="auto"/>
        </w:rPr>
        <w:t>措施</w:t>
      </w:r>
    </w:p>
    <w:p>
      <w:pPr>
        <w:ind w:firstLine="480"/>
        <w:rPr>
          <w:color w:val="auto"/>
        </w:rPr>
      </w:pPr>
      <w:r>
        <w:rPr>
          <w:rFonts w:hint="eastAsia"/>
          <w:color w:val="auto"/>
        </w:rPr>
        <w:t>（1）</w:t>
      </w:r>
      <w:r>
        <w:rPr>
          <w:rFonts w:hint="eastAsia"/>
          <w:bCs/>
          <w:color w:val="auto"/>
        </w:rPr>
        <w:t>黑膜沼气池</w:t>
      </w:r>
      <w:r>
        <w:rPr>
          <w:rFonts w:hint="eastAsia"/>
          <w:color w:val="auto"/>
        </w:rPr>
        <w:t>池壁在清场夯压的基础上采用铺设HDPE膜进行防渗，底部设置排气沟，最底部排气沟中放置排水管，并设置导流渠，渗透系数达到1.0×10</w:t>
      </w:r>
      <w:r>
        <w:rPr>
          <w:rFonts w:hint="eastAsia"/>
          <w:color w:val="auto"/>
          <w:vertAlign w:val="superscript"/>
        </w:rPr>
        <w:t>-10</w:t>
      </w:r>
      <w:r>
        <w:rPr>
          <w:rFonts w:hint="eastAsia"/>
          <w:color w:val="auto"/>
        </w:rPr>
        <w:t>cm/s，</w:t>
      </w:r>
    </w:p>
    <w:p>
      <w:pPr>
        <w:ind w:firstLine="480"/>
        <w:rPr>
          <w:color w:val="auto"/>
        </w:rPr>
      </w:pPr>
      <w:r>
        <w:rPr>
          <w:rFonts w:hint="eastAsia"/>
          <w:color w:val="auto"/>
        </w:rPr>
        <w:t>（2）根据牧原食品股份有限公司其他分场的运行实例，目前尚未有沼液发生泄漏情况，但企业应对管道及阀门进行保养及维护，预防跑冒滴漏现象的发生；</w:t>
      </w:r>
    </w:p>
    <w:p>
      <w:pPr>
        <w:ind w:firstLine="480"/>
        <w:rPr>
          <w:color w:val="auto"/>
        </w:rPr>
      </w:pPr>
      <w:r>
        <w:rPr>
          <w:rFonts w:hint="eastAsia"/>
          <w:color w:val="auto"/>
        </w:rPr>
        <w:t>（3）治污区设置值班人员，如发现设备运行故障及时停产检修；</w:t>
      </w:r>
    </w:p>
    <w:p>
      <w:pPr>
        <w:ind w:firstLine="480"/>
        <w:rPr>
          <w:color w:val="auto"/>
        </w:rPr>
      </w:pPr>
      <w:r>
        <w:rPr>
          <w:rFonts w:hint="eastAsia"/>
          <w:color w:val="auto"/>
        </w:rPr>
        <w:t>（4）定期对废水处理设施下游设置的监测井取水进行监测。</w:t>
      </w:r>
    </w:p>
    <w:p>
      <w:pPr>
        <w:keepNext/>
        <w:keepLines/>
        <w:numPr>
          <w:ilvl w:val="3"/>
          <w:numId w:val="0"/>
        </w:numPr>
        <w:outlineLvl w:val="3"/>
        <w:rPr>
          <w:color w:val="auto"/>
        </w:rPr>
      </w:pPr>
      <w:r>
        <w:rPr>
          <w:color w:val="auto"/>
        </w:rPr>
        <w:t>5.</w:t>
      </w:r>
      <w:r>
        <w:rPr>
          <w:rFonts w:hint="eastAsia"/>
          <w:color w:val="auto"/>
        </w:rPr>
        <w:t>3.4.3沼液输送管道风险防范措施</w:t>
      </w:r>
    </w:p>
    <w:p>
      <w:pPr>
        <w:ind w:firstLine="480"/>
        <w:rPr>
          <w:color w:val="auto"/>
        </w:rPr>
      </w:pPr>
      <w:r>
        <w:rPr>
          <w:color w:val="auto"/>
        </w:rPr>
        <w:t>为了防止沼液输送过程中管道破裂而污染土壤和浅层地下水，评价提出如下建议措施：</w:t>
      </w:r>
    </w:p>
    <w:p>
      <w:pPr>
        <w:ind w:firstLine="480"/>
        <w:rPr>
          <w:color w:val="auto"/>
        </w:rPr>
      </w:pPr>
      <w:r>
        <w:rPr>
          <w:color w:val="auto"/>
        </w:rPr>
        <w:t>（1）合理设置管道阀门，在出现破裂时，能及时通过阀门控制泄漏量。</w:t>
      </w:r>
    </w:p>
    <w:p>
      <w:pPr>
        <w:numPr>
          <w:ilvl w:val="6"/>
          <w:numId w:val="0"/>
        </w:numPr>
        <w:ind w:firstLine="480" w:firstLineChars="200"/>
        <w:rPr>
          <w:color w:val="auto"/>
        </w:rPr>
      </w:pPr>
      <w:r>
        <w:rPr>
          <w:color w:val="auto"/>
        </w:rPr>
        <w:t>（2）选用优质管材，减少管道破裂的几率。</w:t>
      </w:r>
    </w:p>
    <w:p>
      <w:pPr>
        <w:ind w:firstLine="480"/>
        <w:rPr>
          <w:color w:val="auto"/>
        </w:rPr>
      </w:pPr>
      <w:r>
        <w:rPr>
          <w:color w:val="auto"/>
        </w:rPr>
        <w:t>（3）加强管理，做好管道的维护工作，发现破裂时能及时做应急处理。</w:t>
      </w:r>
    </w:p>
    <w:p>
      <w:pPr>
        <w:tabs>
          <w:tab w:val="left" w:pos="5625"/>
        </w:tabs>
        <w:ind w:firstLine="480"/>
        <w:rPr>
          <w:bCs/>
          <w:color w:val="auto"/>
        </w:rPr>
      </w:pPr>
      <w:r>
        <w:rPr>
          <w:rFonts w:hint="eastAsia"/>
          <w:color w:val="auto"/>
        </w:rPr>
        <w:t>评价认为采取以上措施后可有效降低沼液输送过程中发生风险的几率。</w:t>
      </w:r>
    </w:p>
    <w:p>
      <w:pPr>
        <w:keepNext/>
        <w:keepLines/>
        <w:numPr>
          <w:ilvl w:val="3"/>
          <w:numId w:val="0"/>
        </w:numPr>
        <w:outlineLvl w:val="3"/>
        <w:rPr>
          <w:color w:val="auto"/>
        </w:rPr>
      </w:pPr>
      <w:r>
        <w:rPr>
          <w:color w:val="auto"/>
        </w:rPr>
        <w:t>5.</w:t>
      </w:r>
      <w:r>
        <w:rPr>
          <w:rFonts w:hint="eastAsia"/>
          <w:color w:val="auto"/>
        </w:rPr>
        <w:t>3.4.4沼液贮存风险防范措施</w:t>
      </w:r>
    </w:p>
    <w:p>
      <w:pPr>
        <w:ind w:firstLine="480"/>
        <w:rPr>
          <w:color w:val="auto"/>
        </w:rPr>
      </w:pPr>
      <w:r>
        <w:rPr>
          <w:rFonts w:hint="eastAsia"/>
          <w:color w:val="auto"/>
        </w:rPr>
        <w:t>根据《畜禽养殖业污染防治技术规范》（HJ/T81-2001）规定：①养殖场的排水系统应实行雨水和污水收集输送系统分离，在厂区内设置的污水收集输送系统，不得采取明沟布设；②贮存设施应采取有效的防渗处理工艺，防止畜禽粪便污染地下水；③贮存设施应采取设置顶盖及围堰等防止雨水进入的措施。</w:t>
      </w:r>
    </w:p>
    <w:p>
      <w:pPr>
        <w:ind w:firstLine="480"/>
        <w:rPr>
          <w:color w:val="auto"/>
        </w:rPr>
      </w:pPr>
      <w:r>
        <w:rPr>
          <w:rFonts w:hint="eastAsia"/>
          <w:color w:val="auto"/>
        </w:rPr>
        <w:t>本项目黑膜沼气池采用土膜夯实+</w:t>
      </w:r>
      <w:r>
        <w:rPr>
          <w:bCs/>
          <w:color w:val="auto"/>
        </w:rPr>
        <w:t>HDPE</w:t>
      </w:r>
      <w:r>
        <w:rPr>
          <w:rFonts w:hint="eastAsia"/>
          <w:color w:val="auto"/>
        </w:rPr>
        <w:t>黑膜密闭，可避免雨水进入。</w:t>
      </w:r>
    </w:p>
    <w:p>
      <w:pPr>
        <w:ind w:firstLine="480"/>
        <w:rPr>
          <w:color w:val="auto"/>
        </w:rPr>
      </w:pPr>
      <w:r>
        <w:rPr>
          <w:rFonts w:hint="eastAsia"/>
          <w:color w:val="auto"/>
        </w:rPr>
        <w:t>项目</w:t>
      </w:r>
      <w:r>
        <w:rPr>
          <w:color w:val="auto"/>
        </w:rPr>
        <w:t>黑膜沼气池采用</w:t>
      </w:r>
      <w:r>
        <w:rPr>
          <w:rFonts w:hint="eastAsia"/>
          <w:color w:val="auto"/>
        </w:rPr>
        <w:t>土膜夯实+</w:t>
      </w:r>
      <w:r>
        <w:rPr>
          <w:bCs/>
          <w:color w:val="auto"/>
        </w:rPr>
        <w:t>HDPE</w:t>
      </w:r>
      <w:r>
        <w:rPr>
          <w:rFonts w:hint="eastAsia"/>
          <w:color w:val="auto"/>
        </w:rPr>
        <w:t>黑膜</w:t>
      </w:r>
      <w:r>
        <w:rPr>
          <w:rFonts w:hint="eastAsia"/>
          <w:bCs/>
          <w:color w:val="auto"/>
        </w:rPr>
        <w:t>进行防渗。项目区各池子均做了有效的防渗措施，同时在日常运行中应</w:t>
      </w:r>
      <w:r>
        <w:rPr>
          <w:rFonts w:hint="eastAsia"/>
          <w:color w:val="auto"/>
        </w:rPr>
        <w:t>定期对池底防渗膜进行检查，发现渗漏及时进行维修。在污水处理站地下水下游方位设置监测井，定期对地下水进行监测，如发现指标异常，应立即对污水处理系统进行排查检修。经过上述处理后，沼液下渗污染地下水和土壤的风险很小。</w:t>
      </w:r>
    </w:p>
    <w:p>
      <w:pPr>
        <w:keepNext/>
        <w:keepLines/>
        <w:numPr>
          <w:ilvl w:val="3"/>
          <w:numId w:val="0"/>
        </w:numPr>
        <w:outlineLvl w:val="3"/>
        <w:rPr>
          <w:color w:val="auto"/>
        </w:rPr>
      </w:pPr>
      <w:r>
        <w:rPr>
          <w:color w:val="auto"/>
        </w:rPr>
        <w:t>5.</w:t>
      </w:r>
      <w:r>
        <w:rPr>
          <w:rFonts w:hint="eastAsia"/>
          <w:color w:val="auto"/>
        </w:rPr>
        <w:t>3</w:t>
      </w:r>
      <w:r>
        <w:rPr>
          <w:color w:val="auto"/>
        </w:rPr>
        <w:t>.</w:t>
      </w:r>
      <w:r>
        <w:rPr>
          <w:rFonts w:hint="eastAsia"/>
          <w:color w:val="auto"/>
        </w:rPr>
        <w:t>4.5厂区</w:t>
      </w:r>
      <w:r>
        <w:rPr>
          <w:color w:val="auto"/>
        </w:rPr>
        <w:t>雨污水</w:t>
      </w:r>
      <w:r>
        <w:rPr>
          <w:rFonts w:hint="eastAsia"/>
          <w:color w:val="auto"/>
        </w:rPr>
        <w:t>漏入附近河流风险防范措施</w:t>
      </w:r>
    </w:p>
    <w:p>
      <w:pPr>
        <w:ind w:firstLine="480"/>
        <w:rPr>
          <w:color w:val="auto"/>
        </w:rPr>
      </w:pPr>
      <w:r>
        <w:rPr>
          <w:rFonts w:hint="eastAsia"/>
          <w:color w:val="auto"/>
        </w:rPr>
        <w:t>项目建成后养殖废水经污水处理系统处理后，暂存于</w:t>
      </w:r>
      <w:r>
        <w:rPr>
          <w:rFonts w:hint="eastAsia"/>
          <w:bCs/>
          <w:color w:val="auto"/>
        </w:rPr>
        <w:t>黑膜沼气池</w:t>
      </w:r>
      <w:r>
        <w:rPr>
          <w:rFonts w:hint="eastAsia"/>
          <w:color w:val="auto"/>
        </w:rPr>
        <w:t>，施肥季节，通过管网输送到沼液消纳地。因沼液输送管道破裂等情况发生泄漏，可能导致沼液流入董楼沟，雨季降水可能会经董楼沟流出，流经地区的土壤可能会受到影响，评价要求沼液输送过程中应做好防渗、防漏等措施，杜绝沼液事故排放状况的发生。</w:t>
      </w:r>
    </w:p>
    <w:p>
      <w:pPr>
        <w:ind w:firstLine="480"/>
        <w:rPr>
          <w:snapToGrid w:val="0"/>
          <w:color w:val="auto"/>
        </w:rPr>
      </w:pPr>
      <w:r>
        <w:rPr>
          <w:rFonts w:hint="eastAsia"/>
          <w:color w:val="auto"/>
        </w:rPr>
        <w:t>本项目在厂区内铺设有雨水、污水、粪便的输送管线，企业应加强管理，定期维护，避免管线出现故障导致污水乱流未经处理排出厂区，项目初期雨水中污染物主要为厂区地面上可能沾有的猪粪，通过调节阀门，使初期雨水入污水站处理，后期干净雨水才可排出场外。</w:t>
      </w:r>
    </w:p>
    <w:p>
      <w:pPr>
        <w:keepNext/>
        <w:keepLines/>
        <w:numPr>
          <w:ilvl w:val="3"/>
          <w:numId w:val="0"/>
        </w:numPr>
        <w:outlineLvl w:val="3"/>
        <w:rPr>
          <w:color w:val="auto"/>
        </w:rPr>
      </w:pPr>
      <w:r>
        <w:rPr>
          <w:rFonts w:hint="eastAsia"/>
          <w:color w:val="auto"/>
        </w:rPr>
        <w:t>5.3.4.6臭气污染风险防范措施</w:t>
      </w:r>
    </w:p>
    <w:p>
      <w:pPr>
        <w:ind w:firstLine="480"/>
        <w:rPr>
          <w:color w:val="auto"/>
        </w:rPr>
      </w:pPr>
      <w:r>
        <w:rPr>
          <w:rFonts w:hint="eastAsia"/>
          <w:color w:val="auto"/>
        </w:rPr>
        <w:t>本项目产生臭气的主要单元为猪舍、粪污处理区、污水处理区等，其主要通过喷洒除臭剂，进行密闭、安装除臭装置进行除臭。如发生除臭装置停止运行、密闭措施破裂等情况将产生臭气大量排出，污染周围环境的风险，应避免恶臭气体排出，对设备维修后在正常运行。对于猪舍区、污水处理区通过喷洒除臭剂进行除臭的区域，要加强制度的建设和人员的管理，建立岗位责任制，每天由专人定期、定量进行除臭剂的喷洒，并安排专人进行检查，起到督促监督作用。如发现沼气池上黑膜破裂，恶臭气体排出，应立即安排人员先用胶布临时封堵破裂口，然后进行黑膜的修复工作。</w:t>
      </w:r>
    </w:p>
    <w:p>
      <w:pPr>
        <w:keepNext/>
        <w:keepLines/>
        <w:numPr>
          <w:ilvl w:val="2"/>
          <w:numId w:val="0"/>
        </w:numPr>
        <w:tabs>
          <w:tab w:val="left" w:pos="709"/>
        </w:tabs>
        <w:outlineLvl w:val="2"/>
        <w:rPr>
          <w:rFonts w:eastAsia="黑体"/>
          <w:bCs/>
          <w:color w:val="auto"/>
          <w:sz w:val="26"/>
          <w:szCs w:val="26"/>
          <w:lang w:val="en-GB"/>
        </w:rPr>
      </w:pPr>
      <w:bookmarkStart w:id="571" w:name="_Toc441509196"/>
      <w:bookmarkStart w:id="572" w:name="_Toc413845809"/>
      <w:r>
        <w:rPr>
          <w:rFonts w:eastAsia="黑体"/>
          <w:bCs/>
          <w:color w:val="auto"/>
          <w:sz w:val="26"/>
          <w:szCs w:val="26"/>
          <w:lang w:val="en-GB"/>
        </w:rPr>
        <w:t>5.</w:t>
      </w:r>
      <w:r>
        <w:rPr>
          <w:rFonts w:hint="eastAsia" w:eastAsia="黑体"/>
          <w:bCs/>
          <w:color w:val="auto"/>
          <w:sz w:val="26"/>
          <w:szCs w:val="26"/>
          <w:lang w:val="en-GB"/>
        </w:rPr>
        <w:t>3</w:t>
      </w:r>
      <w:r>
        <w:rPr>
          <w:rFonts w:eastAsia="黑体"/>
          <w:bCs/>
          <w:color w:val="auto"/>
          <w:sz w:val="26"/>
          <w:szCs w:val="26"/>
          <w:lang w:val="en-GB"/>
        </w:rPr>
        <w:t>.</w:t>
      </w:r>
      <w:r>
        <w:rPr>
          <w:rFonts w:hint="eastAsia" w:eastAsia="黑体"/>
          <w:bCs/>
          <w:color w:val="auto"/>
          <w:sz w:val="26"/>
          <w:szCs w:val="26"/>
        </w:rPr>
        <w:t>5</w:t>
      </w:r>
      <w:r>
        <w:rPr>
          <w:rFonts w:eastAsia="黑体"/>
          <w:bCs/>
          <w:color w:val="auto"/>
          <w:sz w:val="26"/>
          <w:szCs w:val="26"/>
          <w:lang w:val="en-GB"/>
        </w:rPr>
        <w:t xml:space="preserve"> 风险评价结论</w:t>
      </w:r>
      <w:bookmarkEnd w:id="571"/>
      <w:bookmarkEnd w:id="572"/>
    </w:p>
    <w:p>
      <w:pPr>
        <w:widowControl/>
        <w:ind w:firstLine="480"/>
        <w:rPr>
          <w:color w:val="auto"/>
          <w:kern w:val="0"/>
        </w:rPr>
      </w:pPr>
      <w:r>
        <w:rPr>
          <w:color w:val="auto"/>
          <w:kern w:val="0"/>
        </w:rPr>
        <w:t>本项目环境风险主要表现在沼气发生泄漏引起</w:t>
      </w:r>
      <w:r>
        <w:rPr>
          <w:rFonts w:hint="eastAsia"/>
          <w:color w:val="auto"/>
          <w:kern w:val="0"/>
        </w:rPr>
        <w:t>大气污染、</w:t>
      </w:r>
      <w:r>
        <w:rPr>
          <w:color w:val="auto"/>
          <w:kern w:val="0"/>
        </w:rPr>
        <w:t>火灾、爆炸事故引发的大气污染。</w:t>
      </w:r>
    </w:p>
    <w:p>
      <w:pPr>
        <w:ind w:firstLine="480"/>
        <w:rPr>
          <w:color w:val="auto"/>
          <w:kern w:val="0"/>
        </w:rPr>
      </w:pPr>
      <w:r>
        <w:rPr>
          <w:color w:val="auto"/>
          <w:kern w:val="0"/>
        </w:rPr>
        <w:t>通过分析可知，在严格落实本环评提出的各项风险防范措施和事故应急预案后，该项目发生风险事故的可能进一步降低，其潜在的环境风险是可以接受的。</w:t>
      </w:r>
    </w:p>
    <w:p>
      <w:pPr>
        <w:ind w:firstLine="422"/>
        <w:jc w:val="center"/>
        <w:rPr>
          <w:b/>
          <w:bCs/>
          <w:color w:val="auto"/>
          <w:sz w:val="21"/>
          <w:szCs w:val="21"/>
        </w:rPr>
      </w:pPr>
      <w:r>
        <w:rPr>
          <w:b/>
          <w:bCs/>
          <w:color w:val="auto"/>
          <w:sz w:val="21"/>
          <w:szCs w:val="21"/>
        </w:rPr>
        <w:t>表5.3-9 建设项目环境风险简要分析内容表</w:t>
      </w:r>
    </w:p>
    <w:tbl>
      <w:tblPr>
        <w:tblStyle w:val="28"/>
        <w:tblW w:w="4999"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87"/>
        <w:gridCol w:w="1787"/>
        <w:gridCol w:w="1787"/>
        <w:gridCol w:w="1787"/>
        <w:gridCol w:w="179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9" w:type="pct"/>
            <w:tcBorders>
              <w:tl2br w:val="nil"/>
              <w:tr2bl w:val="nil"/>
            </w:tcBorders>
            <w:vAlign w:val="center"/>
          </w:tcPr>
          <w:p>
            <w:pPr>
              <w:adjustRightInd/>
              <w:snapToGrid/>
              <w:spacing w:line="240" w:lineRule="auto"/>
              <w:ind w:firstLine="0" w:firstLineChars="0"/>
              <w:jc w:val="center"/>
              <w:rPr>
                <w:color w:val="auto"/>
                <w:sz w:val="20"/>
                <w:szCs w:val="20"/>
              </w:rPr>
            </w:pPr>
            <w:r>
              <w:rPr>
                <w:rFonts w:hint="eastAsia"/>
                <w:color w:val="auto"/>
                <w:sz w:val="20"/>
                <w:szCs w:val="20"/>
              </w:rPr>
              <w:t>建设项目名称</w:t>
            </w:r>
          </w:p>
        </w:tc>
        <w:tc>
          <w:tcPr>
            <w:tcW w:w="4000" w:type="pct"/>
            <w:gridSpan w:val="4"/>
            <w:tcBorders>
              <w:tl2br w:val="nil"/>
              <w:tr2bl w:val="nil"/>
            </w:tcBorders>
            <w:vAlign w:val="center"/>
          </w:tcPr>
          <w:p>
            <w:pPr>
              <w:adjustRightInd/>
              <w:snapToGrid/>
              <w:spacing w:line="240" w:lineRule="auto"/>
              <w:ind w:firstLine="0" w:firstLineChars="0"/>
              <w:jc w:val="center"/>
              <w:rPr>
                <w:color w:val="auto"/>
                <w:sz w:val="20"/>
                <w:szCs w:val="20"/>
              </w:rPr>
            </w:pPr>
            <w:r>
              <w:rPr>
                <w:color w:val="auto"/>
                <w:sz w:val="20"/>
                <w:szCs w:val="20"/>
              </w:rPr>
              <w:t>濮阳县牧原农牧有限公司濮阳县三厂生猪养殖项目（年出栏5万头生猪）</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9" w:type="pct"/>
            <w:tcBorders>
              <w:tl2br w:val="nil"/>
              <w:tr2bl w:val="nil"/>
            </w:tcBorders>
            <w:vAlign w:val="center"/>
          </w:tcPr>
          <w:p>
            <w:pPr>
              <w:adjustRightInd/>
              <w:snapToGrid/>
              <w:spacing w:line="240" w:lineRule="auto"/>
              <w:ind w:firstLine="0" w:firstLineChars="0"/>
              <w:jc w:val="center"/>
              <w:rPr>
                <w:color w:val="auto"/>
                <w:sz w:val="20"/>
                <w:szCs w:val="20"/>
              </w:rPr>
            </w:pPr>
            <w:r>
              <w:rPr>
                <w:rFonts w:hint="eastAsia"/>
                <w:color w:val="auto"/>
                <w:sz w:val="20"/>
                <w:szCs w:val="20"/>
              </w:rPr>
              <w:t>建设地点</w:t>
            </w:r>
          </w:p>
        </w:tc>
        <w:tc>
          <w:tcPr>
            <w:tcW w:w="4000" w:type="pct"/>
            <w:gridSpan w:val="4"/>
            <w:tcBorders>
              <w:tl2br w:val="nil"/>
              <w:tr2bl w:val="nil"/>
            </w:tcBorders>
            <w:vAlign w:val="center"/>
          </w:tcPr>
          <w:p>
            <w:pPr>
              <w:adjustRightInd/>
              <w:snapToGrid/>
              <w:spacing w:line="240" w:lineRule="auto"/>
              <w:ind w:firstLine="0" w:firstLineChars="0"/>
              <w:jc w:val="center"/>
              <w:rPr>
                <w:color w:val="auto"/>
                <w:sz w:val="20"/>
                <w:szCs w:val="20"/>
              </w:rPr>
            </w:pPr>
            <w:r>
              <w:rPr>
                <w:color w:val="auto"/>
                <w:sz w:val="20"/>
                <w:szCs w:val="20"/>
              </w:rPr>
              <w:t>濮阳市濮阳县五星乡于屯村</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9" w:type="pct"/>
            <w:tcBorders>
              <w:tl2br w:val="nil"/>
              <w:tr2bl w:val="nil"/>
            </w:tcBorders>
            <w:vAlign w:val="center"/>
          </w:tcPr>
          <w:p>
            <w:pPr>
              <w:adjustRightInd/>
              <w:snapToGrid/>
              <w:spacing w:line="240" w:lineRule="auto"/>
              <w:ind w:firstLine="0" w:firstLineChars="0"/>
              <w:jc w:val="center"/>
              <w:rPr>
                <w:color w:val="auto"/>
                <w:sz w:val="20"/>
                <w:szCs w:val="20"/>
              </w:rPr>
            </w:pPr>
            <w:r>
              <w:rPr>
                <w:rFonts w:hint="eastAsia"/>
                <w:color w:val="auto"/>
                <w:sz w:val="20"/>
                <w:szCs w:val="20"/>
              </w:rPr>
              <w:t>地理坐标</w:t>
            </w:r>
          </w:p>
        </w:tc>
        <w:tc>
          <w:tcPr>
            <w:tcW w:w="999" w:type="pct"/>
            <w:tcBorders>
              <w:tl2br w:val="nil"/>
              <w:tr2bl w:val="nil"/>
            </w:tcBorders>
            <w:vAlign w:val="center"/>
          </w:tcPr>
          <w:p>
            <w:pPr>
              <w:adjustRightInd/>
              <w:snapToGrid/>
              <w:spacing w:line="240" w:lineRule="auto"/>
              <w:ind w:firstLine="0" w:firstLineChars="0"/>
              <w:jc w:val="center"/>
              <w:rPr>
                <w:color w:val="auto"/>
                <w:sz w:val="20"/>
                <w:szCs w:val="20"/>
              </w:rPr>
            </w:pPr>
            <w:r>
              <w:rPr>
                <w:rFonts w:hint="eastAsia"/>
                <w:color w:val="auto"/>
                <w:sz w:val="20"/>
                <w:szCs w:val="20"/>
              </w:rPr>
              <w:t>经度</w:t>
            </w:r>
          </w:p>
        </w:tc>
        <w:tc>
          <w:tcPr>
            <w:tcW w:w="999" w:type="pct"/>
            <w:tcBorders>
              <w:tl2br w:val="nil"/>
              <w:tr2bl w:val="nil"/>
            </w:tcBorders>
            <w:vAlign w:val="center"/>
          </w:tcPr>
          <w:p>
            <w:pPr>
              <w:adjustRightInd/>
              <w:snapToGrid/>
              <w:spacing w:line="240" w:lineRule="auto"/>
              <w:ind w:firstLine="0" w:firstLineChars="0"/>
              <w:jc w:val="center"/>
              <w:rPr>
                <w:color w:val="auto"/>
                <w:sz w:val="20"/>
                <w:szCs w:val="20"/>
              </w:rPr>
            </w:pPr>
            <w:r>
              <w:rPr>
                <w:color w:val="auto"/>
                <w:sz w:val="20"/>
                <w:szCs w:val="20"/>
              </w:rPr>
              <w:t>115.103073</w:t>
            </w:r>
          </w:p>
        </w:tc>
        <w:tc>
          <w:tcPr>
            <w:tcW w:w="999" w:type="pct"/>
            <w:tcBorders>
              <w:tl2br w:val="nil"/>
              <w:tr2bl w:val="nil"/>
            </w:tcBorders>
            <w:vAlign w:val="center"/>
          </w:tcPr>
          <w:p>
            <w:pPr>
              <w:adjustRightInd/>
              <w:snapToGrid/>
              <w:spacing w:line="240" w:lineRule="auto"/>
              <w:ind w:firstLine="0" w:firstLineChars="0"/>
              <w:jc w:val="center"/>
              <w:rPr>
                <w:color w:val="auto"/>
                <w:sz w:val="20"/>
                <w:szCs w:val="20"/>
              </w:rPr>
            </w:pPr>
            <w:r>
              <w:rPr>
                <w:rFonts w:hint="eastAsia"/>
                <w:color w:val="auto"/>
                <w:sz w:val="20"/>
                <w:szCs w:val="20"/>
              </w:rPr>
              <w:t>纬度</w:t>
            </w:r>
          </w:p>
        </w:tc>
        <w:tc>
          <w:tcPr>
            <w:tcW w:w="1002" w:type="pct"/>
            <w:tcBorders>
              <w:tl2br w:val="nil"/>
              <w:tr2bl w:val="nil"/>
            </w:tcBorders>
            <w:vAlign w:val="center"/>
          </w:tcPr>
          <w:p>
            <w:pPr>
              <w:adjustRightInd/>
              <w:snapToGrid/>
              <w:spacing w:line="240" w:lineRule="auto"/>
              <w:ind w:firstLine="0" w:firstLineChars="0"/>
              <w:jc w:val="center"/>
              <w:rPr>
                <w:color w:val="auto"/>
                <w:sz w:val="20"/>
                <w:szCs w:val="20"/>
              </w:rPr>
            </w:pPr>
            <w:r>
              <w:rPr>
                <w:color w:val="auto"/>
                <w:sz w:val="20"/>
                <w:szCs w:val="20"/>
              </w:rPr>
              <w:t>35.651298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9" w:type="pct"/>
            <w:tcBorders>
              <w:tl2br w:val="nil"/>
              <w:tr2bl w:val="nil"/>
            </w:tcBorders>
            <w:vAlign w:val="center"/>
          </w:tcPr>
          <w:p>
            <w:pPr>
              <w:adjustRightInd/>
              <w:snapToGrid/>
              <w:spacing w:line="240" w:lineRule="auto"/>
              <w:ind w:firstLine="0" w:firstLineChars="0"/>
              <w:jc w:val="center"/>
              <w:rPr>
                <w:color w:val="auto"/>
                <w:sz w:val="20"/>
                <w:szCs w:val="20"/>
              </w:rPr>
            </w:pPr>
            <w:r>
              <w:rPr>
                <w:rFonts w:hint="eastAsia"/>
                <w:color w:val="auto"/>
                <w:sz w:val="20"/>
                <w:szCs w:val="20"/>
              </w:rPr>
              <w:t>主要危险物质及分布</w:t>
            </w:r>
          </w:p>
        </w:tc>
        <w:tc>
          <w:tcPr>
            <w:tcW w:w="4000" w:type="pct"/>
            <w:gridSpan w:val="4"/>
            <w:tcBorders>
              <w:tl2br w:val="nil"/>
              <w:tr2bl w:val="nil"/>
            </w:tcBorders>
            <w:vAlign w:val="center"/>
          </w:tcPr>
          <w:p>
            <w:pPr>
              <w:adjustRightInd/>
              <w:snapToGrid/>
              <w:spacing w:line="240" w:lineRule="auto"/>
              <w:ind w:firstLine="0" w:firstLineChars="0"/>
              <w:jc w:val="center"/>
              <w:rPr>
                <w:color w:val="auto"/>
                <w:sz w:val="20"/>
                <w:szCs w:val="20"/>
              </w:rPr>
            </w:pPr>
            <w:r>
              <w:rPr>
                <w:rFonts w:hint="eastAsia"/>
                <w:color w:val="auto"/>
                <w:sz w:val="20"/>
                <w:szCs w:val="20"/>
              </w:rPr>
              <w:t>主要危险物质为沼气，主要成分为甲烷；沼液的泄漏</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9" w:type="pct"/>
            <w:tcBorders>
              <w:tl2br w:val="nil"/>
              <w:tr2bl w:val="nil"/>
            </w:tcBorders>
            <w:vAlign w:val="center"/>
          </w:tcPr>
          <w:p>
            <w:pPr>
              <w:adjustRightInd/>
              <w:snapToGrid/>
              <w:spacing w:line="240" w:lineRule="auto"/>
              <w:ind w:firstLine="0" w:firstLineChars="0"/>
              <w:jc w:val="center"/>
              <w:rPr>
                <w:color w:val="auto"/>
                <w:sz w:val="20"/>
                <w:szCs w:val="20"/>
              </w:rPr>
            </w:pPr>
            <w:r>
              <w:rPr>
                <w:rFonts w:hint="eastAsia"/>
                <w:color w:val="auto"/>
                <w:sz w:val="20"/>
                <w:szCs w:val="20"/>
              </w:rPr>
              <w:t>环境影响途径及后果危害</w:t>
            </w:r>
          </w:p>
        </w:tc>
        <w:tc>
          <w:tcPr>
            <w:tcW w:w="4000" w:type="pct"/>
            <w:gridSpan w:val="4"/>
            <w:tcBorders>
              <w:tl2br w:val="nil"/>
              <w:tr2bl w:val="nil"/>
            </w:tcBorders>
            <w:vAlign w:val="center"/>
          </w:tcPr>
          <w:p>
            <w:pPr>
              <w:adjustRightInd/>
              <w:snapToGrid/>
              <w:spacing w:line="240" w:lineRule="auto"/>
              <w:ind w:firstLine="0" w:firstLineChars="0"/>
              <w:jc w:val="center"/>
              <w:rPr>
                <w:color w:val="auto"/>
                <w:sz w:val="20"/>
                <w:szCs w:val="20"/>
              </w:rPr>
            </w:pPr>
            <w:r>
              <w:rPr>
                <w:color w:val="auto"/>
                <w:sz w:val="20"/>
                <w:szCs w:val="20"/>
              </w:rPr>
              <w:t>在物质的运输（输送）、贮存和使用过程中，如管理操作不当或发生意外泄露，存在着中毒等事故风险。一旦发生这类事故，将造成有害物质的外泄，对周围环境产生较大的不利影响。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9" w:type="pct"/>
            <w:tcBorders>
              <w:tl2br w:val="nil"/>
              <w:tr2bl w:val="nil"/>
            </w:tcBorders>
            <w:vAlign w:val="center"/>
          </w:tcPr>
          <w:p>
            <w:pPr>
              <w:adjustRightInd/>
              <w:snapToGrid/>
              <w:spacing w:line="240" w:lineRule="auto"/>
              <w:ind w:firstLine="0" w:firstLineChars="0"/>
              <w:jc w:val="center"/>
              <w:rPr>
                <w:color w:val="auto"/>
                <w:sz w:val="20"/>
                <w:szCs w:val="20"/>
              </w:rPr>
            </w:pPr>
            <w:r>
              <w:rPr>
                <w:rFonts w:hint="eastAsia"/>
                <w:color w:val="auto"/>
                <w:sz w:val="20"/>
                <w:szCs w:val="20"/>
              </w:rPr>
              <w:t>风险防范措施要求</w:t>
            </w:r>
          </w:p>
        </w:tc>
        <w:tc>
          <w:tcPr>
            <w:tcW w:w="4000" w:type="pct"/>
            <w:gridSpan w:val="4"/>
            <w:tcBorders>
              <w:tl2br w:val="nil"/>
              <w:tr2bl w:val="nil"/>
            </w:tcBorders>
            <w:vAlign w:val="center"/>
          </w:tcPr>
          <w:p>
            <w:pPr>
              <w:adjustRightInd/>
              <w:snapToGrid/>
              <w:spacing w:line="240" w:lineRule="auto"/>
              <w:ind w:firstLine="0" w:firstLineChars="0"/>
              <w:jc w:val="center"/>
              <w:rPr>
                <w:color w:val="auto"/>
                <w:sz w:val="20"/>
                <w:szCs w:val="20"/>
              </w:rPr>
            </w:pPr>
            <w:r>
              <w:rPr>
                <w:color w:val="auto"/>
                <w:sz w:val="20"/>
                <w:szCs w:val="20"/>
              </w:rPr>
              <w:t>黑膜沼气池、管线进行适当的整体试验、外观检查或非破坏性的测厚检查，</w:t>
            </w:r>
            <w:r>
              <w:rPr>
                <w:rFonts w:hint="eastAsia"/>
                <w:color w:val="auto"/>
                <w:sz w:val="20"/>
                <w:szCs w:val="20"/>
              </w:rPr>
              <w:t>严禁火源；</w:t>
            </w:r>
            <w:r>
              <w:rPr>
                <w:color w:val="auto"/>
                <w:sz w:val="20"/>
                <w:szCs w:val="20"/>
              </w:rPr>
              <w:t>检查记录应存档备查</w:t>
            </w:r>
            <w:r>
              <w:rPr>
                <w:rFonts w:hint="eastAsia"/>
                <w:color w:val="auto"/>
                <w:sz w:val="20"/>
                <w:szCs w:val="20"/>
              </w:rPr>
              <w:t>；贮存设施应采取有效的防渗处理工艺</w:t>
            </w:r>
          </w:p>
        </w:tc>
      </w:tr>
    </w:tbl>
    <w:p>
      <w:pPr>
        <w:keepNext/>
        <w:keepLines/>
        <w:numPr>
          <w:ilvl w:val="2"/>
          <w:numId w:val="0"/>
        </w:numPr>
        <w:tabs>
          <w:tab w:val="left" w:pos="709"/>
        </w:tabs>
        <w:outlineLvl w:val="2"/>
        <w:rPr>
          <w:rFonts w:eastAsia="黑体"/>
          <w:bCs/>
          <w:color w:val="auto"/>
          <w:sz w:val="26"/>
          <w:szCs w:val="26"/>
          <w:lang w:val="en-GB"/>
        </w:rPr>
      </w:pPr>
      <w:r>
        <w:rPr>
          <w:rFonts w:eastAsia="黑体"/>
          <w:bCs/>
          <w:color w:val="auto"/>
          <w:sz w:val="26"/>
          <w:szCs w:val="26"/>
          <w:lang w:val="en-GB"/>
        </w:rPr>
        <w:t>5.</w:t>
      </w:r>
      <w:r>
        <w:rPr>
          <w:rFonts w:hint="eastAsia" w:eastAsia="黑体"/>
          <w:bCs/>
          <w:color w:val="auto"/>
          <w:sz w:val="26"/>
          <w:szCs w:val="26"/>
          <w:lang w:val="en-GB"/>
        </w:rPr>
        <w:t>3</w:t>
      </w:r>
      <w:r>
        <w:rPr>
          <w:rFonts w:eastAsia="黑体"/>
          <w:bCs/>
          <w:color w:val="auto"/>
          <w:sz w:val="26"/>
          <w:szCs w:val="26"/>
          <w:lang w:val="en-GB"/>
        </w:rPr>
        <w:t>.</w:t>
      </w:r>
      <w:r>
        <w:rPr>
          <w:rFonts w:hint="eastAsia" w:eastAsia="黑体"/>
          <w:bCs/>
          <w:color w:val="auto"/>
          <w:sz w:val="26"/>
          <w:szCs w:val="26"/>
        </w:rPr>
        <w:t>7</w:t>
      </w:r>
      <w:r>
        <w:rPr>
          <w:rFonts w:eastAsia="黑体"/>
          <w:bCs/>
          <w:color w:val="auto"/>
          <w:sz w:val="26"/>
          <w:szCs w:val="26"/>
          <w:lang w:val="en-GB"/>
        </w:rPr>
        <w:t xml:space="preserve"> 环境风险评价自查表</w:t>
      </w:r>
    </w:p>
    <w:p>
      <w:pPr>
        <w:ind w:firstLine="480"/>
        <w:rPr>
          <w:color w:val="auto"/>
        </w:rPr>
      </w:pPr>
      <w:r>
        <w:rPr>
          <w:color w:val="auto"/>
        </w:rPr>
        <w:t>本次环境风险评价完成后，对环境风险评价主要内容与结论进行自查，详见下表。</w:t>
      </w:r>
    </w:p>
    <w:p>
      <w:pPr>
        <w:pStyle w:val="8"/>
        <w:spacing w:before="156" w:beforeLines="50"/>
        <w:ind w:left="0" w:leftChars="0" w:firstLine="0" w:firstLineChars="0"/>
        <w:jc w:val="center"/>
        <w:rPr>
          <w:rFonts w:ascii="Times New Roman" w:hAnsi="Times New Roman" w:eastAsia="宋体"/>
          <w:b/>
          <w:color w:val="auto"/>
          <w:sz w:val="24"/>
          <w:szCs w:val="24"/>
        </w:rPr>
      </w:pPr>
      <w:r>
        <w:rPr>
          <w:rFonts w:ascii="Times New Roman" w:hAnsi="Times New Roman" w:eastAsia="宋体"/>
          <w:b/>
          <w:color w:val="auto"/>
          <w:sz w:val="24"/>
          <w:szCs w:val="24"/>
        </w:rPr>
        <w:t>表5.3-10   环境风险评价自查表</w:t>
      </w:r>
    </w:p>
    <w:tbl>
      <w:tblPr>
        <w:tblStyle w:val="27"/>
        <w:tblW w:w="5000" w:type="pct"/>
        <w:tblInd w:w="0" w:type="dxa"/>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autofit"/>
        <w:tblCellMar>
          <w:top w:w="0" w:type="dxa"/>
          <w:left w:w="0" w:type="dxa"/>
          <w:bottom w:w="0" w:type="dxa"/>
          <w:right w:w="0" w:type="dxa"/>
        </w:tblCellMar>
      </w:tblPr>
      <w:tblGrid>
        <w:gridCol w:w="395"/>
        <w:gridCol w:w="26"/>
        <w:gridCol w:w="26"/>
        <w:gridCol w:w="1189"/>
        <w:gridCol w:w="1041"/>
        <w:gridCol w:w="297"/>
        <w:gridCol w:w="892"/>
        <w:gridCol w:w="595"/>
        <w:gridCol w:w="890"/>
        <w:gridCol w:w="449"/>
        <w:gridCol w:w="890"/>
        <w:gridCol w:w="746"/>
        <w:gridCol w:w="148"/>
        <w:gridCol w:w="1146"/>
      </w:tblGrid>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937" w:type="pct"/>
            <w:gridSpan w:val="4"/>
            <w:vAlign w:val="center"/>
          </w:tcPr>
          <w:p>
            <w:pPr>
              <w:pStyle w:val="59"/>
              <w:autoSpaceDE w:val="0"/>
              <w:autoSpaceDN w:val="0"/>
              <w:spacing w:line="240" w:lineRule="auto"/>
              <w:ind w:firstLine="0" w:firstLineChars="0"/>
              <w:jc w:val="left"/>
              <w:rPr>
                <w:b/>
                <w:color w:val="auto"/>
                <w:sz w:val="21"/>
                <w:szCs w:val="21"/>
                <w:lang w:eastAsia="en-US"/>
              </w:rPr>
            </w:pPr>
            <w:r>
              <w:rPr>
                <w:b/>
                <w:color w:val="auto"/>
                <w:sz w:val="21"/>
                <w:szCs w:val="21"/>
                <w:lang w:eastAsia="en-US"/>
              </w:rPr>
              <w:t>工作内容</w:t>
            </w:r>
          </w:p>
        </w:tc>
        <w:tc>
          <w:tcPr>
            <w:tcW w:w="4063" w:type="pct"/>
            <w:gridSpan w:val="10"/>
            <w:vAlign w:val="center"/>
          </w:tcPr>
          <w:p>
            <w:pPr>
              <w:pStyle w:val="59"/>
              <w:autoSpaceDE w:val="0"/>
              <w:autoSpaceDN w:val="0"/>
              <w:spacing w:line="240" w:lineRule="auto"/>
              <w:ind w:firstLine="0" w:firstLineChars="0"/>
              <w:jc w:val="left"/>
              <w:rPr>
                <w:b/>
                <w:color w:val="auto"/>
                <w:sz w:val="21"/>
                <w:szCs w:val="21"/>
              </w:rPr>
            </w:pPr>
            <w:r>
              <w:rPr>
                <w:b/>
                <w:color w:val="auto"/>
                <w:sz w:val="21"/>
                <w:szCs w:val="21"/>
              </w:rPr>
              <w:t>完成情况</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256" w:type="pct"/>
            <w:gridSpan w:val="3"/>
            <w:vMerge w:val="restart"/>
            <w:vAlign w:val="center"/>
          </w:tcPr>
          <w:p>
            <w:pPr>
              <w:pStyle w:val="59"/>
              <w:autoSpaceDE w:val="0"/>
              <w:autoSpaceDN w:val="0"/>
              <w:spacing w:line="240" w:lineRule="auto"/>
              <w:ind w:firstLine="0" w:firstLineChars="0"/>
              <w:jc w:val="left"/>
              <w:rPr>
                <w:color w:val="auto"/>
                <w:sz w:val="21"/>
                <w:szCs w:val="21"/>
              </w:rPr>
            </w:pPr>
            <w:r>
              <w:rPr>
                <w:color w:val="auto"/>
                <w:sz w:val="21"/>
                <w:szCs w:val="21"/>
              </w:rPr>
              <w:t>风险调查</w:t>
            </w:r>
          </w:p>
        </w:tc>
        <w:tc>
          <w:tcPr>
            <w:tcW w:w="681" w:type="pct"/>
            <w:vMerge w:val="restart"/>
            <w:vAlign w:val="center"/>
          </w:tcPr>
          <w:p>
            <w:pPr>
              <w:pStyle w:val="59"/>
              <w:autoSpaceDE w:val="0"/>
              <w:autoSpaceDN w:val="0"/>
              <w:spacing w:line="240" w:lineRule="auto"/>
              <w:ind w:firstLine="0" w:firstLineChars="0"/>
              <w:jc w:val="left"/>
              <w:rPr>
                <w:color w:val="auto"/>
                <w:sz w:val="21"/>
                <w:szCs w:val="21"/>
                <w:lang w:eastAsia="en-US"/>
              </w:rPr>
            </w:pPr>
            <w:r>
              <w:rPr>
                <w:color w:val="auto"/>
                <w:sz w:val="21"/>
                <w:szCs w:val="21"/>
              </w:rPr>
              <w:t>危险</w:t>
            </w:r>
            <w:r>
              <w:rPr>
                <w:color w:val="auto"/>
                <w:sz w:val="21"/>
                <w:szCs w:val="21"/>
                <w:lang w:eastAsia="en-US"/>
              </w:rPr>
              <w:t>物质</w:t>
            </w:r>
          </w:p>
        </w:tc>
        <w:tc>
          <w:tcPr>
            <w:tcW w:w="596" w:type="pct"/>
            <w:tcBorders>
              <w:right w:val="single" w:color="auto" w:sz="4" w:space="0"/>
            </w:tcBorders>
            <w:vAlign w:val="center"/>
          </w:tcPr>
          <w:p>
            <w:pPr>
              <w:pStyle w:val="59"/>
              <w:autoSpaceDE w:val="0"/>
              <w:autoSpaceDN w:val="0"/>
              <w:spacing w:line="240" w:lineRule="auto"/>
              <w:ind w:firstLine="0" w:firstLineChars="0"/>
              <w:jc w:val="left"/>
              <w:rPr>
                <w:color w:val="auto"/>
                <w:sz w:val="21"/>
                <w:szCs w:val="21"/>
                <w:lang w:eastAsia="en-US"/>
              </w:rPr>
            </w:pPr>
            <w:r>
              <w:rPr>
                <w:color w:val="auto"/>
                <w:sz w:val="21"/>
                <w:szCs w:val="21"/>
                <w:lang w:eastAsia="en-US"/>
              </w:rPr>
              <w:t>名称</w:t>
            </w:r>
          </w:p>
        </w:tc>
        <w:tc>
          <w:tcPr>
            <w:tcW w:w="681" w:type="pct"/>
            <w:gridSpan w:val="2"/>
            <w:tcBorders>
              <w:left w:val="single" w:color="auto" w:sz="4" w:space="0"/>
              <w:right w:val="single" w:color="auto" w:sz="4" w:space="0"/>
            </w:tcBorders>
            <w:vAlign w:val="center"/>
          </w:tcPr>
          <w:p>
            <w:pPr>
              <w:pStyle w:val="59"/>
              <w:autoSpaceDE w:val="0"/>
              <w:autoSpaceDN w:val="0"/>
              <w:spacing w:line="240" w:lineRule="auto"/>
              <w:ind w:firstLine="0" w:firstLineChars="0"/>
              <w:jc w:val="left"/>
              <w:rPr>
                <w:color w:val="auto"/>
                <w:sz w:val="21"/>
                <w:szCs w:val="21"/>
              </w:rPr>
            </w:pPr>
            <w:r>
              <w:rPr>
                <w:color w:val="auto"/>
                <w:sz w:val="21"/>
                <w:szCs w:val="21"/>
              </w:rPr>
              <w:t>沼气</w:t>
            </w:r>
          </w:p>
        </w:tc>
        <w:tc>
          <w:tcPr>
            <w:tcW w:w="1107" w:type="pct"/>
            <w:gridSpan w:val="3"/>
            <w:tcBorders>
              <w:left w:val="single" w:color="auto" w:sz="4" w:space="0"/>
              <w:right w:val="single" w:color="auto" w:sz="4" w:space="0"/>
            </w:tcBorders>
            <w:vAlign w:val="center"/>
          </w:tcPr>
          <w:p>
            <w:pPr>
              <w:pStyle w:val="59"/>
              <w:autoSpaceDE w:val="0"/>
              <w:autoSpaceDN w:val="0"/>
              <w:spacing w:line="240" w:lineRule="auto"/>
              <w:ind w:firstLine="0" w:firstLineChars="0"/>
              <w:jc w:val="left"/>
              <w:rPr>
                <w:color w:val="auto"/>
                <w:sz w:val="21"/>
                <w:szCs w:val="21"/>
                <w:lang w:eastAsia="en-US"/>
              </w:rPr>
            </w:pPr>
          </w:p>
        </w:tc>
        <w:tc>
          <w:tcPr>
            <w:tcW w:w="1678" w:type="pct"/>
            <w:gridSpan w:val="4"/>
            <w:tcBorders>
              <w:left w:val="single" w:color="auto" w:sz="4" w:space="0"/>
            </w:tcBorders>
            <w:vAlign w:val="center"/>
          </w:tcPr>
          <w:p>
            <w:pPr>
              <w:pStyle w:val="59"/>
              <w:autoSpaceDE w:val="0"/>
              <w:autoSpaceDN w:val="0"/>
              <w:spacing w:line="240" w:lineRule="auto"/>
              <w:ind w:firstLine="0" w:firstLineChars="0"/>
              <w:jc w:val="left"/>
              <w:rPr>
                <w:color w:val="auto"/>
                <w:sz w:val="21"/>
                <w:szCs w:val="21"/>
                <w:lang w:eastAsia="en-US"/>
              </w:rPr>
            </w:pP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256" w:type="pct"/>
            <w:gridSpan w:val="3"/>
            <w:vMerge w:val="continue"/>
            <w:vAlign w:val="center"/>
          </w:tcPr>
          <w:p>
            <w:pPr>
              <w:pStyle w:val="59"/>
              <w:autoSpaceDE w:val="0"/>
              <w:autoSpaceDN w:val="0"/>
              <w:spacing w:line="240" w:lineRule="auto"/>
              <w:ind w:firstLine="0" w:firstLineChars="0"/>
              <w:jc w:val="left"/>
              <w:rPr>
                <w:color w:val="auto"/>
                <w:sz w:val="21"/>
                <w:szCs w:val="21"/>
              </w:rPr>
            </w:pPr>
          </w:p>
        </w:tc>
        <w:tc>
          <w:tcPr>
            <w:tcW w:w="681" w:type="pct"/>
            <w:vMerge w:val="continue"/>
            <w:vAlign w:val="center"/>
          </w:tcPr>
          <w:p>
            <w:pPr>
              <w:pStyle w:val="59"/>
              <w:autoSpaceDE w:val="0"/>
              <w:autoSpaceDN w:val="0"/>
              <w:spacing w:line="240" w:lineRule="auto"/>
              <w:ind w:firstLine="0" w:firstLineChars="0"/>
              <w:jc w:val="left"/>
              <w:rPr>
                <w:color w:val="auto"/>
                <w:sz w:val="21"/>
                <w:szCs w:val="21"/>
                <w:lang w:eastAsia="en-US"/>
              </w:rPr>
            </w:pPr>
          </w:p>
        </w:tc>
        <w:tc>
          <w:tcPr>
            <w:tcW w:w="596" w:type="pct"/>
            <w:tcBorders>
              <w:right w:val="single" w:color="auto" w:sz="4" w:space="0"/>
            </w:tcBorders>
            <w:vAlign w:val="center"/>
          </w:tcPr>
          <w:p>
            <w:pPr>
              <w:pStyle w:val="59"/>
              <w:autoSpaceDE w:val="0"/>
              <w:autoSpaceDN w:val="0"/>
              <w:spacing w:line="240" w:lineRule="auto"/>
              <w:ind w:firstLine="0" w:firstLineChars="0"/>
              <w:jc w:val="left"/>
              <w:rPr>
                <w:color w:val="auto"/>
                <w:sz w:val="21"/>
                <w:szCs w:val="21"/>
              </w:rPr>
            </w:pPr>
            <w:r>
              <w:rPr>
                <w:color w:val="auto"/>
                <w:sz w:val="21"/>
                <w:szCs w:val="21"/>
                <w:lang w:eastAsia="en-US"/>
              </w:rPr>
              <w:t>存在总量</w:t>
            </w:r>
            <w:r>
              <w:rPr>
                <w:color w:val="auto"/>
                <w:sz w:val="21"/>
                <w:szCs w:val="21"/>
              </w:rPr>
              <w:t>/t</w:t>
            </w:r>
          </w:p>
        </w:tc>
        <w:tc>
          <w:tcPr>
            <w:tcW w:w="681" w:type="pct"/>
            <w:gridSpan w:val="2"/>
            <w:tcBorders>
              <w:left w:val="single" w:color="auto" w:sz="4" w:space="0"/>
              <w:right w:val="single" w:color="auto" w:sz="4" w:space="0"/>
            </w:tcBorders>
            <w:vAlign w:val="center"/>
          </w:tcPr>
          <w:p>
            <w:pPr>
              <w:pStyle w:val="59"/>
              <w:autoSpaceDE w:val="0"/>
              <w:autoSpaceDN w:val="0"/>
              <w:spacing w:line="240" w:lineRule="auto"/>
              <w:ind w:firstLine="0" w:firstLineChars="0"/>
              <w:jc w:val="left"/>
              <w:rPr>
                <w:color w:val="auto"/>
                <w:sz w:val="21"/>
                <w:szCs w:val="21"/>
                <w:lang w:val="en-US"/>
              </w:rPr>
            </w:pPr>
            <w:r>
              <w:rPr>
                <w:rFonts w:hint="eastAsia"/>
                <w:color w:val="auto"/>
                <w:sz w:val="21"/>
                <w:szCs w:val="21"/>
                <w:lang w:val="en-US"/>
              </w:rPr>
              <w:t>4.7</w:t>
            </w:r>
          </w:p>
        </w:tc>
        <w:tc>
          <w:tcPr>
            <w:tcW w:w="1107" w:type="pct"/>
            <w:gridSpan w:val="3"/>
            <w:tcBorders>
              <w:left w:val="single" w:color="auto" w:sz="4" w:space="0"/>
              <w:right w:val="single" w:color="auto" w:sz="4" w:space="0"/>
            </w:tcBorders>
            <w:vAlign w:val="center"/>
          </w:tcPr>
          <w:p>
            <w:pPr>
              <w:pStyle w:val="59"/>
              <w:autoSpaceDE w:val="0"/>
              <w:autoSpaceDN w:val="0"/>
              <w:spacing w:line="240" w:lineRule="auto"/>
              <w:ind w:firstLine="0" w:firstLineChars="0"/>
              <w:jc w:val="left"/>
              <w:rPr>
                <w:color w:val="auto"/>
                <w:sz w:val="21"/>
                <w:szCs w:val="21"/>
                <w:lang w:val="en-US" w:eastAsia="en-US"/>
              </w:rPr>
            </w:pPr>
          </w:p>
        </w:tc>
        <w:tc>
          <w:tcPr>
            <w:tcW w:w="1678" w:type="pct"/>
            <w:gridSpan w:val="4"/>
            <w:tcBorders>
              <w:left w:val="single" w:color="auto" w:sz="4" w:space="0"/>
            </w:tcBorders>
            <w:vAlign w:val="center"/>
          </w:tcPr>
          <w:p>
            <w:pPr>
              <w:pStyle w:val="59"/>
              <w:autoSpaceDE w:val="0"/>
              <w:autoSpaceDN w:val="0"/>
              <w:spacing w:line="240" w:lineRule="auto"/>
              <w:ind w:firstLine="0" w:firstLineChars="0"/>
              <w:jc w:val="left"/>
              <w:rPr>
                <w:color w:val="auto"/>
                <w:sz w:val="21"/>
                <w:szCs w:val="21"/>
                <w:lang w:eastAsia="en-US"/>
              </w:rPr>
            </w:pP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256" w:type="pct"/>
            <w:gridSpan w:val="3"/>
            <w:vMerge w:val="continue"/>
            <w:vAlign w:val="center"/>
          </w:tcPr>
          <w:p>
            <w:pPr>
              <w:pStyle w:val="59"/>
              <w:autoSpaceDE w:val="0"/>
              <w:autoSpaceDN w:val="0"/>
              <w:spacing w:line="240" w:lineRule="auto"/>
              <w:ind w:firstLine="0" w:firstLineChars="0"/>
              <w:jc w:val="left"/>
              <w:rPr>
                <w:color w:val="auto"/>
                <w:sz w:val="21"/>
                <w:szCs w:val="21"/>
                <w:lang w:eastAsia="en-US"/>
              </w:rPr>
            </w:pPr>
          </w:p>
        </w:tc>
        <w:tc>
          <w:tcPr>
            <w:tcW w:w="681" w:type="pct"/>
            <w:vMerge w:val="restart"/>
            <w:vAlign w:val="center"/>
          </w:tcPr>
          <w:p>
            <w:pPr>
              <w:pStyle w:val="59"/>
              <w:autoSpaceDE w:val="0"/>
              <w:autoSpaceDN w:val="0"/>
              <w:spacing w:line="240" w:lineRule="auto"/>
              <w:ind w:firstLine="0" w:firstLineChars="0"/>
              <w:jc w:val="left"/>
              <w:rPr>
                <w:color w:val="auto"/>
                <w:sz w:val="21"/>
                <w:szCs w:val="21"/>
                <w:lang w:eastAsia="en-US"/>
              </w:rPr>
            </w:pPr>
            <w:r>
              <w:rPr>
                <w:color w:val="auto"/>
                <w:sz w:val="21"/>
                <w:szCs w:val="21"/>
              </w:rPr>
              <w:t>环境</w:t>
            </w:r>
            <w:r>
              <w:rPr>
                <w:color w:val="auto"/>
                <w:sz w:val="21"/>
                <w:szCs w:val="21"/>
                <w:lang w:eastAsia="en-US"/>
              </w:rPr>
              <w:t>敏感性</w:t>
            </w:r>
          </w:p>
        </w:tc>
        <w:tc>
          <w:tcPr>
            <w:tcW w:w="596" w:type="pct"/>
            <w:vMerge w:val="restart"/>
            <w:tcBorders>
              <w:right w:val="single" w:color="auto" w:sz="4" w:space="0"/>
            </w:tcBorders>
            <w:vAlign w:val="center"/>
          </w:tcPr>
          <w:p>
            <w:pPr>
              <w:pStyle w:val="59"/>
              <w:autoSpaceDE w:val="0"/>
              <w:autoSpaceDN w:val="0"/>
              <w:spacing w:line="240" w:lineRule="auto"/>
              <w:ind w:firstLine="0" w:firstLineChars="0"/>
              <w:jc w:val="left"/>
              <w:rPr>
                <w:color w:val="auto"/>
                <w:sz w:val="21"/>
                <w:szCs w:val="21"/>
                <w:lang w:eastAsia="en-US"/>
              </w:rPr>
            </w:pPr>
            <w:r>
              <w:rPr>
                <w:color w:val="auto"/>
                <w:sz w:val="21"/>
                <w:szCs w:val="21"/>
                <w:lang w:eastAsia="en-US"/>
              </w:rPr>
              <w:t>大气</w:t>
            </w:r>
          </w:p>
        </w:tc>
        <w:tc>
          <w:tcPr>
            <w:tcW w:w="1788" w:type="pct"/>
            <w:gridSpan w:val="5"/>
            <w:tcBorders>
              <w:left w:val="single" w:color="auto" w:sz="4" w:space="0"/>
              <w:right w:val="single" w:color="auto" w:sz="4" w:space="0"/>
            </w:tcBorders>
            <w:vAlign w:val="center"/>
          </w:tcPr>
          <w:p>
            <w:pPr>
              <w:pStyle w:val="59"/>
              <w:autoSpaceDE w:val="0"/>
              <w:autoSpaceDN w:val="0"/>
              <w:spacing w:line="240" w:lineRule="auto"/>
              <w:ind w:firstLine="0" w:firstLineChars="0"/>
              <w:jc w:val="left"/>
              <w:rPr>
                <w:color w:val="auto"/>
                <w:sz w:val="21"/>
                <w:szCs w:val="21"/>
              </w:rPr>
            </w:pPr>
            <w:r>
              <w:rPr>
                <w:color w:val="auto"/>
                <w:sz w:val="21"/>
                <w:szCs w:val="21"/>
              </w:rPr>
              <w:t>500m范围内人口数</w:t>
            </w:r>
            <w:r>
              <w:rPr>
                <w:color w:val="auto"/>
                <w:sz w:val="21"/>
                <w:szCs w:val="21"/>
                <w:u w:val="single"/>
              </w:rPr>
              <w:t>0</w:t>
            </w:r>
            <w:r>
              <w:rPr>
                <w:color w:val="auto"/>
                <w:sz w:val="21"/>
                <w:szCs w:val="21"/>
              </w:rPr>
              <w:t>人</w:t>
            </w:r>
          </w:p>
        </w:tc>
        <w:tc>
          <w:tcPr>
            <w:tcW w:w="1678" w:type="pct"/>
            <w:gridSpan w:val="4"/>
            <w:tcBorders>
              <w:left w:val="single" w:color="auto" w:sz="4" w:space="0"/>
            </w:tcBorders>
            <w:vAlign w:val="center"/>
          </w:tcPr>
          <w:p>
            <w:pPr>
              <w:pStyle w:val="59"/>
              <w:autoSpaceDE w:val="0"/>
              <w:autoSpaceDN w:val="0"/>
              <w:spacing w:line="240" w:lineRule="auto"/>
              <w:ind w:firstLine="0" w:firstLineChars="0"/>
              <w:jc w:val="left"/>
              <w:rPr>
                <w:color w:val="auto"/>
                <w:sz w:val="21"/>
                <w:szCs w:val="21"/>
              </w:rPr>
            </w:pPr>
            <w:r>
              <w:rPr>
                <w:rFonts w:hint="eastAsia"/>
                <w:color w:val="auto"/>
                <w:sz w:val="21"/>
                <w:szCs w:val="21"/>
                <w:lang w:val="en-US"/>
              </w:rPr>
              <w:t>3</w:t>
            </w:r>
            <w:r>
              <w:rPr>
                <w:color w:val="auto"/>
                <w:sz w:val="21"/>
                <w:szCs w:val="21"/>
              </w:rPr>
              <w:t>km范围内人口数</w:t>
            </w:r>
            <w:r>
              <w:rPr>
                <w:rFonts w:hint="eastAsia"/>
                <w:color w:val="auto"/>
                <w:sz w:val="21"/>
                <w:szCs w:val="21"/>
                <w:u w:val="single"/>
                <w:lang w:val="en-US"/>
              </w:rPr>
              <w:t>3.5</w:t>
            </w:r>
            <w:r>
              <w:rPr>
                <w:rFonts w:hint="eastAsia"/>
                <w:color w:val="auto"/>
                <w:sz w:val="21"/>
                <w:szCs w:val="21"/>
                <w:u w:val="single"/>
              </w:rPr>
              <w:t>万</w:t>
            </w:r>
            <w:r>
              <w:rPr>
                <w:color w:val="auto"/>
                <w:sz w:val="21"/>
                <w:szCs w:val="21"/>
                <w:u w:val="single"/>
              </w:rPr>
              <w:t xml:space="preserve"> </w:t>
            </w:r>
            <w:r>
              <w:rPr>
                <w:color w:val="auto"/>
                <w:sz w:val="21"/>
                <w:szCs w:val="21"/>
              </w:rPr>
              <w:t>人</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256" w:type="pct"/>
            <w:gridSpan w:val="3"/>
            <w:vMerge w:val="continue"/>
            <w:vAlign w:val="center"/>
          </w:tcPr>
          <w:p>
            <w:pPr>
              <w:pStyle w:val="59"/>
              <w:autoSpaceDE w:val="0"/>
              <w:autoSpaceDN w:val="0"/>
              <w:spacing w:line="240" w:lineRule="auto"/>
              <w:ind w:firstLine="0" w:firstLineChars="0"/>
              <w:jc w:val="left"/>
              <w:rPr>
                <w:color w:val="auto"/>
                <w:sz w:val="21"/>
                <w:szCs w:val="21"/>
              </w:rPr>
            </w:pPr>
          </w:p>
        </w:tc>
        <w:tc>
          <w:tcPr>
            <w:tcW w:w="681" w:type="pct"/>
            <w:vMerge w:val="continue"/>
            <w:vAlign w:val="center"/>
          </w:tcPr>
          <w:p>
            <w:pPr>
              <w:pStyle w:val="59"/>
              <w:autoSpaceDE w:val="0"/>
              <w:autoSpaceDN w:val="0"/>
              <w:spacing w:line="240" w:lineRule="auto"/>
              <w:ind w:firstLine="0" w:firstLineChars="0"/>
              <w:jc w:val="left"/>
              <w:rPr>
                <w:color w:val="auto"/>
                <w:sz w:val="21"/>
                <w:szCs w:val="21"/>
              </w:rPr>
            </w:pPr>
          </w:p>
        </w:tc>
        <w:tc>
          <w:tcPr>
            <w:tcW w:w="596" w:type="pct"/>
            <w:vMerge w:val="continue"/>
            <w:tcBorders>
              <w:right w:val="single" w:color="auto" w:sz="4" w:space="0"/>
            </w:tcBorders>
            <w:vAlign w:val="center"/>
          </w:tcPr>
          <w:p>
            <w:pPr>
              <w:pStyle w:val="59"/>
              <w:autoSpaceDE w:val="0"/>
              <w:autoSpaceDN w:val="0"/>
              <w:spacing w:line="240" w:lineRule="auto"/>
              <w:ind w:firstLine="0" w:firstLineChars="0"/>
              <w:jc w:val="left"/>
              <w:rPr>
                <w:color w:val="auto"/>
                <w:sz w:val="21"/>
                <w:szCs w:val="21"/>
              </w:rPr>
            </w:pPr>
          </w:p>
        </w:tc>
        <w:tc>
          <w:tcPr>
            <w:tcW w:w="2811" w:type="pct"/>
            <w:gridSpan w:val="8"/>
            <w:tcBorders>
              <w:left w:val="single" w:color="auto" w:sz="4" w:space="0"/>
            </w:tcBorders>
            <w:vAlign w:val="center"/>
          </w:tcPr>
          <w:p>
            <w:pPr>
              <w:pStyle w:val="59"/>
              <w:autoSpaceDE w:val="0"/>
              <w:autoSpaceDN w:val="0"/>
              <w:spacing w:line="240" w:lineRule="auto"/>
              <w:ind w:firstLine="0" w:firstLineChars="0"/>
              <w:jc w:val="left"/>
              <w:rPr>
                <w:color w:val="auto"/>
                <w:sz w:val="21"/>
                <w:szCs w:val="21"/>
              </w:rPr>
            </w:pPr>
            <w:r>
              <w:rPr>
                <w:color w:val="auto"/>
                <w:sz w:val="21"/>
                <w:szCs w:val="21"/>
              </w:rPr>
              <w:t>每公里管段周边200m范围内人口数（最大）</w:t>
            </w:r>
          </w:p>
        </w:tc>
        <w:tc>
          <w:tcPr>
            <w:tcW w:w="656" w:type="pct"/>
            <w:vAlign w:val="center"/>
          </w:tcPr>
          <w:p>
            <w:pPr>
              <w:pStyle w:val="59"/>
              <w:autoSpaceDE w:val="0"/>
              <w:autoSpaceDN w:val="0"/>
              <w:spacing w:line="240" w:lineRule="auto"/>
              <w:ind w:firstLine="0" w:firstLineChars="0"/>
              <w:jc w:val="left"/>
              <w:rPr>
                <w:color w:val="auto"/>
                <w:sz w:val="21"/>
                <w:szCs w:val="21"/>
                <w:lang w:eastAsia="en-US"/>
              </w:rPr>
            </w:pPr>
            <w:r>
              <w:rPr>
                <w:color w:val="auto"/>
                <w:sz w:val="21"/>
                <w:szCs w:val="21"/>
                <w:u w:val="single"/>
              </w:rPr>
              <w:t xml:space="preserve">   </w:t>
            </w:r>
            <w:r>
              <w:rPr>
                <w:color w:val="auto"/>
                <w:sz w:val="21"/>
                <w:szCs w:val="21"/>
              </w:rPr>
              <w:t>人</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256" w:type="pct"/>
            <w:gridSpan w:val="3"/>
            <w:vMerge w:val="continue"/>
            <w:vAlign w:val="center"/>
          </w:tcPr>
          <w:p>
            <w:pPr>
              <w:pStyle w:val="59"/>
              <w:autoSpaceDE w:val="0"/>
              <w:autoSpaceDN w:val="0"/>
              <w:spacing w:line="240" w:lineRule="auto"/>
              <w:ind w:firstLine="0" w:firstLineChars="0"/>
              <w:jc w:val="left"/>
              <w:rPr>
                <w:color w:val="auto"/>
                <w:sz w:val="21"/>
                <w:szCs w:val="21"/>
                <w:lang w:eastAsia="en-US"/>
              </w:rPr>
            </w:pPr>
          </w:p>
        </w:tc>
        <w:tc>
          <w:tcPr>
            <w:tcW w:w="681" w:type="pct"/>
            <w:vMerge w:val="continue"/>
            <w:vAlign w:val="center"/>
          </w:tcPr>
          <w:p>
            <w:pPr>
              <w:pStyle w:val="59"/>
              <w:autoSpaceDE w:val="0"/>
              <w:autoSpaceDN w:val="0"/>
              <w:spacing w:line="240" w:lineRule="auto"/>
              <w:ind w:firstLine="0" w:firstLineChars="0"/>
              <w:jc w:val="left"/>
              <w:rPr>
                <w:color w:val="auto"/>
                <w:sz w:val="21"/>
                <w:szCs w:val="21"/>
              </w:rPr>
            </w:pPr>
          </w:p>
        </w:tc>
        <w:tc>
          <w:tcPr>
            <w:tcW w:w="596" w:type="pct"/>
            <w:vMerge w:val="restart"/>
            <w:tcBorders>
              <w:right w:val="single" w:color="auto" w:sz="4" w:space="0"/>
            </w:tcBorders>
            <w:vAlign w:val="center"/>
          </w:tcPr>
          <w:p>
            <w:pPr>
              <w:pStyle w:val="59"/>
              <w:autoSpaceDE w:val="0"/>
              <w:autoSpaceDN w:val="0"/>
              <w:spacing w:line="240" w:lineRule="auto"/>
              <w:ind w:firstLine="0" w:firstLineChars="0"/>
              <w:jc w:val="left"/>
              <w:rPr>
                <w:color w:val="auto"/>
                <w:sz w:val="21"/>
                <w:szCs w:val="21"/>
                <w:lang w:eastAsia="en-US"/>
              </w:rPr>
            </w:pPr>
            <w:r>
              <w:rPr>
                <w:color w:val="auto"/>
                <w:sz w:val="21"/>
                <w:szCs w:val="21"/>
                <w:lang w:eastAsia="en-US"/>
              </w:rPr>
              <w:t>地表水</w:t>
            </w:r>
          </w:p>
        </w:tc>
        <w:tc>
          <w:tcPr>
            <w:tcW w:w="1022" w:type="pct"/>
            <w:gridSpan w:val="3"/>
            <w:tcBorders>
              <w:left w:val="single" w:color="auto" w:sz="4" w:space="0"/>
            </w:tcBorders>
            <w:vAlign w:val="center"/>
          </w:tcPr>
          <w:p>
            <w:pPr>
              <w:pStyle w:val="59"/>
              <w:autoSpaceDE w:val="0"/>
              <w:autoSpaceDN w:val="0"/>
              <w:spacing w:line="240" w:lineRule="auto"/>
              <w:ind w:firstLine="0" w:firstLineChars="0"/>
              <w:jc w:val="left"/>
              <w:rPr>
                <w:color w:val="auto"/>
                <w:sz w:val="21"/>
                <w:szCs w:val="21"/>
                <w:lang w:eastAsia="en-US"/>
              </w:rPr>
            </w:pPr>
            <w:r>
              <w:rPr>
                <w:color w:val="auto"/>
                <w:sz w:val="21"/>
                <w:szCs w:val="21"/>
                <w:lang w:eastAsia="en-US"/>
              </w:rPr>
              <w:t>地表水功能敏感性</w:t>
            </w:r>
          </w:p>
        </w:tc>
        <w:tc>
          <w:tcPr>
            <w:tcW w:w="767" w:type="pct"/>
            <w:gridSpan w:val="2"/>
            <w:tcBorders>
              <w:right w:val="single" w:color="auto" w:sz="4" w:space="0"/>
            </w:tcBorders>
            <w:vAlign w:val="center"/>
          </w:tcPr>
          <w:p>
            <w:pPr>
              <w:pStyle w:val="59"/>
              <w:autoSpaceDE w:val="0"/>
              <w:autoSpaceDN w:val="0"/>
              <w:spacing w:line="240" w:lineRule="auto"/>
              <w:ind w:firstLine="0" w:firstLineChars="0"/>
              <w:jc w:val="left"/>
              <w:rPr>
                <w:color w:val="auto"/>
                <w:sz w:val="21"/>
                <w:szCs w:val="21"/>
              </w:rPr>
            </w:pPr>
            <w:r>
              <w:rPr>
                <w:color w:val="auto"/>
                <w:sz w:val="21"/>
                <w:szCs w:val="21"/>
              </w:rPr>
              <w:t>F1</w:t>
            </w:r>
            <w:r>
              <w:rPr>
                <w:color w:val="auto"/>
                <w:sz w:val="21"/>
                <w:szCs w:val="21"/>
                <w:lang w:eastAsia="en-US"/>
              </w:rPr>
              <w:t>□</w:t>
            </w:r>
          </w:p>
        </w:tc>
        <w:tc>
          <w:tcPr>
            <w:tcW w:w="1022" w:type="pct"/>
            <w:gridSpan w:val="3"/>
            <w:tcBorders>
              <w:left w:val="single" w:color="auto" w:sz="4" w:space="0"/>
            </w:tcBorders>
            <w:vAlign w:val="center"/>
          </w:tcPr>
          <w:p>
            <w:pPr>
              <w:pStyle w:val="59"/>
              <w:autoSpaceDE w:val="0"/>
              <w:autoSpaceDN w:val="0"/>
              <w:spacing w:line="240" w:lineRule="auto"/>
              <w:ind w:firstLine="0" w:firstLineChars="0"/>
              <w:jc w:val="left"/>
              <w:rPr>
                <w:color w:val="auto"/>
                <w:sz w:val="21"/>
                <w:szCs w:val="21"/>
                <w:lang w:eastAsia="en-US"/>
              </w:rPr>
            </w:pPr>
            <w:r>
              <w:rPr>
                <w:color w:val="auto"/>
                <w:sz w:val="21"/>
                <w:szCs w:val="21"/>
              </w:rPr>
              <w:t>F2</w:t>
            </w:r>
            <w:r>
              <w:rPr>
                <w:color w:val="auto"/>
                <w:sz w:val="21"/>
                <w:szCs w:val="21"/>
                <w:lang w:eastAsia="en-US"/>
              </w:rPr>
              <w:t>□</w:t>
            </w:r>
          </w:p>
        </w:tc>
        <w:tc>
          <w:tcPr>
            <w:tcW w:w="656" w:type="pct"/>
            <w:vAlign w:val="center"/>
          </w:tcPr>
          <w:p>
            <w:pPr>
              <w:pStyle w:val="59"/>
              <w:autoSpaceDE w:val="0"/>
              <w:autoSpaceDN w:val="0"/>
              <w:spacing w:line="240" w:lineRule="auto"/>
              <w:ind w:firstLine="0" w:firstLineChars="0"/>
              <w:jc w:val="left"/>
              <w:rPr>
                <w:color w:val="auto"/>
                <w:sz w:val="21"/>
                <w:szCs w:val="21"/>
                <w:lang w:eastAsia="en-US"/>
              </w:rPr>
            </w:pPr>
            <w:r>
              <w:rPr>
                <w:color w:val="auto"/>
                <w:sz w:val="21"/>
                <w:szCs w:val="21"/>
              </w:rPr>
              <w:t>F3</w:t>
            </w:r>
            <w:r>
              <w:rPr>
                <w:rFonts w:ascii="Wingdings 2" w:hAnsi="Wingdings 2"/>
                <w:color w:val="auto"/>
                <w:sz w:val="21"/>
                <w:szCs w:val="21"/>
              </w:rPr>
              <w:sym w:font="Wingdings 2" w:char="00A3"/>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256" w:type="pct"/>
            <w:gridSpan w:val="3"/>
            <w:vMerge w:val="continue"/>
            <w:vAlign w:val="center"/>
          </w:tcPr>
          <w:p>
            <w:pPr>
              <w:pStyle w:val="59"/>
              <w:autoSpaceDE w:val="0"/>
              <w:autoSpaceDN w:val="0"/>
              <w:spacing w:line="240" w:lineRule="auto"/>
              <w:ind w:firstLine="0" w:firstLineChars="0"/>
              <w:jc w:val="left"/>
              <w:rPr>
                <w:color w:val="auto"/>
                <w:sz w:val="21"/>
                <w:szCs w:val="21"/>
                <w:lang w:eastAsia="en-US"/>
              </w:rPr>
            </w:pPr>
          </w:p>
        </w:tc>
        <w:tc>
          <w:tcPr>
            <w:tcW w:w="681" w:type="pct"/>
            <w:vMerge w:val="continue"/>
            <w:vAlign w:val="center"/>
          </w:tcPr>
          <w:p>
            <w:pPr>
              <w:pStyle w:val="59"/>
              <w:autoSpaceDE w:val="0"/>
              <w:autoSpaceDN w:val="0"/>
              <w:spacing w:line="240" w:lineRule="auto"/>
              <w:ind w:firstLine="0" w:firstLineChars="0"/>
              <w:jc w:val="left"/>
              <w:rPr>
                <w:color w:val="auto"/>
                <w:sz w:val="21"/>
                <w:szCs w:val="21"/>
              </w:rPr>
            </w:pPr>
          </w:p>
        </w:tc>
        <w:tc>
          <w:tcPr>
            <w:tcW w:w="596" w:type="pct"/>
            <w:vMerge w:val="continue"/>
            <w:tcBorders>
              <w:right w:val="single" w:color="auto" w:sz="4" w:space="0"/>
            </w:tcBorders>
            <w:vAlign w:val="center"/>
          </w:tcPr>
          <w:p>
            <w:pPr>
              <w:pStyle w:val="59"/>
              <w:autoSpaceDE w:val="0"/>
              <w:autoSpaceDN w:val="0"/>
              <w:spacing w:line="240" w:lineRule="auto"/>
              <w:ind w:firstLine="0" w:firstLineChars="0"/>
              <w:jc w:val="left"/>
              <w:rPr>
                <w:color w:val="auto"/>
                <w:sz w:val="21"/>
                <w:szCs w:val="21"/>
                <w:lang w:eastAsia="en-US"/>
              </w:rPr>
            </w:pPr>
          </w:p>
        </w:tc>
        <w:tc>
          <w:tcPr>
            <w:tcW w:w="1022" w:type="pct"/>
            <w:gridSpan w:val="3"/>
            <w:tcBorders>
              <w:left w:val="single" w:color="auto" w:sz="4" w:space="0"/>
            </w:tcBorders>
            <w:vAlign w:val="center"/>
          </w:tcPr>
          <w:p>
            <w:pPr>
              <w:pStyle w:val="59"/>
              <w:autoSpaceDE w:val="0"/>
              <w:autoSpaceDN w:val="0"/>
              <w:spacing w:line="240" w:lineRule="auto"/>
              <w:ind w:firstLine="0" w:firstLineChars="0"/>
              <w:jc w:val="left"/>
              <w:rPr>
                <w:color w:val="auto"/>
                <w:sz w:val="21"/>
                <w:szCs w:val="21"/>
                <w:lang w:eastAsia="en-US"/>
              </w:rPr>
            </w:pPr>
            <w:r>
              <w:rPr>
                <w:color w:val="auto"/>
                <w:sz w:val="21"/>
                <w:szCs w:val="21"/>
                <w:lang w:eastAsia="en-US"/>
              </w:rPr>
              <w:t>环境敏感目标分级</w:t>
            </w:r>
          </w:p>
        </w:tc>
        <w:tc>
          <w:tcPr>
            <w:tcW w:w="767" w:type="pct"/>
            <w:gridSpan w:val="2"/>
            <w:tcBorders>
              <w:right w:val="single" w:color="auto" w:sz="4" w:space="0"/>
            </w:tcBorders>
            <w:vAlign w:val="center"/>
          </w:tcPr>
          <w:p>
            <w:pPr>
              <w:pStyle w:val="59"/>
              <w:autoSpaceDE w:val="0"/>
              <w:autoSpaceDN w:val="0"/>
              <w:spacing w:line="240" w:lineRule="auto"/>
              <w:ind w:firstLine="0" w:firstLineChars="0"/>
              <w:jc w:val="left"/>
              <w:rPr>
                <w:color w:val="auto"/>
                <w:sz w:val="21"/>
                <w:szCs w:val="21"/>
                <w:lang w:eastAsia="en-US"/>
              </w:rPr>
            </w:pPr>
            <w:r>
              <w:rPr>
                <w:color w:val="auto"/>
                <w:sz w:val="21"/>
                <w:szCs w:val="21"/>
              </w:rPr>
              <w:t>S1</w:t>
            </w:r>
            <w:r>
              <w:rPr>
                <w:color w:val="auto"/>
                <w:sz w:val="21"/>
                <w:szCs w:val="21"/>
                <w:lang w:eastAsia="en-US"/>
              </w:rPr>
              <w:t>□</w:t>
            </w:r>
          </w:p>
        </w:tc>
        <w:tc>
          <w:tcPr>
            <w:tcW w:w="1022" w:type="pct"/>
            <w:gridSpan w:val="3"/>
            <w:tcBorders>
              <w:left w:val="single" w:color="auto" w:sz="4" w:space="0"/>
            </w:tcBorders>
            <w:vAlign w:val="center"/>
          </w:tcPr>
          <w:p>
            <w:pPr>
              <w:pStyle w:val="59"/>
              <w:autoSpaceDE w:val="0"/>
              <w:autoSpaceDN w:val="0"/>
              <w:spacing w:line="240" w:lineRule="auto"/>
              <w:ind w:firstLine="0" w:firstLineChars="0"/>
              <w:jc w:val="left"/>
              <w:rPr>
                <w:color w:val="auto"/>
                <w:sz w:val="21"/>
                <w:szCs w:val="21"/>
                <w:lang w:eastAsia="en-US"/>
              </w:rPr>
            </w:pPr>
            <w:r>
              <w:rPr>
                <w:color w:val="auto"/>
                <w:sz w:val="21"/>
                <w:szCs w:val="21"/>
              </w:rPr>
              <w:t>S2</w:t>
            </w:r>
            <w:r>
              <w:rPr>
                <w:color w:val="auto"/>
                <w:sz w:val="21"/>
                <w:szCs w:val="21"/>
                <w:lang w:eastAsia="en-US"/>
              </w:rPr>
              <w:t>□</w:t>
            </w:r>
          </w:p>
        </w:tc>
        <w:tc>
          <w:tcPr>
            <w:tcW w:w="656" w:type="pct"/>
            <w:vAlign w:val="center"/>
          </w:tcPr>
          <w:p>
            <w:pPr>
              <w:spacing w:line="240" w:lineRule="auto"/>
              <w:ind w:firstLine="0" w:firstLineChars="0"/>
              <w:jc w:val="left"/>
              <w:rPr>
                <w:color w:val="auto"/>
                <w:sz w:val="21"/>
                <w:szCs w:val="21"/>
              </w:rPr>
            </w:pPr>
            <w:r>
              <w:rPr>
                <w:color w:val="auto"/>
                <w:sz w:val="21"/>
                <w:szCs w:val="21"/>
              </w:rPr>
              <w:t>S3</w:t>
            </w:r>
            <w:r>
              <w:rPr>
                <w:rFonts w:ascii="Wingdings 2" w:hAnsi="Wingdings 2"/>
                <w:color w:val="auto"/>
                <w:kern w:val="0"/>
                <w:sz w:val="21"/>
                <w:szCs w:val="21"/>
              </w:rPr>
              <w:sym w:font="Wingdings 2" w:char="00A3"/>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256" w:type="pct"/>
            <w:gridSpan w:val="3"/>
            <w:vMerge w:val="continue"/>
            <w:vAlign w:val="center"/>
          </w:tcPr>
          <w:p>
            <w:pPr>
              <w:pStyle w:val="59"/>
              <w:autoSpaceDE w:val="0"/>
              <w:autoSpaceDN w:val="0"/>
              <w:spacing w:line="240" w:lineRule="auto"/>
              <w:ind w:firstLine="0" w:firstLineChars="0"/>
              <w:jc w:val="left"/>
              <w:rPr>
                <w:color w:val="auto"/>
                <w:sz w:val="21"/>
                <w:szCs w:val="21"/>
                <w:lang w:eastAsia="en-US"/>
              </w:rPr>
            </w:pPr>
          </w:p>
        </w:tc>
        <w:tc>
          <w:tcPr>
            <w:tcW w:w="681" w:type="pct"/>
            <w:vMerge w:val="continue"/>
            <w:vAlign w:val="center"/>
          </w:tcPr>
          <w:p>
            <w:pPr>
              <w:pStyle w:val="59"/>
              <w:autoSpaceDE w:val="0"/>
              <w:autoSpaceDN w:val="0"/>
              <w:spacing w:line="240" w:lineRule="auto"/>
              <w:ind w:firstLine="0" w:firstLineChars="0"/>
              <w:jc w:val="left"/>
              <w:rPr>
                <w:color w:val="auto"/>
                <w:sz w:val="21"/>
                <w:szCs w:val="21"/>
              </w:rPr>
            </w:pPr>
          </w:p>
        </w:tc>
        <w:tc>
          <w:tcPr>
            <w:tcW w:w="596" w:type="pct"/>
            <w:vMerge w:val="restart"/>
            <w:tcBorders>
              <w:right w:val="single" w:color="auto" w:sz="4" w:space="0"/>
            </w:tcBorders>
            <w:vAlign w:val="center"/>
          </w:tcPr>
          <w:p>
            <w:pPr>
              <w:pStyle w:val="59"/>
              <w:autoSpaceDE w:val="0"/>
              <w:autoSpaceDN w:val="0"/>
              <w:spacing w:line="240" w:lineRule="auto"/>
              <w:ind w:firstLine="0" w:firstLineChars="0"/>
              <w:jc w:val="left"/>
              <w:rPr>
                <w:color w:val="auto"/>
                <w:sz w:val="21"/>
                <w:szCs w:val="21"/>
                <w:lang w:eastAsia="en-US"/>
              </w:rPr>
            </w:pPr>
            <w:r>
              <w:rPr>
                <w:color w:val="auto"/>
                <w:sz w:val="21"/>
                <w:szCs w:val="21"/>
                <w:lang w:eastAsia="en-US"/>
              </w:rPr>
              <w:t>地下水</w:t>
            </w:r>
          </w:p>
        </w:tc>
        <w:tc>
          <w:tcPr>
            <w:tcW w:w="1022" w:type="pct"/>
            <w:gridSpan w:val="3"/>
            <w:tcBorders>
              <w:left w:val="single" w:color="auto" w:sz="4" w:space="0"/>
            </w:tcBorders>
            <w:vAlign w:val="center"/>
          </w:tcPr>
          <w:p>
            <w:pPr>
              <w:pStyle w:val="59"/>
              <w:autoSpaceDE w:val="0"/>
              <w:autoSpaceDN w:val="0"/>
              <w:spacing w:line="240" w:lineRule="auto"/>
              <w:ind w:firstLine="0" w:firstLineChars="0"/>
              <w:jc w:val="left"/>
              <w:rPr>
                <w:color w:val="auto"/>
                <w:sz w:val="21"/>
                <w:szCs w:val="21"/>
                <w:lang w:eastAsia="en-US"/>
              </w:rPr>
            </w:pPr>
            <w:r>
              <w:rPr>
                <w:color w:val="auto"/>
                <w:sz w:val="21"/>
                <w:szCs w:val="21"/>
              </w:rPr>
              <w:t>地下水</w:t>
            </w:r>
            <w:r>
              <w:rPr>
                <w:color w:val="auto"/>
                <w:sz w:val="21"/>
                <w:szCs w:val="21"/>
                <w:lang w:eastAsia="en-US"/>
              </w:rPr>
              <w:t>功能敏感性</w:t>
            </w:r>
          </w:p>
        </w:tc>
        <w:tc>
          <w:tcPr>
            <w:tcW w:w="767" w:type="pct"/>
            <w:gridSpan w:val="2"/>
            <w:tcBorders>
              <w:right w:val="single" w:color="auto" w:sz="4" w:space="0"/>
            </w:tcBorders>
            <w:vAlign w:val="center"/>
          </w:tcPr>
          <w:p>
            <w:pPr>
              <w:pStyle w:val="59"/>
              <w:autoSpaceDE w:val="0"/>
              <w:autoSpaceDN w:val="0"/>
              <w:spacing w:line="240" w:lineRule="auto"/>
              <w:ind w:firstLine="0" w:firstLineChars="0"/>
              <w:jc w:val="left"/>
              <w:rPr>
                <w:color w:val="auto"/>
                <w:sz w:val="21"/>
                <w:szCs w:val="21"/>
                <w:lang w:eastAsia="en-US"/>
              </w:rPr>
            </w:pPr>
            <w:r>
              <w:rPr>
                <w:color w:val="auto"/>
                <w:sz w:val="21"/>
                <w:szCs w:val="21"/>
              </w:rPr>
              <w:t>G1</w:t>
            </w:r>
            <w:r>
              <w:rPr>
                <w:color w:val="auto"/>
                <w:sz w:val="21"/>
                <w:szCs w:val="21"/>
                <w:lang w:eastAsia="en-US"/>
              </w:rPr>
              <w:sym w:font="Wingdings 2" w:char="00A3"/>
            </w:r>
          </w:p>
        </w:tc>
        <w:tc>
          <w:tcPr>
            <w:tcW w:w="1022" w:type="pct"/>
            <w:gridSpan w:val="3"/>
            <w:tcBorders>
              <w:left w:val="single" w:color="auto" w:sz="4" w:space="0"/>
            </w:tcBorders>
            <w:vAlign w:val="center"/>
          </w:tcPr>
          <w:p>
            <w:pPr>
              <w:pStyle w:val="59"/>
              <w:autoSpaceDE w:val="0"/>
              <w:autoSpaceDN w:val="0"/>
              <w:spacing w:line="240" w:lineRule="auto"/>
              <w:ind w:firstLine="0" w:firstLineChars="0"/>
              <w:jc w:val="left"/>
              <w:rPr>
                <w:color w:val="auto"/>
                <w:sz w:val="21"/>
                <w:szCs w:val="21"/>
                <w:lang w:eastAsia="en-US"/>
              </w:rPr>
            </w:pPr>
            <w:r>
              <w:rPr>
                <w:color w:val="auto"/>
                <w:sz w:val="21"/>
                <w:szCs w:val="21"/>
              </w:rPr>
              <w:t>G2</w:t>
            </w:r>
            <w:r>
              <w:rPr>
                <w:color w:val="auto"/>
                <w:sz w:val="21"/>
                <w:szCs w:val="21"/>
                <w:lang w:eastAsia="en-US"/>
              </w:rPr>
              <w:sym w:font="Wingdings 2" w:char="00A3"/>
            </w:r>
          </w:p>
        </w:tc>
        <w:tc>
          <w:tcPr>
            <w:tcW w:w="656" w:type="pct"/>
            <w:vAlign w:val="center"/>
          </w:tcPr>
          <w:p>
            <w:pPr>
              <w:pStyle w:val="59"/>
              <w:autoSpaceDE w:val="0"/>
              <w:autoSpaceDN w:val="0"/>
              <w:spacing w:line="240" w:lineRule="auto"/>
              <w:ind w:firstLine="0" w:firstLineChars="0"/>
              <w:jc w:val="left"/>
              <w:rPr>
                <w:color w:val="auto"/>
                <w:sz w:val="21"/>
                <w:szCs w:val="21"/>
                <w:lang w:eastAsia="en-US"/>
              </w:rPr>
            </w:pPr>
            <w:r>
              <w:rPr>
                <w:color w:val="auto"/>
                <w:sz w:val="21"/>
                <w:szCs w:val="21"/>
              </w:rPr>
              <w:t>G3</w:t>
            </w:r>
            <w:r>
              <w:rPr>
                <w:rFonts w:ascii="Wingdings 2" w:hAnsi="Wingdings 2"/>
                <w:color w:val="auto"/>
                <w:sz w:val="21"/>
                <w:szCs w:val="21"/>
              </w:rPr>
              <w:sym w:font="Wingdings 2" w:char="00A3"/>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256" w:type="pct"/>
            <w:gridSpan w:val="3"/>
            <w:vMerge w:val="continue"/>
            <w:vAlign w:val="center"/>
          </w:tcPr>
          <w:p>
            <w:pPr>
              <w:pStyle w:val="59"/>
              <w:autoSpaceDE w:val="0"/>
              <w:autoSpaceDN w:val="0"/>
              <w:spacing w:line="240" w:lineRule="auto"/>
              <w:ind w:firstLine="0" w:firstLineChars="0"/>
              <w:jc w:val="left"/>
              <w:rPr>
                <w:color w:val="auto"/>
                <w:sz w:val="21"/>
                <w:szCs w:val="21"/>
                <w:lang w:eastAsia="en-US"/>
              </w:rPr>
            </w:pPr>
          </w:p>
        </w:tc>
        <w:tc>
          <w:tcPr>
            <w:tcW w:w="681" w:type="pct"/>
            <w:vMerge w:val="continue"/>
            <w:vAlign w:val="center"/>
          </w:tcPr>
          <w:p>
            <w:pPr>
              <w:pStyle w:val="59"/>
              <w:autoSpaceDE w:val="0"/>
              <w:autoSpaceDN w:val="0"/>
              <w:spacing w:line="240" w:lineRule="auto"/>
              <w:ind w:firstLine="0" w:firstLineChars="0"/>
              <w:jc w:val="left"/>
              <w:rPr>
                <w:color w:val="auto"/>
                <w:sz w:val="21"/>
                <w:szCs w:val="21"/>
              </w:rPr>
            </w:pPr>
          </w:p>
        </w:tc>
        <w:tc>
          <w:tcPr>
            <w:tcW w:w="596" w:type="pct"/>
            <w:vMerge w:val="continue"/>
            <w:tcBorders>
              <w:right w:val="single" w:color="auto" w:sz="4" w:space="0"/>
            </w:tcBorders>
            <w:vAlign w:val="center"/>
          </w:tcPr>
          <w:p>
            <w:pPr>
              <w:pStyle w:val="59"/>
              <w:autoSpaceDE w:val="0"/>
              <w:autoSpaceDN w:val="0"/>
              <w:spacing w:line="240" w:lineRule="auto"/>
              <w:ind w:firstLine="0" w:firstLineChars="0"/>
              <w:jc w:val="left"/>
              <w:rPr>
                <w:color w:val="auto"/>
                <w:sz w:val="21"/>
                <w:szCs w:val="21"/>
                <w:lang w:eastAsia="en-US"/>
              </w:rPr>
            </w:pPr>
          </w:p>
        </w:tc>
        <w:tc>
          <w:tcPr>
            <w:tcW w:w="1022" w:type="pct"/>
            <w:gridSpan w:val="3"/>
            <w:tcBorders>
              <w:left w:val="single" w:color="auto" w:sz="4" w:space="0"/>
            </w:tcBorders>
            <w:vAlign w:val="center"/>
          </w:tcPr>
          <w:p>
            <w:pPr>
              <w:pStyle w:val="59"/>
              <w:autoSpaceDE w:val="0"/>
              <w:autoSpaceDN w:val="0"/>
              <w:spacing w:line="240" w:lineRule="auto"/>
              <w:ind w:firstLine="0" w:firstLineChars="0"/>
              <w:jc w:val="left"/>
              <w:rPr>
                <w:color w:val="auto"/>
                <w:sz w:val="21"/>
                <w:szCs w:val="21"/>
                <w:lang w:eastAsia="en-US"/>
              </w:rPr>
            </w:pPr>
            <w:r>
              <w:rPr>
                <w:color w:val="auto"/>
                <w:sz w:val="21"/>
                <w:szCs w:val="21"/>
                <w:lang w:eastAsia="en-US"/>
              </w:rPr>
              <w:t>包气带防污性能</w:t>
            </w:r>
          </w:p>
        </w:tc>
        <w:tc>
          <w:tcPr>
            <w:tcW w:w="767" w:type="pct"/>
            <w:gridSpan w:val="2"/>
            <w:tcBorders>
              <w:right w:val="single" w:color="auto" w:sz="4" w:space="0"/>
            </w:tcBorders>
            <w:vAlign w:val="center"/>
          </w:tcPr>
          <w:p>
            <w:pPr>
              <w:pStyle w:val="59"/>
              <w:autoSpaceDE w:val="0"/>
              <w:autoSpaceDN w:val="0"/>
              <w:spacing w:line="240" w:lineRule="auto"/>
              <w:ind w:firstLine="0" w:firstLineChars="0"/>
              <w:jc w:val="left"/>
              <w:rPr>
                <w:color w:val="auto"/>
                <w:sz w:val="21"/>
                <w:szCs w:val="21"/>
                <w:lang w:eastAsia="en-US"/>
              </w:rPr>
            </w:pPr>
            <w:r>
              <w:rPr>
                <w:color w:val="auto"/>
                <w:sz w:val="21"/>
                <w:szCs w:val="21"/>
              </w:rPr>
              <w:t>D1</w:t>
            </w:r>
            <w:r>
              <w:rPr>
                <w:color w:val="auto"/>
                <w:sz w:val="21"/>
                <w:szCs w:val="21"/>
                <w:lang w:eastAsia="en-US"/>
              </w:rPr>
              <w:t>□</w:t>
            </w:r>
          </w:p>
        </w:tc>
        <w:tc>
          <w:tcPr>
            <w:tcW w:w="1022" w:type="pct"/>
            <w:gridSpan w:val="3"/>
            <w:tcBorders>
              <w:left w:val="single" w:color="auto" w:sz="4" w:space="0"/>
            </w:tcBorders>
            <w:vAlign w:val="center"/>
          </w:tcPr>
          <w:p>
            <w:pPr>
              <w:pStyle w:val="59"/>
              <w:autoSpaceDE w:val="0"/>
              <w:autoSpaceDN w:val="0"/>
              <w:spacing w:line="240" w:lineRule="auto"/>
              <w:ind w:firstLine="0" w:firstLineChars="0"/>
              <w:jc w:val="left"/>
              <w:rPr>
                <w:color w:val="auto"/>
                <w:sz w:val="21"/>
                <w:szCs w:val="21"/>
                <w:lang w:eastAsia="en-US"/>
              </w:rPr>
            </w:pPr>
            <w:r>
              <w:rPr>
                <w:color w:val="auto"/>
                <w:sz w:val="21"/>
                <w:szCs w:val="21"/>
              </w:rPr>
              <w:t>D2</w:t>
            </w:r>
            <w:r>
              <w:rPr>
                <w:color w:val="auto"/>
                <w:sz w:val="21"/>
                <w:szCs w:val="21"/>
                <w:lang w:eastAsia="en-US"/>
              </w:rPr>
              <w:t>□</w:t>
            </w:r>
          </w:p>
        </w:tc>
        <w:tc>
          <w:tcPr>
            <w:tcW w:w="656" w:type="pct"/>
            <w:vAlign w:val="center"/>
          </w:tcPr>
          <w:p>
            <w:pPr>
              <w:pStyle w:val="59"/>
              <w:autoSpaceDE w:val="0"/>
              <w:autoSpaceDN w:val="0"/>
              <w:spacing w:line="240" w:lineRule="auto"/>
              <w:ind w:firstLine="0" w:firstLineChars="0"/>
              <w:jc w:val="left"/>
              <w:rPr>
                <w:color w:val="auto"/>
                <w:sz w:val="21"/>
                <w:szCs w:val="21"/>
                <w:lang w:eastAsia="en-US"/>
              </w:rPr>
            </w:pPr>
            <w:r>
              <w:rPr>
                <w:color w:val="auto"/>
                <w:sz w:val="21"/>
                <w:szCs w:val="21"/>
              </w:rPr>
              <w:t>D3</w:t>
            </w:r>
            <w:r>
              <w:rPr>
                <w:rFonts w:ascii="Wingdings 2" w:hAnsi="Wingdings 2"/>
                <w:color w:val="auto"/>
                <w:sz w:val="21"/>
                <w:szCs w:val="21"/>
              </w:rPr>
              <w:sym w:font="Wingdings 2" w:char="00A3"/>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937" w:type="pct"/>
            <w:gridSpan w:val="4"/>
            <w:vMerge w:val="restart"/>
            <w:vAlign w:val="center"/>
          </w:tcPr>
          <w:p>
            <w:pPr>
              <w:pStyle w:val="59"/>
              <w:autoSpaceDE w:val="0"/>
              <w:autoSpaceDN w:val="0"/>
              <w:spacing w:line="240" w:lineRule="auto"/>
              <w:ind w:firstLine="0" w:firstLineChars="0"/>
              <w:jc w:val="left"/>
              <w:rPr>
                <w:color w:val="auto"/>
                <w:sz w:val="21"/>
                <w:szCs w:val="21"/>
              </w:rPr>
            </w:pPr>
            <w:r>
              <w:rPr>
                <w:color w:val="auto"/>
                <w:sz w:val="21"/>
                <w:szCs w:val="21"/>
              </w:rPr>
              <w:t>物质及工艺系统危险性</w:t>
            </w:r>
          </w:p>
        </w:tc>
        <w:tc>
          <w:tcPr>
            <w:tcW w:w="596" w:type="pct"/>
            <w:tcBorders>
              <w:right w:val="single" w:color="auto" w:sz="4" w:space="0"/>
            </w:tcBorders>
            <w:vAlign w:val="center"/>
          </w:tcPr>
          <w:p>
            <w:pPr>
              <w:pStyle w:val="59"/>
              <w:autoSpaceDE w:val="0"/>
              <w:autoSpaceDN w:val="0"/>
              <w:spacing w:line="240" w:lineRule="auto"/>
              <w:ind w:firstLine="0" w:firstLineChars="0"/>
              <w:jc w:val="left"/>
              <w:rPr>
                <w:color w:val="auto"/>
                <w:sz w:val="21"/>
                <w:szCs w:val="21"/>
              </w:rPr>
            </w:pPr>
            <w:r>
              <w:rPr>
                <w:color w:val="auto"/>
                <w:sz w:val="21"/>
                <w:szCs w:val="21"/>
              </w:rPr>
              <w:t>Q值</w:t>
            </w:r>
          </w:p>
        </w:tc>
        <w:tc>
          <w:tcPr>
            <w:tcW w:w="1022" w:type="pct"/>
            <w:gridSpan w:val="3"/>
            <w:tcBorders>
              <w:left w:val="single" w:color="auto" w:sz="4" w:space="0"/>
            </w:tcBorders>
            <w:vAlign w:val="center"/>
          </w:tcPr>
          <w:p>
            <w:pPr>
              <w:pStyle w:val="59"/>
              <w:autoSpaceDE w:val="0"/>
              <w:autoSpaceDN w:val="0"/>
              <w:spacing w:line="240" w:lineRule="auto"/>
              <w:ind w:firstLine="0" w:firstLineChars="0"/>
              <w:jc w:val="left"/>
              <w:rPr>
                <w:color w:val="auto"/>
                <w:sz w:val="21"/>
                <w:szCs w:val="21"/>
              </w:rPr>
            </w:pPr>
            <w:r>
              <w:rPr>
                <w:color w:val="auto"/>
                <w:sz w:val="21"/>
                <w:szCs w:val="21"/>
              </w:rPr>
              <w:t>Q＜1</w:t>
            </w:r>
            <w:r>
              <w:rPr>
                <w:color w:val="auto"/>
                <w:sz w:val="21"/>
                <w:szCs w:val="21"/>
                <w:lang w:eastAsia="en-US"/>
              </w:rPr>
              <w:sym w:font="Wingdings 2" w:char="0052"/>
            </w:r>
          </w:p>
        </w:tc>
        <w:tc>
          <w:tcPr>
            <w:tcW w:w="767" w:type="pct"/>
            <w:gridSpan w:val="2"/>
            <w:tcBorders>
              <w:right w:val="single" w:color="auto" w:sz="4" w:space="0"/>
            </w:tcBorders>
            <w:vAlign w:val="center"/>
          </w:tcPr>
          <w:p>
            <w:pPr>
              <w:pStyle w:val="59"/>
              <w:autoSpaceDE w:val="0"/>
              <w:autoSpaceDN w:val="0"/>
              <w:spacing w:line="240" w:lineRule="auto"/>
              <w:ind w:firstLine="0" w:firstLineChars="0"/>
              <w:jc w:val="left"/>
              <w:rPr>
                <w:color w:val="auto"/>
                <w:sz w:val="21"/>
                <w:szCs w:val="21"/>
              </w:rPr>
            </w:pPr>
            <w:r>
              <w:rPr>
                <w:color w:val="auto"/>
                <w:sz w:val="21"/>
                <w:szCs w:val="21"/>
              </w:rPr>
              <w:t>1≤Q＜10</w:t>
            </w:r>
            <w:r>
              <w:rPr>
                <w:color w:val="auto"/>
                <w:sz w:val="21"/>
                <w:szCs w:val="21"/>
                <w:lang w:eastAsia="en-US"/>
              </w:rPr>
              <w:t>□</w:t>
            </w:r>
          </w:p>
        </w:tc>
        <w:tc>
          <w:tcPr>
            <w:tcW w:w="1022" w:type="pct"/>
            <w:gridSpan w:val="3"/>
            <w:tcBorders>
              <w:left w:val="single" w:color="auto" w:sz="4" w:space="0"/>
            </w:tcBorders>
            <w:vAlign w:val="center"/>
          </w:tcPr>
          <w:p>
            <w:pPr>
              <w:pStyle w:val="59"/>
              <w:autoSpaceDE w:val="0"/>
              <w:autoSpaceDN w:val="0"/>
              <w:spacing w:line="240" w:lineRule="auto"/>
              <w:ind w:firstLine="0" w:firstLineChars="0"/>
              <w:jc w:val="left"/>
              <w:rPr>
                <w:color w:val="auto"/>
                <w:sz w:val="21"/>
                <w:szCs w:val="21"/>
              </w:rPr>
            </w:pPr>
            <w:r>
              <w:rPr>
                <w:color w:val="auto"/>
                <w:sz w:val="21"/>
                <w:szCs w:val="21"/>
              </w:rPr>
              <w:t>10≤Q＜100</w:t>
            </w:r>
            <w:r>
              <w:rPr>
                <w:color w:val="auto"/>
                <w:sz w:val="21"/>
                <w:szCs w:val="21"/>
                <w:lang w:eastAsia="en-US"/>
              </w:rPr>
              <w:sym w:font="Wingdings 2" w:char="00A3"/>
            </w:r>
          </w:p>
        </w:tc>
        <w:tc>
          <w:tcPr>
            <w:tcW w:w="656" w:type="pct"/>
            <w:vAlign w:val="center"/>
          </w:tcPr>
          <w:p>
            <w:pPr>
              <w:pStyle w:val="59"/>
              <w:autoSpaceDE w:val="0"/>
              <w:autoSpaceDN w:val="0"/>
              <w:spacing w:line="240" w:lineRule="auto"/>
              <w:ind w:firstLine="0" w:firstLineChars="0"/>
              <w:jc w:val="left"/>
              <w:rPr>
                <w:color w:val="auto"/>
                <w:sz w:val="21"/>
                <w:szCs w:val="21"/>
              </w:rPr>
            </w:pPr>
            <w:r>
              <w:rPr>
                <w:color w:val="auto"/>
                <w:sz w:val="21"/>
                <w:szCs w:val="21"/>
              </w:rPr>
              <w:t>Q＞100</w:t>
            </w:r>
            <w:r>
              <w:rPr>
                <w:color w:val="auto"/>
                <w:sz w:val="21"/>
                <w:szCs w:val="21"/>
                <w:lang w:eastAsia="en-US"/>
              </w:rPr>
              <w:t>□</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937" w:type="pct"/>
            <w:gridSpan w:val="4"/>
            <w:vMerge w:val="continue"/>
            <w:vAlign w:val="center"/>
          </w:tcPr>
          <w:p>
            <w:pPr>
              <w:pStyle w:val="59"/>
              <w:autoSpaceDE w:val="0"/>
              <w:autoSpaceDN w:val="0"/>
              <w:spacing w:line="240" w:lineRule="auto"/>
              <w:ind w:firstLine="0" w:firstLineChars="0"/>
              <w:jc w:val="left"/>
              <w:rPr>
                <w:color w:val="auto"/>
                <w:sz w:val="21"/>
                <w:szCs w:val="21"/>
              </w:rPr>
            </w:pPr>
          </w:p>
        </w:tc>
        <w:tc>
          <w:tcPr>
            <w:tcW w:w="596" w:type="pct"/>
            <w:tcBorders>
              <w:right w:val="single" w:color="auto" w:sz="4" w:space="0"/>
            </w:tcBorders>
            <w:vAlign w:val="center"/>
          </w:tcPr>
          <w:p>
            <w:pPr>
              <w:pStyle w:val="59"/>
              <w:autoSpaceDE w:val="0"/>
              <w:autoSpaceDN w:val="0"/>
              <w:spacing w:line="240" w:lineRule="auto"/>
              <w:ind w:firstLine="0" w:firstLineChars="0"/>
              <w:jc w:val="left"/>
              <w:rPr>
                <w:color w:val="auto"/>
                <w:sz w:val="21"/>
                <w:szCs w:val="21"/>
              </w:rPr>
            </w:pPr>
            <w:r>
              <w:rPr>
                <w:color w:val="auto"/>
                <w:sz w:val="21"/>
                <w:szCs w:val="21"/>
              </w:rPr>
              <w:t>M值</w:t>
            </w:r>
          </w:p>
        </w:tc>
        <w:tc>
          <w:tcPr>
            <w:tcW w:w="1022" w:type="pct"/>
            <w:gridSpan w:val="3"/>
            <w:tcBorders>
              <w:right w:val="single" w:color="auto" w:sz="4" w:space="0"/>
            </w:tcBorders>
            <w:vAlign w:val="center"/>
          </w:tcPr>
          <w:p>
            <w:pPr>
              <w:pStyle w:val="59"/>
              <w:autoSpaceDE w:val="0"/>
              <w:autoSpaceDN w:val="0"/>
              <w:spacing w:line="240" w:lineRule="auto"/>
              <w:ind w:firstLine="0" w:firstLineChars="0"/>
              <w:jc w:val="left"/>
              <w:rPr>
                <w:color w:val="auto"/>
                <w:sz w:val="21"/>
                <w:szCs w:val="21"/>
                <w:lang w:eastAsia="en-US"/>
              </w:rPr>
            </w:pPr>
            <w:r>
              <w:rPr>
                <w:color w:val="auto"/>
                <w:sz w:val="21"/>
                <w:szCs w:val="21"/>
              </w:rPr>
              <w:t>M1</w:t>
            </w:r>
            <w:r>
              <w:rPr>
                <w:color w:val="auto"/>
                <w:sz w:val="21"/>
                <w:szCs w:val="21"/>
                <w:lang w:eastAsia="en-US"/>
              </w:rPr>
              <w:t>□</w:t>
            </w:r>
          </w:p>
        </w:tc>
        <w:tc>
          <w:tcPr>
            <w:tcW w:w="767" w:type="pct"/>
            <w:gridSpan w:val="2"/>
            <w:tcBorders>
              <w:left w:val="single" w:color="auto" w:sz="4" w:space="0"/>
            </w:tcBorders>
            <w:vAlign w:val="center"/>
          </w:tcPr>
          <w:p>
            <w:pPr>
              <w:pStyle w:val="59"/>
              <w:autoSpaceDE w:val="0"/>
              <w:autoSpaceDN w:val="0"/>
              <w:spacing w:line="240" w:lineRule="auto"/>
              <w:ind w:firstLine="0" w:firstLineChars="0"/>
              <w:jc w:val="left"/>
              <w:rPr>
                <w:color w:val="auto"/>
                <w:sz w:val="21"/>
                <w:szCs w:val="21"/>
                <w:lang w:eastAsia="en-US"/>
              </w:rPr>
            </w:pPr>
            <w:r>
              <w:rPr>
                <w:color w:val="auto"/>
                <w:sz w:val="21"/>
                <w:szCs w:val="21"/>
              </w:rPr>
              <w:t>M2</w:t>
            </w:r>
            <w:r>
              <w:rPr>
                <w:color w:val="auto"/>
                <w:sz w:val="21"/>
                <w:szCs w:val="21"/>
                <w:lang w:eastAsia="en-US"/>
              </w:rPr>
              <w:t>□</w:t>
            </w:r>
          </w:p>
        </w:tc>
        <w:tc>
          <w:tcPr>
            <w:tcW w:w="1022" w:type="pct"/>
            <w:gridSpan w:val="3"/>
            <w:vAlign w:val="center"/>
          </w:tcPr>
          <w:p>
            <w:pPr>
              <w:pStyle w:val="59"/>
              <w:autoSpaceDE w:val="0"/>
              <w:autoSpaceDN w:val="0"/>
              <w:spacing w:line="240" w:lineRule="auto"/>
              <w:ind w:firstLine="0" w:firstLineChars="0"/>
              <w:jc w:val="left"/>
              <w:rPr>
                <w:color w:val="auto"/>
                <w:sz w:val="21"/>
                <w:szCs w:val="21"/>
                <w:lang w:eastAsia="en-US"/>
              </w:rPr>
            </w:pPr>
            <w:r>
              <w:rPr>
                <w:color w:val="auto"/>
                <w:sz w:val="21"/>
                <w:szCs w:val="21"/>
              </w:rPr>
              <w:t>M3</w:t>
            </w:r>
            <w:r>
              <w:rPr>
                <w:color w:val="auto"/>
                <w:sz w:val="21"/>
                <w:szCs w:val="21"/>
                <w:lang w:eastAsia="en-US"/>
              </w:rPr>
              <w:t>□</w:t>
            </w:r>
          </w:p>
        </w:tc>
        <w:tc>
          <w:tcPr>
            <w:tcW w:w="656" w:type="pct"/>
            <w:vAlign w:val="center"/>
          </w:tcPr>
          <w:p>
            <w:pPr>
              <w:pStyle w:val="59"/>
              <w:autoSpaceDE w:val="0"/>
              <w:autoSpaceDN w:val="0"/>
              <w:spacing w:line="240" w:lineRule="auto"/>
              <w:ind w:firstLine="0" w:firstLineChars="0"/>
              <w:jc w:val="left"/>
              <w:rPr>
                <w:color w:val="auto"/>
                <w:sz w:val="21"/>
                <w:szCs w:val="21"/>
              </w:rPr>
            </w:pPr>
            <w:r>
              <w:rPr>
                <w:color w:val="auto"/>
                <w:sz w:val="21"/>
                <w:szCs w:val="21"/>
              </w:rPr>
              <w:t>M4</w:t>
            </w:r>
            <w:r>
              <w:rPr>
                <w:rFonts w:ascii="Wingdings 2" w:hAnsi="Wingdings 2"/>
                <w:color w:val="auto"/>
                <w:sz w:val="21"/>
                <w:szCs w:val="21"/>
              </w:rPr>
              <w:sym w:font="Wingdings 2" w:char="00A3"/>
            </w:r>
            <w:r>
              <w:rPr>
                <w:color w:val="auto"/>
                <w:sz w:val="21"/>
                <w:szCs w:val="21"/>
              </w:rPr>
              <w:t></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937" w:type="pct"/>
            <w:gridSpan w:val="4"/>
            <w:vMerge w:val="continue"/>
            <w:vAlign w:val="center"/>
          </w:tcPr>
          <w:p>
            <w:pPr>
              <w:pStyle w:val="59"/>
              <w:autoSpaceDE w:val="0"/>
              <w:autoSpaceDN w:val="0"/>
              <w:spacing w:line="240" w:lineRule="auto"/>
              <w:ind w:firstLine="0" w:firstLineChars="0"/>
              <w:jc w:val="left"/>
              <w:rPr>
                <w:color w:val="auto"/>
                <w:sz w:val="21"/>
                <w:szCs w:val="21"/>
              </w:rPr>
            </w:pPr>
          </w:p>
        </w:tc>
        <w:tc>
          <w:tcPr>
            <w:tcW w:w="596" w:type="pct"/>
            <w:tcBorders>
              <w:right w:val="single" w:color="auto" w:sz="4" w:space="0"/>
            </w:tcBorders>
            <w:vAlign w:val="center"/>
          </w:tcPr>
          <w:p>
            <w:pPr>
              <w:pStyle w:val="59"/>
              <w:autoSpaceDE w:val="0"/>
              <w:autoSpaceDN w:val="0"/>
              <w:spacing w:line="240" w:lineRule="auto"/>
              <w:ind w:firstLine="0" w:firstLineChars="0"/>
              <w:jc w:val="left"/>
              <w:rPr>
                <w:color w:val="auto"/>
                <w:sz w:val="21"/>
                <w:szCs w:val="21"/>
              </w:rPr>
            </w:pPr>
            <w:r>
              <w:rPr>
                <w:color w:val="auto"/>
                <w:sz w:val="21"/>
                <w:szCs w:val="21"/>
              </w:rPr>
              <w:t>P值</w:t>
            </w:r>
          </w:p>
        </w:tc>
        <w:tc>
          <w:tcPr>
            <w:tcW w:w="1022" w:type="pct"/>
            <w:gridSpan w:val="3"/>
            <w:tcBorders>
              <w:left w:val="single" w:color="auto" w:sz="4" w:space="0"/>
            </w:tcBorders>
            <w:vAlign w:val="center"/>
          </w:tcPr>
          <w:p>
            <w:pPr>
              <w:pStyle w:val="59"/>
              <w:autoSpaceDE w:val="0"/>
              <w:autoSpaceDN w:val="0"/>
              <w:spacing w:line="240" w:lineRule="auto"/>
              <w:ind w:firstLine="0" w:firstLineChars="0"/>
              <w:jc w:val="left"/>
              <w:rPr>
                <w:color w:val="auto"/>
                <w:sz w:val="21"/>
                <w:szCs w:val="21"/>
                <w:lang w:eastAsia="en-US"/>
              </w:rPr>
            </w:pPr>
            <w:r>
              <w:rPr>
                <w:color w:val="auto"/>
                <w:sz w:val="21"/>
                <w:szCs w:val="21"/>
              </w:rPr>
              <w:t>P1</w:t>
            </w:r>
            <w:r>
              <w:rPr>
                <w:color w:val="auto"/>
                <w:sz w:val="21"/>
                <w:szCs w:val="21"/>
                <w:lang w:eastAsia="en-US"/>
              </w:rPr>
              <w:t>□</w:t>
            </w:r>
          </w:p>
        </w:tc>
        <w:tc>
          <w:tcPr>
            <w:tcW w:w="767" w:type="pct"/>
            <w:gridSpan w:val="2"/>
            <w:tcBorders>
              <w:right w:val="single" w:color="auto" w:sz="4" w:space="0"/>
            </w:tcBorders>
            <w:vAlign w:val="center"/>
          </w:tcPr>
          <w:p>
            <w:pPr>
              <w:pStyle w:val="59"/>
              <w:autoSpaceDE w:val="0"/>
              <w:autoSpaceDN w:val="0"/>
              <w:spacing w:line="240" w:lineRule="auto"/>
              <w:ind w:firstLine="0" w:firstLineChars="0"/>
              <w:jc w:val="left"/>
              <w:rPr>
                <w:color w:val="auto"/>
                <w:sz w:val="21"/>
                <w:szCs w:val="21"/>
                <w:lang w:eastAsia="en-US"/>
              </w:rPr>
            </w:pPr>
            <w:r>
              <w:rPr>
                <w:color w:val="auto"/>
                <w:sz w:val="21"/>
                <w:szCs w:val="21"/>
              </w:rPr>
              <w:t>P2</w:t>
            </w:r>
            <w:r>
              <w:rPr>
                <w:color w:val="auto"/>
                <w:sz w:val="21"/>
                <w:szCs w:val="21"/>
                <w:lang w:eastAsia="en-US"/>
              </w:rPr>
              <w:t>□</w:t>
            </w:r>
          </w:p>
        </w:tc>
        <w:tc>
          <w:tcPr>
            <w:tcW w:w="1022" w:type="pct"/>
            <w:gridSpan w:val="3"/>
            <w:tcBorders>
              <w:left w:val="single" w:color="auto" w:sz="4" w:space="0"/>
            </w:tcBorders>
            <w:vAlign w:val="center"/>
          </w:tcPr>
          <w:p>
            <w:pPr>
              <w:pStyle w:val="59"/>
              <w:autoSpaceDE w:val="0"/>
              <w:autoSpaceDN w:val="0"/>
              <w:spacing w:line="240" w:lineRule="auto"/>
              <w:ind w:firstLine="0" w:firstLineChars="0"/>
              <w:jc w:val="left"/>
              <w:rPr>
                <w:color w:val="auto"/>
                <w:sz w:val="21"/>
                <w:szCs w:val="21"/>
                <w:lang w:eastAsia="en-US"/>
              </w:rPr>
            </w:pPr>
            <w:r>
              <w:rPr>
                <w:color w:val="auto"/>
                <w:sz w:val="21"/>
                <w:szCs w:val="21"/>
              </w:rPr>
              <w:t>P3</w:t>
            </w:r>
            <w:r>
              <w:rPr>
                <w:color w:val="auto"/>
                <w:sz w:val="21"/>
                <w:szCs w:val="21"/>
                <w:lang w:eastAsia="en-US"/>
              </w:rPr>
              <w:t>□</w:t>
            </w:r>
          </w:p>
        </w:tc>
        <w:tc>
          <w:tcPr>
            <w:tcW w:w="656" w:type="pct"/>
            <w:vAlign w:val="center"/>
          </w:tcPr>
          <w:p>
            <w:pPr>
              <w:pStyle w:val="59"/>
              <w:autoSpaceDE w:val="0"/>
              <w:autoSpaceDN w:val="0"/>
              <w:spacing w:line="240" w:lineRule="auto"/>
              <w:ind w:firstLine="0" w:firstLineChars="0"/>
              <w:jc w:val="left"/>
              <w:rPr>
                <w:color w:val="auto"/>
                <w:sz w:val="21"/>
                <w:szCs w:val="21"/>
              </w:rPr>
            </w:pPr>
            <w:r>
              <w:rPr>
                <w:color w:val="auto"/>
                <w:sz w:val="21"/>
                <w:szCs w:val="21"/>
              </w:rPr>
              <w:t xml:space="preserve">P4 </w:t>
            </w:r>
            <w:r>
              <w:rPr>
                <w:rFonts w:ascii="Wingdings 2" w:hAnsi="Wingdings 2"/>
                <w:color w:val="auto"/>
                <w:sz w:val="21"/>
                <w:szCs w:val="21"/>
              </w:rPr>
              <w:sym w:font="Wingdings 2" w:char="00A3"/>
            </w:r>
            <w:r>
              <w:rPr>
                <w:color w:val="auto"/>
                <w:sz w:val="21"/>
                <w:szCs w:val="21"/>
              </w:rPr>
              <w:t></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937" w:type="pct"/>
            <w:gridSpan w:val="4"/>
            <w:vMerge w:val="restart"/>
            <w:vAlign w:val="center"/>
          </w:tcPr>
          <w:p>
            <w:pPr>
              <w:pStyle w:val="59"/>
              <w:autoSpaceDE w:val="0"/>
              <w:autoSpaceDN w:val="0"/>
              <w:spacing w:line="240" w:lineRule="auto"/>
              <w:ind w:firstLine="0" w:firstLineChars="0"/>
              <w:jc w:val="left"/>
              <w:rPr>
                <w:color w:val="auto"/>
                <w:sz w:val="21"/>
                <w:szCs w:val="21"/>
              </w:rPr>
            </w:pPr>
            <w:r>
              <w:rPr>
                <w:color w:val="auto"/>
                <w:sz w:val="21"/>
                <w:szCs w:val="21"/>
              </w:rPr>
              <w:t>环境敏感程度</w:t>
            </w:r>
          </w:p>
        </w:tc>
        <w:tc>
          <w:tcPr>
            <w:tcW w:w="596" w:type="pct"/>
            <w:tcBorders>
              <w:right w:val="single" w:color="auto" w:sz="4" w:space="0"/>
            </w:tcBorders>
            <w:vAlign w:val="center"/>
          </w:tcPr>
          <w:p>
            <w:pPr>
              <w:pStyle w:val="59"/>
              <w:autoSpaceDE w:val="0"/>
              <w:autoSpaceDN w:val="0"/>
              <w:spacing w:line="240" w:lineRule="auto"/>
              <w:ind w:firstLine="0" w:firstLineChars="0"/>
              <w:jc w:val="left"/>
              <w:rPr>
                <w:color w:val="auto"/>
                <w:sz w:val="21"/>
                <w:szCs w:val="21"/>
                <w:lang w:eastAsia="en-US"/>
              </w:rPr>
            </w:pPr>
            <w:r>
              <w:rPr>
                <w:color w:val="auto"/>
                <w:sz w:val="21"/>
                <w:szCs w:val="21"/>
                <w:lang w:eastAsia="en-US"/>
              </w:rPr>
              <w:t>大气</w:t>
            </w:r>
          </w:p>
        </w:tc>
        <w:tc>
          <w:tcPr>
            <w:tcW w:w="1022" w:type="pct"/>
            <w:gridSpan w:val="3"/>
            <w:tcBorders>
              <w:right w:val="single" w:color="auto" w:sz="4" w:space="0"/>
            </w:tcBorders>
            <w:vAlign w:val="center"/>
          </w:tcPr>
          <w:p>
            <w:pPr>
              <w:pStyle w:val="59"/>
              <w:autoSpaceDE w:val="0"/>
              <w:autoSpaceDN w:val="0"/>
              <w:spacing w:line="240" w:lineRule="auto"/>
              <w:ind w:firstLine="0" w:firstLineChars="0"/>
              <w:jc w:val="left"/>
              <w:rPr>
                <w:color w:val="auto"/>
                <w:sz w:val="21"/>
                <w:szCs w:val="21"/>
              </w:rPr>
            </w:pPr>
            <w:r>
              <w:rPr>
                <w:color w:val="auto"/>
                <w:sz w:val="21"/>
                <w:szCs w:val="21"/>
              </w:rPr>
              <w:t>E1</w:t>
            </w:r>
            <w:r>
              <w:rPr>
                <w:color w:val="auto"/>
                <w:sz w:val="21"/>
                <w:szCs w:val="21"/>
                <w:lang w:eastAsia="en-US"/>
              </w:rPr>
              <w:t>□</w:t>
            </w:r>
          </w:p>
        </w:tc>
        <w:tc>
          <w:tcPr>
            <w:tcW w:w="1277" w:type="pct"/>
            <w:gridSpan w:val="3"/>
            <w:tcBorders>
              <w:left w:val="single" w:color="auto" w:sz="4" w:space="0"/>
            </w:tcBorders>
            <w:vAlign w:val="center"/>
          </w:tcPr>
          <w:p>
            <w:pPr>
              <w:pStyle w:val="59"/>
              <w:autoSpaceDE w:val="0"/>
              <w:autoSpaceDN w:val="0"/>
              <w:spacing w:line="240" w:lineRule="auto"/>
              <w:ind w:firstLine="0" w:firstLineChars="0"/>
              <w:jc w:val="left"/>
              <w:rPr>
                <w:color w:val="auto"/>
                <w:sz w:val="21"/>
                <w:szCs w:val="21"/>
                <w:lang w:eastAsia="en-US"/>
              </w:rPr>
            </w:pPr>
            <w:r>
              <w:rPr>
                <w:color w:val="auto"/>
                <w:sz w:val="21"/>
                <w:szCs w:val="21"/>
              </w:rPr>
              <w:t>E2</w:t>
            </w:r>
            <w:r>
              <w:rPr>
                <w:rFonts w:ascii="Wingdings 2" w:hAnsi="Wingdings 2"/>
                <w:color w:val="auto"/>
                <w:sz w:val="21"/>
                <w:szCs w:val="21"/>
              </w:rPr>
              <w:sym w:font="Wingdings 2" w:char="00A3"/>
            </w:r>
          </w:p>
        </w:tc>
        <w:tc>
          <w:tcPr>
            <w:tcW w:w="1168" w:type="pct"/>
            <w:gridSpan w:val="3"/>
            <w:vAlign w:val="center"/>
          </w:tcPr>
          <w:p>
            <w:pPr>
              <w:pStyle w:val="59"/>
              <w:autoSpaceDE w:val="0"/>
              <w:autoSpaceDN w:val="0"/>
              <w:spacing w:line="240" w:lineRule="auto"/>
              <w:ind w:firstLine="0" w:firstLineChars="0"/>
              <w:jc w:val="left"/>
              <w:rPr>
                <w:color w:val="auto"/>
                <w:sz w:val="21"/>
                <w:szCs w:val="21"/>
                <w:lang w:eastAsia="en-US"/>
              </w:rPr>
            </w:pPr>
            <w:r>
              <w:rPr>
                <w:rFonts w:hint="eastAsia"/>
                <w:color w:val="auto"/>
                <w:sz w:val="21"/>
                <w:szCs w:val="21"/>
              </w:rPr>
              <w:t xml:space="preserve">  </w:t>
            </w:r>
            <w:r>
              <w:rPr>
                <w:color w:val="auto"/>
                <w:sz w:val="21"/>
                <w:szCs w:val="21"/>
              </w:rPr>
              <w:t>E3</w:t>
            </w:r>
            <w:r>
              <w:rPr>
                <w:color w:val="auto"/>
                <w:sz w:val="21"/>
                <w:szCs w:val="21"/>
                <w:lang w:eastAsia="en-US"/>
              </w:rPr>
              <w:t>□</w:t>
            </w:r>
            <w:r>
              <w:rPr>
                <w:color w:val="auto"/>
                <w:sz w:val="21"/>
                <w:szCs w:val="21"/>
              </w:rPr>
              <w:t></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937" w:type="pct"/>
            <w:gridSpan w:val="4"/>
            <w:vMerge w:val="continue"/>
            <w:vAlign w:val="center"/>
          </w:tcPr>
          <w:p>
            <w:pPr>
              <w:pStyle w:val="59"/>
              <w:autoSpaceDE w:val="0"/>
              <w:autoSpaceDN w:val="0"/>
              <w:spacing w:line="240" w:lineRule="auto"/>
              <w:ind w:firstLine="0" w:firstLineChars="0"/>
              <w:jc w:val="left"/>
              <w:rPr>
                <w:color w:val="auto"/>
                <w:sz w:val="21"/>
                <w:szCs w:val="21"/>
              </w:rPr>
            </w:pPr>
          </w:p>
        </w:tc>
        <w:tc>
          <w:tcPr>
            <w:tcW w:w="596" w:type="pct"/>
            <w:tcBorders>
              <w:right w:val="single" w:color="auto" w:sz="4" w:space="0"/>
            </w:tcBorders>
            <w:vAlign w:val="center"/>
          </w:tcPr>
          <w:p>
            <w:pPr>
              <w:pStyle w:val="59"/>
              <w:autoSpaceDE w:val="0"/>
              <w:autoSpaceDN w:val="0"/>
              <w:spacing w:line="240" w:lineRule="auto"/>
              <w:ind w:firstLine="0" w:firstLineChars="0"/>
              <w:jc w:val="left"/>
              <w:rPr>
                <w:color w:val="auto"/>
                <w:sz w:val="21"/>
                <w:szCs w:val="21"/>
                <w:lang w:eastAsia="en-US"/>
              </w:rPr>
            </w:pPr>
            <w:r>
              <w:rPr>
                <w:color w:val="auto"/>
                <w:sz w:val="21"/>
                <w:szCs w:val="21"/>
                <w:lang w:eastAsia="en-US"/>
              </w:rPr>
              <w:t>地表水</w:t>
            </w:r>
          </w:p>
        </w:tc>
        <w:tc>
          <w:tcPr>
            <w:tcW w:w="1022" w:type="pct"/>
            <w:gridSpan w:val="3"/>
            <w:tcBorders>
              <w:right w:val="single" w:color="auto" w:sz="4" w:space="0"/>
            </w:tcBorders>
            <w:vAlign w:val="center"/>
          </w:tcPr>
          <w:p>
            <w:pPr>
              <w:pStyle w:val="59"/>
              <w:autoSpaceDE w:val="0"/>
              <w:autoSpaceDN w:val="0"/>
              <w:spacing w:line="240" w:lineRule="auto"/>
              <w:ind w:firstLine="0" w:firstLineChars="0"/>
              <w:jc w:val="left"/>
              <w:rPr>
                <w:color w:val="auto"/>
                <w:sz w:val="21"/>
                <w:szCs w:val="21"/>
              </w:rPr>
            </w:pPr>
            <w:r>
              <w:rPr>
                <w:color w:val="auto"/>
                <w:sz w:val="21"/>
                <w:szCs w:val="21"/>
              </w:rPr>
              <w:t>E1</w:t>
            </w:r>
            <w:r>
              <w:rPr>
                <w:color w:val="auto"/>
                <w:sz w:val="21"/>
                <w:szCs w:val="21"/>
                <w:lang w:eastAsia="en-US"/>
              </w:rPr>
              <w:t>□</w:t>
            </w:r>
          </w:p>
        </w:tc>
        <w:tc>
          <w:tcPr>
            <w:tcW w:w="1277" w:type="pct"/>
            <w:gridSpan w:val="3"/>
            <w:tcBorders>
              <w:left w:val="single" w:color="auto" w:sz="4" w:space="0"/>
            </w:tcBorders>
            <w:vAlign w:val="center"/>
          </w:tcPr>
          <w:p>
            <w:pPr>
              <w:pStyle w:val="59"/>
              <w:autoSpaceDE w:val="0"/>
              <w:autoSpaceDN w:val="0"/>
              <w:spacing w:line="240" w:lineRule="auto"/>
              <w:ind w:firstLine="0" w:firstLineChars="0"/>
              <w:jc w:val="left"/>
              <w:rPr>
                <w:color w:val="auto"/>
                <w:sz w:val="21"/>
                <w:szCs w:val="21"/>
                <w:lang w:eastAsia="en-US"/>
              </w:rPr>
            </w:pPr>
            <w:r>
              <w:rPr>
                <w:color w:val="auto"/>
                <w:sz w:val="21"/>
                <w:szCs w:val="21"/>
              </w:rPr>
              <w:t>E2</w:t>
            </w:r>
            <w:r>
              <w:rPr>
                <w:color w:val="auto"/>
                <w:sz w:val="21"/>
                <w:szCs w:val="21"/>
                <w:lang w:eastAsia="en-US"/>
              </w:rPr>
              <w:t>□</w:t>
            </w:r>
          </w:p>
        </w:tc>
        <w:tc>
          <w:tcPr>
            <w:tcW w:w="1168" w:type="pct"/>
            <w:gridSpan w:val="3"/>
            <w:vAlign w:val="center"/>
          </w:tcPr>
          <w:p>
            <w:pPr>
              <w:pStyle w:val="59"/>
              <w:autoSpaceDE w:val="0"/>
              <w:autoSpaceDN w:val="0"/>
              <w:spacing w:line="240" w:lineRule="auto"/>
              <w:ind w:firstLine="0" w:firstLineChars="0"/>
              <w:jc w:val="left"/>
              <w:rPr>
                <w:color w:val="auto"/>
                <w:sz w:val="21"/>
                <w:szCs w:val="21"/>
                <w:lang w:eastAsia="en-US"/>
              </w:rPr>
            </w:pPr>
            <w:r>
              <w:rPr>
                <w:color w:val="auto"/>
                <w:sz w:val="21"/>
                <w:szCs w:val="21"/>
              </w:rPr>
              <w:t>E3</w:t>
            </w:r>
            <w:r>
              <w:rPr>
                <w:rFonts w:ascii="Wingdings 2" w:hAnsi="Wingdings 2"/>
                <w:color w:val="auto"/>
                <w:sz w:val="21"/>
                <w:szCs w:val="21"/>
              </w:rPr>
              <w:sym w:font="Wingdings 2" w:char="00A3"/>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937" w:type="pct"/>
            <w:gridSpan w:val="4"/>
            <w:vMerge w:val="continue"/>
            <w:vAlign w:val="center"/>
          </w:tcPr>
          <w:p>
            <w:pPr>
              <w:pStyle w:val="59"/>
              <w:autoSpaceDE w:val="0"/>
              <w:autoSpaceDN w:val="0"/>
              <w:spacing w:line="240" w:lineRule="auto"/>
              <w:ind w:firstLine="0" w:firstLineChars="0"/>
              <w:jc w:val="left"/>
              <w:rPr>
                <w:color w:val="auto"/>
                <w:sz w:val="21"/>
                <w:szCs w:val="21"/>
              </w:rPr>
            </w:pPr>
          </w:p>
        </w:tc>
        <w:tc>
          <w:tcPr>
            <w:tcW w:w="596" w:type="pct"/>
            <w:tcBorders>
              <w:right w:val="single" w:color="auto" w:sz="4" w:space="0"/>
            </w:tcBorders>
            <w:vAlign w:val="center"/>
          </w:tcPr>
          <w:p>
            <w:pPr>
              <w:pStyle w:val="59"/>
              <w:autoSpaceDE w:val="0"/>
              <w:autoSpaceDN w:val="0"/>
              <w:spacing w:line="240" w:lineRule="auto"/>
              <w:ind w:firstLine="0" w:firstLineChars="0"/>
              <w:jc w:val="left"/>
              <w:rPr>
                <w:color w:val="auto"/>
                <w:sz w:val="21"/>
                <w:szCs w:val="21"/>
                <w:lang w:eastAsia="en-US"/>
              </w:rPr>
            </w:pPr>
            <w:r>
              <w:rPr>
                <w:color w:val="auto"/>
                <w:sz w:val="21"/>
                <w:szCs w:val="21"/>
                <w:lang w:eastAsia="en-US"/>
              </w:rPr>
              <w:t>地下水</w:t>
            </w:r>
          </w:p>
        </w:tc>
        <w:tc>
          <w:tcPr>
            <w:tcW w:w="1022" w:type="pct"/>
            <w:gridSpan w:val="3"/>
            <w:tcBorders>
              <w:right w:val="single" w:color="auto" w:sz="4" w:space="0"/>
            </w:tcBorders>
            <w:vAlign w:val="center"/>
          </w:tcPr>
          <w:p>
            <w:pPr>
              <w:pStyle w:val="59"/>
              <w:autoSpaceDE w:val="0"/>
              <w:autoSpaceDN w:val="0"/>
              <w:spacing w:line="240" w:lineRule="auto"/>
              <w:ind w:firstLine="0" w:firstLineChars="0"/>
              <w:jc w:val="left"/>
              <w:rPr>
                <w:color w:val="auto"/>
                <w:sz w:val="21"/>
                <w:szCs w:val="21"/>
              </w:rPr>
            </w:pPr>
            <w:r>
              <w:rPr>
                <w:color w:val="auto"/>
                <w:sz w:val="21"/>
                <w:szCs w:val="21"/>
              </w:rPr>
              <w:t>E1</w:t>
            </w:r>
            <w:r>
              <w:rPr>
                <w:color w:val="auto"/>
                <w:sz w:val="21"/>
                <w:szCs w:val="21"/>
                <w:lang w:eastAsia="en-US"/>
              </w:rPr>
              <w:t>□</w:t>
            </w:r>
          </w:p>
        </w:tc>
        <w:tc>
          <w:tcPr>
            <w:tcW w:w="1277" w:type="pct"/>
            <w:gridSpan w:val="3"/>
            <w:tcBorders>
              <w:left w:val="single" w:color="auto" w:sz="4" w:space="0"/>
            </w:tcBorders>
            <w:vAlign w:val="center"/>
          </w:tcPr>
          <w:p>
            <w:pPr>
              <w:pStyle w:val="59"/>
              <w:autoSpaceDE w:val="0"/>
              <w:autoSpaceDN w:val="0"/>
              <w:spacing w:line="240" w:lineRule="auto"/>
              <w:ind w:firstLine="0" w:firstLineChars="0"/>
              <w:jc w:val="left"/>
              <w:rPr>
                <w:color w:val="auto"/>
                <w:sz w:val="21"/>
                <w:szCs w:val="21"/>
                <w:lang w:eastAsia="en-US"/>
              </w:rPr>
            </w:pPr>
            <w:r>
              <w:rPr>
                <w:color w:val="auto"/>
                <w:sz w:val="21"/>
                <w:szCs w:val="21"/>
              </w:rPr>
              <w:t>E2</w:t>
            </w:r>
            <w:r>
              <w:rPr>
                <w:color w:val="auto"/>
                <w:sz w:val="21"/>
                <w:szCs w:val="21"/>
                <w:lang w:eastAsia="en-US"/>
              </w:rPr>
              <w:sym w:font="Wingdings 2" w:char="0052"/>
            </w:r>
          </w:p>
        </w:tc>
        <w:tc>
          <w:tcPr>
            <w:tcW w:w="1168" w:type="pct"/>
            <w:gridSpan w:val="3"/>
            <w:vAlign w:val="center"/>
          </w:tcPr>
          <w:p>
            <w:pPr>
              <w:pStyle w:val="59"/>
              <w:autoSpaceDE w:val="0"/>
              <w:autoSpaceDN w:val="0"/>
              <w:spacing w:line="240" w:lineRule="auto"/>
              <w:ind w:firstLine="0" w:firstLineChars="0"/>
              <w:jc w:val="left"/>
              <w:rPr>
                <w:color w:val="auto"/>
                <w:sz w:val="21"/>
                <w:szCs w:val="21"/>
                <w:lang w:eastAsia="en-US"/>
              </w:rPr>
            </w:pPr>
            <w:r>
              <w:rPr>
                <w:color w:val="auto"/>
                <w:sz w:val="21"/>
                <w:szCs w:val="21"/>
              </w:rPr>
              <w:t>E3</w:t>
            </w:r>
            <w:r>
              <w:rPr>
                <w:rFonts w:ascii="Wingdings 2" w:hAnsi="Wingdings 2"/>
                <w:color w:val="auto"/>
                <w:sz w:val="21"/>
                <w:szCs w:val="21"/>
              </w:rPr>
              <w:sym w:font="Wingdings 2" w:char="00A3"/>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937" w:type="pct"/>
            <w:gridSpan w:val="4"/>
            <w:vAlign w:val="center"/>
          </w:tcPr>
          <w:p>
            <w:pPr>
              <w:pStyle w:val="59"/>
              <w:autoSpaceDE w:val="0"/>
              <w:autoSpaceDN w:val="0"/>
              <w:spacing w:line="240" w:lineRule="auto"/>
              <w:ind w:firstLine="0" w:firstLineChars="0"/>
              <w:jc w:val="left"/>
              <w:rPr>
                <w:color w:val="auto"/>
                <w:sz w:val="21"/>
                <w:szCs w:val="21"/>
              </w:rPr>
            </w:pPr>
            <w:r>
              <w:rPr>
                <w:color w:val="auto"/>
                <w:sz w:val="21"/>
                <w:szCs w:val="21"/>
              </w:rPr>
              <w:t>环境风险潜势</w:t>
            </w:r>
          </w:p>
        </w:tc>
        <w:tc>
          <w:tcPr>
            <w:tcW w:w="766" w:type="pct"/>
            <w:gridSpan w:val="2"/>
            <w:tcBorders>
              <w:right w:val="single" w:color="auto" w:sz="4" w:space="0"/>
            </w:tcBorders>
            <w:vAlign w:val="center"/>
          </w:tcPr>
          <w:p>
            <w:pPr>
              <w:pStyle w:val="59"/>
              <w:autoSpaceDE w:val="0"/>
              <w:autoSpaceDN w:val="0"/>
              <w:spacing w:line="240" w:lineRule="auto"/>
              <w:ind w:firstLine="0" w:firstLineChars="0"/>
              <w:jc w:val="left"/>
              <w:rPr>
                <w:color w:val="auto"/>
                <w:sz w:val="21"/>
                <w:szCs w:val="21"/>
                <w:lang w:eastAsia="en-US"/>
              </w:rPr>
            </w:pPr>
            <w:r>
              <w:rPr>
                <w:rFonts w:hint="eastAsia" w:ascii="宋体" w:hAnsi="宋体" w:cs="宋体"/>
                <w:color w:val="auto"/>
                <w:sz w:val="21"/>
                <w:szCs w:val="21"/>
                <w:lang w:eastAsia="en-US"/>
              </w:rPr>
              <w:t>Ⅳ</w:t>
            </w:r>
            <w:r>
              <w:rPr>
                <w:color w:val="auto"/>
                <w:sz w:val="21"/>
                <w:szCs w:val="21"/>
                <w:vertAlign w:val="superscript"/>
                <w:lang w:eastAsia="en-US"/>
              </w:rPr>
              <w:t>+</w:t>
            </w:r>
            <w:r>
              <w:rPr>
                <w:color w:val="auto"/>
                <w:sz w:val="21"/>
                <w:szCs w:val="21"/>
                <w:lang w:eastAsia="en-US"/>
              </w:rPr>
              <w:t>□</w:t>
            </w:r>
          </w:p>
        </w:tc>
        <w:tc>
          <w:tcPr>
            <w:tcW w:w="852" w:type="pct"/>
            <w:gridSpan w:val="2"/>
            <w:tcBorders>
              <w:left w:val="single" w:color="auto" w:sz="4" w:space="0"/>
            </w:tcBorders>
            <w:vAlign w:val="center"/>
          </w:tcPr>
          <w:p>
            <w:pPr>
              <w:pStyle w:val="59"/>
              <w:autoSpaceDE w:val="0"/>
              <w:autoSpaceDN w:val="0"/>
              <w:spacing w:line="240" w:lineRule="auto"/>
              <w:ind w:firstLine="0" w:firstLineChars="0"/>
              <w:jc w:val="left"/>
              <w:rPr>
                <w:color w:val="auto"/>
                <w:sz w:val="21"/>
                <w:szCs w:val="21"/>
              </w:rPr>
            </w:pPr>
            <w:r>
              <w:rPr>
                <w:rFonts w:hint="eastAsia" w:ascii="宋体" w:hAnsi="宋体" w:cs="宋体"/>
                <w:color w:val="auto"/>
                <w:sz w:val="21"/>
                <w:szCs w:val="21"/>
                <w:lang w:val="en-US"/>
              </w:rPr>
              <w:t>Ⅳ</w:t>
            </w:r>
            <w:r>
              <w:rPr>
                <w:color w:val="auto"/>
                <w:sz w:val="21"/>
                <w:szCs w:val="21"/>
                <w:lang w:eastAsia="en-US"/>
              </w:rPr>
              <w:t>□</w:t>
            </w:r>
          </w:p>
        </w:tc>
        <w:tc>
          <w:tcPr>
            <w:tcW w:w="767" w:type="pct"/>
            <w:gridSpan w:val="2"/>
            <w:vAlign w:val="center"/>
          </w:tcPr>
          <w:p>
            <w:pPr>
              <w:spacing w:line="240" w:lineRule="auto"/>
              <w:ind w:firstLine="0" w:firstLineChars="0"/>
              <w:jc w:val="left"/>
              <w:rPr>
                <w:color w:val="auto"/>
                <w:kern w:val="0"/>
                <w:sz w:val="21"/>
                <w:szCs w:val="21"/>
              </w:rPr>
            </w:pPr>
            <w:r>
              <w:rPr>
                <w:rFonts w:hint="eastAsia" w:ascii="宋体" w:hAnsi="宋体" w:cs="宋体"/>
                <w:color w:val="auto"/>
                <w:kern w:val="0"/>
                <w:sz w:val="21"/>
                <w:szCs w:val="21"/>
              </w:rPr>
              <w:t>Ⅲ</w:t>
            </w:r>
            <w:r>
              <w:rPr>
                <w:color w:val="auto"/>
                <w:sz w:val="21"/>
                <w:szCs w:val="21"/>
                <w:lang w:eastAsia="en-US"/>
              </w:rPr>
              <w:t>□</w:t>
            </w:r>
          </w:p>
        </w:tc>
        <w:tc>
          <w:tcPr>
            <w:tcW w:w="937" w:type="pct"/>
            <w:gridSpan w:val="2"/>
            <w:vAlign w:val="center"/>
          </w:tcPr>
          <w:p>
            <w:pPr>
              <w:spacing w:line="240" w:lineRule="auto"/>
              <w:ind w:firstLine="0" w:firstLineChars="0"/>
              <w:jc w:val="left"/>
              <w:rPr>
                <w:color w:val="auto"/>
                <w:kern w:val="0"/>
                <w:sz w:val="21"/>
                <w:szCs w:val="21"/>
              </w:rPr>
            </w:pPr>
            <w:r>
              <w:rPr>
                <w:rFonts w:hint="eastAsia" w:ascii="宋体" w:hAnsi="宋体" w:cs="宋体"/>
                <w:color w:val="auto"/>
                <w:kern w:val="0"/>
                <w:sz w:val="21"/>
                <w:szCs w:val="21"/>
              </w:rPr>
              <w:t>Ⅱ</w:t>
            </w:r>
            <w:r>
              <w:rPr>
                <w:color w:val="auto"/>
                <w:sz w:val="21"/>
                <w:szCs w:val="21"/>
                <w:lang w:eastAsia="en-US"/>
              </w:rPr>
              <w:sym w:font="Wingdings 2" w:char="00A3"/>
            </w:r>
          </w:p>
        </w:tc>
        <w:tc>
          <w:tcPr>
            <w:tcW w:w="742" w:type="pct"/>
            <w:gridSpan w:val="2"/>
            <w:tcBorders>
              <w:bottom w:val="single" w:color="auto" w:sz="6" w:space="0"/>
            </w:tcBorders>
            <w:vAlign w:val="center"/>
          </w:tcPr>
          <w:p>
            <w:pPr>
              <w:spacing w:line="240" w:lineRule="auto"/>
              <w:ind w:firstLine="0" w:firstLineChars="0"/>
              <w:jc w:val="left"/>
              <w:rPr>
                <w:color w:val="auto"/>
                <w:kern w:val="0"/>
                <w:sz w:val="21"/>
                <w:szCs w:val="21"/>
              </w:rPr>
            </w:pPr>
            <w:r>
              <w:rPr>
                <w:rFonts w:hint="eastAsia" w:ascii="宋体" w:hAnsi="宋体" w:cs="宋体"/>
                <w:color w:val="auto"/>
                <w:kern w:val="0"/>
                <w:sz w:val="21"/>
                <w:szCs w:val="21"/>
              </w:rPr>
              <w:t>Ⅰ</w:t>
            </w:r>
            <w:r>
              <w:rPr>
                <w:color w:val="auto"/>
                <w:sz w:val="21"/>
                <w:szCs w:val="21"/>
                <w:lang w:eastAsia="en-US"/>
              </w:rPr>
              <w:sym w:font="Wingdings 2" w:char="0052"/>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937" w:type="pct"/>
            <w:gridSpan w:val="4"/>
            <w:vAlign w:val="center"/>
          </w:tcPr>
          <w:p>
            <w:pPr>
              <w:pStyle w:val="59"/>
              <w:autoSpaceDE w:val="0"/>
              <w:autoSpaceDN w:val="0"/>
              <w:spacing w:line="240" w:lineRule="auto"/>
              <w:ind w:firstLine="0" w:firstLineChars="0"/>
              <w:jc w:val="left"/>
              <w:rPr>
                <w:color w:val="auto"/>
                <w:sz w:val="21"/>
                <w:szCs w:val="21"/>
              </w:rPr>
            </w:pPr>
            <w:r>
              <w:rPr>
                <w:color w:val="auto"/>
                <w:sz w:val="21"/>
                <w:szCs w:val="21"/>
              </w:rPr>
              <w:t>评价等级</w:t>
            </w:r>
          </w:p>
        </w:tc>
        <w:tc>
          <w:tcPr>
            <w:tcW w:w="1618" w:type="pct"/>
            <w:gridSpan w:val="4"/>
            <w:vAlign w:val="center"/>
          </w:tcPr>
          <w:p>
            <w:pPr>
              <w:pStyle w:val="59"/>
              <w:autoSpaceDE w:val="0"/>
              <w:autoSpaceDN w:val="0"/>
              <w:spacing w:line="240" w:lineRule="auto"/>
              <w:ind w:firstLine="0" w:firstLineChars="0"/>
              <w:jc w:val="left"/>
              <w:rPr>
                <w:color w:val="auto"/>
                <w:sz w:val="21"/>
                <w:szCs w:val="21"/>
              </w:rPr>
            </w:pPr>
            <w:r>
              <w:rPr>
                <w:color w:val="auto"/>
                <w:sz w:val="21"/>
                <w:szCs w:val="21"/>
              </w:rPr>
              <w:t>一级</w:t>
            </w:r>
            <w:r>
              <w:rPr>
                <w:color w:val="auto"/>
                <w:sz w:val="21"/>
                <w:szCs w:val="21"/>
                <w:lang w:eastAsia="en-US"/>
              </w:rPr>
              <w:t>□</w:t>
            </w:r>
          </w:p>
        </w:tc>
        <w:tc>
          <w:tcPr>
            <w:tcW w:w="767" w:type="pct"/>
            <w:gridSpan w:val="2"/>
            <w:tcBorders>
              <w:right w:val="single" w:color="auto" w:sz="4" w:space="0"/>
            </w:tcBorders>
            <w:vAlign w:val="center"/>
          </w:tcPr>
          <w:p>
            <w:pPr>
              <w:pStyle w:val="59"/>
              <w:autoSpaceDE w:val="0"/>
              <w:autoSpaceDN w:val="0"/>
              <w:spacing w:line="240" w:lineRule="auto"/>
              <w:ind w:firstLine="0" w:firstLineChars="0"/>
              <w:jc w:val="left"/>
              <w:rPr>
                <w:color w:val="auto"/>
                <w:sz w:val="21"/>
                <w:szCs w:val="21"/>
              </w:rPr>
            </w:pPr>
            <w:r>
              <w:rPr>
                <w:color w:val="auto"/>
                <w:sz w:val="21"/>
                <w:szCs w:val="21"/>
              </w:rPr>
              <w:t>二级</w:t>
            </w:r>
            <w:r>
              <w:rPr>
                <w:color w:val="auto"/>
                <w:sz w:val="21"/>
                <w:szCs w:val="21"/>
                <w:lang w:eastAsia="en-US"/>
              </w:rPr>
              <w:t>□</w:t>
            </w:r>
          </w:p>
        </w:tc>
        <w:tc>
          <w:tcPr>
            <w:tcW w:w="937" w:type="pct"/>
            <w:gridSpan w:val="2"/>
            <w:tcBorders>
              <w:left w:val="single" w:color="auto" w:sz="4" w:space="0"/>
            </w:tcBorders>
            <w:vAlign w:val="center"/>
          </w:tcPr>
          <w:p>
            <w:pPr>
              <w:pStyle w:val="59"/>
              <w:autoSpaceDE w:val="0"/>
              <w:autoSpaceDN w:val="0"/>
              <w:spacing w:line="240" w:lineRule="auto"/>
              <w:ind w:firstLine="0" w:firstLineChars="0"/>
              <w:jc w:val="left"/>
              <w:rPr>
                <w:color w:val="auto"/>
                <w:sz w:val="21"/>
                <w:szCs w:val="21"/>
              </w:rPr>
            </w:pPr>
            <w:r>
              <w:rPr>
                <w:color w:val="auto"/>
                <w:sz w:val="21"/>
                <w:szCs w:val="21"/>
              </w:rPr>
              <w:t>三级</w:t>
            </w:r>
            <w:r>
              <w:rPr>
                <w:color w:val="auto"/>
                <w:sz w:val="21"/>
                <w:szCs w:val="21"/>
                <w:lang w:eastAsia="en-US"/>
              </w:rPr>
              <w:sym w:font="Wingdings 2" w:char="00A3"/>
            </w:r>
          </w:p>
        </w:tc>
        <w:tc>
          <w:tcPr>
            <w:tcW w:w="742" w:type="pct"/>
            <w:gridSpan w:val="2"/>
            <w:vAlign w:val="center"/>
          </w:tcPr>
          <w:p>
            <w:pPr>
              <w:pStyle w:val="59"/>
              <w:autoSpaceDE w:val="0"/>
              <w:autoSpaceDN w:val="0"/>
              <w:spacing w:line="240" w:lineRule="auto"/>
              <w:ind w:firstLine="0" w:firstLineChars="0"/>
              <w:jc w:val="left"/>
              <w:rPr>
                <w:color w:val="auto"/>
                <w:sz w:val="21"/>
                <w:szCs w:val="21"/>
              </w:rPr>
            </w:pPr>
            <w:r>
              <w:rPr>
                <w:color w:val="auto"/>
                <w:sz w:val="21"/>
                <w:szCs w:val="21"/>
              </w:rPr>
              <w:t>简单分析</w:t>
            </w:r>
            <w:r>
              <w:rPr>
                <w:color w:val="auto"/>
                <w:sz w:val="21"/>
                <w:szCs w:val="21"/>
                <w:lang w:eastAsia="en-US"/>
              </w:rPr>
              <w:sym w:font="Wingdings 2" w:char="0052"/>
            </w:r>
            <w:r>
              <w:rPr>
                <w:color w:val="auto"/>
                <w:sz w:val="21"/>
                <w:szCs w:val="21"/>
              </w:rPr>
              <w:t></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241" w:type="pct"/>
            <w:gridSpan w:val="2"/>
            <w:vMerge w:val="restart"/>
            <w:tcBorders>
              <w:right w:val="single" w:color="auto" w:sz="4" w:space="0"/>
            </w:tcBorders>
            <w:vAlign w:val="center"/>
          </w:tcPr>
          <w:p>
            <w:pPr>
              <w:pStyle w:val="59"/>
              <w:autoSpaceDE w:val="0"/>
              <w:autoSpaceDN w:val="0"/>
              <w:spacing w:line="240" w:lineRule="auto"/>
              <w:ind w:firstLine="0" w:firstLineChars="0"/>
              <w:jc w:val="left"/>
              <w:rPr>
                <w:color w:val="auto"/>
                <w:sz w:val="21"/>
                <w:szCs w:val="21"/>
              </w:rPr>
            </w:pPr>
            <w:r>
              <w:rPr>
                <w:color w:val="auto"/>
                <w:sz w:val="21"/>
                <w:szCs w:val="21"/>
              </w:rPr>
              <w:t>风险识别</w:t>
            </w:r>
          </w:p>
        </w:tc>
        <w:tc>
          <w:tcPr>
            <w:tcW w:w="696" w:type="pct"/>
            <w:gridSpan w:val="2"/>
            <w:tcBorders>
              <w:left w:val="single" w:color="auto" w:sz="4" w:space="0"/>
            </w:tcBorders>
            <w:vAlign w:val="center"/>
          </w:tcPr>
          <w:p>
            <w:pPr>
              <w:pStyle w:val="59"/>
              <w:autoSpaceDE w:val="0"/>
              <w:autoSpaceDN w:val="0"/>
              <w:spacing w:line="240" w:lineRule="auto"/>
              <w:ind w:firstLine="0" w:firstLineChars="0"/>
              <w:jc w:val="left"/>
              <w:rPr>
                <w:color w:val="auto"/>
                <w:sz w:val="21"/>
                <w:szCs w:val="21"/>
              </w:rPr>
            </w:pPr>
            <w:r>
              <w:rPr>
                <w:color w:val="auto"/>
                <w:sz w:val="21"/>
                <w:szCs w:val="21"/>
              </w:rPr>
              <w:t>物质危险性</w:t>
            </w:r>
          </w:p>
        </w:tc>
        <w:tc>
          <w:tcPr>
            <w:tcW w:w="2128" w:type="pct"/>
            <w:gridSpan w:val="5"/>
            <w:vAlign w:val="center"/>
          </w:tcPr>
          <w:p>
            <w:pPr>
              <w:pStyle w:val="59"/>
              <w:autoSpaceDE w:val="0"/>
              <w:autoSpaceDN w:val="0"/>
              <w:spacing w:line="240" w:lineRule="auto"/>
              <w:ind w:firstLine="0" w:firstLineChars="0"/>
              <w:jc w:val="left"/>
              <w:rPr>
                <w:color w:val="auto"/>
                <w:sz w:val="21"/>
                <w:szCs w:val="21"/>
              </w:rPr>
            </w:pPr>
            <w:r>
              <w:rPr>
                <w:color w:val="auto"/>
                <w:sz w:val="21"/>
                <w:szCs w:val="21"/>
              </w:rPr>
              <w:t>有毒有害</w:t>
            </w:r>
            <w:r>
              <w:rPr>
                <w:rFonts w:ascii="Wingdings 2" w:hAnsi="Wingdings 2"/>
                <w:color w:val="auto"/>
                <w:sz w:val="21"/>
                <w:szCs w:val="21"/>
              </w:rPr>
              <w:t></w:t>
            </w:r>
          </w:p>
        </w:tc>
        <w:tc>
          <w:tcPr>
            <w:tcW w:w="1934" w:type="pct"/>
            <w:gridSpan w:val="5"/>
            <w:vAlign w:val="center"/>
          </w:tcPr>
          <w:p>
            <w:pPr>
              <w:pStyle w:val="59"/>
              <w:autoSpaceDE w:val="0"/>
              <w:autoSpaceDN w:val="0"/>
              <w:spacing w:line="240" w:lineRule="auto"/>
              <w:ind w:firstLine="0" w:firstLineChars="0"/>
              <w:jc w:val="left"/>
              <w:rPr>
                <w:color w:val="auto"/>
                <w:sz w:val="21"/>
                <w:szCs w:val="21"/>
              </w:rPr>
            </w:pPr>
            <w:r>
              <w:rPr>
                <w:color w:val="auto"/>
                <w:sz w:val="21"/>
                <w:szCs w:val="21"/>
              </w:rPr>
              <w:t>易燃易爆</w:t>
            </w:r>
            <w:r>
              <w:rPr>
                <w:rFonts w:ascii="Wingdings 2" w:hAnsi="Wingdings 2"/>
                <w:color w:val="auto"/>
                <w:sz w:val="21"/>
                <w:szCs w:val="21"/>
              </w:rPr>
              <w:t></w:t>
            </w:r>
            <w:r>
              <w:rPr>
                <w:color w:val="auto"/>
                <w:sz w:val="21"/>
                <w:szCs w:val="21"/>
              </w:rPr>
              <w:t xml:space="preserve"> </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241" w:type="pct"/>
            <w:gridSpan w:val="2"/>
            <w:vMerge w:val="continue"/>
            <w:tcBorders>
              <w:right w:val="single" w:color="auto" w:sz="4" w:space="0"/>
            </w:tcBorders>
            <w:vAlign w:val="center"/>
          </w:tcPr>
          <w:p>
            <w:pPr>
              <w:pStyle w:val="59"/>
              <w:autoSpaceDE w:val="0"/>
              <w:autoSpaceDN w:val="0"/>
              <w:spacing w:line="240" w:lineRule="auto"/>
              <w:ind w:firstLine="0" w:firstLineChars="0"/>
              <w:jc w:val="left"/>
              <w:rPr>
                <w:color w:val="auto"/>
                <w:sz w:val="21"/>
                <w:szCs w:val="21"/>
              </w:rPr>
            </w:pPr>
          </w:p>
        </w:tc>
        <w:tc>
          <w:tcPr>
            <w:tcW w:w="696" w:type="pct"/>
            <w:gridSpan w:val="2"/>
            <w:tcBorders>
              <w:left w:val="single" w:color="auto" w:sz="4" w:space="0"/>
            </w:tcBorders>
            <w:vAlign w:val="center"/>
          </w:tcPr>
          <w:p>
            <w:pPr>
              <w:pStyle w:val="59"/>
              <w:autoSpaceDE w:val="0"/>
              <w:autoSpaceDN w:val="0"/>
              <w:spacing w:line="240" w:lineRule="auto"/>
              <w:ind w:firstLine="0" w:firstLineChars="0"/>
              <w:jc w:val="left"/>
              <w:rPr>
                <w:color w:val="auto"/>
                <w:spacing w:val="-10"/>
                <w:sz w:val="21"/>
                <w:szCs w:val="21"/>
              </w:rPr>
            </w:pPr>
            <w:r>
              <w:rPr>
                <w:color w:val="auto"/>
                <w:spacing w:val="-10"/>
                <w:sz w:val="21"/>
                <w:szCs w:val="21"/>
              </w:rPr>
              <w:t>环境风险类型</w:t>
            </w:r>
          </w:p>
        </w:tc>
        <w:tc>
          <w:tcPr>
            <w:tcW w:w="1618" w:type="pct"/>
            <w:gridSpan w:val="4"/>
            <w:vAlign w:val="center"/>
          </w:tcPr>
          <w:p>
            <w:pPr>
              <w:pStyle w:val="59"/>
              <w:autoSpaceDE w:val="0"/>
              <w:autoSpaceDN w:val="0"/>
              <w:spacing w:line="240" w:lineRule="auto"/>
              <w:ind w:firstLine="0" w:firstLineChars="0"/>
              <w:jc w:val="left"/>
              <w:rPr>
                <w:color w:val="auto"/>
                <w:sz w:val="21"/>
                <w:szCs w:val="21"/>
              </w:rPr>
            </w:pPr>
            <w:r>
              <w:rPr>
                <w:color w:val="auto"/>
                <w:sz w:val="21"/>
                <w:szCs w:val="21"/>
              </w:rPr>
              <w:t>泄漏</w:t>
            </w:r>
            <w:r>
              <w:rPr>
                <w:rFonts w:ascii="Wingdings 2" w:hAnsi="Wingdings 2"/>
                <w:color w:val="auto"/>
                <w:sz w:val="21"/>
                <w:szCs w:val="21"/>
              </w:rPr>
              <w:t></w:t>
            </w:r>
            <w:r>
              <w:rPr>
                <w:color w:val="auto"/>
                <w:sz w:val="21"/>
                <w:szCs w:val="21"/>
              </w:rPr>
              <w:t></w:t>
            </w:r>
          </w:p>
        </w:tc>
        <w:tc>
          <w:tcPr>
            <w:tcW w:w="2445" w:type="pct"/>
            <w:gridSpan w:val="6"/>
            <w:vAlign w:val="center"/>
          </w:tcPr>
          <w:p>
            <w:pPr>
              <w:pStyle w:val="59"/>
              <w:autoSpaceDE w:val="0"/>
              <w:autoSpaceDN w:val="0"/>
              <w:spacing w:line="240" w:lineRule="auto"/>
              <w:ind w:firstLine="0" w:firstLineChars="0"/>
              <w:jc w:val="left"/>
              <w:rPr>
                <w:color w:val="auto"/>
                <w:sz w:val="21"/>
                <w:szCs w:val="21"/>
              </w:rPr>
            </w:pPr>
            <w:r>
              <w:rPr>
                <w:color w:val="auto"/>
                <w:sz w:val="21"/>
                <w:szCs w:val="21"/>
              </w:rPr>
              <w:t>火灾、爆炸/次生污染物排放</w:t>
            </w:r>
            <w:r>
              <w:rPr>
                <w:rFonts w:ascii="Wingdings 2" w:hAnsi="Wingdings 2"/>
                <w:color w:val="auto"/>
                <w:sz w:val="21"/>
                <w:szCs w:val="21"/>
              </w:rPr>
              <w:sym w:font="Wingdings 2" w:char="00A3"/>
            </w:r>
            <w:r>
              <w:rPr>
                <w:color w:val="auto"/>
                <w:sz w:val="21"/>
                <w:szCs w:val="21"/>
              </w:rPr>
              <w:t></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241" w:type="pct"/>
            <w:gridSpan w:val="2"/>
            <w:vMerge w:val="continue"/>
            <w:tcBorders>
              <w:right w:val="single" w:color="auto" w:sz="4" w:space="0"/>
            </w:tcBorders>
            <w:vAlign w:val="center"/>
          </w:tcPr>
          <w:p>
            <w:pPr>
              <w:pStyle w:val="59"/>
              <w:autoSpaceDE w:val="0"/>
              <w:autoSpaceDN w:val="0"/>
              <w:spacing w:line="240" w:lineRule="auto"/>
              <w:ind w:firstLine="0" w:firstLineChars="0"/>
              <w:jc w:val="left"/>
              <w:rPr>
                <w:color w:val="auto"/>
                <w:sz w:val="21"/>
                <w:szCs w:val="21"/>
              </w:rPr>
            </w:pPr>
          </w:p>
        </w:tc>
        <w:tc>
          <w:tcPr>
            <w:tcW w:w="696" w:type="pct"/>
            <w:gridSpan w:val="2"/>
            <w:tcBorders>
              <w:left w:val="single" w:color="auto" w:sz="4" w:space="0"/>
            </w:tcBorders>
            <w:vAlign w:val="center"/>
          </w:tcPr>
          <w:p>
            <w:pPr>
              <w:pStyle w:val="59"/>
              <w:autoSpaceDE w:val="0"/>
              <w:autoSpaceDN w:val="0"/>
              <w:spacing w:line="240" w:lineRule="auto"/>
              <w:ind w:firstLine="0" w:firstLineChars="0"/>
              <w:jc w:val="left"/>
              <w:rPr>
                <w:color w:val="auto"/>
                <w:sz w:val="21"/>
                <w:szCs w:val="21"/>
              </w:rPr>
            </w:pPr>
            <w:r>
              <w:rPr>
                <w:color w:val="auto"/>
                <w:sz w:val="21"/>
                <w:szCs w:val="21"/>
              </w:rPr>
              <w:t>环境途径</w:t>
            </w:r>
          </w:p>
        </w:tc>
        <w:tc>
          <w:tcPr>
            <w:tcW w:w="1618" w:type="pct"/>
            <w:gridSpan w:val="4"/>
            <w:vAlign w:val="center"/>
          </w:tcPr>
          <w:p>
            <w:pPr>
              <w:pStyle w:val="59"/>
              <w:autoSpaceDE w:val="0"/>
              <w:autoSpaceDN w:val="0"/>
              <w:spacing w:line="240" w:lineRule="auto"/>
              <w:ind w:firstLine="0" w:firstLineChars="0"/>
              <w:jc w:val="left"/>
              <w:rPr>
                <w:color w:val="auto"/>
                <w:sz w:val="21"/>
                <w:szCs w:val="21"/>
              </w:rPr>
            </w:pPr>
            <w:r>
              <w:rPr>
                <w:color w:val="auto"/>
                <w:sz w:val="21"/>
                <w:szCs w:val="21"/>
              </w:rPr>
              <w:t>大气</w:t>
            </w:r>
            <w:r>
              <w:rPr>
                <w:rFonts w:ascii="Wingdings 2" w:hAnsi="Wingdings 2"/>
                <w:color w:val="auto"/>
                <w:sz w:val="21"/>
                <w:szCs w:val="21"/>
              </w:rPr>
              <w:t></w:t>
            </w:r>
            <w:r>
              <w:rPr>
                <w:color w:val="auto"/>
                <w:sz w:val="21"/>
                <w:szCs w:val="21"/>
              </w:rPr>
              <w:t xml:space="preserve"> </w:t>
            </w:r>
          </w:p>
        </w:tc>
        <w:tc>
          <w:tcPr>
            <w:tcW w:w="1277" w:type="pct"/>
            <w:gridSpan w:val="3"/>
            <w:tcBorders>
              <w:right w:val="single" w:color="auto" w:sz="4" w:space="0"/>
            </w:tcBorders>
            <w:vAlign w:val="center"/>
          </w:tcPr>
          <w:p>
            <w:pPr>
              <w:pStyle w:val="59"/>
              <w:autoSpaceDE w:val="0"/>
              <w:autoSpaceDN w:val="0"/>
              <w:spacing w:line="240" w:lineRule="auto"/>
              <w:ind w:firstLine="0" w:firstLineChars="0"/>
              <w:jc w:val="left"/>
              <w:rPr>
                <w:color w:val="auto"/>
                <w:sz w:val="21"/>
                <w:szCs w:val="21"/>
              </w:rPr>
            </w:pPr>
            <w:r>
              <w:rPr>
                <w:color w:val="auto"/>
                <w:sz w:val="21"/>
                <w:szCs w:val="21"/>
              </w:rPr>
              <w:t>地表水</w:t>
            </w:r>
            <w:r>
              <w:rPr>
                <w:rFonts w:ascii="Wingdings 2" w:hAnsi="Wingdings 2"/>
                <w:color w:val="auto"/>
                <w:sz w:val="21"/>
                <w:szCs w:val="21"/>
              </w:rPr>
              <w:t></w:t>
            </w:r>
          </w:p>
        </w:tc>
        <w:tc>
          <w:tcPr>
            <w:tcW w:w="1168" w:type="pct"/>
            <w:gridSpan w:val="3"/>
            <w:tcBorders>
              <w:left w:val="single" w:color="auto" w:sz="4" w:space="0"/>
            </w:tcBorders>
            <w:vAlign w:val="center"/>
          </w:tcPr>
          <w:p>
            <w:pPr>
              <w:pStyle w:val="59"/>
              <w:autoSpaceDE w:val="0"/>
              <w:autoSpaceDN w:val="0"/>
              <w:spacing w:line="240" w:lineRule="auto"/>
              <w:ind w:firstLine="0" w:firstLineChars="0"/>
              <w:jc w:val="left"/>
              <w:rPr>
                <w:color w:val="auto"/>
                <w:sz w:val="21"/>
                <w:szCs w:val="21"/>
              </w:rPr>
            </w:pPr>
            <w:r>
              <w:rPr>
                <w:color w:val="auto"/>
                <w:sz w:val="21"/>
                <w:szCs w:val="21"/>
              </w:rPr>
              <w:t>地下水</w:t>
            </w:r>
            <w:r>
              <w:rPr>
                <w:rFonts w:ascii="Wingdings 2" w:hAnsi="Wingdings 2"/>
                <w:color w:val="auto"/>
                <w:sz w:val="21"/>
                <w:szCs w:val="21"/>
              </w:rPr>
              <w:sym w:font="Wingdings 2" w:char="00A3"/>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937" w:type="pct"/>
            <w:gridSpan w:val="4"/>
            <w:vAlign w:val="center"/>
          </w:tcPr>
          <w:p>
            <w:pPr>
              <w:pStyle w:val="59"/>
              <w:autoSpaceDE w:val="0"/>
              <w:autoSpaceDN w:val="0"/>
              <w:spacing w:line="240" w:lineRule="auto"/>
              <w:ind w:firstLine="0" w:firstLineChars="0"/>
              <w:jc w:val="left"/>
              <w:rPr>
                <w:color w:val="auto"/>
                <w:sz w:val="21"/>
                <w:szCs w:val="21"/>
              </w:rPr>
            </w:pPr>
            <w:r>
              <w:rPr>
                <w:color w:val="auto"/>
                <w:sz w:val="21"/>
                <w:szCs w:val="21"/>
              </w:rPr>
              <w:t>事故情形分析</w:t>
            </w:r>
          </w:p>
        </w:tc>
        <w:tc>
          <w:tcPr>
            <w:tcW w:w="766" w:type="pct"/>
            <w:gridSpan w:val="2"/>
            <w:tcBorders>
              <w:right w:val="single" w:color="auto" w:sz="4" w:space="0"/>
            </w:tcBorders>
            <w:vAlign w:val="center"/>
          </w:tcPr>
          <w:p>
            <w:pPr>
              <w:pStyle w:val="59"/>
              <w:autoSpaceDE w:val="0"/>
              <w:autoSpaceDN w:val="0"/>
              <w:spacing w:line="240" w:lineRule="auto"/>
              <w:ind w:firstLine="0" w:firstLineChars="0"/>
              <w:jc w:val="left"/>
              <w:rPr>
                <w:color w:val="auto"/>
                <w:sz w:val="21"/>
                <w:szCs w:val="21"/>
                <w:lang w:eastAsia="en-US"/>
              </w:rPr>
            </w:pPr>
            <w:r>
              <w:rPr>
                <w:color w:val="auto"/>
                <w:sz w:val="21"/>
                <w:szCs w:val="21"/>
                <w:lang w:eastAsia="en-US"/>
              </w:rPr>
              <w:t>源强设定方法</w:t>
            </w:r>
          </w:p>
        </w:tc>
        <w:tc>
          <w:tcPr>
            <w:tcW w:w="852" w:type="pct"/>
            <w:gridSpan w:val="2"/>
            <w:tcBorders>
              <w:left w:val="single" w:color="auto" w:sz="4" w:space="0"/>
            </w:tcBorders>
            <w:vAlign w:val="center"/>
          </w:tcPr>
          <w:p>
            <w:pPr>
              <w:pStyle w:val="59"/>
              <w:autoSpaceDE w:val="0"/>
              <w:autoSpaceDN w:val="0"/>
              <w:spacing w:line="240" w:lineRule="auto"/>
              <w:ind w:firstLine="0" w:firstLineChars="0"/>
              <w:jc w:val="left"/>
              <w:rPr>
                <w:color w:val="auto"/>
                <w:sz w:val="21"/>
                <w:szCs w:val="21"/>
              </w:rPr>
            </w:pPr>
            <w:r>
              <w:rPr>
                <w:color w:val="auto"/>
                <w:sz w:val="21"/>
                <w:szCs w:val="21"/>
              </w:rPr>
              <w:t>计算法</w:t>
            </w:r>
            <w:r>
              <w:rPr>
                <w:color w:val="auto"/>
                <w:sz w:val="21"/>
                <w:szCs w:val="21"/>
                <w:lang w:eastAsia="en-US"/>
              </w:rPr>
              <w:t>□</w:t>
            </w:r>
          </w:p>
        </w:tc>
        <w:tc>
          <w:tcPr>
            <w:tcW w:w="1277" w:type="pct"/>
            <w:gridSpan w:val="3"/>
            <w:tcBorders>
              <w:right w:val="single" w:color="auto" w:sz="4" w:space="0"/>
            </w:tcBorders>
            <w:vAlign w:val="center"/>
          </w:tcPr>
          <w:p>
            <w:pPr>
              <w:pStyle w:val="59"/>
              <w:autoSpaceDE w:val="0"/>
              <w:autoSpaceDN w:val="0"/>
              <w:spacing w:line="240" w:lineRule="auto"/>
              <w:ind w:firstLine="0" w:firstLineChars="0"/>
              <w:jc w:val="left"/>
              <w:rPr>
                <w:color w:val="auto"/>
                <w:sz w:val="21"/>
                <w:szCs w:val="21"/>
              </w:rPr>
            </w:pPr>
            <w:r>
              <w:rPr>
                <w:color w:val="auto"/>
                <w:sz w:val="21"/>
                <w:szCs w:val="21"/>
              </w:rPr>
              <w:t>经验估算法</w:t>
            </w:r>
            <w:r>
              <w:rPr>
                <w:color w:val="auto"/>
                <w:sz w:val="21"/>
                <w:szCs w:val="21"/>
                <w:lang w:eastAsia="en-US"/>
              </w:rPr>
              <w:t>□</w:t>
            </w:r>
          </w:p>
        </w:tc>
        <w:tc>
          <w:tcPr>
            <w:tcW w:w="1168" w:type="pct"/>
            <w:gridSpan w:val="3"/>
            <w:tcBorders>
              <w:left w:val="single" w:color="auto" w:sz="4" w:space="0"/>
            </w:tcBorders>
            <w:vAlign w:val="center"/>
          </w:tcPr>
          <w:p>
            <w:pPr>
              <w:pStyle w:val="59"/>
              <w:autoSpaceDE w:val="0"/>
              <w:autoSpaceDN w:val="0"/>
              <w:spacing w:line="240" w:lineRule="auto"/>
              <w:ind w:firstLine="0" w:firstLineChars="0"/>
              <w:jc w:val="left"/>
              <w:rPr>
                <w:color w:val="auto"/>
                <w:sz w:val="21"/>
                <w:szCs w:val="21"/>
              </w:rPr>
            </w:pPr>
            <w:r>
              <w:rPr>
                <w:color w:val="auto"/>
                <w:sz w:val="21"/>
                <w:szCs w:val="21"/>
              </w:rPr>
              <w:t>其他估算法</w:t>
            </w:r>
            <w:r>
              <w:rPr>
                <w:color w:val="auto"/>
                <w:sz w:val="21"/>
                <w:szCs w:val="21"/>
                <w:lang w:eastAsia="en-US"/>
              </w:rPr>
              <w:sym w:font="Wingdings 2" w:char="0052"/>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226" w:type="pct"/>
            <w:vMerge w:val="restart"/>
            <w:tcBorders>
              <w:right w:val="single" w:color="auto" w:sz="4" w:space="0"/>
            </w:tcBorders>
            <w:vAlign w:val="center"/>
          </w:tcPr>
          <w:p>
            <w:pPr>
              <w:pStyle w:val="59"/>
              <w:autoSpaceDE w:val="0"/>
              <w:autoSpaceDN w:val="0"/>
              <w:spacing w:line="240" w:lineRule="auto"/>
              <w:ind w:firstLine="0" w:firstLineChars="0"/>
              <w:jc w:val="left"/>
              <w:rPr>
                <w:color w:val="auto"/>
                <w:sz w:val="21"/>
                <w:szCs w:val="21"/>
              </w:rPr>
            </w:pPr>
            <w:r>
              <w:rPr>
                <w:color w:val="auto"/>
                <w:sz w:val="21"/>
                <w:szCs w:val="21"/>
              </w:rPr>
              <w:t>风险预测与评价</w:t>
            </w:r>
          </w:p>
        </w:tc>
        <w:tc>
          <w:tcPr>
            <w:tcW w:w="711" w:type="pct"/>
            <w:gridSpan w:val="3"/>
            <w:vMerge w:val="restart"/>
            <w:tcBorders>
              <w:right w:val="single" w:color="auto" w:sz="4" w:space="0"/>
            </w:tcBorders>
            <w:vAlign w:val="center"/>
          </w:tcPr>
          <w:p>
            <w:pPr>
              <w:pStyle w:val="59"/>
              <w:autoSpaceDE w:val="0"/>
              <w:autoSpaceDN w:val="0"/>
              <w:spacing w:line="240" w:lineRule="auto"/>
              <w:ind w:firstLine="0" w:firstLineChars="0"/>
              <w:jc w:val="left"/>
              <w:rPr>
                <w:color w:val="auto"/>
                <w:sz w:val="21"/>
                <w:szCs w:val="21"/>
                <w:lang w:eastAsia="en-US"/>
              </w:rPr>
            </w:pPr>
            <w:r>
              <w:rPr>
                <w:color w:val="auto"/>
                <w:sz w:val="21"/>
                <w:szCs w:val="21"/>
                <w:lang w:eastAsia="en-US"/>
              </w:rPr>
              <w:t>大气</w:t>
            </w:r>
          </w:p>
        </w:tc>
        <w:tc>
          <w:tcPr>
            <w:tcW w:w="766" w:type="pct"/>
            <w:gridSpan w:val="2"/>
            <w:tcBorders>
              <w:right w:val="single" w:color="auto" w:sz="4" w:space="0"/>
            </w:tcBorders>
            <w:vAlign w:val="center"/>
          </w:tcPr>
          <w:p>
            <w:pPr>
              <w:pStyle w:val="59"/>
              <w:autoSpaceDE w:val="0"/>
              <w:autoSpaceDN w:val="0"/>
              <w:spacing w:line="240" w:lineRule="auto"/>
              <w:ind w:firstLine="0" w:firstLineChars="0"/>
              <w:jc w:val="left"/>
              <w:rPr>
                <w:color w:val="auto"/>
                <w:sz w:val="21"/>
                <w:szCs w:val="21"/>
                <w:lang w:eastAsia="en-US"/>
              </w:rPr>
            </w:pPr>
            <w:r>
              <w:rPr>
                <w:color w:val="auto"/>
                <w:sz w:val="21"/>
                <w:szCs w:val="21"/>
                <w:lang w:eastAsia="en-US"/>
              </w:rPr>
              <w:t>预测模型</w:t>
            </w:r>
          </w:p>
        </w:tc>
        <w:tc>
          <w:tcPr>
            <w:tcW w:w="852" w:type="pct"/>
            <w:gridSpan w:val="2"/>
            <w:tcBorders>
              <w:left w:val="single" w:color="auto" w:sz="4" w:space="0"/>
            </w:tcBorders>
            <w:vAlign w:val="center"/>
          </w:tcPr>
          <w:p>
            <w:pPr>
              <w:pStyle w:val="59"/>
              <w:autoSpaceDE w:val="0"/>
              <w:autoSpaceDN w:val="0"/>
              <w:spacing w:line="240" w:lineRule="auto"/>
              <w:ind w:firstLine="0" w:firstLineChars="0"/>
              <w:jc w:val="left"/>
              <w:rPr>
                <w:color w:val="auto"/>
                <w:sz w:val="21"/>
                <w:szCs w:val="21"/>
              </w:rPr>
            </w:pPr>
            <w:r>
              <w:rPr>
                <w:color w:val="auto"/>
                <w:sz w:val="21"/>
                <w:szCs w:val="21"/>
              </w:rPr>
              <w:t>SLAB</w:t>
            </w:r>
            <w:r>
              <w:rPr>
                <w:color w:val="auto"/>
                <w:sz w:val="21"/>
                <w:szCs w:val="21"/>
                <w:lang w:eastAsia="en-US"/>
              </w:rPr>
              <w:t>□</w:t>
            </w:r>
          </w:p>
        </w:tc>
        <w:tc>
          <w:tcPr>
            <w:tcW w:w="1277" w:type="pct"/>
            <w:gridSpan w:val="3"/>
            <w:tcBorders>
              <w:right w:val="single" w:color="auto" w:sz="4" w:space="0"/>
            </w:tcBorders>
            <w:vAlign w:val="center"/>
          </w:tcPr>
          <w:p>
            <w:pPr>
              <w:pStyle w:val="59"/>
              <w:autoSpaceDE w:val="0"/>
              <w:autoSpaceDN w:val="0"/>
              <w:spacing w:line="240" w:lineRule="auto"/>
              <w:ind w:firstLine="0" w:firstLineChars="0"/>
              <w:jc w:val="left"/>
              <w:rPr>
                <w:color w:val="auto"/>
                <w:sz w:val="21"/>
                <w:szCs w:val="21"/>
              </w:rPr>
            </w:pPr>
            <w:r>
              <w:rPr>
                <w:color w:val="auto"/>
                <w:sz w:val="21"/>
                <w:szCs w:val="21"/>
              </w:rPr>
              <w:t>AFTOX</w:t>
            </w:r>
            <w:r>
              <w:rPr>
                <w:color w:val="auto"/>
                <w:sz w:val="21"/>
                <w:szCs w:val="21"/>
                <w:lang w:eastAsia="en-US"/>
              </w:rPr>
              <w:t>□</w:t>
            </w:r>
            <w:r>
              <w:rPr>
                <w:color w:val="auto"/>
                <w:sz w:val="21"/>
                <w:szCs w:val="21"/>
                <w:lang w:val="en-US" w:eastAsia="en-US"/>
              </w:rPr>
              <w:t></w:t>
            </w:r>
          </w:p>
        </w:tc>
        <w:tc>
          <w:tcPr>
            <w:tcW w:w="1168" w:type="pct"/>
            <w:gridSpan w:val="3"/>
            <w:tcBorders>
              <w:left w:val="single" w:color="auto" w:sz="4" w:space="0"/>
            </w:tcBorders>
            <w:vAlign w:val="center"/>
          </w:tcPr>
          <w:p>
            <w:pPr>
              <w:pStyle w:val="59"/>
              <w:autoSpaceDE w:val="0"/>
              <w:autoSpaceDN w:val="0"/>
              <w:spacing w:line="240" w:lineRule="auto"/>
              <w:ind w:firstLine="0" w:firstLineChars="0"/>
              <w:jc w:val="left"/>
              <w:rPr>
                <w:color w:val="auto"/>
                <w:sz w:val="21"/>
                <w:szCs w:val="21"/>
              </w:rPr>
            </w:pPr>
            <w:r>
              <w:rPr>
                <w:color w:val="auto"/>
                <w:sz w:val="21"/>
                <w:szCs w:val="21"/>
              </w:rPr>
              <w:t>其他</w:t>
            </w:r>
            <w:r>
              <w:rPr>
                <w:color w:val="auto"/>
                <w:sz w:val="21"/>
                <w:szCs w:val="21"/>
                <w:lang w:eastAsia="en-US"/>
              </w:rPr>
              <w:t>□</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226" w:type="pct"/>
            <w:vMerge w:val="continue"/>
            <w:tcBorders>
              <w:right w:val="single" w:color="auto" w:sz="4" w:space="0"/>
            </w:tcBorders>
            <w:vAlign w:val="center"/>
          </w:tcPr>
          <w:p>
            <w:pPr>
              <w:pStyle w:val="59"/>
              <w:autoSpaceDE w:val="0"/>
              <w:autoSpaceDN w:val="0"/>
              <w:spacing w:line="240" w:lineRule="auto"/>
              <w:ind w:firstLine="0" w:firstLineChars="0"/>
              <w:jc w:val="left"/>
              <w:rPr>
                <w:color w:val="auto"/>
                <w:sz w:val="21"/>
                <w:szCs w:val="21"/>
              </w:rPr>
            </w:pPr>
          </w:p>
        </w:tc>
        <w:tc>
          <w:tcPr>
            <w:tcW w:w="711" w:type="pct"/>
            <w:gridSpan w:val="3"/>
            <w:vMerge w:val="continue"/>
            <w:tcBorders>
              <w:right w:val="single" w:color="auto" w:sz="4" w:space="0"/>
            </w:tcBorders>
            <w:vAlign w:val="center"/>
          </w:tcPr>
          <w:p>
            <w:pPr>
              <w:pStyle w:val="59"/>
              <w:autoSpaceDE w:val="0"/>
              <w:autoSpaceDN w:val="0"/>
              <w:spacing w:line="240" w:lineRule="auto"/>
              <w:ind w:firstLine="0" w:firstLineChars="0"/>
              <w:jc w:val="left"/>
              <w:rPr>
                <w:color w:val="auto"/>
                <w:sz w:val="21"/>
                <w:szCs w:val="21"/>
                <w:lang w:eastAsia="en-US"/>
              </w:rPr>
            </w:pPr>
          </w:p>
        </w:tc>
        <w:tc>
          <w:tcPr>
            <w:tcW w:w="766" w:type="pct"/>
            <w:gridSpan w:val="2"/>
            <w:vMerge w:val="restart"/>
            <w:tcBorders>
              <w:right w:val="single" w:color="auto" w:sz="4" w:space="0"/>
            </w:tcBorders>
            <w:vAlign w:val="center"/>
          </w:tcPr>
          <w:p>
            <w:pPr>
              <w:pStyle w:val="59"/>
              <w:autoSpaceDE w:val="0"/>
              <w:autoSpaceDN w:val="0"/>
              <w:spacing w:line="240" w:lineRule="auto"/>
              <w:ind w:firstLine="0" w:firstLineChars="0"/>
              <w:jc w:val="left"/>
              <w:rPr>
                <w:color w:val="auto"/>
                <w:sz w:val="21"/>
                <w:szCs w:val="21"/>
                <w:lang w:eastAsia="en-US"/>
              </w:rPr>
            </w:pPr>
            <w:r>
              <w:rPr>
                <w:color w:val="auto"/>
                <w:sz w:val="21"/>
                <w:szCs w:val="21"/>
                <w:lang w:eastAsia="en-US"/>
              </w:rPr>
              <w:t>预测结果</w:t>
            </w:r>
          </w:p>
        </w:tc>
        <w:tc>
          <w:tcPr>
            <w:tcW w:w="3297" w:type="pct"/>
            <w:gridSpan w:val="8"/>
            <w:tcBorders>
              <w:left w:val="single" w:color="auto" w:sz="4" w:space="0"/>
            </w:tcBorders>
            <w:vAlign w:val="center"/>
          </w:tcPr>
          <w:p>
            <w:pPr>
              <w:pStyle w:val="59"/>
              <w:autoSpaceDE w:val="0"/>
              <w:autoSpaceDN w:val="0"/>
              <w:spacing w:line="240" w:lineRule="auto"/>
              <w:ind w:firstLine="0" w:firstLineChars="0"/>
              <w:jc w:val="left"/>
              <w:rPr>
                <w:color w:val="auto"/>
                <w:sz w:val="21"/>
                <w:szCs w:val="21"/>
              </w:rPr>
            </w:pPr>
            <w:r>
              <w:rPr>
                <w:color w:val="auto"/>
                <w:sz w:val="21"/>
                <w:szCs w:val="21"/>
                <w:lang w:val="en-US"/>
              </w:rPr>
              <w:t>大气毒性终点浓度-1  最大影响范围</w:t>
            </w:r>
            <w:r>
              <w:rPr>
                <w:color w:val="auto"/>
                <w:sz w:val="21"/>
                <w:szCs w:val="21"/>
                <w:u w:val="single"/>
                <w:lang w:val="en-US"/>
              </w:rPr>
              <w:t xml:space="preserve"> </w:t>
            </w:r>
            <w:r>
              <w:rPr>
                <w:color w:val="auto"/>
                <w:sz w:val="21"/>
                <w:szCs w:val="21"/>
                <w:lang w:val="en-US"/>
              </w:rPr>
              <w:t>m</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226" w:type="pct"/>
            <w:vMerge w:val="continue"/>
            <w:tcBorders>
              <w:right w:val="single" w:color="auto" w:sz="4" w:space="0"/>
            </w:tcBorders>
            <w:vAlign w:val="center"/>
          </w:tcPr>
          <w:p>
            <w:pPr>
              <w:pStyle w:val="59"/>
              <w:autoSpaceDE w:val="0"/>
              <w:autoSpaceDN w:val="0"/>
              <w:spacing w:line="240" w:lineRule="auto"/>
              <w:ind w:firstLine="0" w:firstLineChars="0"/>
              <w:jc w:val="left"/>
              <w:rPr>
                <w:color w:val="auto"/>
                <w:sz w:val="21"/>
                <w:szCs w:val="21"/>
              </w:rPr>
            </w:pPr>
          </w:p>
        </w:tc>
        <w:tc>
          <w:tcPr>
            <w:tcW w:w="711" w:type="pct"/>
            <w:gridSpan w:val="3"/>
            <w:vMerge w:val="continue"/>
            <w:tcBorders>
              <w:right w:val="single" w:color="auto" w:sz="4" w:space="0"/>
            </w:tcBorders>
            <w:vAlign w:val="center"/>
          </w:tcPr>
          <w:p>
            <w:pPr>
              <w:pStyle w:val="59"/>
              <w:autoSpaceDE w:val="0"/>
              <w:autoSpaceDN w:val="0"/>
              <w:spacing w:line="240" w:lineRule="auto"/>
              <w:ind w:firstLine="0" w:firstLineChars="0"/>
              <w:jc w:val="left"/>
              <w:rPr>
                <w:color w:val="auto"/>
                <w:sz w:val="21"/>
                <w:szCs w:val="21"/>
              </w:rPr>
            </w:pPr>
          </w:p>
        </w:tc>
        <w:tc>
          <w:tcPr>
            <w:tcW w:w="766" w:type="pct"/>
            <w:gridSpan w:val="2"/>
            <w:vMerge w:val="continue"/>
            <w:tcBorders>
              <w:right w:val="single" w:color="auto" w:sz="4" w:space="0"/>
            </w:tcBorders>
            <w:vAlign w:val="center"/>
          </w:tcPr>
          <w:p>
            <w:pPr>
              <w:pStyle w:val="59"/>
              <w:autoSpaceDE w:val="0"/>
              <w:autoSpaceDN w:val="0"/>
              <w:spacing w:line="240" w:lineRule="auto"/>
              <w:ind w:firstLine="0" w:firstLineChars="0"/>
              <w:jc w:val="left"/>
              <w:rPr>
                <w:color w:val="auto"/>
                <w:sz w:val="21"/>
                <w:szCs w:val="21"/>
              </w:rPr>
            </w:pPr>
          </w:p>
        </w:tc>
        <w:tc>
          <w:tcPr>
            <w:tcW w:w="3297" w:type="pct"/>
            <w:gridSpan w:val="8"/>
            <w:tcBorders>
              <w:left w:val="single" w:color="auto" w:sz="4" w:space="0"/>
            </w:tcBorders>
            <w:vAlign w:val="center"/>
          </w:tcPr>
          <w:p>
            <w:pPr>
              <w:pStyle w:val="59"/>
              <w:autoSpaceDE w:val="0"/>
              <w:autoSpaceDN w:val="0"/>
              <w:spacing w:line="240" w:lineRule="auto"/>
              <w:ind w:firstLine="0" w:firstLineChars="0"/>
              <w:jc w:val="left"/>
              <w:rPr>
                <w:color w:val="auto"/>
                <w:sz w:val="21"/>
                <w:szCs w:val="21"/>
              </w:rPr>
            </w:pPr>
            <w:r>
              <w:rPr>
                <w:color w:val="auto"/>
                <w:sz w:val="21"/>
                <w:szCs w:val="21"/>
                <w:lang w:val="en-US"/>
              </w:rPr>
              <w:t>大气毒性终点浓度-2  最大影响范围</w:t>
            </w:r>
            <w:r>
              <w:rPr>
                <w:color w:val="auto"/>
                <w:sz w:val="21"/>
                <w:szCs w:val="21"/>
                <w:u w:val="single"/>
                <w:lang w:val="en-US"/>
              </w:rPr>
              <w:t xml:space="preserve"> </w:t>
            </w:r>
            <w:r>
              <w:rPr>
                <w:color w:val="auto"/>
                <w:sz w:val="21"/>
                <w:szCs w:val="21"/>
                <w:lang w:val="en-US"/>
              </w:rPr>
              <w:t>m</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226" w:type="pct"/>
            <w:vMerge w:val="continue"/>
            <w:tcBorders>
              <w:right w:val="single" w:color="auto" w:sz="4" w:space="0"/>
            </w:tcBorders>
            <w:vAlign w:val="center"/>
          </w:tcPr>
          <w:p>
            <w:pPr>
              <w:pStyle w:val="59"/>
              <w:autoSpaceDE w:val="0"/>
              <w:autoSpaceDN w:val="0"/>
              <w:spacing w:line="240" w:lineRule="auto"/>
              <w:ind w:firstLine="0" w:firstLineChars="0"/>
              <w:jc w:val="left"/>
              <w:rPr>
                <w:color w:val="auto"/>
                <w:sz w:val="21"/>
                <w:szCs w:val="21"/>
              </w:rPr>
            </w:pPr>
          </w:p>
        </w:tc>
        <w:tc>
          <w:tcPr>
            <w:tcW w:w="711" w:type="pct"/>
            <w:gridSpan w:val="3"/>
            <w:tcBorders>
              <w:right w:val="single" w:color="auto" w:sz="4" w:space="0"/>
            </w:tcBorders>
            <w:vAlign w:val="center"/>
          </w:tcPr>
          <w:p>
            <w:pPr>
              <w:pStyle w:val="59"/>
              <w:autoSpaceDE w:val="0"/>
              <w:autoSpaceDN w:val="0"/>
              <w:spacing w:line="240" w:lineRule="auto"/>
              <w:ind w:firstLine="0" w:firstLineChars="0"/>
              <w:jc w:val="left"/>
              <w:rPr>
                <w:color w:val="auto"/>
                <w:sz w:val="21"/>
                <w:szCs w:val="21"/>
                <w:lang w:eastAsia="en-US"/>
              </w:rPr>
            </w:pPr>
            <w:r>
              <w:rPr>
                <w:color w:val="auto"/>
                <w:sz w:val="21"/>
                <w:szCs w:val="21"/>
                <w:lang w:eastAsia="en-US"/>
              </w:rPr>
              <w:t>地表水</w:t>
            </w:r>
          </w:p>
        </w:tc>
        <w:tc>
          <w:tcPr>
            <w:tcW w:w="4063" w:type="pct"/>
            <w:gridSpan w:val="10"/>
            <w:vAlign w:val="center"/>
          </w:tcPr>
          <w:p>
            <w:pPr>
              <w:pStyle w:val="59"/>
              <w:autoSpaceDE w:val="0"/>
              <w:autoSpaceDN w:val="0"/>
              <w:spacing w:line="240" w:lineRule="auto"/>
              <w:ind w:firstLine="0" w:firstLineChars="0"/>
              <w:jc w:val="left"/>
              <w:rPr>
                <w:color w:val="auto"/>
                <w:sz w:val="21"/>
                <w:szCs w:val="21"/>
              </w:rPr>
            </w:pPr>
            <w:r>
              <w:rPr>
                <w:color w:val="auto"/>
                <w:sz w:val="21"/>
                <w:szCs w:val="21"/>
              </w:rPr>
              <w:t>最近环境敏感目标</w:t>
            </w:r>
            <w:r>
              <w:rPr>
                <w:color w:val="auto"/>
                <w:sz w:val="21"/>
                <w:szCs w:val="21"/>
                <w:u w:val="single"/>
              </w:rPr>
              <w:t xml:space="preserve">  </w:t>
            </w:r>
            <w:r>
              <w:rPr>
                <w:color w:val="auto"/>
                <w:sz w:val="21"/>
                <w:szCs w:val="21"/>
              </w:rPr>
              <w:t>，到达时间</w:t>
            </w:r>
            <w:r>
              <w:rPr>
                <w:color w:val="auto"/>
                <w:sz w:val="21"/>
                <w:szCs w:val="21"/>
                <w:u w:val="single"/>
              </w:rPr>
              <w:t xml:space="preserve">  </w:t>
            </w:r>
            <w:r>
              <w:rPr>
                <w:color w:val="auto"/>
                <w:sz w:val="21"/>
                <w:szCs w:val="21"/>
              </w:rPr>
              <w:t xml:space="preserve">h  </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226" w:type="pct"/>
            <w:vMerge w:val="continue"/>
            <w:tcBorders>
              <w:right w:val="single" w:color="auto" w:sz="4" w:space="0"/>
            </w:tcBorders>
            <w:vAlign w:val="center"/>
          </w:tcPr>
          <w:p>
            <w:pPr>
              <w:pStyle w:val="59"/>
              <w:autoSpaceDE w:val="0"/>
              <w:autoSpaceDN w:val="0"/>
              <w:spacing w:line="240" w:lineRule="auto"/>
              <w:ind w:firstLine="0" w:firstLineChars="0"/>
              <w:jc w:val="left"/>
              <w:rPr>
                <w:color w:val="auto"/>
                <w:sz w:val="21"/>
                <w:szCs w:val="21"/>
              </w:rPr>
            </w:pPr>
          </w:p>
        </w:tc>
        <w:tc>
          <w:tcPr>
            <w:tcW w:w="711" w:type="pct"/>
            <w:gridSpan w:val="3"/>
            <w:vMerge w:val="restart"/>
            <w:tcBorders>
              <w:right w:val="single" w:color="auto" w:sz="4" w:space="0"/>
            </w:tcBorders>
            <w:vAlign w:val="center"/>
          </w:tcPr>
          <w:p>
            <w:pPr>
              <w:pStyle w:val="59"/>
              <w:autoSpaceDE w:val="0"/>
              <w:autoSpaceDN w:val="0"/>
              <w:spacing w:line="240" w:lineRule="auto"/>
              <w:ind w:firstLine="0" w:firstLineChars="0"/>
              <w:jc w:val="left"/>
              <w:rPr>
                <w:color w:val="auto"/>
                <w:sz w:val="21"/>
                <w:szCs w:val="21"/>
                <w:lang w:eastAsia="en-US"/>
              </w:rPr>
            </w:pPr>
            <w:r>
              <w:rPr>
                <w:color w:val="auto"/>
                <w:sz w:val="21"/>
                <w:szCs w:val="21"/>
                <w:lang w:eastAsia="en-US"/>
              </w:rPr>
              <w:t>地下水</w:t>
            </w:r>
          </w:p>
        </w:tc>
        <w:tc>
          <w:tcPr>
            <w:tcW w:w="4063" w:type="pct"/>
            <w:gridSpan w:val="10"/>
            <w:vAlign w:val="center"/>
          </w:tcPr>
          <w:p>
            <w:pPr>
              <w:pStyle w:val="59"/>
              <w:autoSpaceDE w:val="0"/>
              <w:autoSpaceDN w:val="0"/>
              <w:spacing w:line="240" w:lineRule="auto"/>
              <w:ind w:firstLine="0" w:firstLineChars="0"/>
              <w:jc w:val="left"/>
              <w:rPr>
                <w:color w:val="auto"/>
                <w:sz w:val="21"/>
                <w:szCs w:val="21"/>
              </w:rPr>
            </w:pPr>
            <w:r>
              <w:rPr>
                <w:color w:val="auto"/>
                <w:sz w:val="21"/>
                <w:szCs w:val="21"/>
              </w:rPr>
              <w:t>下游厂区厂界到达时间</w:t>
            </w:r>
            <w:r>
              <w:rPr>
                <w:color w:val="auto"/>
                <w:sz w:val="21"/>
                <w:szCs w:val="21"/>
                <w:u w:val="single"/>
              </w:rPr>
              <w:t xml:space="preserve">  </w:t>
            </w:r>
            <w:r>
              <w:rPr>
                <w:color w:val="auto"/>
                <w:sz w:val="21"/>
                <w:szCs w:val="21"/>
              </w:rPr>
              <w:t>d</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226" w:type="pct"/>
            <w:vMerge w:val="continue"/>
            <w:tcBorders>
              <w:right w:val="single" w:color="auto" w:sz="4" w:space="0"/>
            </w:tcBorders>
            <w:vAlign w:val="center"/>
          </w:tcPr>
          <w:p>
            <w:pPr>
              <w:pStyle w:val="59"/>
              <w:autoSpaceDE w:val="0"/>
              <w:autoSpaceDN w:val="0"/>
              <w:spacing w:line="240" w:lineRule="auto"/>
              <w:ind w:firstLine="0" w:firstLineChars="0"/>
              <w:jc w:val="left"/>
              <w:rPr>
                <w:color w:val="auto"/>
                <w:sz w:val="21"/>
                <w:szCs w:val="21"/>
              </w:rPr>
            </w:pPr>
          </w:p>
        </w:tc>
        <w:tc>
          <w:tcPr>
            <w:tcW w:w="711" w:type="pct"/>
            <w:gridSpan w:val="3"/>
            <w:vMerge w:val="continue"/>
            <w:tcBorders>
              <w:right w:val="single" w:color="auto" w:sz="4" w:space="0"/>
            </w:tcBorders>
            <w:vAlign w:val="center"/>
          </w:tcPr>
          <w:p>
            <w:pPr>
              <w:pStyle w:val="59"/>
              <w:autoSpaceDE w:val="0"/>
              <w:autoSpaceDN w:val="0"/>
              <w:spacing w:line="240" w:lineRule="auto"/>
              <w:ind w:firstLine="0" w:firstLineChars="0"/>
              <w:jc w:val="left"/>
              <w:rPr>
                <w:color w:val="auto"/>
                <w:sz w:val="21"/>
                <w:szCs w:val="21"/>
              </w:rPr>
            </w:pPr>
          </w:p>
        </w:tc>
        <w:tc>
          <w:tcPr>
            <w:tcW w:w="4063" w:type="pct"/>
            <w:gridSpan w:val="10"/>
            <w:vAlign w:val="center"/>
          </w:tcPr>
          <w:p>
            <w:pPr>
              <w:pStyle w:val="59"/>
              <w:autoSpaceDE w:val="0"/>
              <w:autoSpaceDN w:val="0"/>
              <w:spacing w:line="240" w:lineRule="auto"/>
              <w:ind w:firstLine="0" w:firstLineChars="0"/>
              <w:jc w:val="left"/>
              <w:rPr>
                <w:color w:val="auto"/>
                <w:sz w:val="21"/>
                <w:szCs w:val="21"/>
              </w:rPr>
            </w:pPr>
            <w:r>
              <w:rPr>
                <w:color w:val="auto"/>
                <w:sz w:val="21"/>
                <w:szCs w:val="21"/>
                <w:lang w:val="en-US"/>
              </w:rPr>
              <w:t>最近环境敏感目标</w:t>
            </w:r>
            <w:r>
              <w:rPr>
                <w:color w:val="auto"/>
                <w:sz w:val="21"/>
                <w:szCs w:val="21"/>
                <w:u w:val="single"/>
                <w:lang w:val="en-US"/>
              </w:rPr>
              <w:t xml:space="preserve">  </w:t>
            </w:r>
            <w:r>
              <w:rPr>
                <w:color w:val="auto"/>
                <w:sz w:val="21"/>
                <w:szCs w:val="21"/>
                <w:lang w:val="en-US"/>
              </w:rPr>
              <w:t>，到达时间</w:t>
            </w:r>
            <w:r>
              <w:rPr>
                <w:color w:val="auto"/>
                <w:sz w:val="21"/>
                <w:szCs w:val="21"/>
                <w:u w:val="single"/>
                <w:lang w:val="en-US"/>
              </w:rPr>
              <w:t xml:space="preserve">  </w:t>
            </w:r>
            <w:r>
              <w:rPr>
                <w:color w:val="auto"/>
                <w:sz w:val="21"/>
                <w:szCs w:val="21"/>
                <w:lang w:val="en-US"/>
              </w:rPr>
              <w:t xml:space="preserve">d  </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937" w:type="pct"/>
            <w:gridSpan w:val="4"/>
            <w:vAlign w:val="center"/>
          </w:tcPr>
          <w:p>
            <w:pPr>
              <w:pStyle w:val="59"/>
              <w:autoSpaceDE w:val="0"/>
              <w:autoSpaceDN w:val="0"/>
              <w:spacing w:line="240" w:lineRule="auto"/>
              <w:ind w:firstLine="0" w:firstLineChars="0"/>
              <w:jc w:val="left"/>
              <w:rPr>
                <w:color w:val="auto"/>
                <w:sz w:val="21"/>
                <w:szCs w:val="21"/>
              </w:rPr>
            </w:pPr>
            <w:r>
              <w:rPr>
                <w:color w:val="auto"/>
                <w:sz w:val="21"/>
                <w:szCs w:val="21"/>
              </w:rPr>
              <w:t>重点防范措施</w:t>
            </w:r>
          </w:p>
        </w:tc>
        <w:tc>
          <w:tcPr>
            <w:tcW w:w="4063" w:type="pct"/>
            <w:gridSpan w:val="10"/>
            <w:vAlign w:val="center"/>
          </w:tcPr>
          <w:p>
            <w:pPr>
              <w:pStyle w:val="59"/>
              <w:autoSpaceDE w:val="0"/>
              <w:autoSpaceDN w:val="0"/>
              <w:spacing w:line="240" w:lineRule="auto"/>
              <w:ind w:firstLine="0" w:firstLineChars="0"/>
              <w:jc w:val="left"/>
              <w:rPr>
                <w:color w:val="auto"/>
                <w:sz w:val="21"/>
                <w:szCs w:val="21"/>
              </w:rPr>
            </w:pPr>
            <w:r>
              <w:rPr>
                <w:color w:val="auto"/>
                <w:sz w:val="21"/>
                <w:szCs w:val="21"/>
              </w:rPr>
              <w:t>安放消防器材，</w:t>
            </w:r>
            <w:r>
              <w:rPr>
                <w:rFonts w:hint="eastAsia"/>
                <w:color w:val="auto"/>
                <w:sz w:val="21"/>
                <w:szCs w:val="21"/>
              </w:rPr>
              <w:t>设置阻火器，张贴禁止明火标志，</w:t>
            </w:r>
            <w:r>
              <w:rPr>
                <w:color w:val="auto"/>
                <w:sz w:val="21"/>
                <w:szCs w:val="21"/>
              </w:rPr>
              <w:t>编制应急预案</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937" w:type="pct"/>
            <w:gridSpan w:val="4"/>
            <w:vAlign w:val="center"/>
          </w:tcPr>
          <w:p>
            <w:pPr>
              <w:pStyle w:val="59"/>
              <w:autoSpaceDE w:val="0"/>
              <w:autoSpaceDN w:val="0"/>
              <w:spacing w:line="240" w:lineRule="auto"/>
              <w:ind w:firstLine="0" w:firstLineChars="0"/>
              <w:jc w:val="left"/>
              <w:rPr>
                <w:color w:val="auto"/>
                <w:sz w:val="21"/>
                <w:szCs w:val="21"/>
              </w:rPr>
            </w:pPr>
            <w:r>
              <w:rPr>
                <w:color w:val="auto"/>
                <w:sz w:val="21"/>
                <w:szCs w:val="21"/>
              </w:rPr>
              <w:t>评价结论与建议</w:t>
            </w:r>
          </w:p>
        </w:tc>
        <w:tc>
          <w:tcPr>
            <w:tcW w:w="4063" w:type="pct"/>
            <w:gridSpan w:val="10"/>
            <w:vAlign w:val="center"/>
          </w:tcPr>
          <w:p>
            <w:pPr>
              <w:widowControl/>
              <w:spacing w:line="240" w:lineRule="auto"/>
              <w:ind w:firstLine="0" w:firstLineChars="0"/>
              <w:jc w:val="left"/>
              <w:rPr>
                <w:color w:val="auto"/>
                <w:kern w:val="0"/>
                <w:sz w:val="21"/>
                <w:szCs w:val="21"/>
              </w:rPr>
            </w:pPr>
            <w:r>
              <w:rPr>
                <w:color w:val="auto"/>
                <w:kern w:val="0"/>
                <w:sz w:val="21"/>
                <w:szCs w:val="21"/>
              </w:rPr>
              <w:t>本</w:t>
            </w:r>
            <w:r>
              <w:rPr>
                <w:color w:val="auto"/>
                <w:spacing w:val="-4"/>
                <w:kern w:val="0"/>
                <w:sz w:val="21"/>
                <w:szCs w:val="21"/>
              </w:rPr>
              <w:t>项目环境风险主要表现在沼气发生泄漏引起</w:t>
            </w:r>
            <w:r>
              <w:rPr>
                <w:rFonts w:hint="eastAsia"/>
                <w:color w:val="auto"/>
                <w:spacing w:val="-4"/>
                <w:kern w:val="0"/>
                <w:sz w:val="21"/>
                <w:szCs w:val="21"/>
              </w:rPr>
              <w:t>大气污染、</w:t>
            </w:r>
            <w:r>
              <w:rPr>
                <w:color w:val="auto"/>
                <w:spacing w:val="-4"/>
                <w:kern w:val="0"/>
                <w:sz w:val="21"/>
                <w:szCs w:val="21"/>
              </w:rPr>
              <w:t>火灾、爆炸事故引发的大气污染。</w:t>
            </w:r>
          </w:p>
          <w:p>
            <w:pPr>
              <w:widowControl/>
              <w:spacing w:line="240" w:lineRule="auto"/>
              <w:ind w:firstLine="0" w:firstLineChars="0"/>
              <w:jc w:val="left"/>
              <w:rPr>
                <w:color w:val="auto"/>
                <w:kern w:val="0"/>
                <w:sz w:val="21"/>
                <w:szCs w:val="21"/>
              </w:rPr>
            </w:pPr>
            <w:r>
              <w:rPr>
                <w:color w:val="auto"/>
                <w:kern w:val="0"/>
                <w:sz w:val="21"/>
                <w:szCs w:val="21"/>
              </w:rPr>
              <w:t>通过分析可知，在严格落实本环评提出的各项风险防范措施和事故应急预案后，该项目发生风险事故的可能进一步降低，其潜在的环境风险是可以接受的。</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5000" w:type="pct"/>
            <w:gridSpan w:val="14"/>
            <w:vAlign w:val="center"/>
          </w:tcPr>
          <w:p>
            <w:pPr>
              <w:pStyle w:val="59"/>
              <w:autoSpaceDE w:val="0"/>
              <w:autoSpaceDN w:val="0"/>
              <w:spacing w:line="240" w:lineRule="auto"/>
              <w:ind w:firstLine="0" w:firstLineChars="0"/>
              <w:jc w:val="left"/>
              <w:rPr>
                <w:color w:val="auto"/>
                <w:sz w:val="21"/>
                <w:szCs w:val="21"/>
              </w:rPr>
            </w:pPr>
            <w:r>
              <w:rPr>
                <w:color w:val="auto"/>
                <w:sz w:val="21"/>
                <w:szCs w:val="21"/>
              </w:rPr>
              <w:t>注：“□”，填“√”；“（</w:t>
            </w:r>
            <w:r>
              <w:rPr>
                <w:color w:val="auto"/>
                <w:sz w:val="21"/>
                <w:szCs w:val="21"/>
              </w:rPr>
              <w:tab/>
            </w:r>
            <w:r>
              <w:rPr>
                <w:color w:val="auto"/>
                <w:sz w:val="21"/>
                <w:szCs w:val="21"/>
              </w:rPr>
              <w:t>）”为内容填写项</w:t>
            </w:r>
          </w:p>
        </w:tc>
      </w:tr>
    </w:tbl>
    <w:p>
      <w:pPr>
        <w:ind w:firstLine="480"/>
        <w:rPr>
          <w:color w:val="auto"/>
        </w:rPr>
        <w:sectPr>
          <w:headerReference r:id="rId19" w:type="default"/>
          <w:pgSz w:w="11906" w:h="16838"/>
          <w:pgMar w:top="1701" w:right="1588" w:bottom="1985" w:left="1588" w:header="1134" w:footer="992" w:gutter="0"/>
          <w:cols w:space="720" w:num="1"/>
          <w:docGrid w:type="lines" w:linePitch="312" w:charSpace="0"/>
        </w:sectPr>
      </w:pPr>
      <w:r>
        <w:rPr>
          <w:color w:val="auto"/>
        </w:rPr>
        <w:br w:type="page"/>
      </w:r>
      <w:bookmarkStart w:id="573" w:name="_Toc295121209"/>
      <w:bookmarkStart w:id="574" w:name="_Toc295121178"/>
      <w:bookmarkStart w:id="575" w:name="_Toc366760295"/>
      <w:bookmarkStart w:id="576" w:name="_Toc485580428"/>
      <w:bookmarkStart w:id="577" w:name="_Toc477187507"/>
      <w:bookmarkStart w:id="578" w:name="_Toc476923206"/>
      <w:bookmarkStart w:id="579" w:name="_Toc476921990"/>
      <w:bookmarkStart w:id="580" w:name="_Toc477357375"/>
    </w:p>
    <w:p>
      <w:pPr>
        <w:pStyle w:val="26"/>
        <w:ind w:left="480" w:firstLine="480"/>
        <w:rPr>
          <w:color w:val="auto"/>
        </w:rPr>
      </w:pPr>
    </w:p>
    <w:p>
      <w:pPr>
        <w:pStyle w:val="4"/>
        <w:spacing w:line="360" w:lineRule="auto"/>
        <w:ind w:firstLine="0" w:firstLineChars="0"/>
        <w:rPr>
          <w:color w:val="auto"/>
          <w:sz w:val="44"/>
        </w:rPr>
      </w:pPr>
      <w:bookmarkStart w:id="581" w:name="_Toc3876"/>
      <w:bookmarkStart w:id="582" w:name="_Toc29408"/>
      <w:r>
        <w:rPr>
          <w:color w:val="auto"/>
        </w:rPr>
        <w:t xml:space="preserve">第六章  </w:t>
      </w:r>
      <w:bookmarkEnd w:id="573"/>
      <w:bookmarkEnd w:id="574"/>
      <w:r>
        <w:rPr>
          <w:color w:val="auto"/>
          <w:szCs w:val="28"/>
        </w:rPr>
        <w:t>防污减污措施评价</w:t>
      </w:r>
      <w:bookmarkEnd w:id="575"/>
      <w:bookmarkEnd w:id="576"/>
      <w:bookmarkEnd w:id="577"/>
      <w:bookmarkEnd w:id="578"/>
      <w:bookmarkEnd w:id="579"/>
      <w:bookmarkEnd w:id="580"/>
      <w:bookmarkEnd w:id="581"/>
      <w:bookmarkEnd w:id="582"/>
    </w:p>
    <w:p>
      <w:pPr>
        <w:pStyle w:val="5"/>
        <w:spacing w:before="0"/>
        <w:ind w:firstLine="0" w:firstLineChars="0"/>
        <w:rPr>
          <w:rFonts w:ascii="Times New Roman" w:hAnsi="Times New Roman"/>
          <w:color w:val="auto"/>
          <w:sz w:val="28"/>
          <w:szCs w:val="20"/>
        </w:rPr>
      </w:pPr>
      <w:bookmarkStart w:id="583" w:name="_Toc477357376"/>
      <w:bookmarkStart w:id="584" w:name="_Toc476923207"/>
      <w:bookmarkStart w:id="585" w:name="_Toc476921991"/>
      <w:bookmarkStart w:id="586" w:name="_Toc477187508"/>
      <w:bookmarkStart w:id="587" w:name="_Toc485580429"/>
      <w:bookmarkStart w:id="588" w:name="_Toc3692"/>
      <w:bookmarkStart w:id="589" w:name="_Toc14268"/>
      <w:bookmarkStart w:id="590" w:name="_Toc295121210"/>
      <w:bookmarkStart w:id="591" w:name="_Toc295121179"/>
      <w:bookmarkStart w:id="592" w:name="_Toc366760296"/>
      <w:r>
        <w:rPr>
          <w:rFonts w:ascii="Times New Roman" w:hAnsi="Times New Roman"/>
          <w:color w:val="auto"/>
          <w:sz w:val="28"/>
          <w:szCs w:val="20"/>
        </w:rPr>
        <w:t xml:space="preserve">6.1  </w:t>
      </w:r>
      <w:bookmarkEnd w:id="583"/>
      <w:bookmarkEnd w:id="584"/>
      <w:bookmarkEnd w:id="585"/>
      <w:bookmarkEnd w:id="586"/>
      <w:r>
        <w:rPr>
          <w:rFonts w:hint="eastAsia" w:ascii="Times New Roman" w:hAnsi="Times New Roman"/>
          <w:color w:val="auto"/>
          <w:sz w:val="28"/>
          <w:szCs w:val="20"/>
        </w:rPr>
        <w:t>施工期污染防治措施</w:t>
      </w:r>
      <w:bookmarkEnd w:id="587"/>
      <w:bookmarkEnd w:id="588"/>
      <w:bookmarkEnd w:id="589"/>
    </w:p>
    <w:p>
      <w:pPr>
        <w:ind w:firstLine="480"/>
        <w:rPr>
          <w:rFonts w:hAnsi="宋体"/>
          <w:color w:val="auto"/>
        </w:rPr>
      </w:pPr>
      <w:r>
        <w:rPr>
          <w:rFonts w:hAnsi="宋体"/>
          <w:color w:val="auto"/>
        </w:rPr>
        <w:t>评价针对项目施工期可能对环境造成的影响，以保护项目区的环境、最大限度地减少项目建设对环境造成的不利影响为目的，对施工期环境影响因素进行简要分析并提出具体的防范措施。</w:t>
      </w:r>
    </w:p>
    <w:p>
      <w:pPr>
        <w:pStyle w:val="6"/>
        <w:rPr>
          <w:color w:val="auto"/>
        </w:rPr>
      </w:pPr>
      <w:r>
        <w:rPr>
          <w:color w:val="auto"/>
        </w:rPr>
        <w:t>6.1.1施工期水环境影响及保护措施</w:t>
      </w:r>
    </w:p>
    <w:p>
      <w:pPr>
        <w:ind w:firstLine="480"/>
        <w:rPr>
          <w:color w:val="auto"/>
        </w:rPr>
      </w:pPr>
      <w:r>
        <w:rPr>
          <w:color w:val="auto"/>
        </w:rPr>
        <w:t>项目对水环境的污染主要包括施工期生产废水、施工人员生活污水，评价针对环境特点提出项目施工期水环境保护措施，详见表</w:t>
      </w:r>
      <w:r>
        <w:rPr>
          <w:rFonts w:hint="eastAsia"/>
          <w:color w:val="auto"/>
        </w:rPr>
        <w:t>6.1</w:t>
      </w:r>
      <w:r>
        <w:rPr>
          <w:color w:val="auto"/>
        </w:rPr>
        <w:t>-1。</w:t>
      </w:r>
    </w:p>
    <w:p>
      <w:pPr>
        <w:spacing w:after="93" w:afterLines="30"/>
        <w:ind w:firstLine="442"/>
        <w:jc w:val="center"/>
        <w:rPr>
          <w:b/>
          <w:color w:val="auto"/>
          <w:sz w:val="22"/>
          <w:szCs w:val="22"/>
        </w:rPr>
      </w:pPr>
      <w:r>
        <w:rPr>
          <w:rFonts w:hint="eastAsia"/>
          <w:b/>
          <w:color w:val="auto"/>
          <w:sz w:val="22"/>
          <w:szCs w:val="22"/>
        </w:rPr>
        <w:t xml:space="preserve">表6.1-1                 </w:t>
      </w:r>
      <w:r>
        <w:rPr>
          <w:b/>
          <w:color w:val="auto"/>
          <w:sz w:val="22"/>
          <w:szCs w:val="22"/>
        </w:rPr>
        <w:t>施工期水环境保护措施一览表</w:t>
      </w:r>
    </w:p>
    <w:tbl>
      <w:tblPr>
        <w:tblStyle w:val="27"/>
        <w:tblW w:w="0" w:type="auto"/>
        <w:jc w:val="center"/>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24"/>
        <w:gridCol w:w="2316"/>
        <w:gridCol w:w="3418"/>
        <w:gridCol w:w="2442"/>
      </w:tblGrid>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724"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序号</w:t>
            </w:r>
          </w:p>
        </w:tc>
        <w:tc>
          <w:tcPr>
            <w:tcW w:w="2316"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主要环境影响</w:t>
            </w:r>
          </w:p>
        </w:tc>
        <w:tc>
          <w:tcPr>
            <w:tcW w:w="3418"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环保措施</w:t>
            </w:r>
          </w:p>
        </w:tc>
        <w:tc>
          <w:tcPr>
            <w:tcW w:w="2442"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效</w:t>
            </w:r>
            <w:r>
              <w:rPr>
                <w:rFonts w:hint="eastAsia"/>
                <w:color w:val="auto"/>
                <w:sz w:val="21"/>
                <w:szCs w:val="21"/>
              </w:rPr>
              <w:t xml:space="preserve"> </w:t>
            </w:r>
            <w:r>
              <w:rPr>
                <w:color w:val="auto"/>
                <w:sz w:val="21"/>
                <w:szCs w:val="21"/>
              </w:rPr>
              <w:t>益</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724"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1</w:t>
            </w:r>
          </w:p>
        </w:tc>
        <w:tc>
          <w:tcPr>
            <w:tcW w:w="2316"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施工排水可能对水环境产生影响，造成水土流失</w:t>
            </w:r>
          </w:p>
        </w:tc>
        <w:tc>
          <w:tcPr>
            <w:tcW w:w="3418"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施工用水尽量做到节约用水，重复利用，可用于拌和水泥，简单沉淀后用于</w:t>
            </w:r>
            <w:r>
              <w:rPr>
                <w:rFonts w:hint="eastAsia"/>
                <w:color w:val="auto"/>
                <w:sz w:val="21"/>
                <w:szCs w:val="21"/>
              </w:rPr>
              <w:t>洒水抑尘</w:t>
            </w:r>
            <w:r>
              <w:rPr>
                <w:color w:val="auto"/>
                <w:sz w:val="21"/>
                <w:szCs w:val="21"/>
              </w:rPr>
              <w:t>，严禁排入地表水体</w:t>
            </w:r>
          </w:p>
        </w:tc>
        <w:tc>
          <w:tcPr>
            <w:tcW w:w="2442"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节约用水，减少水土流失，减轻或避免生活污水、粪便对环境污染影响</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724"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2</w:t>
            </w:r>
          </w:p>
        </w:tc>
        <w:tc>
          <w:tcPr>
            <w:tcW w:w="2316"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生活污水、粪便随便排放对环境污染影响</w:t>
            </w:r>
          </w:p>
        </w:tc>
        <w:tc>
          <w:tcPr>
            <w:tcW w:w="3418"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施工期修建</w:t>
            </w:r>
            <w:r>
              <w:rPr>
                <w:rFonts w:hint="eastAsia"/>
                <w:color w:val="auto"/>
                <w:sz w:val="21"/>
                <w:szCs w:val="21"/>
              </w:rPr>
              <w:t>化粪池</w:t>
            </w:r>
            <w:r>
              <w:rPr>
                <w:color w:val="auto"/>
                <w:sz w:val="21"/>
                <w:szCs w:val="21"/>
              </w:rPr>
              <w:t>，施工</w:t>
            </w:r>
            <w:r>
              <w:rPr>
                <w:rFonts w:hint="eastAsia"/>
                <w:color w:val="auto"/>
                <w:sz w:val="21"/>
                <w:szCs w:val="21"/>
              </w:rPr>
              <w:t>期</w:t>
            </w:r>
            <w:r>
              <w:rPr>
                <w:color w:val="auto"/>
                <w:sz w:val="21"/>
                <w:szCs w:val="21"/>
              </w:rPr>
              <w:t>生活污水及粪便经</w:t>
            </w:r>
            <w:r>
              <w:rPr>
                <w:rFonts w:hint="eastAsia"/>
                <w:color w:val="auto"/>
                <w:sz w:val="21"/>
                <w:szCs w:val="21"/>
              </w:rPr>
              <w:t>化粪池</w:t>
            </w:r>
            <w:r>
              <w:rPr>
                <w:color w:val="auto"/>
                <w:sz w:val="21"/>
                <w:szCs w:val="21"/>
              </w:rPr>
              <w:t>处理后</w:t>
            </w:r>
            <w:r>
              <w:rPr>
                <w:rFonts w:hint="eastAsia"/>
                <w:color w:val="auto"/>
                <w:sz w:val="21"/>
                <w:szCs w:val="21"/>
              </w:rPr>
              <w:t>定期由附近农民拉走堆肥</w:t>
            </w:r>
          </w:p>
        </w:tc>
        <w:tc>
          <w:tcPr>
            <w:tcW w:w="2442"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保护施工人员居住处的环境卫生</w:t>
            </w:r>
          </w:p>
        </w:tc>
      </w:tr>
    </w:tbl>
    <w:p>
      <w:pPr>
        <w:pStyle w:val="6"/>
        <w:rPr>
          <w:color w:val="auto"/>
          <w:lang w:val="en-US"/>
        </w:rPr>
      </w:pPr>
      <w:r>
        <w:rPr>
          <w:color w:val="auto"/>
          <w:lang w:val="en-US"/>
        </w:rPr>
        <w:t>6.1.2施工期环境空气保护措施分析</w:t>
      </w:r>
    </w:p>
    <w:p>
      <w:pPr>
        <w:ind w:firstLine="480"/>
        <w:rPr>
          <w:rFonts w:hAnsi="宋体"/>
          <w:color w:val="auto"/>
        </w:rPr>
      </w:pPr>
      <w:r>
        <w:rPr>
          <w:rFonts w:hAnsi="宋体"/>
          <w:color w:val="auto"/>
        </w:rPr>
        <w:t>施工期对环境空气的污染主要包括扬尘及施工车辆尾气排放，评价针对各种污染物排放特点及性质提出施工期环境空气污染防治措施，详见表</w:t>
      </w:r>
      <w:r>
        <w:rPr>
          <w:rFonts w:hint="eastAsia" w:hAnsi="宋体"/>
          <w:color w:val="auto"/>
        </w:rPr>
        <w:t>6.1</w:t>
      </w:r>
      <w:r>
        <w:rPr>
          <w:rFonts w:hAnsi="宋体"/>
          <w:color w:val="auto"/>
        </w:rPr>
        <w:t>-2。</w:t>
      </w:r>
    </w:p>
    <w:p>
      <w:pPr>
        <w:spacing w:after="93" w:afterLines="30" w:line="500" w:lineRule="exact"/>
        <w:ind w:firstLine="482"/>
        <w:jc w:val="center"/>
        <w:rPr>
          <w:b/>
          <w:color w:val="auto"/>
        </w:rPr>
      </w:pPr>
      <w:r>
        <w:rPr>
          <w:rFonts w:hint="eastAsia"/>
          <w:b/>
          <w:color w:val="auto"/>
        </w:rPr>
        <w:t xml:space="preserve">表6.1-2                  </w:t>
      </w:r>
      <w:r>
        <w:rPr>
          <w:b/>
          <w:color w:val="auto"/>
        </w:rPr>
        <w:t>施工期环境空气保护措施一览表</w:t>
      </w:r>
    </w:p>
    <w:tbl>
      <w:tblPr>
        <w:tblStyle w:val="27"/>
        <w:tblW w:w="0" w:type="auto"/>
        <w:jc w:val="center"/>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50"/>
        <w:gridCol w:w="2130"/>
        <w:gridCol w:w="3122"/>
        <w:gridCol w:w="2842"/>
      </w:tblGrid>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750" w:type="dxa"/>
            <w:tcMar>
              <w:top w:w="57" w:type="dxa"/>
              <w:left w:w="57" w:type="dxa"/>
              <w:bottom w:w="57" w:type="dxa"/>
              <w:right w:w="57" w:type="dxa"/>
            </w:tcMar>
            <w:vAlign w:val="center"/>
          </w:tcPr>
          <w:p>
            <w:pPr>
              <w:spacing w:line="240" w:lineRule="auto"/>
              <w:ind w:firstLine="0" w:firstLineChars="0"/>
              <w:jc w:val="center"/>
              <w:rPr>
                <w:color w:val="auto"/>
                <w:sz w:val="21"/>
                <w:szCs w:val="21"/>
              </w:rPr>
            </w:pPr>
            <w:r>
              <w:rPr>
                <w:color w:val="auto"/>
                <w:sz w:val="21"/>
                <w:szCs w:val="21"/>
              </w:rPr>
              <w:t>序号</w:t>
            </w:r>
          </w:p>
        </w:tc>
        <w:tc>
          <w:tcPr>
            <w:tcW w:w="2130" w:type="dxa"/>
            <w:tcMar>
              <w:top w:w="57" w:type="dxa"/>
              <w:left w:w="57" w:type="dxa"/>
              <w:bottom w:w="57" w:type="dxa"/>
              <w:right w:w="57" w:type="dxa"/>
            </w:tcMar>
            <w:vAlign w:val="center"/>
          </w:tcPr>
          <w:p>
            <w:pPr>
              <w:spacing w:line="240" w:lineRule="auto"/>
              <w:ind w:firstLine="0" w:firstLineChars="0"/>
              <w:jc w:val="center"/>
              <w:rPr>
                <w:color w:val="auto"/>
                <w:sz w:val="21"/>
                <w:szCs w:val="21"/>
              </w:rPr>
            </w:pPr>
            <w:r>
              <w:rPr>
                <w:color w:val="auto"/>
                <w:sz w:val="21"/>
                <w:szCs w:val="21"/>
              </w:rPr>
              <w:t>主要环境影响</w:t>
            </w:r>
          </w:p>
        </w:tc>
        <w:tc>
          <w:tcPr>
            <w:tcW w:w="3122" w:type="dxa"/>
            <w:tcMar>
              <w:top w:w="57" w:type="dxa"/>
              <w:left w:w="57" w:type="dxa"/>
              <w:bottom w:w="57" w:type="dxa"/>
              <w:right w:w="57" w:type="dxa"/>
            </w:tcMar>
            <w:vAlign w:val="center"/>
          </w:tcPr>
          <w:p>
            <w:pPr>
              <w:spacing w:line="240" w:lineRule="auto"/>
              <w:ind w:firstLine="0" w:firstLineChars="0"/>
              <w:jc w:val="center"/>
              <w:rPr>
                <w:color w:val="auto"/>
                <w:sz w:val="21"/>
                <w:szCs w:val="21"/>
              </w:rPr>
            </w:pPr>
            <w:r>
              <w:rPr>
                <w:color w:val="auto"/>
                <w:sz w:val="21"/>
                <w:szCs w:val="21"/>
              </w:rPr>
              <w:t>环保措施</w:t>
            </w:r>
          </w:p>
        </w:tc>
        <w:tc>
          <w:tcPr>
            <w:tcW w:w="2842" w:type="dxa"/>
            <w:tcMar>
              <w:top w:w="57" w:type="dxa"/>
              <w:left w:w="57" w:type="dxa"/>
              <w:bottom w:w="57" w:type="dxa"/>
              <w:right w:w="57" w:type="dxa"/>
            </w:tcMar>
            <w:vAlign w:val="center"/>
          </w:tcPr>
          <w:p>
            <w:pPr>
              <w:spacing w:line="240" w:lineRule="auto"/>
              <w:ind w:firstLine="0" w:firstLineChars="0"/>
              <w:jc w:val="center"/>
              <w:rPr>
                <w:color w:val="auto"/>
                <w:sz w:val="21"/>
                <w:szCs w:val="21"/>
              </w:rPr>
            </w:pPr>
            <w:r>
              <w:rPr>
                <w:color w:val="auto"/>
                <w:sz w:val="21"/>
                <w:szCs w:val="21"/>
              </w:rPr>
              <w:t>效 益</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50" w:type="dxa"/>
            <w:tcMar>
              <w:top w:w="57" w:type="dxa"/>
              <w:left w:w="57" w:type="dxa"/>
              <w:bottom w:w="57" w:type="dxa"/>
              <w:right w:w="57" w:type="dxa"/>
            </w:tcMar>
            <w:vAlign w:val="center"/>
          </w:tcPr>
          <w:p>
            <w:pPr>
              <w:spacing w:line="240" w:lineRule="auto"/>
              <w:ind w:firstLine="0" w:firstLineChars="0"/>
              <w:jc w:val="center"/>
              <w:rPr>
                <w:color w:val="auto"/>
                <w:sz w:val="21"/>
                <w:szCs w:val="21"/>
              </w:rPr>
            </w:pPr>
            <w:r>
              <w:rPr>
                <w:color w:val="auto"/>
                <w:sz w:val="21"/>
                <w:szCs w:val="21"/>
              </w:rPr>
              <w:t>1</w:t>
            </w:r>
          </w:p>
        </w:tc>
        <w:tc>
          <w:tcPr>
            <w:tcW w:w="2130" w:type="dxa"/>
            <w:tcMar>
              <w:top w:w="57" w:type="dxa"/>
              <w:left w:w="57" w:type="dxa"/>
              <w:bottom w:w="57" w:type="dxa"/>
              <w:right w:w="57" w:type="dxa"/>
            </w:tcMar>
            <w:vAlign w:val="center"/>
          </w:tcPr>
          <w:p>
            <w:pPr>
              <w:spacing w:line="240" w:lineRule="auto"/>
              <w:ind w:firstLine="0" w:firstLineChars="0"/>
              <w:jc w:val="center"/>
              <w:rPr>
                <w:color w:val="auto"/>
                <w:sz w:val="21"/>
                <w:szCs w:val="21"/>
              </w:rPr>
            </w:pPr>
            <w:r>
              <w:rPr>
                <w:color w:val="auto"/>
                <w:sz w:val="21"/>
                <w:szCs w:val="21"/>
              </w:rPr>
              <w:t>运输汽车运行产生道路扬尘污染</w:t>
            </w:r>
          </w:p>
        </w:tc>
        <w:tc>
          <w:tcPr>
            <w:tcW w:w="3122" w:type="dxa"/>
            <w:tcMar>
              <w:top w:w="57" w:type="dxa"/>
              <w:left w:w="57" w:type="dxa"/>
              <w:bottom w:w="57" w:type="dxa"/>
              <w:right w:w="57" w:type="dxa"/>
            </w:tcMar>
            <w:vAlign w:val="center"/>
          </w:tcPr>
          <w:p>
            <w:pPr>
              <w:spacing w:line="240" w:lineRule="auto"/>
              <w:ind w:firstLine="0" w:firstLineChars="0"/>
              <w:jc w:val="center"/>
              <w:rPr>
                <w:color w:val="auto"/>
                <w:sz w:val="21"/>
                <w:szCs w:val="21"/>
              </w:rPr>
            </w:pPr>
            <w:r>
              <w:rPr>
                <w:color w:val="auto"/>
                <w:sz w:val="21"/>
                <w:szCs w:val="21"/>
              </w:rPr>
              <w:t>运输路线应定期洒水</w:t>
            </w:r>
          </w:p>
        </w:tc>
        <w:tc>
          <w:tcPr>
            <w:tcW w:w="2842" w:type="dxa"/>
            <w:tcMar>
              <w:top w:w="57" w:type="dxa"/>
              <w:left w:w="57" w:type="dxa"/>
              <w:bottom w:w="57" w:type="dxa"/>
              <w:right w:w="57" w:type="dxa"/>
            </w:tcMar>
            <w:vAlign w:val="center"/>
          </w:tcPr>
          <w:p>
            <w:pPr>
              <w:pStyle w:val="12"/>
              <w:spacing w:line="240" w:lineRule="auto"/>
              <w:ind w:firstLine="0" w:firstLineChars="0"/>
              <w:jc w:val="center"/>
              <w:rPr>
                <w:rFonts w:ascii="Times New Roman" w:hAnsi="Times New Roman" w:eastAsia="宋体"/>
                <w:color w:val="auto"/>
                <w:sz w:val="21"/>
                <w:szCs w:val="21"/>
              </w:rPr>
            </w:pPr>
            <w:r>
              <w:rPr>
                <w:rFonts w:ascii="Times New Roman" w:hAnsi="Times New Roman" w:eastAsia="宋体"/>
                <w:color w:val="auto"/>
                <w:sz w:val="21"/>
                <w:szCs w:val="21"/>
              </w:rPr>
              <w:t>减少道路扬尘对施工</w:t>
            </w:r>
            <w:r>
              <w:rPr>
                <w:rFonts w:hint="eastAsia" w:ascii="Times New Roman" w:hAnsi="Times New Roman" w:eastAsia="宋体"/>
                <w:color w:val="auto"/>
                <w:sz w:val="21"/>
                <w:szCs w:val="21"/>
              </w:rPr>
              <w:t>厂区</w:t>
            </w:r>
            <w:r>
              <w:rPr>
                <w:rFonts w:ascii="Times New Roman" w:hAnsi="Times New Roman" w:eastAsia="宋体"/>
                <w:color w:val="auto"/>
                <w:sz w:val="21"/>
                <w:szCs w:val="21"/>
              </w:rPr>
              <w:t>内人员、施工区周围厂房以及运输道路范围内污染影响</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50" w:type="dxa"/>
            <w:tcMar>
              <w:top w:w="57" w:type="dxa"/>
              <w:left w:w="57" w:type="dxa"/>
              <w:bottom w:w="57" w:type="dxa"/>
              <w:right w:w="57" w:type="dxa"/>
            </w:tcMar>
            <w:vAlign w:val="center"/>
          </w:tcPr>
          <w:p>
            <w:pPr>
              <w:spacing w:line="240" w:lineRule="auto"/>
              <w:ind w:firstLine="0" w:firstLineChars="0"/>
              <w:jc w:val="center"/>
              <w:rPr>
                <w:color w:val="auto"/>
                <w:sz w:val="21"/>
                <w:szCs w:val="21"/>
              </w:rPr>
            </w:pPr>
            <w:r>
              <w:rPr>
                <w:color w:val="auto"/>
                <w:sz w:val="21"/>
                <w:szCs w:val="21"/>
              </w:rPr>
              <w:t>2</w:t>
            </w:r>
          </w:p>
        </w:tc>
        <w:tc>
          <w:tcPr>
            <w:tcW w:w="2130" w:type="dxa"/>
            <w:tcMar>
              <w:top w:w="57" w:type="dxa"/>
              <w:left w:w="57" w:type="dxa"/>
              <w:bottom w:w="57" w:type="dxa"/>
              <w:right w:w="57" w:type="dxa"/>
            </w:tcMar>
            <w:vAlign w:val="center"/>
          </w:tcPr>
          <w:p>
            <w:pPr>
              <w:spacing w:line="240" w:lineRule="auto"/>
              <w:ind w:firstLine="0" w:firstLineChars="0"/>
              <w:jc w:val="center"/>
              <w:rPr>
                <w:color w:val="auto"/>
                <w:sz w:val="21"/>
                <w:szCs w:val="21"/>
              </w:rPr>
            </w:pPr>
            <w:r>
              <w:rPr>
                <w:color w:val="auto"/>
                <w:sz w:val="21"/>
                <w:szCs w:val="21"/>
              </w:rPr>
              <w:t>运输过程中撒落砂石、土等材料，产生二次污染</w:t>
            </w:r>
          </w:p>
        </w:tc>
        <w:tc>
          <w:tcPr>
            <w:tcW w:w="3122" w:type="dxa"/>
            <w:tcMar>
              <w:top w:w="57" w:type="dxa"/>
              <w:left w:w="57" w:type="dxa"/>
              <w:bottom w:w="57" w:type="dxa"/>
              <w:right w:w="57" w:type="dxa"/>
            </w:tcMar>
            <w:vAlign w:val="center"/>
          </w:tcPr>
          <w:p>
            <w:pPr>
              <w:spacing w:line="240" w:lineRule="auto"/>
              <w:ind w:firstLine="0" w:firstLineChars="0"/>
              <w:jc w:val="center"/>
              <w:rPr>
                <w:color w:val="auto"/>
                <w:sz w:val="21"/>
                <w:szCs w:val="21"/>
              </w:rPr>
            </w:pPr>
            <w:r>
              <w:rPr>
                <w:color w:val="auto"/>
                <w:sz w:val="21"/>
                <w:szCs w:val="21"/>
              </w:rPr>
              <w:t>加强运输管理，保证汽车文明、安全、中速行驶，运输砂石、土、水泥、石灰的车辆表面应加以覆盖，避免砂石、土洒落造成二次污染影响</w:t>
            </w:r>
          </w:p>
        </w:tc>
        <w:tc>
          <w:tcPr>
            <w:tcW w:w="2842" w:type="dxa"/>
            <w:tcMar>
              <w:top w:w="57" w:type="dxa"/>
              <w:left w:w="57" w:type="dxa"/>
              <w:bottom w:w="57" w:type="dxa"/>
              <w:right w:w="57" w:type="dxa"/>
            </w:tcMar>
            <w:vAlign w:val="center"/>
          </w:tcPr>
          <w:p>
            <w:pPr>
              <w:spacing w:line="240" w:lineRule="auto"/>
              <w:ind w:firstLine="0" w:firstLineChars="0"/>
              <w:jc w:val="center"/>
              <w:rPr>
                <w:color w:val="auto"/>
                <w:sz w:val="21"/>
                <w:szCs w:val="21"/>
              </w:rPr>
            </w:pPr>
            <w:r>
              <w:rPr>
                <w:color w:val="auto"/>
                <w:sz w:val="21"/>
                <w:szCs w:val="21"/>
              </w:rPr>
              <w:t>减少二次污染影响</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50" w:type="dxa"/>
            <w:tcMar>
              <w:top w:w="57" w:type="dxa"/>
              <w:left w:w="57" w:type="dxa"/>
              <w:bottom w:w="57" w:type="dxa"/>
              <w:right w:w="57" w:type="dxa"/>
            </w:tcMar>
            <w:vAlign w:val="center"/>
          </w:tcPr>
          <w:p>
            <w:pPr>
              <w:spacing w:line="240" w:lineRule="auto"/>
              <w:ind w:firstLine="0" w:firstLineChars="0"/>
              <w:jc w:val="center"/>
              <w:rPr>
                <w:color w:val="auto"/>
                <w:sz w:val="21"/>
                <w:szCs w:val="21"/>
              </w:rPr>
            </w:pPr>
            <w:r>
              <w:rPr>
                <w:color w:val="auto"/>
                <w:sz w:val="21"/>
                <w:szCs w:val="21"/>
              </w:rPr>
              <w:t>3</w:t>
            </w:r>
          </w:p>
        </w:tc>
        <w:tc>
          <w:tcPr>
            <w:tcW w:w="2130" w:type="dxa"/>
            <w:tcMar>
              <w:top w:w="57" w:type="dxa"/>
              <w:left w:w="57" w:type="dxa"/>
              <w:bottom w:w="57" w:type="dxa"/>
              <w:right w:w="57" w:type="dxa"/>
            </w:tcMar>
            <w:vAlign w:val="center"/>
          </w:tcPr>
          <w:p>
            <w:pPr>
              <w:spacing w:line="240" w:lineRule="auto"/>
              <w:ind w:firstLine="0" w:firstLineChars="0"/>
              <w:jc w:val="center"/>
              <w:rPr>
                <w:color w:val="auto"/>
                <w:sz w:val="21"/>
                <w:szCs w:val="21"/>
              </w:rPr>
            </w:pPr>
            <w:r>
              <w:rPr>
                <w:color w:val="auto"/>
                <w:sz w:val="21"/>
                <w:szCs w:val="21"/>
              </w:rPr>
              <w:t>扬尘对灰土拌合操作人员身体健康影响</w:t>
            </w:r>
          </w:p>
        </w:tc>
        <w:tc>
          <w:tcPr>
            <w:tcW w:w="3122" w:type="dxa"/>
            <w:tcMar>
              <w:top w:w="57" w:type="dxa"/>
              <w:left w:w="57" w:type="dxa"/>
              <w:bottom w:w="57" w:type="dxa"/>
              <w:right w:w="57" w:type="dxa"/>
            </w:tcMar>
            <w:vAlign w:val="center"/>
          </w:tcPr>
          <w:p>
            <w:pPr>
              <w:spacing w:line="240" w:lineRule="auto"/>
              <w:ind w:firstLine="0" w:firstLineChars="0"/>
              <w:jc w:val="center"/>
              <w:rPr>
                <w:color w:val="auto"/>
                <w:sz w:val="21"/>
                <w:szCs w:val="21"/>
              </w:rPr>
            </w:pPr>
            <w:r>
              <w:rPr>
                <w:color w:val="auto"/>
                <w:sz w:val="21"/>
                <w:szCs w:val="21"/>
              </w:rPr>
              <w:t>对拌合点操作人员实行卫生保护，如配戴口罩、风镜等</w:t>
            </w:r>
          </w:p>
        </w:tc>
        <w:tc>
          <w:tcPr>
            <w:tcW w:w="2842" w:type="dxa"/>
            <w:tcMar>
              <w:top w:w="57" w:type="dxa"/>
              <w:left w:w="57" w:type="dxa"/>
              <w:bottom w:w="57" w:type="dxa"/>
              <w:right w:w="57" w:type="dxa"/>
            </w:tcMar>
            <w:vAlign w:val="center"/>
          </w:tcPr>
          <w:p>
            <w:pPr>
              <w:spacing w:line="240" w:lineRule="auto"/>
              <w:ind w:firstLine="0" w:firstLineChars="0"/>
              <w:jc w:val="center"/>
              <w:rPr>
                <w:color w:val="auto"/>
                <w:sz w:val="21"/>
                <w:szCs w:val="21"/>
              </w:rPr>
            </w:pPr>
            <w:r>
              <w:rPr>
                <w:color w:val="auto"/>
                <w:sz w:val="21"/>
                <w:szCs w:val="21"/>
              </w:rPr>
              <w:t>减轻灰土扬尘对操作人员健康的影响</w:t>
            </w:r>
          </w:p>
        </w:tc>
      </w:tr>
    </w:tbl>
    <w:p>
      <w:pPr>
        <w:ind w:firstLine="480"/>
        <w:rPr>
          <w:color w:val="auto"/>
        </w:rPr>
      </w:pPr>
      <w:r>
        <w:rPr>
          <w:color w:val="auto"/>
        </w:rPr>
        <w:t>为保护项目区周边的空气环境质量，根据《河南省污染防治攻坚战三年行动计划（2018-2020）》、关于印发河南省2020年大气、水、土壤污染防治攻坚战实施方案的通知（豫环攻坚办〔2020〕7号）等相关文件要求中有关扬尘治理及施工场地管理的要求，评价提出项目施工期采取以下扬尘控制措施：</w:t>
      </w:r>
    </w:p>
    <w:p>
      <w:pPr>
        <w:ind w:firstLine="480"/>
        <w:rPr>
          <w:color w:val="auto"/>
        </w:rPr>
      </w:pPr>
      <w:r>
        <w:rPr>
          <w:color w:val="auto"/>
        </w:rPr>
        <w:t>（1）施工过程必须做到8个100%：即工地周边100%围挡、物料堆放100%覆盖、出入车辆100%冲洗、施工现场地面100%硬化、拆迁工地100%湿法作业、渣土车辆100%密闭运输、建筑垃圾100%规范管理、机械尾气100%达标。</w:t>
      </w:r>
    </w:p>
    <w:p>
      <w:pPr>
        <w:ind w:firstLine="480"/>
        <w:rPr>
          <w:color w:val="auto"/>
        </w:rPr>
      </w:pPr>
      <w:r>
        <w:rPr>
          <w:color w:val="auto"/>
        </w:rPr>
        <w:t>（2）强化施工扬尘监管：全面推进施工场地环境监督管理，建立施工企业污染防治信用管理制度。</w:t>
      </w:r>
    </w:p>
    <w:p>
      <w:pPr>
        <w:ind w:firstLine="480"/>
        <w:rPr>
          <w:color w:val="auto"/>
        </w:rPr>
      </w:pPr>
      <w:r>
        <w:rPr>
          <w:color w:val="auto"/>
        </w:rPr>
        <w:t>（3）施工现场必须沿工地四周连续设置稳固、整齐、美观的围挡（墙），项目厂区围墙不低于2m，可利用厂区围墙围挡。围挡对减少扬尘对环境的污染有明显作用，当风速为2.5m/s时可使影响距离缩短40%。</w:t>
      </w:r>
    </w:p>
    <w:p>
      <w:pPr>
        <w:ind w:firstLine="480"/>
        <w:rPr>
          <w:color w:val="auto"/>
        </w:rPr>
      </w:pPr>
      <w:r>
        <w:rPr>
          <w:color w:val="auto"/>
        </w:rPr>
        <w:t>（4）在施工场地安排一些员工定期对施工场地洒水以减少扬尘量，洒水次数根据天气状况而定，一般每天洒水4~5次，若遇大风或干燥天气可适当增加洒水次数，遇雨雪天气则不必洒水。场地洒水后，扬尘量将降低70%左右，可大大减少其对环境的影响。</w:t>
      </w:r>
    </w:p>
    <w:p>
      <w:pPr>
        <w:ind w:firstLine="480"/>
        <w:rPr>
          <w:color w:val="auto"/>
        </w:rPr>
      </w:pPr>
      <w:r>
        <w:rPr>
          <w:color w:val="auto"/>
        </w:rPr>
        <w:t>（5）对运载建筑材料及建筑垃圾的车辆加盖蓬布减少散落，车辆行驶应按规定路线进行，建筑材料、构件、料具应按照施工总平面图划定的区域堆放整齐。</w:t>
      </w:r>
    </w:p>
    <w:p>
      <w:pPr>
        <w:ind w:firstLine="480"/>
        <w:rPr>
          <w:color w:val="auto"/>
        </w:rPr>
      </w:pPr>
      <w:r>
        <w:rPr>
          <w:color w:val="auto"/>
        </w:rPr>
        <w:t>采取上述减少扬尘措施后，项目施工期扬尘对周边环境影响较小。</w:t>
      </w:r>
    </w:p>
    <w:p>
      <w:pPr>
        <w:pStyle w:val="6"/>
        <w:rPr>
          <w:color w:val="auto"/>
        </w:rPr>
      </w:pPr>
      <w:r>
        <w:rPr>
          <w:color w:val="auto"/>
        </w:rPr>
        <w:t>6.1.3施工期噪声污染防治措施</w:t>
      </w:r>
    </w:p>
    <w:p>
      <w:pPr>
        <w:ind w:firstLine="480"/>
        <w:rPr>
          <w:color w:val="auto"/>
        </w:rPr>
      </w:pPr>
      <w:r>
        <w:rPr>
          <w:color w:val="auto"/>
        </w:rPr>
        <w:t>项目施工期噪声的污染主要是机械噪声，评价根据项目特点提出施工期噪声污染防治措施见表</w:t>
      </w:r>
      <w:r>
        <w:rPr>
          <w:rFonts w:hint="eastAsia"/>
          <w:color w:val="auto"/>
        </w:rPr>
        <w:t>6.1</w:t>
      </w:r>
      <w:r>
        <w:rPr>
          <w:color w:val="auto"/>
        </w:rPr>
        <w:t>-3。</w:t>
      </w:r>
    </w:p>
    <w:p>
      <w:pPr>
        <w:spacing w:after="93" w:afterLines="30" w:line="500" w:lineRule="exact"/>
        <w:ind w:firstLine="482"/>
        <w:jc w:val="center"/>
        <w:rPr>
          <w:b/>
          <w:color w:val="auto"/>
        </w:rPr>
      </w:pPr>
      <w:r>
        <w:rPr>
          <w:rFonts w:hint="eastAsia"/>
          <w:b/>
          <w:color w:val="auto"/>
        </w:rPr>
        <w:t xml:space="preserve">表6.1-3                </w:t>
      </w:r>
      <w:r>
        <w:rPr>
          <w:b/>
          <w:color w:val="auto"/>
        </w:rPr>
        <w:t>施工期噪声污染防治措施一览表</w:t>
      </w:r>
    </w:p>
    <w:tbl>
      <w:tblPr>
        <w:tblStyle w:val="27"/>
        <w:tblW w:w="0" w:type="auto"/>
        <w:tblInd w:w="0" w:type="dxa"/>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72"/>
        <w:gridCol w:w="1855"/>
        <w:gridCol w:w="4098"/>
        <w:gridCol w:w="2175"/>
      </w:tblGrid>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34" w:hRule="atLeast"/>
        </w:trPr>
        <w:tc>
          <w:tcPr>
            <w:tcW w:w="772" w:type="dxa"/>
            <w:tcMar>
              <w:top w:w="57" w:type="dxa"/>
              <w:left w:w="85" w:type="dxa"/>
              <w:bottom w:w="57" w:type="dxa"/>
              <w:right w:w="85" w:type="dxa"/>
            </w:tcMar>
            <w:vAlign w:val="center"/>
          </w:tcPr>
          <w:p>
            <w:pPr>
              <w:spacing w:line="240" w:lineRule="auto"/>
              <w:ind w:firstLine="0" w:firstLineChars="0"/>
              <w:jc w:val="center"/>
              <w:rPr>
                <w:rFonts w:ascii="宋体" w:hAnsi="宋体" w:cs="宋体"/>
                <w:color w:val="auto"/>
                <w:sz w:val="21"/>
                <w:szCs w:val="21"/>
              </w:rPr>
            </w:pPr>
            <w:r>
              <w:rPr>
                <w:rFonts w:hint="eastAsia" w:ascii="宋体" w:hAnsi="宋体" w:cs="宋体"/>
                <w:color w:val="auto"/>
                <w:sz w:val="21"/>
                <w:szCs w:val="21"/>
              </w:rPr>
              <w:t>序号</w:t>
            </w:r>
          </w:p>
        </w:tc>
        <w:tc>
          <w:tcPr>
            <w:tcW w:w="1855" w:type="dxa"/>
            <w:tcMar>
              <w:top w:w="57" w:type="dxa"/>
              <w:left w:w="85" w:type="dxa"/>
              <w:bottom w:w="57" w:type="dxa"/>
              <w:right w:w="85" w:type="dxa"/>
            </w:tcMar>
            <w:vAlign w:val="center"/>
          </w:tcPr>
          <w:p>
            <w:pPr>
              <w:pStyle w:val="12"/>
              <w:spacing w:line="240" w:lineRule="auto"/>
              <w:ind w:firstLine="0" w:firstLineChars="0"/>
              <w:jc w:val="center"/>
              <w:rPr>
                <w:rFonts w:eastAsia="宋体" w:cs="宋体"/>
                <w:color w:val="auto"/>
                <w:sz w:val="21"/>
                <w:szCs w:val="21"/>
              </w:rPr>
            </w:pPr>
            <w:r>
              <w:rPr>
                <w:rFonts w:hint="eastAsia" w:eastAsia="宋体" w:cs="宋体"/>
                <w:color w:val="auto"/>
                <w:sz w:val="21"/>
                <w:szCs w:val="21"/>
              </w:rPr>
              <w:t>主要环境影响</w:t>
            </w:r>
          </w:p>
        </w:tc>
        <w:tc>
          <w:tcPr>
            <w:tcW w:w="4098" w:type="dxa"/>
            <w:tcMar>
              <w:top w:w="57" w:type="dxa"/>
              <w:left w:w="85" w:type="dxa"/>
              <w:bottom w:w="57" w:type="dxa"/>
              <w:right w:w="85" w:type="dxa"/>
            </w:tcMar>
            <w:vAlign w:val="center"/>
          </w:tcPr>
          <w:p>
            <w:pPr>
              <w:pStyle w:val="12"/>
              <w:spacing w:line="240" w:lineRule="auto"/>
              <w:ind w:firstLine="0" w:firstLineChars="0"/>
              <w:jc w:val="center"/>
              <w:rPr>
                <w:rFonts w:eastAsia="宋体" w:cs="宋体"/>
                <w:color w:val="auto"/>
                <w:sz w:val="21"/>
                <w:szCs w:val="21"/>
              </w:rPr>
            </w:pPr>
            <w:r>
              <w:rPr>
                <w:rFonts w:hint="eastAsia" w:eastAsia="宋体" w:cs="宋体"/>
                <w:color w:val="auto"/>
                <w:sz w:val="21"/>
                <w:szCs w:val="21"/>
              </w:rPr>
              <w:t>环保措施</w:t>
            </w:r>
          </w:p>
        </w:tc>
        <w:tc>
          <w:tcPr>
            <w:tcW w:w="2175" w:type="dxa"/>
            <w:tcMar>
              <w:top w:w="57" w:type="dxa"/>
              <w:left w:w="85" w:type="dxa"/>
              <w:bottom w:w="57" w:type="dxa"/>
              <w:right w:w="85" w:type="dxa"/>
            </w:tcMar>
            <w:vAlign w:val="center"/>
          </w:tcPr>
          <w:p>
            <w:pPr>
              <w:pStyle w:val="12"/>
              <w:spacing w:line="240" w:lineRule="auto"/>
              <w:ind w:firstLine="0" w:firstLineChars="0"/>
              <w:jc w:val="center"/>
              <w:rPr>
                <w:rFonts w:eastAsia="宋体" w:cs="宋体"/>
                <w:color w:val="auto"/>
                <w:sz w:val="21"/>
                <w:szCs w:val="21"/>
              </w:rPr>
            </w:pPr>
            <w:r>
              <w:rPr>
                <w:rFonts w:hint="eastAsia" w:eastAsia="宋体" w:cs="宋体"/>
                <w:color w:val="auto"/>
                <w:sz w:val="21"/>
                <w:szCs w:val="21"/>
              </w:rPr>
              <w:t>效益</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72" w:type="dxa"/>
            <w:tcMar>
              <w:top w:w="57" w:type="dxa"/>
              <w:left w:w="85" w:type="dxa"/>
              <w:bottom w:w="57" w:type="dxa"/>
              <w:right w:w="85" w:type="dxa"/>
            </w:tcMar>
            <w:vAlign w:val="center"/>
          </w:tcPr>
          <w:p>
            <w:pPr>
              <w:spacing w:line="240" w:lineRule="auto"/>
              <w:ind w:firstLine="0" w:firstLineChars="0"/>
              <w:jc w:val="center"/>
              <w:rPr>
                <w:rFonts w:ascii="宋体" w:hAnsi="宋体" w:cs="宋体"/>
                <w:color w:val="auto"/>
                <w:sz w:val="21"/>
                <w:szCs w:val="21"/>
              </w:rPr>
            </w:pPr>
            <w:r>
              <w:rPr>
                <w:rFonts w:hint="eastAsia" w:ascii="宋体" w:hAnsi="宋体" w:cs="宋体"/>
                <w:color w:val="auto"/>
                <w:sz w:val="21"/>
                <w:szCs w:val="21"/>
              </w:rPr>
              <w:t>1</w:t>
            </w:r>
          </w:p>
        </w:tc>
        <w:tc>
          <w:tcPr>
            <w:tcW w:w="1855" w:type="dxa"/>
            <w:tcMar>
              <w:top w:w="57" w:type="dxa"/>
              <w:left w:w="85" w:type="dxa"/>
              <w:bottom w:w="57" w:type="dxa"/>
              <w:right w:w="85" w:type="dxa"/>
            </w:tcMar>
            <w:vAlign w:val="center"/>
          </w:tcPr>
          <w:p>
            <w:pPr>
              <w:spacing w:line="240" w:lineRule="auto"/>
              <w:ind w:firstLine="0" w:firstLineChars="0"/>
              <w:jc w:val="center"/>
              <w:rPr>
                <w:rFonts w:ascii="宋体" w:hAnsi="宋体" w:cs="宋体"/>
                <w:color w:val="auto"/>
                <w:sz w:val="21"/>
                <w:szCs w:val="21"/>
              </w:rPr>
            </w:pPr>
            <w:r>
              <w:rPr>
                <w:rFonts w:hint="eastAsia" w:ascii="宋体" w:hAnsi="宋体" w:cs="宋体"/>
                <w:color w:val="auto"/>
                <w:sz w:val="21"/>
                <w:szCs w:val="21"/>
              </w:rPr>
              <w:t>对施工生活区影响</w:t>
            </w:r>
          </w:p>
        </w:tc>
        <w:tc>
          <w:tcPr>
            <w:tcW w:w="4098" w:type="dxa"/>
            <w:tcMar>
              <w:top w:w="57" w:type="dxa"/>
              <w:left w:w="85" w:type="dxa"/>
              <w:bottom w:w="57" w:type="dxa"/>
              <w:right w:w="85" w:type="dxa"/>
            </w:tcMar>
            <w:vAlign w:val="center"/>
          </w:tcPr>
          <w:p>
            <w:pPr>
              <w:spacing w:line="240" w:lineRule="auto"/>
              <w:ind w:firstLine="0" w:firstLineChars="0"/>
              <w:jc w:val="center"/>
              <w:rPr>
                <w:rFonts w:ascii="宋体" w:hAnsi="宋体" w:cs="宋体"/>
                <w:color w:val="auto"/>
                <w:sz w:val="21"/>
                <w:szCs w:val="21"/>
              </w:rPr>
            </w:pPr>
            <w:r>
              <w:rPr>
                <w:rFonts w:hint="eastAsia" w:ascii="宋体" w:hAnsi="宋体" w:cs="宋体"/>
                <w:color w:val="auto"/>
                <w:sz w:val="21"/>
                <w:szCs w:val="21"/>
              </w:rPr>
              <w:t>合理规划各种施工机械设备布局，采用科学的施工方法，严格控制施工作业范围和作业时间，禁止夜间施工</w:t>
            </w:r>
          </w:p>
        </w:tc>
        <w:tc>
          <w:tcPr>
            <w:tcW w:w="2175" w:type="dxa"/>
            <w:tcMar>
              <w:top w:w="57" w:type="dxa"/>
              <w:left w:w="85" w:type="dxa"/>
              <w:bottom w:w="57" w:type="dxa"/>
              <w:right w:w="85" w:type="dxa"/>
            </w:tcMar>
            <w:vAlign w:val="center"/>
          </w:tcPr>
          <w:p>
            <w:pPr>
              <w:spacing w:line="240" w:lineRule="auto"/>
              <w:ind w:firstLine="0" w:firstLineChars="0"/>
              <w:jc w:val="center"/>
              <w:rPr>
                <w:rFonts w:ascii="宋体" w:hAnsi="宋体" w:cs="宋体"/>
                <w:color w:val="auto"/>
                <w:sz w:val="21"/>
                <w:szCs w:val="21"/>
              </w:rPr>
            </w:pPr>
            <w:r>
              <w:rPr>
                <w:rFonts w:hint="eastAsia" w:ascii="宋体" w:hAnsi="宋体" w:cs="宋体"/>
                <w:color w:val="auto"/>
                <w:sz w:val="21"/>
                <w:szCs w:val="21"/>
              </w:rPr>
              <w:t>减轻噪声对施工生活区影响</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72" w:type="dxa"/>
            <w:tcMar>
              <w:top w:w="57" w:type="dxa"/>
              <w:left w:w="85" w:type="dxa"/>
              <w:bottom w:w="57" w:type="dxa"/>
              <w:right w:w="85" w:type="dxa"/>
            </w:tcMar>
            <w:vAlign w:val="center"/>
          </w:tcPr>
          <w:p>
            <w:pPr>
              <w:spacing w:line="240" w:lineRule="auto"/>
              <w:ind w:firstLine="0" w:firstLineChars="0"/>
              <w:jc w:val="center"/>
              <w:rPr>
                <w:rFonts w:ascii="宋体" w:hAnsi="宋体" w:cs="宋体"/>
                <w:color w:val="auto"/>
                <w:sz w:val="21"/>
                <w:szCs w:val="21"/>
              </w:rPr>
            </w:pPr>
            <w:r>
              <w:rPr>
                <w:rFonts w:hint="eastAsia" w:ascii="宋体" w:hAnsi="宋体" w:cs="宋体"/>
                <w:color w:val="auto"/>
                <w:sz w:val="21"/>
                <w:szCs w:val="21"/>
              </w:rPr>
              <w:t>2</w:t>
            </w:r>
          </w:p>
        </w:tc>
        <w:tc>
          <w:tcPr>
            <w:tcW w:w="1855" w:type="dxa"/>
            <w:tcMar>
              <w:top w:w="57" w:type="dxa"/>
              <w:left w:w="85" w:type="dxa"/>
              <w:bottom w:w="57" w:type="dxa"/>
              <w:right w:w="85" w:type="dxa"/>
            </w:tcMar>
            <w:vAlign w:val="center"/>
          </w:tcPr>
          <w:p>
            <w:pPr>
              <w:spacing w:line="240" w:lineRule="auto"/>
              <w:ind w:firstLine="0" w:firstLineChars="0"/>
              <w:jc w:val="center"/>
              <w:rPr>
                <w:rFonts w:ascii="宋体" w:hAnsi="宋体" w:cs="宋体"/>
                <w:color w:val="auto"/>
                <w:sz w:val="21"/>
                <w:szCs w:val="21"/>
              </w:rPr>
            </w:pPr>
            <w:r>
              <w:rPr>
                <w:rFonts w:hint="eastAsia" w:ascii="宋体" w:hAnsi="宋体" w:cs="宋体"/>
                <w:color w:val="auto"/>
                <w:sz w:val="21"/>
                <w:szCs w:val="21"/>
              </w:rPr>
              <w:t>对高噪声源设备操作人员影响</w:t>
            </w:r>
          </w:p>
        </w:tc>
        <w:tc>
          <w:tcPr>
            <w:tcW w:w="4098" w:type="dxa"/>
            <w:tcMar>
              <w:top w:w="57" w:type="dxa"/>
              <w:left w:w="85" w:type="dxa"/>
              <w:bottom w:w="57" w:type="dxa"/>
              <w:right w:w="85" w:type="dxa"/>
            </w:tcMar>
            <w:vAlign w:val="center"/>
          </w:tcPr>
          <w:p>
            <w:pPr>
              <w:spacing w:line="240" w:lineRule="auto"/>
              <w:ind w:firstLine="0" w:firstLineChars="0"/>
              <w:jc w:val="center"/>
              <w:rPr>
                <w:rFonts w:ascii="宋体" w:hAnsi="宋体" w:cs="宋体"/>
                <w:color w:val="auto"/>
                <w:sz w:val="21"/>
                <w:szCs w:val="21"/>
              </w:rPr>
            </w:pPr>
            <w:r>
              <w:rPr>
                <w:rFonts w:hint="eastAsia" w:ascii="宋体" w:hAnsi="宋体" w:cs="宋体"/>
                <w:color w:val="auto"/>
                <w:sz w:val="21"/>
                <w:szCs w:val="21"/>
              </w:rPr>
              <w:t>尽量选用低噪声、高效率设备，给高噪声设备安装隔声罩，推土机、铲平机等强噪声源设备的操作人员配戴耳塞，加强身体防护</w:t>
            </w:r>
          </w:p>
        </w:tc>
        <w:tc>
          <w:tcPr>
            <w:tcW w:w="2175" w:type="dxa"/>
            <w:tcMar>
              <w:top w:w="57" w:type="dxa"/>
              <w:left w:w="85" w:type="dxa"/>
              <w:bottom w:w="57" w:type="dxa"/>
              <w:right w:w="85" w:type="dxa"/>
            </w:tcMar>
            <w:vAlign w:val="center"/>
          </w:tcPr>
          <w:p>
            <w:pPr>
              <w:spacing w:line="240" w:lineRule="auto"/>
              <w:ind w:firstLine="0" w:firstLineChars="0"/>
              <w:jc w:val="center"/>
              <w:rPr>
                <w:rFonts w:ascii="宋体" w:hAnsi="宋体" w:cs="宋体"/>
                <w:color w:val="auto"/>
                <w:sz w:val="21"/>
                <w:szCs w:val="21"/>
              </w:rPr>
            </w:pPr>
            <w:r>
              <w:rPr>
                <w:rFonts w:hint="eastAsia" w:ascii="宋体" w:hAnsi="宋体" w:cs="宋体"/>
                <w:color w:val="auto"/>
                <w:sz w:val="21"/>
                <w:szCs w:val="21"/>
              </w:rPr>
              <w:t>减轻噪声对施工人员身体健康的影响</w:t>
            </w:r>
          </w:p>
        </w:tc>
      </w:tr>
    </w:tbl>
    <w:p>
      <w:pPr>
        <w:pStyle w:val="6"/>
        <w:rPr>
          <w:color w:val="auto"/>
          <w:lang w:val="en-US"/>
        </w:rPr>
      </w:pPr>
      <w:r>
        <w:rPr>
          <w:color w:val="auto"/>
          <w:lang w:val="en-US"/>
        </w:rPr>
        <w:t>6.1.4施工期固废污染防治措施分析</w:t>
      </w:r>
    </w:p>
    <w:p>
      <w:pPr>
        <w:ind w:firstLine="480"/>
        <w:rPr>
          <w:color w:val="auto"/>
        </w:rPr>
      </w:pPr>
      <w:r>
        <w:rPr>
          <w:color w:val="auto"/>
        </w:rPr>
        <w:t>项目施工期固废主要是施工建筑垃圾及弃土，评价根据各种污染物排放特点及性质提出污染防治措施见表</w:t>
      </w:r>
      <w:r>
        <w:rPr>
          <w:rFonts w:hint="eastAsia"/>
          <w:color w:val="auto"/>
        </w:rPr>
        <w:t>6.1</w:t>
      </w:r>
      <w:r>
        <w:rPr>
          <w:color w:val="auto"/>
        </w:rPr>
        <w:t>-4。</w:t>
      </w:r>
    </w:p>
    <w:p>
      <w:pPr>
        <w:spacing w:after="93" w:afterLines="30" w:line="500" w:lineRule="exact"/>
        <w:ind w:firstLine="482"/>
        <w:jc w:val="left"/>
        <w:rPr>
          <w:b/>
          <w:color w:val="auto"/>
        </w:rPr>
      </w:pPr>
      <w:r>
        <w:rPr>
          <w:rFonts w:hint="eastAsia"/>
          <w:b/>
          <w:color w:val="auto"/>
        </w:rPr>
        <w:t xml:space="preserve">表6.1-4                     </w:t>
      </w:r>
      <w:r>
        <w:rPr>
          <w:b/>
          <w:color w:val="auto"/>
        </w:rPr>
        <w:t>施工期固废污染防治措施一览表</w:t>
      </w:r>
    </w:p>
    <w:tbl>
      <w:tblPr>
        <w:tblStyle w:val="27"/>
        <w:tblW w:w="0" w:type="auto"/>
        <w:tblInd w:w="0" w:type="dxa"/>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25"/>
        <w:gridCol w:w="3050"/>
        <w:gridCol w:w="3126"/>
        <w:gridCol w:w="2160"/>
      </w:tblGrid>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59" w:hRule="atLeast"/>
        </w:trPr>
        <w:tc>
          <w:tcPr>
            <w:tcW w:w="725"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序号</w:t>
            </w:r>
          </w:p>
        </w:tc>
        <w:tc>
          <w:tcPr>
            <w:tcW w:w="3050"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主要环境影响</w:t>
            </w:r>
          </w:p>
        </w:tc>
        <w:tc>
          <w:tcPr>
            <w:tcW w:w="3126"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环保措施</w:t>
            </w:r>
          </w:p>
        </w:tc>
        <w:tc>
          <w:tcPr>
            <w:tcW w:w="2160"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效益</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25"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1</w:t>
            </w:r>
          </w:p>
        </w:tc>
        <w:tc>
          <w:tcPr>
            <w:tcW w:w="3050"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建筑垃圾遇风、雨、雪等恶劣天气材料流失，对环境产生的影响</w:t>
            </w:r>
          </w:p>
        </w:tc>
        <w:tc>
          <w:tcPr>
            <w:tcW w:w="3126"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建筑垃圾集中堆存，堆场加防尘网覆盖，并及时清运</w:t>
            </w:r>
          </w:p>
        </w:tc>
        <w:tc>
          <w:tcPr>
            <w:tcW w:w="2160"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避免建筑垃圾流失对环境的影响</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25"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2</w:t>
            </w:r>
          </w:p>
        </w:tc>
        <w:tc>
          <w:tcPr>
            <w:tcW w:w="3050"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施工废弃物排放占地</w:t>
            </w:r>
          </w:p>
        </w:tc>
        <w:tc>
          <w:tcPr>
            <w:tcW w:w="3126"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施工废弃物及时清除，就近拉至</w:t>
            </w:r>
            <w:r>
              <w:rPr>
                <w:rFonts w:hint="eastAsia"/>
                <w:color w:val="auto"/>
                <w:sz w:val="21"/>
                <w:szCs w:val="21"/>
              </w:rPr>
              <w:t>当地</w:t>
            </w:r>
            <w:r>
              <w:rPr>
                <w:color w:val="auto"/>
                <w:sz w:val="21"/>
                <w:szCs w:val="21"/>
              </w:rPr>
              <w:t>垃圾</w:t>
            </w:r>
            <w:r>
              <w:rPr>
                <w:rFonts w:hint="eastAsia"/>
                <w:color w:val="auto"/>
                <w:sz w:val="21"/>
                <w:szCs w:val="21"/>
              </w:rPr>
              <w:t>处理厂</w:t>
            </w:r>
            <w:r>
              <w:rPr>
                <w:color w:val="auto"/>
                <w:sz w:val="21"/>
                <w:szCs w:val="21"/>
              </w:rPr>
              <w:t>处置</w:t>
            </w:r>
          </w:p>
        </w:tc>
        <w:tc>
          <w:tcPr>
            <w:tcW w:w="2160"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减少废弃物占地对生态环境影响</w:t>
            </w:r>
          </w:p>
        </w:tc>
      </w:tr>
    </w:tbl>
    <w:p>
      <w:pPr>
        <w:pStyle w:val="6"/>
        <w:rPr>
          <w:color w:val="auto"/>
          <w:lang w:val="en-US"/>
        </w:rPr>
      </w:pPr>
      <w:r>
        <w:rPr>
          <w:color w:val="auto"/>
          <w:lang w:val="en-US"/>
        </w:rPr>
        <w:t>6.1.5施工期水土流失防治措施分析</w:t>
      </w:r>
    </w:p>
    <w:p>
      <w:pPr>
        <w:ind w:firstLine="480"/>
        <w:rPr>
          <w:rFonts w:hAnsi="宋体"/>
          <w:color w:val="auto"/>
        </w:rPr>
      </w:pPr>
      <w:r>
        <w:rPr>
          <w:rFonts w:hint="eastAsia" w:hAnsi="宋体"/>
          <w:color w:val="auto"/>
        </w:rPr>
        <w:t>施工期水土流失防治措施情况见表6.1-5。</w:t>
      </w:r>
    </w:p>
    <w:p>
      <w:pPr>
        <w:spacing w:after="93" w:afterLines="30" w:line="500" w:lineRule="exact"/>
        <w:ind w:firstLine="482"/>
        <w:jc w:val="left"/>
        <w:rPr>
          <w:b/>
          <w:color w:val="auto"/>
        </w:rPr>
      </w:pPr>
      <w:r>
        <w:rPr>
          <w:rFonts w:hint="eastAsia"/>
          <w:b/>
          <w:color w:val="auto"/>
        </w:rPr>
        <w:t xml:space="preserve">表6.1-5                      </w:t>
      </w:r>
      <w:r>
        <w:rPr>
          <w:b/>
          <w:color w:val="auto"/>
        </w:rPr>
        <w:t>施工期水土流失防治措施一览表</w:t>
      </w:r>
    </w:p>
    <w:tbl>
      <w:tblPr>
        <w:tblStyle w:val="27"/>
        <w:tblW w:w="0" w:type="auto"/>
        <w:tblInd w:w="0" w:type="dxa"/>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25"/>
        <w:gridCol w:w="2399"/>
        <w:gridCol w:w="4111"/>
        <w:gridCol w:w="1826"/>
      </w:tblGrid>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725"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序号</w:t>
            </w:r>
          </w:p>
        </w:tc>
        <w:tc>
          <w:tcPr>
            <w:tcW w:w="2399"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主要环境影响</w:t>
            </w:r>
          </w:p>
        </w:tc>
        <w:tc>
          <w:tcPr>
            <w:tcW w:w="4111"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环保措施</w:t>
            </w:r>
          </w:p>
        </w:tc>
        <w:tc>
          <w:tcPr>
            <w:tcW w:w="1826"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效益</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25"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1</w:t>
            </w:r>
          </w:p>
        </w:tc>
        <w:tc>
          <w:tcPr>
            <w:tcW w:w="2399"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项目的建设开挖，植被受到破坏，造成水土流失</w:t>
            </w:r>
          </w:p>
        </w:tc>
        <w:tc>
          <w:tcPr>
            <w:tcW w:w="4111"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对于土质较好的地段，建议采用深挖、表土回覆的方式；对于砾石土，建议将石土分离，土层覆于地表，易与植被恢复。尽量避开农作物生长季节施工，最大限度减少农作物产量。应避开风季、暴雨季施工，减少水土流失</w:t>
            </w:r>
          </w:p>
        </w:tc>
        <w:tc>
          <w:tcPr>
            <w:tcW w:w="1826"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能够有效减轻项目施工造成的水土流水影响</w:t>
            </w:r>
          </w:p>
        </w:tc>
      </w:tr>
    </w:tbl>
    <w:p>
      <w:pPr>
        <w:pStyle w:val="6"/>
        <w:rPr>
          <w:color w:val="auto"/>
          <w:lang w:val="en-US"/>
        </w:rPr>
      </w:pPr>
      <w:r>
        <w:rPr>
          <w:color w:val="auto"/>
          <w:lang w:val="en-US"/>
        </w:rPr>
        <w:t>6.1.6加强施工过程的环境监理工作</w:t>
      </w:r>
    </w:p>
    <w:p>
      <w:pPr>
        <w:pStyle w:val="23"/>
        <w:ind w:firstLine="480"/>
        <w:rPr>
          <w:color w:val="auto"/>
        </w:rPr>
      </w:pPr>
      <w:r>
        <w:rPr>
          <w:rFonts w:hAnsi="宋体"/>
          <w:color w:val="auto"/>
        </w:rPr>
        <w:t>为减少建设项目施工期对周围环境产生的影响，建设单位必须加强对施工单位的监督管理，按照环境管理规章制度，聘请具有环境监理资格的人员在项目施工期间进行环境监理，对施工单位进行经常性检查、监督，查看施工单位落实环境保护措施的情况，发现问题及时解决、纠正。</w:t>
      </w:r>
    </w:p>
    <w:p>
      <w:pPr>
        <w:pStyle w:val="5"/>
        <w:spacing w:before="0" w:after="0"/>
        <w:ind w:firstLine="0" w:firstLineChars="0"/>
        <w:rPr>
          <w:rFonts w:ascii="Times New Roman" w:hAnsi="Times New Roman"/>
          <w:color w:val="auto"/>
          <w:sz w:val="28"/>
          <w:szCs w:val="20"/>
        </w:rPr>
      </w:pPr>
      <w:bookmarkStart w:id="593" w:name="_Toc476923208"/>
      <w:bookmarkStart w:id="594" w:name="_Toc476921992"/>
      <w:bookmarkStart w:id="595" w:name="_Toc23535"/>
      <w:bookmarkStart w:id="596" w:name="_Toc477357377"/>
      <w:bookmarkStart w:id="597" w:name="_Toc14559"/>
      <w:bookmarkStart w:id="598" w:name="_Toc485580430"/>
      <w:bookmarkStart w:id="599" w:name="_Toc477187509"/>
      <w:r>
        <w:rPr>
          <w:rFonts w:ascii="Times New Roman" w:hAnsi="Times New Roman"/>
          <w:color w:val="auto"/>
          <w:sz w:val="28"/>
          <w:szCs w:val="20"/>
        </w:rPr>
        <w:t>6.2  本次工程防污减污措施评价</w:t>
      </w:r>
      <w:bookmarkEnd w:id="590"/>
      <w:bookmarkEnd w:id="591"/>
      <w:bookmarkEnd w:id="592"/>
      <w:bookmarkEnd w:id="593"/>
      <w:bookmarkEnd w:id="594"/>
      <w:bookmarkEnd w:id="595"/>
      <w:bookmarkEnd w:id="596"/>
      <w:bookmarkEnd w:id="597"/>
      <w:bookmarkEnd w:id="598"/>
      <w:bookmarkEnd w:id="599"/>
      <w:bookmarkStart w:id="600" w:name="_Toc295121211"/>
    </w:p>
    <w:bookmarkEnd w:id="600"/>
    <w:p>
      <w:pPr>
        <w:pStyle w:val="6"/>
        <w:rPr>
          <w:color w:val="auto"/>
          <w:lang w:val="en-US"/>
        </w:rPr>
      </w:pPr>
      <w:r>
        <w:rPr>
          <w:color w:val="auto"/>
          <w:lang w:val="en-US"/>
        </w:rPr>
        <w:t>6.2.1养殖场污染治理基本要求</w:t>
      </w:r>
    </w:p>
    <w:p>
      <w:pPr>
        <w:ind w:firstLine="480"/>
        <w:rPr>
          <w:color w:val="auto"/>
        </w:rPr>
      </w:pPr>
      <w:r>
        <w:rPr>
          <w:color w:val="auto"/>
        </w:rPr>
        <w:t>《畜禽养殖业污染防治技术规范》（HJ/T81－2001）第四条规定：</w:t>
      </w:r>
    </w:p>
    <w:p>
      <w:pPr>
        <w:ind w:firstLine="480"/>
        <w:rPr>
          <w:color w:val="auto"/>
        </w:rPr>
      </w:pPr>
      <w:r>
        <w:rPr>
          <w:color w:val="auto"/>
        </w:rPr>
        <w:t>1、新建、改建、扩建的畜禽养殖场应实现生产区、生活管理区的隔离，粪便污水处理设施，应设在养殖场的生产区、生活管理区的常年主导风向的下风向或侧风向处。</w:t>
      </w:r>
    </w:p>
    <w:p>
      <w:pPr>
        <w:ind w:firstLine="480"/>
        <w:rPr>
          <w:color w:val="auto"/>
        </w:rPr>
      </w:pPr>
      <w:r>
        <w:rPr>
          <w:color w:val="auto"/>
        </w:rPr>
        <w:t>2、养殖场的排水系统应实行雨水和污水收集输送系统分离，在</w:t>
      </w:r>
      <w:r>
        <w:rPr>
          <w:rFonts w:hint="eastAsia"/>
          <w:color w:val="auto"/>
        </w:rPr>
        <w:t>厂区</w:t>
      </w:r>
      <w:r>
        <w:rPr>
          <w:color w:val="auto"/>
        </w:rPr>
        <w:t>内外设置的污水收集输送系统，不得采取明沟布设。</w:t>
      </w:r>
    </w:p>
    <w:p>
      <w:pPr>
        <w:ind w:firstLine="480"/>
        <w:rPr>
          <w:color w:val="auto"/>
        </w:rPr>
      </w:pPr>
      <w:r>
        <w:rPr>
          <w:color w:val="auto"/>
        </w:rPr>
        <w:t>3、新建、改建、扩建的畜禽养殖场应采取干法清粪工艺，采取有效措施将粪及时、单独清出，不可与尿、污水混合排出，并将产生的粪渣及时运至贮存或处理场所，实现日产日清。</w:t>
      </w:r>
    </w:p>
    <w:p>
      <w:pPr>
        <w:ind w:firstLine="480"/>
        <w:rPr>
          <w:color w:val="auto"/>
        </w:rPr>
      </w:pPr>
      <w:r>
        <w:rPr>
          <w:rFonts w:hint="eastAsia"/>
          <w:color w:val="auto"/>
        </w:rPr>
        <w:t>本项目</w:t>
      </w:r>
      <w:r>
        <w:rPr>
          <w:color w:val="auto"/>
        </w:rPr>
        <w:t>养殖场在</w:t>
      </w:r>
      <w:r>
        <w:rPr>
          <w:rFonts w:hint="eastAsia"/>
          <w:color w:val="auto"/>
        </w:rPr>
        <w:t>厂区</w:t>
      </w:r>
      <w:r>
        <w:rPr>
          <w:color w:val="auto"/>
        </w:rPr>
        <w:t>布局上，实行养殖区、办公区与粪污处理区的三区分离，</w:t>
      </w:r>
      <w:r>
        <w:rPr>
          <w:rFonts w:hint="eastAsia"/>
          <w:color w:val="auto"/>
        </w:rPr>
        <w:t>养殖区位于厂区中部，办公区位于厂区的西侧，</w:t>
      </w:r>
      <w:r>
        <w:rPr>
          <w:color w:val="auto"/>
        </w:rPr>
        <w:t>污水处理设施设在养殖区</w:t>
      </w:r>
      <w:r>
        <w:rPr>
          <w:rFonts w:hint="eastAsia"/>
          <w:color w:val="auto"/>
        </w:rPr>
        <w:t>东</w:t>
      </w:r>
      <w:r>
        <w:rPr>
          <w:color w:val="auto"/>
        </w:rPr>
        <w:t>侧，</w:t>
      </w:r>
      <w:r>
        <w:rPr>
          <w:rFonts w:hint="eastAsia"/>
          <w:color w:val="auto"/>
        </w:rPr>
        <w:t>三区由绿化带分离，由此可知</w:t>
      </w:r>
      <w:r>
        <w:rPr>
          <w:color w:val="auto"/>
        </w:rPr>
        <w:t>，</w:t>
      </w:r>
      <w:r>
        <w:rPr>
          <w:rFonts w:hint="eastAsia"/>
          <w:color w:val="auto"/>
        </w:rPr>
        <w:t>厂区的平面布置</w:t>
      </w:r>
      <w:r>
        <w:rPr>
          <w:color w:val="auto"/>
        </w:rPr>
        <w:t>满足规定要求。</w:t>
      </w:r>
    </w:p>
    <w:p>
      <w:pPr>
        <w:ind w:firstLine="480"/>
        <w:rPr>
          <w:color w:val="auto"/>
        </w:rPr>
      </w:pPr>
      <w:r>
        <w:rPr>
          <w:rFonts w:hint="eastAsia"/>
          <w:color w:val="auto"/>
        </w:rPr>
        <w:t>本项目厂区</w:t>
      </w:r>
      <w:r>
        <w:rPr>
          <w:color w:val="auto"/>
        </w:rPr>
        <w:t>排水系统实现雨、污分流。雨水经雨水</w:t>
      </w:r>
      <w:r>
        <w:rPr>
          <w:rFonts w:hint="eastAsia"/>
          <w:color w:val="auto"/>
          <w:lang w:eastAsia="zh-CN"/>
        </w:rPr>
        <w:t>渠</w:t>
      </w:r>
      <w:r>
        <w:rPr>
          <w:color w:val="auto"/>
        </w:rPr>
        <w:t>排至</w:t>
      </w:r>
      <w:r>
        <w:rPr>
          <w:rFonts w:hint="eastAsia"/>
          <w:color w:val="auto"/>
        </w:rPr>
        <w:t>厂区</w:t>
      </w:r>
      <w:r>
        <w:rPr>
          <w:color w:val="auto"/>
        </w:rPr>
        <w:t>外的田间地沟中</w:t>
      </w:r>
      <w:r>
        <w:rPr>
          <w:rFonts w:hint="eastAsia"/>
          <w:color w:val="auto"/>
        </w:rPr>
        <w:t>，雨水沟</w:t>
      </w:r>
      <w:r>
        <w:rPr>
          <w:color w:val="auto"/>
        </w:rPr>
        <w:t>可设置为明沟，养殖废水则由废水管道收集后，由</w:t>
      </w:r>
      <w:r>
        <w:rPr>
          <w:rFonts w:hint="eastAsia"/>
          <w:color w:val="auto"/>
        </w:rPr>
        <w:t>厂区</w:t>
      </w:r>
      <w:r>
        <w:rPr>
          <w:color w:val="auto"/>
        </w:rPr>
        <w:t>内的废水处理设施处理后的沼液做农肥，猪粪</w:t>
      </w:r>
      <w:r>
        <w:rPr>
          <w:rFonts w:hint="eastAsia"/>
          <w:color w:val="auto"/>
        </w:rPr>
        <w:t>收集后发酵</w:t>
      </w:r>
      <w:r>
        <w:rPr>
          <w:color w:val="auto"/>
        </w:rPr>
        <w:t>制备有机肥</w:t>
      </w:r>
      <w:r>
        <w:rPr>
          <w:rFonts w:hint="eastAsia"/>
          <w:color w:val="auto"/>
        </w:rPr>
        <w:t>基料</w:t>
      </w:r>
      <w:r>
        <w:rPr>
          <w:color w:val="auto"/>
        </w:rPr>
        <w:t>，满足规定要求。</w:t>
      </w:r>
    </w:p>
    <w:p>
      <w:pPr>
        <w:ind w:firstLine="480"/>
        <w:rPr>
          <w:color w:val="auto"/>
        </w:rPr>
      </w:pPr>
      <w:r>
        <w:rPr>
          <w:color w:val="auto"/>
        </w:rPr>
        <w:t>本项目采用</w:t>
      </w:r>
      <w:r>
        <w:rPr>
          <w:rFonts w:hint="eastAsia"/>
          <w:color w:val="auto"/>
        </w:rPr>
        <w:t>“</w:t>
      </w:r>
      <w:r>
        <w:rPr>
          <w:color w:val="auto"/>
        </w:rPr>
        <w:t>干清粪</w:t>
      </w:r>
      <w:r>
        <w:rPr>
          <w:rFonts w:hint="eastAsia"/>
          <w:color w:val="auto"/>
        </w:rPr>
        <w:t>”</w:t>
      </w:r>
      <w:r>
        <w:rPr>
          <w:color w:val="auto"/>
        </w:rPr>
        <w:t>工艺，粪便由于重力作用离开猪舍</w:t>
      </w:r>
      <w:r>
        <w:rPr>
          <w:rFonts w:hint="eastAsia"/>
          <w:color w:val="auto"/>
        </w:rPr>
        <w:t>经</w:t>
      </w:r>
      <w:r>
        <w:rPr>
          <w:color w:val="auto"/>
        </w:rPr>
        <w:t>固液分离后</w:t>
      </w:r>
      <w:r>
        <w:rPr>
          <w:rFonts w:hint="eastAsia"/>
          <w:color w:val="auto"/>
        </w:rPr>
        <w:t>经固粪处理区堆肥发酵后制有机肥基料</w:t>
      </w:r>
      <w:r>
        <w:rPr>
          <w:color w:val="auto"/>
        </w:rPr>
        <w:t>，满足规定要求。</w:t>
      </w:r>
    </w:p>
    <w:p>
      <w:pPr>
        <w:pStyle w:val="6"/>
        <w:rPr>
          <w:color w:val="auto"/>
          <w:lang w:val="en-US"/>
        </w:rPr>
      </w:pPr>
      <w:r>
        <w:rPr>
          <w:color w:val="auto"/>
          <w:lang w:val="en-US"/>
        </w:rPr>
        <w:t>6.2.2 废水处理及综合利用措施分析</w:t>
      </w:r>
    </w:p>
    <w:p>
      <w:pPr>
        <w:tabs>
          <w:tab w:val="left" w:pos="5625"/>
        </w:tabs>
        <w:ind w:firstLine="480"/>
        <w:outlineLvl w:val="3"/>
        <w:rPr>
          <w:color w:val="auto"/>
        </w:rPr>
      </w:pPr>
      <w:r>
        <w:rPr>
          <w:color w:val="auto"/>
        </w:rPr>
        <w:t>6.2.2.1废</w:t>
      </w:r>
      <w:r>
        <w:rPr>
          <w:rFonts w:hint="eastAsia"/>
          <w:color w:val="auto"/>
        </w:rPr>
        <w:t>水</w:t>
      </w:r>
      <w:r>
        <w:rPr>
          <w:color w:val="auto"/>
        </w:rPr>
        <w:t>处理工艺</w:t>
      </w:r>
      <w:r>
        <w:rPr>
          <w:rFonts w:hint="eastAsia"/>
          <w:color w:val="auto"/>
        </w:rPr>
        <w:t>比选</w:t>
      </w:r>
    </w:p>
    <w:p>
      <w:pPr>
        <w:ind w:firstLine="480"/>
        <w:rPr>
          <w:bCs/>
          <w:color w:val="auto"/>
        </w:rPr>
      </w:pPr>
      <w:r>
        <w:rPr>
          <w:bCs/>
          <w:color w:val="auto"/>
        </w:rPr>
        <w:t>畜禽养殖废水</w:t>
      </w:r>
      <w:r>
        <w:rPr>
          <w:rFonts w:hint="eastAsia"/>
          <w:bCs/>
          <w:color w:val="auto"/>
        </w:rPr>
        <w:t>经</w:t>
      </w:r>
      <w:r>
        <w:rPr>
          <w:bCs/>
          <w:color w:val="auto"/>
        </w:rPr>
        <w:t>厌氧无害化处理后</w:t>
      </w:r>
      <w:r>
        <w:rPr>
          <w:rFonts w:hint="eastAsia"/>
          <w:bCs/>
          <w:color w:val="auto"/>
        </w:rPr>
        <w:t>得到</w:t>
      </w:r>
      <w:r>
        <w:rPr>
          <w:bCs/>
          <w:color w:val="auto"/>
        </w:rPr>
        <w:t>的沼液，不仅含有作物所需的氮、磷、钾等大量元素，还含有硼、铜、铁、锰、钙、锌等丰富的中微量元素，以及大量的有机质、多种氨基酸、维生素、赤霉素、生长素、水解酶、有机酸和腐植酸等生物活性物质，是一种非常理想的液态肥料。</w:t>
      </w:r>
    </w:p>
    <w:p>
      <w:pPr>
        <w:ind w:firstLine="480"/>
        <w:rPr>
          <w:bCs/>
          <w:color w:val="auto"/>
        </w:rPr>
      </w:pPr>
      <w:r>
        <w:rPr>
          <w:bCs/>
          <w:color w:val="auto"/>
        </w:rPr>
        <w:t>为了最大限度的将沼液进行农田资源化利用，同时结合《畜禽规模养殖污染防治条例》“防治畜禽养殖污染，推进畜禽养殖废弃物的综合利用和无害化处理”的目的，以及第十六条“国家鼓励和支持采取种植和养殖相结合的方式消纳利用畜禽养殖废弃物，促进畜禽粪便、污水等废弃物就地就近利用</w:t>
      </w:r>
      <w:r>
        <w:rPr>
          <w:rFonts w:hint="eastAsia"/>
          <w:bCs/>
          <w:color w:val="auto"/>
        </w:rPr>
        <w:t>，</w:t>
      </w:r>
      <w:r>
        <w:rPr>
          <w:bCs/>
          <w:color w:val="auto"/>
        </w:rPr>
        <w:t>牧原公司在遵循“推动畜禽养殖业污染物的减量化、无害化和资源化”的根本原则下，通过“源头控制、过程处理、末端综合利用”等一系列措施，来达到粪污的资源化利用。</w:t>
      </w:r>
    </w:p>
    <w:p>
      <w:pPr>
        <w:ind w:firstLine="480"/>
        <w:rPr>
          <w:bCs/>
          <w:color w:val="auto"/>
        </w:rPr>
      </w:pPr>
      <w:r>
        <w:rPr>
          <w:rFonts w:hint="eastAsia"/>
          <w:bCs/>
          <w:color w:val="auto"/>
        </w:rPr>
        <w:t>黑膜沼气池</w:t>
      </w:r>
      <w:r>
        <w:rPr>
          <w:bCs/>
          <w:color w:val="auto"/>
        </w:rPr>
        <w:t>工艺与牧原公司原有UASB工艺对比情况见下表</w:t>
      </w:r>
      <w:r>
        <w:rPr>
          <w:rFonts w:hint="eastAsia"/>
          <w:bCs/>
          <w:color w:val="auto"/>
        </w:rPr>
        <w:t>6.2-1。</w:t>
      </w:r>
    </w:p>
    <w:p>
      <w:pPr>
        <w:ind w:firstLine="482"/>
        <w:jc w:val="center"/>
        <w:rPr>
          <w:bCs/>
          <w:color w:val="auto"/>
        </w:rPr>
      </w:pPr>
      <w:r>
        <w:rPr>
          <w:b/>
          <w:color w:val="auto"/>
        </w:rPr>
        <w:t>表</w:t>
      </w:r>
      <w:r>
        <w:rPr>
          <w:rFonts w:hint="eastAsia"/>
          <w:b/>
          <w:color w:val="auto"/>
        </w:rPr>
        <w:t>6.2-1</w:t>
      </w:r>
      <w:r>
        <w:rPr>
          <w:rFonts w:hint="eastAsia"/>
          <w:bCs/>
          <w:color w:val="auto"/>
        </w:rPr>
        <w:t xml:space="preserve"> </w:t>
      </w:r>
      <w:r>
        <w:rPr>
          <w:rFonts w:hint="eastAsia"/>
          <w:b/>
          <w:color w:val="auto"/>
        </w:rPr>
        <w:t>黑膜沼气池</w:t>
      </w:r>
      <w:r>
        <w:rPr>
          <w:b/>
          <w:color w:val="auto"/>
        </w:rPr>
        <w:t>工艺与UASB工艺参数对比一览表</w:t>
      </w:r>
    </w:p>
    <w:tbl>
      <w:tblPr>
        <w:tblStyle w:val="27"/>
        <w:tblW w:w="8948"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6"/>
        <w:gridCol w:w="1482"/>
        <w:gridCol w:w="3400"/>
        <w:gridCol w:w="339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6" w:type="dxa"/>
            <w:tcMar>
              <w:top w:w="0" w:type="dxa"/>
              <w:left w:w="34" w:type="dxa"/>
              <w:bottom w:w="0" w:type="dxa"/>
              <w:right w:w="34" w:type="dxa"/>
            </w:tcMar>
            <w:vAlign w:val="center"/>
          </w:tcPr>
          <w:p>
            <w:pPr>
              <w:spacing w:line="240" w:lineRule="auto"/>
              <w:ind w:firstLine="0" w:firstLineChars="0"/>
              <w:jc w:val="center"/>
              <w:rPr>
                <w:bCs/>
                <w:color w:val="auto"/>
                <w:spacing w:val="7"/>
                <w:sz w:val="21"/>
                <w:szCs w:val="21"/>
              </w:rPr>
            </w:pPr>
            <w:r>
              <w:rPr>
                <w:bCs/>
                <w:color w:val="auto"/>
                <w:spacing w:val="7"/>
                <w:sz w:val="21"/>
                <w:szCs w:val="21"/>
              </w:rPr>
              <w:t>序号</w:t>
            </w:r>
          </w:p>
        </w:tc>
        <w:tc>
          <w:tcPr>
            <w:tcW w:w="1482" w:type="dxa"/>
            <w:tcMar>
              <w:top w:w="0" w:type="dxa"/>
              <w:left w:w="34" w:type="dxa"/>
              <w:bottom w:w="0" w:type="dxa"/>
              <w:right w:w="34" w:type="dxa"/>
            </w:tcMar>
            <w:vAlign w:val="center"/>
          </w:tcPr>
          <w:p>
            <w:pPr>
              <w:spacing w:line="240" w:lineRule="auto"/>
              <w:ind w:firstLine="0" w:firstLineChars="0"/>
              <w:jc w:val="center"/>
              <w:rPr>
                <w:bCs/>
                <w:color w:val="auto"/>
                <w:spacing w:val="7"/>
                <w:sz w:val="21"/>
                <w:szCs w:val="21"/>
              </w:rPr>
            </w:pPr>
            <w:r>
              <w:rPr>
                <w:bCs/>
                <w:color w:val="auto"/>
                <w:spacing w:val="7"/>
                <w:sz w:val="21"/>
                <w:szCs w:val="21"/>
              </w:rPr>
              <w:t>项目</w:t>
            </w:r>
          </w:p>
        </w:tc>
        <w:tc>
          <w:tcPr>
            <w:tcW w:w="3400" w:type="dxa"/>
            <w:tcMar>
              <w:top w:w="0" w:type="dxa"/>
              <w:left w:w="34" w:type="dxa"/>
              <w:bottom w:w="0" w:type="dxa"/>
              <w:right w:w="34" w:type="dxa"/>
            </w:tcMar>
            <w:vAlign w:val="center"/>
          </w:tcPr>
          <w:p>
            <w:pPr>
              <w:spacing w:line="240" w:lineRule="auto"/>
              <w:ind w:firstLine="0" w:firstLineChars="0"/>
              <w:jc w:val="center"/>
              <w:rPr>
                <w:bCs/>
                <w:color w:val="auto"/>
                <w:spacing w:val="7"/>
                <w:sz w:val="21"/>
                <w:szCs w:val="21"/>
              </w:rPr>
            </w:pPr>
            <w:r>
              <w:rPr>
                <w:rFonts w:hint="eastAsia"/>
                <w:bCs/>
                <w:color w:val="auto"/>
                <w:spacing w:val="7"/>
                <w:sz w:val="21"/>
                <w:szCs w:val="21"/>
              </w:rPr>
              <w:t>黑膜沼气池</w:t>
            </w:r>
            <w:r>
              <w:rPr>
                <w:bCs/>
                <w:color w:val="auto"/>
                <w:spacing w:val="7"/>
                <w:sz w:val="21"/>
                <w:szCs w:val="21"/>
              </w:rPr>
              <w:t>工艺</w:t>
            </w:r>
          </w:p>
        </w:tc>
        <w:tc>
          <w:tcPr>
            <w:tcW w:w="3390" w:type="dxa"/>
            <w:tcMar>
              <w:top w:w="0" w:type="dxa"/>
              <w:left w:w="34" w:type="dxa"/>
              <w:bottom w:w="0" w:type="dxa"/>
              <w:right w:w="34" w:type="dxa"/>
            </w:tcMar>
            <w:vAlign w:val="center"/>
          </w:tcPr>
          <w:p>
            <w:pPr>
              <w:spacing w:line="240" w:lineRule="auto"/>
              <w:ind w:firstLine="0" w:firstLineChars="0"/>
              <w:jc w:val="center"/>
              <w:rPr>
                <w:bCs/>
                <w:color w:val="auto"/>
                <w:spacing w:val="7"/>
                <w:sz w:val="21"/>
                <w:szCs w:val="21"/>
              </w:rPr>
            </w:pPr>
            <w:r>
              <w:rPr>
                <w:bCs/>
                <w:color w:val="auto"/>
                <w:spacing w:val="7"/>
                <w:sz w:val="21"/>
                <w:szCs w:val="21"/>
              </w:rPr>
              <w:t>UASB</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6" w:type="dxa"/>
            <w:tcMar>
              <w:top w:w="0" w:type="dxa"/>
              <w:left w:w="34" w:type="dxa"/>
              <w:bottom w:w="0" w:type="dxa"/>
              <w:right w:w="34" w:type="dxa"/>
            </w:tcMar>
            <w:vAlign w:val="center"/>
          </w:tcPr>
          <w:p>
            <w:pPr>
              <w:spacing w:line="240" w:lineRule="auto"/>
              <w:ind w:firstLine="0" w:firstLineChars="0"/>
              <w:jc w:val="center"/>
              <w:rPr>
                <w:rFonts w:eastAsia="Calibri"/>
                <w:bCs/>
                <w:color w:val="auto"/>
                <w:spacing w:val="7"/>
                <w:sz w:val="21"/>
                <w:szCs w:val="21"/>
              </w:rPr>
            </w:pPr>
            <w:r>
              <w:rPr>
                <w:rFonts w:hint="eastAsia"/>
                <w:bCs/>
                <w:color w:val="auto"/>
                <w:spacing w:val="7"/>
                <w:sz w:val="21"/>
                <w:szCs w:val="21"/>
              </w:rPr>
              <w:t>1</w:t>
            </w:r>
          </w:p>
        </w:tc>
        <w:tc>
          <w:tcPr>
            <w:tcW w:w="1482" w:type="dxa"/>
            <w:tcMar>
              <w:top w:w="0" w:type="dxa"/>
              <w:left w:w="34" w:type="dxa"/>
              <w:bottom w:w="0" w:type="dxa"/>
              <w:right w:w="34" w:type="dxa"/>
            </w:tcMar>
            <w:vAlign w:val="center"/>
          </w:tcPr>
          <w:p>
            <w:pPr>
              <w:spacing w:line="240" w:lineRule="auto"/>
              <w:ind w:firstLine="0" w:firstLineChars="0"/>
              <w:jc w:val="center"/>
              <w:rPr>
                <w:bCs/>
                <w:color w:val="auto"/>
                <w:spacing w:val="7"/>
                <w:sz w:val="21"/>
                <w:szCs w:val="21"/>
              </w:rPr>
            </w:pPr>
            <w:r>
              <w:rPr>
                <w:bCs/>
                <w:color w:val="auto"/>
                <w:spacing w:val="7"/>
                <w:sz w:val="21"/>
                <w:szCs w:val="21"/>
              </w:rPr>
              <w:t>反应池内温度</w:t>
            </w:r>
          </w:p>
        </w:tc>
        <w:tc>
          <w:tcPr>
            <w:tcW w:w="3400" w:type="dxa"/>
            <w:tcMar>
              <w:top w:w="0" w:type="dxa"/>
              <w:left w:w="34" w:type="dxa"/>
              <w:bottom w:w="0" w:type="dxa"/>
              <w:right w:w="34" w:type="dxa"/>
            </w:tcMar>
            <w:vAlign w:val="center"/>
          </w:tcPr>
          <w:p>
            <w:pPr>
              <w:spacing w:line="240" w:lineRule="auto"/>
              <w:ind w:firstLine="0" w:firstLineChars="0"/>
              <w:jc w:val="center"/>
              <w:rPr>
                <w:bCs/>
                <w:color w:val="auto"/>
                <w:spacing w:val="7"/>
                <w:sz w:val="21"/>
                <w:szCs w:val="21"/>
              </w:rPr>
            </w:pPr>
            <w:r>
              <w:rPr>
                <w:bCs/>
                <w:color w:val="auto"/>
                <w:spacing w:val="7"/>
                <w:sz w:val="21"/>
                <w:szCs w:val="21"/>
              </w:rPr>
              <w:t>16.8~27.3°C，保持持续发酵</w:t>
            </w:r>
          </w:p>
        </w:tc>
        <w:tc>
          <w:tcPr>
            <w:tcW w:w="3390" w:type="dxa"/>
            <w:tcMar>
              <w:top w:w="0" w:type="dxa"/>
              <w:left w:w="34" w:type="dxa"/>
              <w:bottom w:w="0" w:type="dxa"/>
              <w:right w:w="34" w:type="dxa"/>
            </w:tcMar>
            <w:vAlign w:val="center"/>
          </w:tcPr>
          <w:p>
            <w:pPr>
              <w:spacing w:line="240" w:lineRule="auto"/>
              <w:ind w:firstLine="0" w:firstLineChars="0"/>
              <w:jc w:val="center"/>
              <w:rPr>
                <w:bCs/>
                <w:color w:val="auto"/>
                <w:spacing w:val="7"/>
                <w:sz w:val="21"/>
                <w:szCs w:val="21"/>
              </w:rPr>
            </w:pPr>
            <w:r>
              <w:rPr>
                <w:bCs/>
                <w:color w:val="auto"/>
                <w:spacing w:val="7"/>
                <w:sz w:val="21"/>
                <w:szCs w:val="21"/>
              </w:rPr>
              <w:t>温度随外界温度变化，冬季发酵停止</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6" w:type="dxa"/>
            <w:tcMar>
              <w:top w:w="0" w:type="dxa"/>
              <w:left w:w="34" w:type="dxa"/>
              <w:bottom w:w="0" w:type="dxa"/>
              <w:right w:w="34" w:type="dxa"/>
            </w:tcMar>
            <w:vAlign w:val="center"/>
          </w:tcPr>
          <w:p>
            <w:pPr>
              <w:spacing w:line="240" w:lineRule="auto"/>
              <w:ind w:firstLine="0" w:firstLineChars="0"/>
              <w:jc w:val="center"/>
              <w:rPr>
                <w:rFonts w:eastAsia="Calibri"/>
                <w:bCs/>
                <w:color w:val="auto"/>
                <w:spacing w:val="7"/>
                <w:sz w:val="21"/>
                <w:szCs w:val="21"/>
              </w:rPr>
            </w:pPr>
            <w:r>
              <w:rPr>
                <w:rFonts w:hint="eastAsia"/>
                <w:bCs/>
                <w:color w:val="auto"/>
                <w:spacing w:val="7"/>
                <w:sz w:val="21"/>
                <w:szCs w:val="21"/>
              </w:rPr>
              <w:t>2</w:t>
            </w:r>
          </w:p>
        </w:tc>
        <w:tc>
          <w:tcPr>
            <w:tcW w:w="1482" w:type="dxa"/>
            <w:tcMar>
              <w:top w:w="0" w:type="dxa"/>
              <w:left w:w="34" w:type="dxa"/>
              <w:bottom w:w="0" w:type="dxa"/>
              <w:right w:w="34" w:type="dxa"/>
            </w:tcMar>
            <w:vAlign w:val="center"/>
          </w:tcPr>
          <w:p>
            <w:pPr>
              <w:spacing w:line="240" w:lineRule="auto"/>
              <w:ind w:firstLine="0" w:firstLineChars="0"/>
              <w:jc w:val="center"/>
              <w:rPr>
                <w:bCs/>
                <w:color w:val="auto"/>
                <w:spacing w:val="7"/>
                <w:sz w:val="21"/>
                <w:szCs w:val="21"/>
              </w:rPr>
            </w:pPr>
            <w:r>
              <w:rPr>
                <w:bCs/>
                <w:color w:val="auto"/>
                <w:spacing w:val="7"/>
                <w:sz w:val="21"/>
                <w:szCs w:val="21"/>
              </w:rPr>
              <w:t>布水</w:t>
            </w:r>
          </w:p>
        </w:tc>
        <w:tc>
          <w:tcPr>
            <w:tcW w:w="3400" w:type="dxa"/>
            <w:tcMar>
              <w:top w:w="0" w:type="dxa"/>
              <w:left w:w="34" w:type="dxa"/>
              <w:bottom w:w="0" w:type="dxa"/>
              <w:right w:w="34" w:type="dxa"/>
            </w:tcMar>
            <w:vAlign w:val="center"/>
          </w:tcPr>
          <w:p>
            <w:pPr>
              <w:spacing w:line="240" w:lineRule="auto"/>
              <w:ind w:firstLine="0" w:firstLineChars="0"/>
              <w:jc w:val="center"/>
              <w:rPr>
                <w:bCs/>
                <w:color w:val="auto"/>
                <w:spacing w:val="7"/>
                <w:sz w:val="21"/>
                <w:szCs w:val="21"/>
              </w:rPr>
            </w:pPr>
            <w:r>
              <w:rPr>
                <w:bCs/>
                <w:color w:val="auto"/>
                <w:spacing w:val="7"/>
                <w:sz w:val="21"/>
                <w:szCs w:val="21"/>
              </w:rPr>
              <w:t>布水简单，进水管径粗，不会堵塞</w:t>
            </w:r>
          </w:p>
        </w:tc>
        <w:tc>
          <w:tcPr>
            <w:tcW w:w="3390" w:type="dxa"/>
            <w:tcMar>
              <w:top w:w="0" w:type="dxa"/>
              <w:left w:w="34" w:type="dxa"/>
              <w:bottom w:w="0" w:type="dxa"/>
              <w:right w:w="34" w:type="dxa"/>
            </w:tcMar>
            <w:vAlign w:val="center"/>
          </w:tcPr>
          <w:p>
            <w:pPr>
              <w:spacing w:line="240" w:lineRule="auto"/>
              <w:ind w:firstLine="0" w:firstLineChars="0"/>
              <w:jc w:val="center"/>
              <w:rPr>
                <w:bCs/>
                <w:color w:val="auto"/>
                <w:spacing w:val="7"/>
                <w:sz w:val="21"/>
                <w:szCs w:val="21"/>
              </w:rPr>
            </w:pPr>
            <w:r>
              <w:rPr>
                <w:bCs/>
                <w:color w:val="auto"/>
                <w:spacing w:val="7"/>
                <w:sz w:val="21"/>
                <w:szCs w:val="21"/>
              </w:rPr>
              <w:t>要求均匀布水，布水点多，运行过程中容易堵塞（粪堵塞、鸟粪石）</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6" w:type="dxa"/>
            <w:tcMar>
              <w:top w:w="0" w:type="dxa"/>
              <w:left w:w="34" w:type="dxa"/>
              <w:bottom w:w="0" w:type="dxa"/>
              <w:right w:w="34" w:type="dxa"/>
            </w:tcMar>
            <w:vAlign w:val="center"/>
          </w:tcPr>
          <w:p>
            <w:pPr>
              <w:spacing w:line="240" w:lineRule="auto"/>
              <w:ind w:firstLine="0" w:firstLineChars="0"/>
              <w:jc w:val="center"/>
              <w:rPr>
                <w:rFonts w:eastAsia="Calibri"/>
                <w:bCs/>
                <w:color w:val="auto"/>
                <w:spacing w:val="7"/>
                <w:sz w:val="21"/>
                <w:szCs w:val="21"/>
              </w:rPr>
            </w:pPr>
            <w:r>
              <w:rPr>
                <w:rFonts w:hint="eastAsia"/>
                <w:bCs/>
                <w:color w:val="auto"/>
                <w:spacing w:val="7"/>
                <w:sz w:val="21"/>
                <w:szCs w:val="21"/>
              </w:rPr>
              <w:t>3</w:t>
            </w:r>
          </w:p>
        </w:tc>
        <w:tc>
          <w:tcPr>
            <w:tcW w:w="1482" w:type="dxa"/>
            <w:tcMar>
              <w:top w:w="0" w:type="dxa"/>
              <w:left w:w="34" w:type="dxa"/>
              <w:bottom w:w="0" w:type="dxa"/>
              <w:right w:w="34" w:type="dxa"/>
            </w:tcMar>
            <w:vAlign w:val="center"/>
          </w:tcPr>
          <w:p>
            <w:pPr>
              <w:spacing w:line="240" w:lineRule="auto"/>
              <w:ind w:firstLine="0" w:firstLineChars="0"/>
              <w:jc w:val="center"/>
              <w:rPr>
                <w:bCs/>
                <w:color w:val="auto"/>
                <w:spacing w:val="7"/>
                <w:sz w:val="21"/>
                <w:szCs w:val="21"/>
              </w:rPr>
            </w:pPr>
            <w:r>
              <w:rPr>
                <w:bCs/>
                <w:color w:val="auto"/>
                <w:spacing w:val="7"/>
                <w:sz w:val="21"/>
                <w:szCs w:val="21"/>
              </w:rPr>
              <w:t>气体收集</w:t>
            </w:r>
          </w:p>
        </w:tc>
        <w:tc>
          <w:tcPr>
            <w:tcW w:w="3400" w:type="dxa"/>
            <w:tcMar>
              <w:top w:w="0" w:type="dxa"/>
              <w:left w:w="34" w:type="dxa"/>
              <w:bottom w:w="0" w:type="dxa"/>
              <w:right w:w="34" w:type="dxa"/>
            </w:tcMar>
            <w:vAlign w:val="center"/>
          </w:tcPr>
          <w:p>
            <w:pPr>
              <w:spacing w:line="240" w:lineRule="auto"/>
              <w:ind w:firstLine="0" w:firstLineChars="0"/>
              <w:jc w:val="center"/>
              <w:rPr>
                <w:bCs/>
                <w:color w:val="auto"/>
                <w:spacing w:val="7"/>
                <w:sz w:val="21"/>
                <w:szCs w:val="21"/>
              </w:rPr>
            </w:pPr>
            <w:r>
              <w:rPr>
                <w:bCs/>
                <w:color w:val="auto"/>
                <w:spacing w:val="7"/>
                <w:sz w:val="21"/>
                <w:szCs w:val="21"/>
              </w:rPr>
              <w:t>气体产生直接由顶膜收集，工艺简单</w:t>
            </w:r>
          </w:p>
        </w:tc>
        <w:tc>
          <w:tcPr>
            <w:tcW w:w="3390" w:type="dxa"/>
            <w:tcMar>
              <w:top w:w="0" w:type="dxa"/>
              <w:left w:w="34" w:type="dxa"/>
              <w:bottom w:w="0" w:type="dxa"/>
              <w:right w:w="34" w:type="dxa"/>
            </w:tcMar>
            <w:vAlign w:val="center"/>
          </w:tcPr>
          <w:p>
            <w:pPr>
              <w:spacing w:line="240" w:lineRule="auto"/>
              <w:ind w:firstLine="0" w:firstLineChars="0"/>
              <w:jc w:val="center"/>
              <w:rPr>
                <w:bCs/>
                <w:color w:val="auto"/>
                <w:spacing w:val="7"/>
                <w:sz w:val="21"/>
                <w:szCs w:val="21"/>
              </w:rPr>
            </w:pPr>
            <w:r>
              <w:rPr>
                <w:bCs/>
                <w:color w:val="auto"/>
                <w:spacing w:val="7"/>
                <w:sz w:val="21"/>
                <w:szCs w:val="21"/>
              </w:rPr>
              <w:t>需要设置三相分离器、集气等复杂工艺，很容易出现气管堵塞及三相分离器漏气问题</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6" w:type="dxa"/>
            <w:tcMar>
              <w:top w:w="0" w:type="dxa"/>
              <w:left w:w="34" w:type="dxa"/>
              <w:bottom w:w="0" w:type="dxa"/>
              <w:right w:w="34" w:type="dxa"/>
            </w:tcMar>
            <w:vAlign w:val="center"/>
          </w:tcPr>
          <w:p>
            <w:pPr>
              <w:spacing w:line="240" w:lineRule="auto"/>
              <w:ind w:firstLine="0" w:firstLineChars="0"/>
              <w:jc w:val="center"/>
              <w:rPr>
                <w:rFonts w:eastAsia="Calibri"/>
                <w:bCs/>
                <w:color w:val="auto"/>
                <w:spacing w:val="7"/>
                <w:sz w:val="21"/>
                <w:szCs w:val="21"/>
              </w:rPr>
            </w:pPr>
            <w:r>
              <w:rPr>
                <w:rFonts w:hint="eastAsia"/>
                <w:bCs/>
                <w:color w:val="auto"/>
                <w:spacing w:val="7"/>
                <w:sz w:val="21"/>
                <w:szCs w:val="21"/>
              </w:rPr>
              <w:t>4</w:t>
            </w:r>
          </w:p>
        </w:tc>
        <w:tc>
          <w:tcPr>
            <w:tcW w:w="1482" w:type="dxa"/>
            <w:tcMar>
              <w:top w:w="0" w:type="dxa"/>
              <w:left w:w="34" w:type="dxa"/>
              <w:bottom w:w="0" w:type="dxa"/>
              <w:right w:w="34" w:type="dxa"/>
            </w:tcMar>
            <w:vAlign w:val="center"/>
          </w:tcPr>
          <w:p>
            <w:pPr>
              <w:spacing w:line="240" w:lineRule="auto"/>
              <w:ind w:firstLine="0" w:firstLineChars="0"/>
              <w:jc w:val="center"/>
              <w:rPr>
                <w:bCs/>
                <w:color w:val="auto"/>
                <w:spacing w:val="7"/>
                <w:sz w:val="21"/>
                <w:szCs w:val="21"/>
              </w:rPr>
            </w:pPr>
            <w:r>
              <w:rPr>
                <w:bCs/>
                <w:color w:val="auto"/>
                <w:spacing w:val="7"/>
                <w:sz w:val="21"/>
                <w:szCs w:val="21"/>
              </w:rPr>
              <w:t>停留时间</w:t>
            </w:r>
          </w:p>
        </w:tc>
        <w:tc>
          <w:tcPr>
            <w:tcW w:w="3400" w:type="dxa"/>
            <w:tcMar>
              <w:top w:w="0" w:type="dxa"/>
              <w:left w:w="34" w:type="dxa"/>
              <w:bottom w:w="0" w:type="dxa"/>
              <w:right w:w="34" w:type="dxa"/>
            </w:tcMar>
            <w:vAlign w:val="center"/>
          </w:tcPr>
          <w:p>
            <w:pPr>
              <w:spacing w:line="240" w:lineRule="auto"/>
              <w:ind w:firstLine="0" w:firstLineChars="0"/>
              <w:jc w:val="center"/>
              <w:rPr>
                <w:bCs/>
                <w:color w:val="auto"/>
                <w:spacing w:val="7"/>
                <w:sz w:val="21"/>
                <w:szCs w:val="21"/>
              </w:rPr>
            </w:pPr>
            <w:r>
              <w:rPr>
                <w:bCs/>
                <w:color w:val="auto"/>
                <w:spacing w:val="7"/>
                <w:sz w:val="21"/>
                <w:szCs w:val="21"/>
              </w:rPr>
              <w:t>35天停留时间较长，充分厌氧，生化反应彻底，出水沼液浓度较低，出水（茶褐色），有利于综合利用</w:t>
            </w:r>
          </w:p>
        </w:tc>
        <w:tc>
          <w:tcPr>
            <w:tcW w:w="3390" w:type="dxa"/>
            <w:tcMar>
              <w:top w:w="0" w:type="dxa"/>
              <w:left w:w="34" w:type="dxa"/>
              <w:bottom w:w="0" w:type="dxa"/>
              <w:right w:w="34" w:type="dxa"/>
            </w:tcMar>
            <w:vAlign w:val="center"/>
          </w:tcPr>
          <w:p>
            <w:pPr>
              <w:spacing w:line="240" w:lineRule="auto"/>
              <w:ind w:firstLine="0" w:firstLineChars="0"/>
              <w:jc w:val="center"/>
              <w:rPr>
                <w:bCs/>
                <w:color w:val="auto"/>
                <w:spacing w:val="7"/>
                <w:sz w:val="21"/>
                <w:szCs w:val="21"/>
              </w:rPr>
            </w:pPr>
            <w:r>
              <w:rPr>
                <w:bCs/>
                <w:color w:val="auto"/>
                <w:spacing w:val="7"/>
                <w:sz w:val="21"/>
                <w:szCs w:val="21"/>
              </w:rPr>
              <w:t>停留时间较短，出水仍然有影响农作物生长的风险。</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6" w:type="dxa"/>
            <w:tcMar>
              <w:top w:w="0" w:type="dxa"/>
              <w:left w:w="34" w:type="dxa"/>
              <w:bottom w:w="0" w:type="dxa"/>
              <w:right w:w="34" w:type="dxa"/>
            </w:tcMar>
            <w:vAlign w:val="center"/>
          </w:tcPr>
          <w:p>
            <w:pPr>
              <w:spacing w:line="240" w:lineRule="auto"/>
              <w:ind w:firstLine="0" w:firstLineChars="0"/>
              <w:jc w:val="center"/>
              <w:rPr>
                <w:rFonts w:eastAsia="Calibri"/>
                <w:bCs/>
                <w:color w:val="auto"/>
                <w:spacing w:val="7"/>
                <w:sz w:val="21"/>
                <w:szCs w:val="21"/>
              </w:rPr>
            </w:pPr>
            <w:r>
              <w:rPr>
                <w:rFonts w:hint="eastAsia"/>
                <w:bCs/>
                <w:color w:val="auto"/>
                <w:spacing w:val="7"/>
                <w:sz w:val="21"/>
                <w:szCs w:val="21"/>
              </w:rPr>
              <w:t>5</w:t>
            </w:r>
          </w:p>
        </w:tc>
        <w:tc>
          <w:tcPr>
            <w:tcW w:w="1482" w:type="dxa"/>
            <w:tcMar>
              <w:top w:w="0" w:type="dxa"/>
              <w:left w:w="34" w:type="dxa"/>
              <w:bottom w:w="0" w:type="dxa"/>
              <w:right w:w="34" w:type="dxa"/>
            </w:tcMar>
            <w:vAlign w:val="center"/>
          </w:tcPr>
          <w:p>
            <w:pPr>
              <w:spacing w:line="240" w:lineRule="auto"/>
              <w:ind w:firstLine="0" w:firstLineChars="0"/>
              <w:jc w:val="center"/>
              <w:rPr>
                <w:bCs/>
                <w:color w:val="auto"/>
                <w:spacing w:val="7"/>
                <w:sz w:val="21"/>
                <w:szCs w:val="21"/>
              </w:rPr>
            </w:pPr>
            <w:r>
              <w:rPr>
                <w:bCs/>
                <w:color w:val="auto"/>
                <w:spacing w:val="7"/>
                <w:sz w:val="21"/>
                <w:szCs w:val="21"/>
              </w:rPr>
              <w:t>能耗</w:t>
            </w:r>
          </w:p>
        </w:tc>
        <w:tc>
          <w:tcPr>
            <w:tcW w:w="3400" w:type="dxa"/>
            <w:tcMar>
              <w:top w:w="0" w:type="dxa"/>
              <w:left w:w="34" w:type="dxa"/>
              <w:bottom w:w="0" w:type="dxa"/>
              <w:right w:w="34" w:type="dxa"/>
            </w:tcMar>
            <w:vAlign w:val="center"/>
          </w:tcPr>
          <w:p>
            <w:pPr>
              <w:spacing w:line="240" w:lineRule="auto"/>
              <w:ind w:firstLine="0" w:firstLineChars="0"/>
              <w:jc w:val="center"/>
              <w:rPr>
                <w:bCs/>
                <w:color w:val="auto"/>
                <w:spacing w:val="7"/>
                <w:sz w:val="21"/>
                <w:szCs w:val="21"/>
              </w:rPr>
            </w:pPr>
            <w:r>
              <w:rPr>
                <w:bCs/>
                <w:color w:val="auto"/>
                <w:spacing w:val="7"/>
                <w:sz w:val="21"/>
                <w:szCs w:val="21"/>
              </w:rPr>
              <w:t>低，不需要前处理</w:t>
            </w:r>
          </w:p>
        </w:tc>
        <w:tc>
          <w:tcPr>
            <w:tcW w:w="3390" w:type="dxa"/>
            <w:tcMar>
              <w:top w:w="0" w:type="dxa"/>
              <w:left w:w="34" w:type="dxa"/>
              <w:bottom w:w="0" w:type="dxa"/>
              <w:right w:w="34" w:type="dxa"/>
            </w:tcMar>
            <w:vAlign w:val="center"/>
          </w:tcPr>
          <w:p>
            <w:pPr>
              <w:spacing w:line="240" w:lineRule="auto"/>
              <w:ind w:firstLine="0" w:firstLineChars="0"/>
              <w:jc w:val="center"/>
              <w:rPr>
                <w:bCs/>
                <w:color w:val="auto"/>
                <w:spacing w:val="7"/>
                <w:sz w:val="21"/>
                <w:szCs w:val="21"/>
              </w:rPr>
            </w:pPr>
            <w:r>
              <w:rPr>
                <w:bCs/>
                <w:color w:val="auto"/>
                <w:spacing w:val="7"/>
                <w:sz w:val="21"/>
                <w:szCs w:val="21"/>
              </w:rPr>
              <w:t>高，需要复杂的前处理工艺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6" w:type="dxa"/>
            <w:tcMar>
              <w:top w:w="0" w:type="dxa"/>
              <w:left w:w="34" w:type="dxa"/>
              <w:bottom w:w="0" w:type="dxa"/>
              <w:right w:w="34" w:type="dxa"/>
            </w:tcMar>
            <w:vAlign w:val="center"/>
          </w:tcPr>
          <w:p>
            <w:pPr>
              <w:spacing w:line="240" w:lineRule="auto"/>
              <w:ind w:firstLine="0" w:firstLineChars="0"/>
              <w:jc w:val="center"/>
              <w:rPr>
                <w:rFonts w:eastAsia="Calibri"/>
                <w:bCs/>
                <w:color w:val="auto"/>
                <w:spacing w:val="7"/>
                <w:sz w:val="21"/>
                <w:szCs w:val="21"/>
              </w:rPr>
            </w:pPr>
            <w:r>
              <w:rPr>
                <w:rFonts w:hint="eastAsia"/>
                <w:bCs/>
                <w:color w:val="auto"/>
                <w:spacing w:val="7"/>
                <w:sz w:val="21"/>
                <w:szCs w:val="21"/>
              </w:rPr>
              <w:t>6</w:t>
            </w:r>
          </w:p>
        </w:tc>
        <w:tc>
          <w:tcPr>
            <w:tcW w:w="1482" w:type="dxa"/>
            <w:tcMar>
              <w:top w:w="0" w:type="dxa"/>
              <w:left w:w="34" w:type="dxa"/>
              <w:bottom w:w="0" w:type="dxa"/>
              <w:right w:w="34" w:type="dxa"/>
            </w:tcMar>
            <w:vAlign w:val="center"/>
          </w:tcPr>
          <w:p>
            <w:pPr>
              <w:spacing w:line="240" w:lineRule="auto"/>
              <w:ind w:firstLine="0" w:firstLineChars="0"/>
              <w:jc w:val="center"/>
              <w:rPr>
                <w:bCs/>
                <w:color w:val="auto"/>
                <w:spacing w:val="7"/>
                <w:sz w:val="21"/>
                <w:szCs w:val="21"/>
              </w:rPr>
            </w:pPr>
            <w:r>
              <w:rPr>
                <w:bCs/>
                <w:color w:val="auto"/>
                <w:spacing w:val="7"/>
                <w:sz w:val="21"/>
                <w:szCs w:val="21"/>
              </w:rPr>
              <w:t>臭气</w:t>
            </w:r>
          </w:p>
        </w:tc>
        <w:tc>
          <w:tcPr>
            <w:tcW w:w="3400" w:type="dxa"/>
            <w:tcMar>
              <w:top w:w="0" w:type="dxa"/>
              <w:left w:w="34" w:type="dxa"/>
              <w:bottom w:w="0" w:type="dxa"/>
              <w:right w:w="34" w:type="dxa"/>
            </w:tcMar>
            <w:vAlign w:val="center"/>
          </w:tcPr>
          <w:p>
            <w:pPr>
              <w:spacing w:line="240" w:lineRule="auto"/>
              <w:ind w:firstLine="0" w:firstLineChars="0"/>
              <w:jc w:val="center"/>
              <w:rPr>
                <w:bCs/>
                <w:color w:val="auto"/>
                <w:spacing w:val="7"/>
                <w:sz w:val="21"/>
                <w:szCs w:val="21"/>
              </w:rPr>
            </w:pPr>
            <w:r>
              <w:rPr>
                <w:bCs/>
                <w:color w:val="auto"/>
                <w:spacing w:val="7"/>
                <w:sz w:val="21"/>
                <w:szCs w:val="21"/>
              </w:rPr>
              <w:t>过程全密闭，反应过程中无臭气产生，反映彻底，出水臭气可降至2级，且不会在进行发酵产生臭气；</w:t>
            </w:r>
          </w:p>
        </w:tc>
        <w:tc>
          <w:tcPr>
            <w:tcW w:w="3390" w:type="dxa"/>
            <w:tcMar>
              <w:top w:w="0" w:type="dxa"/>
              <w:left w:w="34" w:type="dxa"/>
              <w:bottom w:w="0" w:type="dxa"/>
              <w:right w:w="34" w:type="dxa"/>
            </w:tcMar>
            <w:vAlign w:val="center"/>
          </w:tcPr>
          <w:p>
            <w:pPr>
              <w:spacing w:line="240" w:lineRule="auto"/>
              <w:ind w:firstLine="0" w:firstLineChars="0"/>
              <w:jc w:val="center"/>
              <w:rPr>
                <w:bCs/>
                <w:color w:val="auto"/>
                <w:spacing w:val="7"/>
                <w:sz w:val="21"/>
                <w:szCs w:val="21"/>
              </w:rPr>
            </w:pPr>
            <w:r>
              <w:rPr>
                <w:bCs/>
                <w:color w:val="auto"/>
                <w:spacing w:val="7"/>
                <w:sz w:val="21"/>
                <w:szCs w:val="21"/>
              </w:rPr>
              <w:t>厌氧罐，敞口式设计，反应过程产生臭气，出水不稳定，进入</w:t>
            </w:r>
            <w:r>
              <w:rPr>
                <w:rFonts w:hint="eastAsia"/>
                <w:bCs/>
                <w:color w:val="auto"/>
                <w:spacing w:val="7"/>
                <w:sz w:val="21"/>
                <w:szCs w:val="21"/>
              </w:rPr>
              <w:t>黑膜沼气池</w:t>
            </w:r>
            <w:r>
              <w:rPr>
                <w:bCs/>
                <w:color w:val="auto"/>
                <w:spacing w:val="7"/>
                <w:sz w:val="21"/>
                <w:szCs w:val="21"/>
              </w:rPr>
              <w:t>后仍会继续发酵产生臭气，臭气达到5级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6" w:type="dxa"/>
            <w:tcMar>
              <w:top w:w="0" w:type="dxa"/>
              <w:left w:w="34" w:type="dxa"/>
              <w:bottom w:w="0" w:type="dxa"/>
              <w:right w:w="34" w:type="dxa"/>
            </w:tcMar>
            <w:vAlign w:val="center"/>
          </w:tcPr>
          <w:p>
            <w:pPr>
              <w:spacing w:line="240" w:lineRule="auto"/>
              <w:ind w:firstLine="0" w:firstLineChars="0"/>
              <w:jc w:val="center"/>
              <w:rPr>
                <w:rFonts w:eastAsia="Calibri"/>
                <w:bCs/>
                <w:color w:val="auto"/>
                <w:spacing w:val="7"/>
                <w:sz w:val="21"/>
                <w:szCs w:val="21"/>
              </w:rPr>
            </w:pPr>
            <w:r>
              <w:rPr>
                <w:rFonts w:hint="eastAsia"/>
                <w:bCs/>
                <w:color w:val="auto"/>
                <w:spacing w:val="7"/>
                <w:sz w:val="21"/>
                <w:szCs w:val="21"/>
              </w:rPr>
              <w:t>7</w:t>
            </w:r>
          </w:p>
        </w:tc>
        <w:tc>
          <w:tcPr>
            <w:tcW w:w="1482" w:type="dxa"/>
            <w:tcMar>
              <w:top w:w="0" w:type="dxa"/>
              <w:left w:w="34" w:type="dxa"/>
              <w:bottom w:w="0" w:type="dxa"/>
              <w:right w:w="34" w:type="dxa"/>
            </w:tcMar>
            <w:vAlign w:val="center"/>
          </w:tcPr>
          <w:p>
            <w:pPr>
              <w:spacing w:line="240" w:lineRule="auto"/>
              <w:ind w:firstLine="0" w:firstLineChars="0"/>
              <w:jc w:val="center"/>
              <w:rPr>
                <w:bCs/>
                <w:color w:val="auto"/>
                <w:spacing w:val="7"/>
                <w:sz w:val="21"/>
                <w:szCs w:val="21"/>
              </w:rPr>
            </w:pPr>
            <w:r>
              <w:rPr>
                <w:bCs/>
                <w:color w:val="auto"/>
                <w:spacing w:val="7"/>
                <w:sz w:val="21"/>
                <w:szCs w:val="21"/>
              </w:rPr>
              <w:t>运营操作</w:t>
            </w:r>
          </w:p>
        </w:tc>
        <w:tc>
          <w:tcPr>
            <w:tcW w:w="3400" w:type="dxa"/>
            <w:tcMar>
              <w:top w:w="0" w:type="dxa"/>
              <w:left w:w="34" w:type="dxa"/>
              <w:bottom w:w="0" w:type="dxa"/>
              <w:right w:w="34" w:type="dxa"/>
            </w:tcMar>
            <w:vAlign w:val="center"/>
          </w:tcPr>
          <w:p>
            <w:pPr>
              <w:spacing w:line="240" w:lineRule="auto"/>
              <w:ind w:firstLine="0" w:firstLineChars="0"/>
              <w:jc w:val="center"/>
              <w:rPr>
                <w:bCs/>
                <w:color w:val="auto"/>
                <w:spacing w:val="7"/>
                <w:sz w:val="21"/>
                <w:szCs w:val="21"/>
              </w:rPr>
            </w:pPr>
            <w:r>
              <w:rPr>
                <w:bCs/>
                <w:color w:val="auto"/>
                <w:spacing w:val="7"/>
                <w:sz w:val="21"/>
                <w:szCs w:val="21"/>
              </w:rPr>
              <w:t>集发酵、贮气于一体，构造简单只需开启水泵进水，定期排泥，排水位于液面以下，不用考虑浮渣问题，日常不需要管理，整个系统就可稳定运行，且出水清澈。</w:t>
            </w:r>
          </w:p>
        </w:tc>
        <w:tc>
          <w:tcPr>
            <w:tcW w:w="3390" w:type="dxa"/>
            <w:tcMar>
              <w:top w:w="0" w:type="dxa"/>
              <w:left w:w="34" w:type="dxa"/>
              <w:bottom w:w="0" w:type="dxa"/>
              <w:right w:w="34" w:type="dxa"/>
            </w:tcMar>
            <w:vAlign w:val="center"/>
          </w:tcPr>
          <w:p>
            <w:pPr>
              <w:spacing w:line="240" w:lineRule="auto"/>
              <w:ind w:firstLine="0" w:firstLineChars="0"/>
              <w:jc w:val="center"/>
              <w:rPr>
                <w:bCs/>
                <w:color w:val="auto"/>
                <w:spacing w:val="7"/>
                <w:sz w:val="21"/>
                <w:szCs w:val="21"/>
              </w:rPr>
            </w:pPr>
            <w:r>
              <w:rPr>
                <w:bCs/>
                <w:color w:val="auto"/>
                <w:spacing w:val="7"/>
                <w:sz w:val="21"/>
                <w:szCs w:val="21"/>
              </w:rPr>
              <w:t>需要经常对进出水水质进行监测，调节厌氧反应器进水，经常观察清理浮渣，观察排气是否顺畅，整个操作较复杂。</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6" w:type="dxa"/>
            <w:tcMar>
              <w:top w:w="0" w:type="dxa"/>
              <w:left w:w="34" w:type="dxa"/>
              <w:bottom w:w="0" w:type="dxa"/>
              <w:right w:w="34" w:type="dxa"/>
            </w:tcMar>
            <w:vAlign w:val="center"/>
          </w:tcPr>
          <w:p>
            <w:pPr>
              <w:spacing w:line="240" w:lineRule="auto"/>
              <w:ind w:firstLine="0" w:firstLineChars="0"/>
              <w:jc w:val="center"/>
              <w:rPr>
                <w:rFonts w:eastAsia="Calibri"/>
                <w:bCs/>
                <w:color w:val="auto"/>
                <w:spacing w:val="7"/>
                <w:sz w:val="21"/>
                <w:szCs w:val="21"/>
              </w:rPr>
            </w:pPr>
            <w:r>
              <w:rPr>
                <w:rFonts w:hint="eastAsia"/>
                <w:bCs/>
                <w:color w:val="auto"/>
                <w:spacing w:val="7"/>
                <w:sz w:val="21"/>
                <w:szCs w:val="21"/>
              </w:rPr>
              <w:t>8</w:t>
            </w:r>
          </w:p>
        </w:tc>
        <w:tc>
          <w:tcPr>
            <w:tcW w:w="1482" w:type="dxa"/>
            <w:tcMar>
              <w:top w:w="0" w:type="dxa"/>
              <w:left w:w="34" w:type="dxa"/>
              <w:bottom w:w="0" w:type="dxa"/>
              <w:right w:w="34" w:type="dxa"/>
            </w:tcMar>
            <w:vAlign w:val="center"/>
          </w:tcPr>
          <w:p>
            <w:pPr>
              <w:spacing w:line="240" w:lineRule="auto"/>
              <w:ind w:firstLine="0" w:firstLineChars="0"/>
              <w:jc w:val="center"/>
              <w:rPr>
                <w:bCs/>
                <w:color w:val="auto"/>
                <w:spacing w:val="7"/>
                <w:sz w:val="21"/>
                <w:szCs w:val="21"/>
              </w:rPr>
            </w:pPr>
            <w:r>
              <w:rPr>
                <w:bCs/>
                <w:color w:val="auto"/>
                <w:spacing w:val="7"/>
                <w:sz w:val="21"/>
                <w:szCs w:val="21"/>
              </w:rPr>
              <w:t>人员要求</w:t>
            </w:r>
          </w:p>
        </w:tc>
        <w:tc>
          <w:tcPr>
            <w:tcW w:w="3400" w:type="dxa"/>
            <w:tcMar>
              <w:top w:w="0" w:type="dxa"/>
              <w:left w:w="34" w:type="dxa"/>
              <w:bottom w:w="0" w:type="dxa"/>
              <w:right w:w="34" w:type="dxa"/>
            </w:tcMar>
            <w:vAlign w:val="center"/>
          </w:tcPr>
          <w:p>
            <w:pPr>
              <w:spacing w:line="240" w:lineRule="auto"/>
              <w:ind w:firstLine="0" w:firstLineChars="0"/>
              <w:jc w:val="center"/>
              <w:rPr>
                <w:bCs/>
                <w:color w:val="auto"/>
                <w:spacing w:val="7"/>
                <w:sz w:val="21"/>
                <w:szCs w:val="21"/>
              </w:rPr>
            </w:pPr>
            <w:r>
              <w:rPr>
                <w:bCs/>
                <w:color w:val="auto"/>
                <w:spacing w:val="7"/>
                <w:sz w:val="21"/>
                <w:szCs w:val="21"/>
              </w:rPr>
              <w:t>全自动化运行只用启动水泵按钮，即可运行</w:t>
            </w:r>
          </w:p>
        </w:tc>
        <w:tc>
          <w:tcPr>
            <w:tcW w:w="3390" w:type="dxa"/>
            <w:tcMar>
              <w:top w:w="0" w:type="dxa"/>
              <w:left w:w="34" w:type="dxa"/>
              <w:bottom w:w="0" w:type="dxa"/>
              <w:right w:w="34" w:type="dxa"/>
            </w:tcMar>
            <w:vAlign w:val="center"/>
          </w:tcPr>
          <w:p>
            <w:pPr>
              <w:spacing w:line="240" w:lineRule="auto"/>
              <w:ind w:firstLine="0" w:firstLineChars="0"/>
              <w:jc w:val="center"/>
              <w:rPr>
                <w:bCs/>
                <w:color w:val="auto"/>
                <w:spacing w:val="7"/>
                <w:sz w:val="21"/>
                <w:szCs w:val="21"/>
              </w:rPr>
            </w:pPr>
            <w:r>
              <w:rPr>
                <w:bCs/>
                <w:color w:val="auto"/>
                <w:spacing w:val="7"/>
                <w:sz w:val="21"/>
                <w:szCs w:val="21"/>
              </w:rPr>
              <w:t>操作技术要求高，对操作人员素质要求高</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6" w:type="dxa"/>
            <w:tcMar>
              <w:top w:w="0" w:type="dxa"/>
              <w:left w:w="34" w:type="dxa"/>
              <w:bottom w:w="0" w:type="dxa"/>
              <w:right w:w="34" w:type="dxa"/>
            </w:tcMar>
            <w:vAlign w:val="center"/>
          </w:tcPr>
          <w:p>
            <w:pPr>
              <w:spacing w:line="240" w:lineRule="auto"/>
              <w:ind w:firstLine="0" w:firstLineChars="0"/>
              <w:jc w:val="center"/>
              <w:rPr>
                <w:rFonts w:eastAsia="Calibri"/>
                <w:bCs/>
                <w:color w:val="auto"/>
                <w:spacing w:val="7"/>
                <w:sz w:val="21"/>
                <w:szCs w:val="21"/>
              </w:rPr>
            </w:pPr>
            <w:r>
              <w:rPr>
                <w:rFonts w:hint="eastAsia"/>
                <w:bCs/>
                <w:color w:val="auto"/>
                <w:spacing w:val="7"/>
                <w:sz w:val="21"/>
                <w:szCs w:val="21"/>
              </w:rPr>
              <w:t>9</w:t>
            </w:r>
          </w:p>
        </w:tc>
        <w:tc>
          <w:tcPr>
            <w:tcW w:w="1482" w:type="dxa"/>
            <w:tcMar>
              <w:top w:w="0" w:type="dxa"/>
              <w:left w:w="34" w:type="dxa"/>
              <w:bottom w:w="0" w:type="dxa"/>
              <w:right w:w="34" w:type="dxa"/>
            </w:tcMar>
            <w:vAlign w:val="center"/>
          </w:tcPr>
          <w:p>
            <w:pPr>
              <w:spacing w:line="240" w:lineRule="auto"/>
              <w:ind w:firstLine="0" w:firstLineChars="0"/>
              <w:jc w:val="center"/>
              <w:rPr>
                <w:bCs/>
                <w:color w:val="auto"/>
                <w:spacing w:val="7"/>
                <w:sz w:val="21"/>
                <w:szCs w:val="21"/>
              </w:rPr>
            </w:pPr>
            <w:r>
              <w:rPr>
                <w:bCs/>
                <w:color w:val="auto"/>
                <w:spacing w:val="7"/>
                <w:sz w:val="21"/>
                <w:szCs w:val="21"/>
              </w:rPr>
              <w:t>使用寿命</w:t>
            </w:r>
          </w:p>
        </w:tc>
        <w:tc>
          <w:tcPr>
            <w:tcW w:w="3400" w:type="dxa"/>
            <w:tcMar>
              <w:top w:w="0" w:type="dxa"/>
              <w:left w:w="34" w:type="dxa"/>
              <w:bottom w:w="0" w:type="dxa"/>
              <w:right w:w="34" w:type="dxa"/>
            </w:tcMar>
            <w:vAlign w:val="center"/>
          </w:tcPr>
          <w:p>
            <w:pPr>
              <w:spacing w:line="240" w:lineRule="auto"/>
              <w:ind w:firstLine="0" w:firstLineChars="0"/>
              <w:jc w:val="center"/>
              <w:rPr>
                <w:bCs/>
                <w:color w:val="auto"/>
                <w:spacing w:val="7"/>
                <w:sz w:val="21"/>
                <w:szCs w:val="21"/>
              </w:rPr>
            </w:pPr>
            <w:r>
              <w:rPr>
                <w:rFonts w:hint="eastAsia"/>
                <w:bCs/>
                <w:color w:val="auto"/>
                <w:spacing w:val="7"/>
                <w:sz w:val="21"/>
                <w:szCs w:val="21"/>
                <w:lang w:val="en-US" w:eastAsia="zh-CN"/>
              </w:rPr>
              <w:t>1</w:t>
            </w:r>
            <w:r>
              <w:rPr>
                <w:bCs/>
                <w:color w:val="auto"/>
                <w:spacing w:val="7"/>
                <w:sz w:val="21"/>
                <w:szCs w:val="21"/>
              </w:rPr>
              <w:t>0-</w:t>
            </w:r>
            <w:r>
              <w:rPr>
                <w:rFonts w:hint="eastAsia"/>
                <w:bCs/>
                <w:color w:val="auto"/>
                <w:spacing w:val="7"/>
                <w:sz w:val="21"/>
                <w:szCs w:val="21"/>
                <w:lang w:val="en-US" w:eastAsia="zh-CN"/>
              </w:rPr>
              <w:t>2</w:t>
            </w:r>
            <w:r>
              <w:rPr>
                <w:bCs/>
                <w:color w:val="auto"/>
                <w:spacing w:val="7"/>
                <w:sz w:val="21"/>
                <w:szCs w:val="21"/>
              </w:rPr>
              <w:t>0年</w:t>
            </w:r>
          </w:p>
        </w:tc>
        <w:tc>
          <w:tcPr>
            <w:tcW w:w="3390" w:type="dxa"/>
            <w:tcMar>
              <w:top w:w="0" w:type="dxa"/>
              <w:left w:w="34" w:type="dxa"/>
              <w:bottom w:w="0" w:type="dxa"/>
              <w:right w:w="34" w:type="dxa"/>
            </w:tcMar>
            <w:vAlign w:val="center"/>
          </w:tcPr>
          <w:p>
            <w:pPr>
              <w:spacing w:line="240" w:lineRule="auto"/>
              <w:ind w:firstLine="0" w:firstLineChars="0"/>
              <w:jc w:val="center"/>
              <w:rPr>
                <w:bCs/>
                <w:color w:val="auto"/>
                <w:spacing w:val="7"/>
                <w:sz w:val="21"/>
                <w:szCs w:val="21"/>
              </w:rPr>
            </w:pPr>
            <w:r>
              <w:rPr>
                <w:rFonts w:hint="eastAsia"/>
                <w:bCs/>
                <w:color w:val="auto"/>
                <w:spacing w:val="7"/>
                <w:sz w:val="21"/>
                <w:szCs w:val="21"/>
                <w:lang w:val="en-US" w:eastAsia="zh-CN"/>
              </w:rPr>
              <w:t>5</w:t>
            </w:r>
            <w:r>
              <w:rPr>
                <w:bCs/>
                <w:color w:val="auto"/>
                <w:spacing w:val="7"/>
                <w:sz w:val="21"/>
                <w:szCs w:val="21"/>
              </w:rPr>
              <w:t>-</w:t>
            </w:r>
            <w:r>
              <w:rPr>
                <w:rFonts w:hint="eastAsia"/>
                <w:bCs/>
                <w:color w:val="auto"/>
                <w:spacing w:val="7"/>
                <w:sz w:val="21"/>
                <w:szCs w:val="21"/>
                <w:lang w:val="en-US" w:eastAsia="zh-CN"/>
              </w:rPr>
              <w:t>1</w:t>
            </w:r>
            <w:r>
              <w:rPr>
                <w:bCs/>
                <w:color w:val="auto"/>
                <w:spacing w:val="7"/>
                <w:sz w:val="21"/>
                <w:szCs w:val="21"/>
              </w:rPr>
              <w:t>0年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6" w:type="dxa"/>
            <w:tcMar>
              <w:top w:w="0" w:type="dxa"/>
              <w:left w:w="34" w:type="dxa"/>
              <w:bottom w:w="0" w:type="dxa"/>
              <w:right w:w="34" w:type="dxa"/>
            </w:tcMar>
            <w:vAlign w:val="center"/>
          </w:tcPr>
          <w:p>
            <w:pPr>
              <w:spacing w:line="240" w:lineRule="auto"/>
              <w:ind w:firstLine="0" w:firstLineChars="0"/>
              <w:jc w:val="center"/>
              <w:rPr>
                <w:rFonts w:eastAsia="Calibri"/>
                <w:bCs/>
                <w:color w:val="auto"/>
                <w:spacing w:val="7"/>
                <w:sz w:val="21"/>
                <w:szCs w:val="21"/>
              </w:rPr>
            </w:pPr>
            <w:r>
              <w:rPr>
                <w:rFonts w:hint="eastAsia"/>
                <w:bCs/>
                <w:color w:val="auto"/>
                <w:spacing w:val="7"/>
                <w:sz w:val="21"/>
                <w:szCs w:val="21"/>
              </w:rPr>
              <w:t>10</w:t>
            </w:r>
          </w:p>
        </w:tc>
        <w:tc>
          <w:tcPr>
            <w:tcW w:w="1482" w:type="dxa"/>
            <w:tcMar>
              <w:top w:w="0" w:type="dxa"/>
              <w:left w:w="34" w:type="dxa"/>
              <w:bottom w:w="0" w:type="dxa"/>
              <w:right w:w="34" w:type="dxa"/>
            </w:tcMar>
            <w:vAlign w:val="center"/>
          </w:tcPr>
          <w:p>
            <w:pPr>
              <w:spacing w:line="240" w:lineRule="auto"/>
              <w:ind w:firstLine="0" w:firstLineChars="0"/>
              <w:jc w:val="center"/>
              <w:rPr>
                <w:bCs/>
                <w:color w:val="auto"/>
                <w:spacing w:val="7"/>
                <w:sz w:val="21"/>
                <w:szCs w:val="21"/>
              </w:rPr>
            </w:pPr>
            <w:r>
              <w:rPr>
                <w:bCs/>
                <w:color w:val="auto"/>
                <w:spacing w:val="7"/>
                <w:sz w:val="21"/>
                <w:szCs w:val="21"/>
              </w:rPr>
              <w:t>建设周期及成本</w:t>
            </w:r>
          </w:p>
        </w:tc>
        <w:tc>
          <w:tcPr>
            <w:tcW w:w="3400" w:type="dxa"/>
            <w:tcMar>
              <w:top w:w="0" w:type="dxa"/>
              <w:left w:w="34" w:type="dxa"/>
              <w:bottom w:w="0" w:type="dxa"/>
              <w:right w:w="34" w:type="dxa"/>
            </w:tcMar>
            <w:vAlign w:val="center"/>
          </w:tcPr>
          <w:p>
            <w:pPr>
              <w:spacing w:line="240" w:lineRule="auto"/>
              <w:ind w:firstLine="0" w:firstLineChars="0"/>
              <w:jc w:val="center"/>
              <w:rPr>
                <w:bCs/>
                <w:color w:val="auto"/>
                <w:spacing w:val="7"/>
                <w:sz w:val="21"/>
                <w:szCs w:val="21"/>
              </w:rPr>
            </w:pPr>
            <w:r>
              <w:rPr>
                <w:bCs/>
                <w:color w:val="auto"/>
                <w:spacing w:val="7"/>
                <w:sz w:val="21"/>
                <w:szCs w:val="21"/>
              </w:rPr>
              <w:t>建设周期短，20天即可投入运行，每立方池容造价25-30元。</w:t>
            </w:r>
          </w:p>
        </w:tc>
        <w:tc>
          <w:tcPr>
            <w:tcW w:w="3390" w:type="dxa"/>
            <w:tcMar>
              <w:top w:w="0" w:type="dxa"/>
              <w:left w:w="34" w:type="dxa"/>
              <w:bottom w:w="0" w:type="dxa"/>
              <w:right w:w="34" w:type="dxa"/>
            </w:tcMar>
            <w:vAlign w:val="center"/>
          </w:tcPr>
          <w:p>
            <w:pPr>
              <w:spacing w:line="240" w:lineRule="auto"/>
              <w:ind w:firstLine="0" w:firstLineChars="0"/>
              <w:jc w:val="center"/>
              <w:rPr>
                <w:bCs/>
                <w:color w:val="auto"/>
                <w:spacing w:val="7"/>
                <w:sz w:val="21"/>
                <w:szCs w:val="21"/>
              </w:rPr>
            </w:pPr>
            <w:r>
              <w:rPr>
                <w:bCs/>
                <w:color w:val="auto"/>
                <w:spacing w:val="7"/>
                <w:sz w:val="21"/>
                <w:szCs w:val="21"/>
              </w:rPr>
              <w:t>厌氧罐顺利2个月，每立方池容造价500-1000元。</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6" w:type="dxa"/>
            <w:tcMar>
              <w:top w:w="0" w:type="dxa"/>
              <w:left w:w="34" w:type="dxa"/>
              <w:bottom w:w="0" w:type="dxa"/>
              <w:right w:w="34" w:type="dxa"/>
            </w:tcMar>
            <w:vAlign w:val="center"/>
          </w:tcPr>
          <w:p>
            <w:pPr>
              <w:spacing w:line="240" w:lineRule="auto"/>
              <w:ind w:firstLine="0" w:firstLineChars="0"/>
              <w:jc w:val="center"/>
              <w:rPr>
                <w:rFonts w:eastAsia="Calibri"/>
                <w:bCs/>
                <w:color w:val="auto"/>
                <w:spacing w:val="7"/>
                <w:sz w:val="21"/>
                <w:szCs w:val="21"/>
              </w:rPr>
            </w:pPr>
            <w:r>
              <w:rPr>
                <w:rFonts w:hint="eastAsia"/>
                <w:bCs/>
                <w:color w:val="auto"/>
                <w:spacing w:val="7"/>
                <w:sz w:val="21"/>
                <w:szCs w:val="21"/>
              </w:rPr>
              <w:t>11</w:t>
            </w:r>
          </w:p>
        </w:tc>
        <w:tc>
          <w:tcPr>
            <w:tcW w:w="1482" w:type="dxa"/>
            <w:tcMar>
              <w:top w:w="0" w:type="dxa"/>
              <w:left w:w="34" w:type="dxa"/>
              <w:bottom w:w="0" w:type="dxa"/>
              <w:right w:w="34" w:type="dxa"/>
            </w:tcMar>
            <w:vAlign w:val="center"/>
          </w:tcPr>
          <w:p>
            <w:pPr>
              <w:spacing w:line="240" w:lineRule="auto"/>
              <w:ind w:firstLine="0" w:firstLineChars="0"/>
              <w:jc w:val="center"/>
              <w:rPr>
                <w:bCs/>
                <w:color w:val="auto"/>
                <w:spacing w:val="7"/>
                <w:sz w:val="21"/>
                <w:szCs w:val="21"/>
              </w:rPr>
            </w:pPr>
            <w:r>
              <w:rPr>
                <w:bCs/>
                <w:color w:val="auto"/>
                <w:spacing w:val="7"/>
                <w:sz w:val="21"/>
                <w:szCs w:val="21"/>
              </w:rPr>
              <w:t>调试启动</w:t>
            </w:r>
          </w:p>
        </w:tc>
        <w:tc>
          <w:tcPr>
            <w:tcW w:w="3400" w:type="dxa"/>
            <w:tcMar>
              <w:top w:w="0" w:type="dxa"/>
              <w:left w:w="34" w:type="dxa"/>
              <w:bottom w:w="0" w:type="dxa"/>
              <w:right w:w="34" w:type="dxa"/>
            </w:tcMar>
            <w:vAlign w:val="center"/>
          </w:tcPr>
          <w:p>
            <w:pPr>
              <w:spacing w:line="240" w:lineRule="auto"/>
              <w:ind w:firstLine="0" w:firstLineChars="0"/>
              <w:jc w:val="center"/>
              <w:rPr>
                <w:bCs/>
                <w:color w:val="auto"/>
                <w:spacing w:val="7"/>
                <w:sz w:val="21"/>
                <w:szCs w:val="21"/>
              </w:rPr>
            </w:pPr>
            <w:r>
              <w:rPr>
                <w:bCs/>
                <w:color w:val="auto"/>
                <w:spacing w:val="7"/>
                <w:sz w:val="21"/>
                <w:szCs w:val="21"/>
              </w:rPr>
              <w:t>只用加入一定的粪便正常运行即可</w:t>
            </w:r>
          </w:p>
        </w:tc>
        <w:tc>
          <w:tcPr>
            <w:tcW w:w="3390" w:type="dxa"/>
            <w:tcMar>
              <w:top w:w="0" w:type="dxa"/>
              <w:left w:w="34" w:type="dxa"/>
              <w:bottom w:w="0" w:type="dxa"/>
              <w:right w:w="34" w:type="dxa"/>
            </w:tcMar>
            <w:vAlign w:val="center"/>
          </w:tcPr>
          <w:p>
            <w:pPr>
              <w:spacing w:line="240" w:lineRule="auto"/>
              <w:ind w:firstLine="0" w:firstLineChars="0"/>
              <w:jc w:val="center"/>
              <w:rPr>
                <w:bCs/>
                <w:color w:val="auto"/>
                <w:spacing w:val="7"/>
                <w:sz w:val="21"/>
                <w:szCs w:val="21"/>
              </w:rPr>
            </w:pPr>
            <w:r>
              <w:rPr>
                <w:bCs/>
                <w:color w:val="auto"/>
                <w:spacing w:val="7"/>
                <w:sz w:val="21"/>
                <w:szCs w:val="21"/>
              </w:rPr>
              <w:t>需要进行污泥的培养、接种等，操作复杂，启动运行慢长达30天</w:t>
            </w:r>
          </w:p>
        </w:tc>
      </w:tr>
    </w:tbl>
    <w:p>
      <w:pPr>
        <w:ind w:firstLine="480"/>
        <w:rPr>
          <w:bCs/>
          <w:color w:val="auto"/>
        </w:rPr>
      </w:pPr>
      <w:r>
        <w:rPr>
          <w:rFonts w:hint="eastAsia"/>
          <w:bCs/>
          <w:color w:val="auto"/>
        </w:rPr>
        <w:t>综上，UASB内污泥浓度高、有机负荷高、水力停留时间短、无混合搅拌设备、</w:t>
      </w:r>
      <w:r>
        <w:rPr>
          <w:bCs/>
          <w:color w:val="auto"/>
        </w:rPr>
        <w:t>占地面积小</w:t>
      </w:r>
      <w:r>
        <w:rPr>
          <w:rFonts w:hint="eastAsia"/>
          <w:bCs/>
          <w:color w:val="auto"/>
        </w:rPr>
        <w:t>等</w:t>
      </w:r>
      <w:r>
        <w:rPr>
          <w:bCs/>
          <w:color w:val="auto"/>
        </w:rPr>
        <w:t>优点，但</w:t>
      </w:r>
      <w:r>
        <w:rPr>
          <w:rFonts w:hint="eastAsia"/>
          <w:bCs/>
          <w:color w:val="auto"/>
        </w:rPr>
        <w:t>UASB对</w:t>
      </w:r>
      <w:r>
        <w:rPr>
          <w:bCs/>
          <w:color w:val="auto"/>
        </w:rPr>
        <w:t>进水</w:t>
      </w:r>
      <w:r>
        <w:rPr>
          <w:rFonts w:hint="eastAsia"/>
          <w:bCs/>
          <w:color w:val="auto"/>
        </w:rPr>
        <w:t>SS要求</w:t>
      </w:r>
      <w:r>
        <w:rPr>
          <w:bCs/>
          <w:color w:val="auto"/>
        </w:rPr>
        <w:t>较高</w:t>
      </w:r>
      <w:r>
        <w:rPr>
          <w:rFonts w:hint="eastAsia"/>
          <w:bCs/>
          <w:color w:val="auto"/>
        </w:rPr>
        <w:t>（SS</w:t>
      </w:r>
      <w:r>
        <w:rPr>
          <w:rFonts w:hint="eastAsia" w:ascii="宋体" w:hAnsi="宋体"/>
          <w:bCs/>
          <w:color w:val="auto"/>
        </w:rPr>
        <w:t>≤</w:t>
      </w:r>
      <w:r>
        <w:rPr>
          <w:bCs/>
          <w:color w:val="auto"/>
        </w:rPr>
        <w:t>1500mg/L</w:t>
      </w:r>
      <w:r>
        <w:rPr>
          <w:rFonts w:hint="eastAsia"/>
          <w:bCs/>
          <w:color w:val="auto"/>
        </w:rPr>
        <w:t>）</w:t>
      </w:r>
      <w:r>
        <w:rPr>
          <w:bCs/>
          <w:color w:val="auto"/>
        </w:rPr>
        <w:t>，</w:t>
      </w:r>
      <w:r>
        <w:rPr>
          <w:rFonts w:hint="eastAsia"/>
          <w:bCs/>
          <w:color w:val="auto"/>
        </w:rPr>
        <w:t>由于采用干清粪工艺后，</w:t>
      </w:r>
      <w:r>
        <w:rPr>
          <w:bCs/>
          <w:color w:val="auto"/>
        </w:rPr>
        <w:t>使废水SS</w:t>
      </w:r>
      <w:r>
        <w:rPr>
          <w:rFonts w:hint="eastAsia"/>
          <w:bCs/>
          <w:color w:val="auto"/>
        </w:rPr>
        <w:t>浓度较高</w:t>
      </w:r>
      <w:r>
        <w:rPr>
          <w:bCs/>
          <w:color w:val="auto"/>
        </w:rPr>
        <w:t>，</w:t>
      </w:r>
      <w:r>
        <w:rPr>
          <w:rFonts w:hint="eastAsia"/>
          <w:bCs/>
          <w:color w:val="auto"/>
        </w:rPr>
        <w:t>很难</w:t>
      </w:r>
      <w:r>
        <w:rPr>
          <w:bCs/>
          <w:color w:val="auto"/>
        </w:rPr>
        <w:t>满足</w:t>
      </w:r>
      <w:r>
        <w:rPr>
          <w:rFonts w:hint="eastAsia"/>
          <w:bCs/>
          <w:color w:val="auto"/>
        </w:rPr>
        <w:t>UASB工艺</w:t>
      </w:r>
      <w:r>
        <w:rPr>
          <w:bCs/>
          <w:color w:val="auto"/>
        </w:rPr>
        <w:t>进水要求</w:t>
      </w:r>
      <w:r>
        <w:rPr>
          <w:rFonts w:hint="eastAsia"/>
          <w:bCs/>
          <w:color w:val="auto"/>
        </w:rPr>
        <w:t>（本项目</w:t>
      </w:r>
      <w:r>
        <w:rPr>
          <w:bCs/>
          <w:color w:val="auto"/>
        </w:rPr>
        <w:t>预处理后废水</w:t>
      </w:r>
      <w:r>
        <w:rPr>
          <w:rFonts w:hint="eastAsia"/>
          <w:bCs/>
          <w:color w:val="auto"/>
        </w:rPr>
        <w:t>SS≤</w:t>
      </w:r>
      <w:r>
        <w:rPr>
          <w:bCs/>
          <w:color w:val="auto"/>
        </w:rPr>
        <w:t>7000mg/L</w:t>
      </w:r>
      <w:r>
        <w:rPr>
          <w:rFonts w:hint="eastAsia"/>
          <w:bCs/>
          <w:color w:val="auto"/>
        </w:rPr>
        <w:t>），另外</w:t>
      </w:r>
      <w:r>
        <w:rPr>
          <w:bCs/>
          <w:color w:val="auto"/>
        </w:rPr>
        <w:t>，</w:t>
      </w:r>
      <w:r>
        <w:rPr>
          <w:rFonts w:hint="eastAsia"/>
          <w:bCs/>
          <w:color w:val="auto"/>
        </w:rPr>
        <w:t>UASB</w:t>
      </w:r>
      <w:r>
        <w:rPr>
          <w:bCs/>
          <w:color w:val="auto"/>
        </w:rPr>
        <w:t>建成和运营成本较高</w:t>
      </w:r>
      <w:r>
        <w:rPr>
          <w:rFonts w:hint="eastAsia"/>
          <w:bCs/>
          <w:color w:val="auto"/>
        </w:rPr>
        <w:t>，</w:t>
      </w:r>
      <w:r>
        <w:rPr>
          <w:bCs/>
          <w:color w:val="auto"/>
        </w:rPr>
        <w:t>均</w:t>
      </w:r>
      <w:r>
        <w:rPr>
          <w:rFonts w:hint="eastAsia"/>
          <w:bCs/>
          <w:color w:val="auto"/>
        </w:rPr>
        <w:t>限制了UASB工艺的应用。建设</w:t>
      </w:r>
      <w:r>
        <w:rPr>
          <w:bCs/>
          <w:color w:val="auto"/>
        </w:rPr>
        <w:t>单位</w:t>
      </w:r>
      <w:r>
        <w:rPr>
          <w:rFonts w:hint="eastAsia"/>
          <w:bCs/>
          <w:color w:val="auto"/>
        </w:rPr>
        <w:t>广泛考察了国内其他规模化养殖项目的先进实用废水治理技术，并</w:t>
      </w:r>
      <w:r>
        <w:rPr>
          <w:bCs/>
          <w:color w:val="auto"/>
        </w:rPr>
        <w:t>请教相关专家，多次研究后</w:t>
      </w:r>
      <w:r>
        <w:rPr>
          <w:rFonts w:hint="eastAsia"/>
          <w:bCs/>
          <w:color w:val="auto"/>
        </w:rPr>
        <w:t>本项目拟采用“黑膜沼气池工艺。该工艺已在牧原公司唐河十场进行应用，取得较好的效果。目前</w:t>
      </w:r>
      <w:r>
        <w:rPr>
          <w:bCs/>
          <w:color w:val="auto"/>
        </w:rPr>
        <w:t>，全国范围黑膜工艺较为普及，</w:t>
      </w:r>
      <w:r>
        <w:rPr>
          <w:rFonts w:hint="eastAsia"/>
          <w:bCs/>
          <w:color w:val="auto"/>
        </w:rPr>
        <w:t>如</w:t>
      </w:r>
      <w:r>
        <w:rPr>
          <w:bCs/>
          <w:color w:val="auto"/>
        </w:rPr>
        <w:t>新疆正大食品有限公司、</w:t>
      </w:r>
      <w:r>
        <w:rPr>
          <w:rFonts w:hint="eastAsia"/>
          <w:bCs/>
          <w:color w:val="auto"/>
        </w:rPr>
        <w:t>兰州</w:t>
      </w:r>
      <w:r>
        <w:rPr>
          <w:bCs/>
          <w:color w:val="auto"/>
        </w:rPr>
        <w:t>正大食品有限公司、</w:t>
      </w:r>
      <w:r>
        <w:rPr>
          <w:rFonts w:hint="eastAsia"/>
          <w:bCs/>
          <w:color w:val="auto"/>
        </w:rPr>
        <w:t>广西金陵</w:t>
      </w:r>
      <w:r>
        <w:rPr>
          <w:bCs/>
          <w:color w:val="auto"/>
        </w:rPr>
        <w:t>农牧</w:t>
      </w:r>
      <w:r>
        <w:rPr>
          <w:rFonts w:hint="eastAsia"/>
          <w:bCs/>
          <w:color w:val="auto"/>
        </w:rPr>
        <w:t>集团</w:t>
      </w:r>
      <w:r>
        <w:rPr>
          <w:bCs/>
          <w:color w:val="auto"/>
        </w:rPr>
        <w:t>有限公司、</w:t>
      </w:r>
      <w:r>
        <w:rPr>
          <w:rFonts w:hint="eastAsia"/>
          <w:bCs/>
          <w:color w:val="auto"/>
        </w:rPr>
        <w:t>牧原</w:t>
      </w:r>
      <w:r>
        <w:rPr>
          <w:bCs/>
          <w:color w:val="auto"/>
        </w:rPr>
        <w:t>集团公司等多家企业均采用黑膜处理工艺。</w:t>
      </w:r>
    </w:p>
    <w:p>
      <w:pPr>
        <w:ind w:firstLine="480"/>
        <w:rPr>
          <w:color w:val="auto"/>
        </w:rPr>
      </w:pPr>
      <w:r>
        <w:rPr>
          <w:color w:val="auto"/>
        </w:rPr>
        <w:t>黑膜沼气池具有施工简单方便、快速、造价低，工艺流程简单、运行维护方便，污水滞留时间长、消化充分、密封性能好、日产沼气量多，防渗膜材料抗拉强度高、抗老化及耐腐蚀性能强、防渗效果好，利用黑膜吸收阳光、增温保温效果好，池底设自动排沼渣装置、池内沼渣量少等优点。同时，黑膜沼气池还能很好地解决混凝土沼气工程因温度变化而产生收缩、胀裂引起的渗水、漏水、漏气问题以及地面式钢板沼气工程的钢板易腐蚀、管道易堵塞、设备易损坏、运行费用高等问题。</w:t>
      </w:r>
    </w:p>
    <w:p>
      <w:pPr>
        <w:tabs>
          <w:tab w:val="left" w:pos="5625"/>
        </w:tabs>
        <w:ind w:firstLine="480"/>
        <w:outlineLvl w:val="3"/>
        <w:rPr>
          <w:color w:val="auto"/>
        </w:rPr>
      </w:pPr>
      <w:r>
        <w:rPr>
          <w:color w:val="auto"/>
        </w:rPr>
        <w:t>6.2.2.2</w:t>
      </w:r>
      <w:r>
        <w:rPr>
          <w:rFonts w:hint="eastAsia"/>
          <w:color w:val="auto"/>
        </w:rPr>
        <w:t>废水</w:t>
      </w:r>
      <w:r>
        <w:rPr>
          <w:color w:val="auto"/>
        </w:rPr>
        <w:t>治理</w:t>
      </w:r>
      <w:r>
        <w:rPr>
          <w:rFonts w:hint="eastAsia"/>
          <w:color w:val="auto"/>
        </w:rPr>
        <w:t>措施</w:t>
      </w:r>
      <w:r>
        <w:rPr>
          <w:color w:val="auto"/>
        </w:rPr>
        <w:t>工艺</w:t>
      </w:r>
    </w:p>
    <w:p>
      <w:pPr>
        <w:ind w:firstLine="480"/>
        <w:rPr>
          <w:color w:val="auto"/>
        </w:rPr>
      </w:pPr>
      <w:r>
        <w:rPr>
          <w:color w:val="auto"/>
        </w:rPr>
        <w:t>本项目采用“预处理+厌氧发酵+沼液综合利用”的处理工艺。养殖废水经处理后，产生的沼气</w:t>
      </w:r>
      <w:r>
        <w:rPr>
          <w:rFonts w:hint="eastAsia"/>
          <w:color w:val="auto"/>
        </w:rPr>
        <w:t>用于食堂燃料，多于沼气火炬燃烧</w:t>
      </w:r>
      <w:r>
        <w:rPr>
          <w:color w:val="auto"/>
        </w:rPr>
        <w:t>，沼液用于农肥。该处理工艺实现了猪场自身产粪的全部消化和资源综合利用，使粪便和废水变废为宝，取得了良好的经济效益与生态效益。</w:t>
      </w:r>
    </w:p>
    <w:p>
      <w:pPr>
        <w:ind w:firstLine="480"/>
        <w:rPr>
          <w:color w:val="auto"/>
        </w:rPr>
      </w:pPr>
      <w:r>
        <w:rPr>
          <w:color w:val="auto"/>
        </w:rPr>
        <w:t>本项目污染物处理及综合利用见图6-1。</w:t>
      </w:r>
    </w:p>
    <w:p>
      <w:pPr>
        <w:widowControl/>
        <w:ind w:firstLine="0" w:firstLineChars="0"/>
        <w:jc w:val="center"/>
        <w:rPr>
          <w:color w:val="auto"/>
        </w:rPr>
      </w:pPr>
      <w:r>
        <w:rPr>
          <w:color w:val="auto"/>
        </w:rPr>
        <w:drawing>
          <wp:inline distT="0" distB="0" distL="114300" distR="114300">
            <wp:extent cx="5688330" cy="4396740"/>
            <wp:effectExtent l="9525" t="9525" r="17145" b="13335"/>
            <wp:docPr id="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6"/>
                    <pic:cNvPicPr>
                      <a:picLocks noChangeAspect="1"/>
                    </pic:cNvPicPr>
                  </pic:nvPicPr>
                  <pic:blipFill>
                    <a:blip r:embed="rId76"/>
                    <a:stretch>
                      <a:fillRect/>
                    </a:stretch>
                  </pic:blipFill>
                  <pic:spPr>
                    <a:xfrm>
                      <a:off x="0" y="0"/>
                      <a:ext cx="5688330" cy="4396740"/>
                    </a:xfrm>
                    <a:prstGeom prst="rect">
                      <a:avLst/>
                    </a:prstGeom>
                    <a:noFill/>
                    <a:ln w="6350">
                      <a:solidFill>
                        <a:schemeClr val="tx1"/>
                      </a:solidFill>
                    </a:ln>
                  </pic:spPr>
                </pic:pic>
              </a:graphicData>
            </a:graphic>
          </wp:inline>
        </w:drawing>
      </w:r>
    </w:p>
    <w:p>
      <w:pPr>
        <w:spacing w:after="93" w:afterLines="30" w:line="500" w:lineRule="exact"/>
        <w:ind w:firstLine="480"/>
        <w:jc w:val="center"/>
        <w:rPr>
          <w:rFonts w:eastAsia="黑体"/>
          <w:color w:val="auto"/>
          <w:szCs w:val="21"/>
        </w:rPr>
      </w:pPr>
      <w:r>
        <w:rPr>
          <w:rFonts w:hAnsi="黑体" w:eastAsia="黑体"/>
          <w:color w:val="auto"/>
          <w:szCs w:val="21"/>
        </w:rPr>
        <w:t>图</w:t>
      </w:r>
      <w:r>
        <w:rPr>
          <w:rFonts w:eastAsia="黑体"/>
          <w:color w:val="auto"/>
          <w:szCs w:val="21"/>
        </w:rPr>
        <w:t xml:space="preserve">6-1    </w:t>
      </w:r>
      <w:r>
        <w:rPr>
          <w:rFonts w:hAnsi="黑体" w:eastAsia="黑体"/>
          <w:color w:val="auto"/>
          <w:szCs w:val="21"/>
        </w:rPr>
        <w:t>项目污水处理工艺流程图</w:t>
      </w:r>
    </w:p>
    <w:p>
      <w:pPr>
        <w:ind w:firstLine="480"/>
        <w:rPr>
          <w:rFonts w:hAnsi="宋体" w:cs="宋体"/>
          <w:color w:val="auto"/>
        </w:rPr>
      </w:pPr>
      <w:r>
        <w:rPr>
          <w:rFonts w:hint="eastAsia" w:hAnsi="宋体" w:cs="宋体"/>
          <w:color w:val="auto"/>
        </w:rPr>
        <w:t>本工程污染治理工艺说明描述如下：</w:t>
      </w:r>
    </w:p>
    <w:p>
      <w:pPr>
        <w:ind w:firstLine="480"/>
        <w:rPr>
          <w:rFonts w:hAnsi="宋体" w:cs="宋体"/>
          <w:color w:val="auto"/>
        </w:rPr>
      </w:pPr>
      <w:r>
        <w:rPr>
          <w:rFonts w:hint="eastAsia" w:hAnsi="宋体" w:cs="宋体"/>
          <w:color w:val="auto"/>
        </w:rPr>
        <w:t>固液分离机：主要目的是为减轻后续工艺负荷，减少投资，通过物理方法去除杂质，实现减量化。</w:t>
      </w:r>
    </w:p>
    <w:p>
      <w:pPr>
        <w:ind w:firstLine="480"/>
        <w:rPr>
          <w:rFonts w:hAnsi="宋体" w:cs="宋体"/>
          <w:color w:val="auto"/>
        </w:rPr>
      </w:pPr>
      <w:r>
        <w:rPr>
          <w:rFonts w:hint="eastAsia" w:hAnsi="宋体" w:cs="宋体"/>
          <w:color w:val="auto"/>
        </w:rPr>
        <w:t>黑膜沼气池：本项目废水经固液分离、调节后经进入黑膜沼气池，经3</w:t>
      </w:r>
      <w:r>
        <w:rPr>
          <w:rFonts w:hint="eastAsia" w:hAnsi="宋体" w:cs="宋体"/>
          <w:color w:val="auto"/>
          <w:lang w:val="en-US" w:eastAsia="zh-CN"/>
        </w:rPr>
        <w:t>0</w:t>
      </w:r>
      <w:r>
        <w:rPr>
          <w:rFonts w:hint="eastAsia" w:hAnsi="宋体" w:cs="宋体"/>
          <w:color w:val="auto"/>
        </w:rPr>
        <w:t>天厌氧发酵去除大部分有机物，沼液排入黑膜沼气池暂存，沼渣经底部设置排沼渣管道排出。</w:t>
      </w:r>
    </w:p>
    <w:p>
      <w:pPr>
        <w:ind w:firstLine="480"/>
        <w:rPr>
          <w:rFonts w:hAnsi="宋体" w:cs="宋体"/>
          <w:color w:val="auto"/>
        </w:rPr>
      </w:pPr>
      <w:r>
        <w:rPr>
          <w:rFonts w:hint="eastAsia" w:hAnsi="宋体" w:cs="宋体"/>
          <w:color w:val="auto"/>
        </w:rPr>
        <w:t>①污水处理规模的确定</w:t>
      </w:r>
    </w:p>
    <w:p>
      <w:pPr>
        <w:ind w:firstLine="480"/>
        <w:rPr>
          <w:rFonts w:hAnsi="宋体" w:cs="宋体"/>
          <w:color w:val="auto"/>
        </w:rPr>
      </w:pPr>
      <w:r>
        <w:rPr>
          <w:rFonts w:hint="eastAsia" w:hAnsi="宋体" w:cs="宋体"/>
          <w:color w:val="auto"/>
        </w:rPr>
        <w:t>本项目夏季废水量为169.371m</w:t>
      </w:r>
      <w:r>
        <w:rPr>
          <w:rFonts w:hint="eastAsia" w:hAnsi="宋体" w:cs="宋体"/>
          <w:color w:val="auto"/>
          <w:vertAlign w:val="superscript"/>
        </w:rPr>
        <w:t>3</w:t>
      </w:r>
      <w:r>
        <w:rPr>
          <w:rFonts w:hint="eastAsia" w:hAnsi="宋体" w:cs="宋体"/>
          <w:color w:val="auto"/>
        </w:rPr>
        <w:t>/d（夏季最大），设置一座黑膜沼气池。黑膜沼气池的水力停留时间为30d，本项目黑膜沼气池规模设计为17633m</w:t>
      </w:r>
      <w:r>
        <w:rPr>
          <w:rFonts w:hint="eastAsia" w:hAnsi="宋体" w:cs="宋体"/>
          <w:color w:val="auto"/>
          <w:vertAlign w:val="superscript"/>
        </w:rPr>
        <w:t>3</w:t>
      </w:r>
      <w:r>
        <w:rPr>
          <w:rFonts w:hint="eastAsia" w:hAnsi="宋体" w:cs="宋体"/>
          <w:color w:val="auto"/>
        </w:rPr>
        <w:t>，能够满足项目30d废水处理需要。</w:t>
      </w:r>
    </w:p>
    <w:p>
      <w:pPr>
        <w:ind w:firstLine="480"/>
        <w:rPr>
          <w:rFonts w:hAnsi="宋体" w:cs="宋体"/>
          <w:color w:val="auto"/>
        </w:rPr>
      </w:pPr>
      <w:r>
        <w:rPr>
          <w:rFonts w:hAnsi="宋体" w:cs="宋体"/>
          <w:color w:val="auto"/>
        </w:rPr>
        <w:fldChar w:fldCharType="begin"/>
      </w:r>
      <w:r>
        <w:rPr>
          <w:rFonts w:hAnsi="宋体" w:cs="宋体"/>
          <w:color w:val="auto"/>
        </w:rPr>
        <w:instrText xml:space="preserve"> </w:instrText>
      </w:r>
      <w:r>
        <w:rPr>
          <w:rFonts w:hint="eastAsia" w:hAnsi="宋体" w:cs="宋体"/>
          <w:color w:val="auto"/>
        </w:rPr>
        <w:instrText xml:space="preserve">= 2 \* GB3</w:instrText>
      </w:r>
      <w:r>
        <w:rPr>
          <w:rFonts w:hAnsi="宋体" w:cs="宋体"/>
          <w:color w:val="auto"/>
        </w:rPr>
        <w:instrText xml:space="preserve"> </w:instrText>
      </w:r>
      <w:r>
        <w:rPr>
          <w:rFonts w:hAnsi="宋体" w:cs="宋体"/>
          <w:color w:val="auto"/>
        </w:rPr>
        <w:fldChar w:fldCharType="separate"/>
      </w:r>
      <w:r>
        <w:rPr>
          <w:rFonts w:hint="eastAsia" w:hAnsi="宋体" w:cs="宋体"/>
          <w:color w:val="auto"/>
        </w:rPr>
        <w:t>②</w:t>
      </w:r>
      <w:r>
        <w:rPr>
          <w:rFonts w:hAnsi="宋体" w:cs="宋体"/>
          <w:color w:val="auto"/>
        </w:rPr>
        <w:fldChar w:fldCharType="end"/>
      </w:r>
      <w:r>
        <w:rPr>
          <w:rFonts w:hint="eastAsia" w:hAnsi="宋体" w:cs="宋体"/>
          <w:color w:val="auto"/>
        </w:rPr>
        <w:t>污水处理效果的分析</w:t>
      </w:r>
    </w:p>
    <w:p>
      <w:pPr>
        <w:ind w:firstLine="480"/>
        <w:rPr>
          <w:color w:val="auto"/>
        </w:rPr>
      </w:pPr>
      <w:r>
        <w:rPr>
          <w:rFonts w:hint="eastAsia" w:hAnsi="宋体" w:cs="宋体"/>
          <w:color w:val="auto"/>
        </w:rPr>
        <w:t>本项目废水处理预测结果见表6.2-2。</w:t>
      </w:r>
    </w:p>
    <w:p>
      <w:pPr>
        <w:spacing w:after="93" w:afterLines="30"/>
        <w:ind w:firstLine="482"/>
        <w:jc w:val="center"/>
        <w:rPr>
          <w:b/>
          <w:bCs/>
          <w:color w:val="auto"/>
        </w:rPr>
      </w:pPr>
      <w:r>
        <w:rPr>
          <w:rFonts w:hint="eastAsia"/>
          <w:b/>
          <w:bCs/>
          <w:color w:val="auto"/>
        </w:rPr>
        <w:t xml:space="preserve">表6.2-2             </w:t>
      </w:r>
      <w:r>
        <w:rPr>
          <w:b/>
          <w:bCs/>
          <w:color w:val="auto"/>
        </w:rPr>
        <w:t>废水处理效率及预测结果</w:t>
      </w:r>
    </w:p>
    <w:tbl>
      <w:tblPr>
        <w:tblStyle w:val="27"/>
        <w:tblW w:w="4999" w:type="pct"/>
        <w:tblInd w:w="0" w:type="dxa"/>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440"/>
        <w:gridCol w:w="1385"/>
        <w:gridCol w:w="1578"/>
        <w:gridCol w:w="1578"/>
        <w:gridCol w:w="1578"/>
        <w:gridCol w:w="1613"/>
      </w:tblGrid>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540" w:type="pct"/>
            <w:gridSpan w:val="2"/>
            <w:vMerge w:val="restart"/>
            <w:vAlign w:val="center"/>
          </w:tcPr>
          <w:p>
            <w:pPr>
              <w:spacing w:line="240" w:lineRule="auto"/>
              <w:ind w:firstLine="0" w:firstLineChars="0"/>
              <w:jc w:val="center"/>
              <w:rPr>
                <w:color w:val="auto"/>
                <w:sz w:val="21"/>
                <w:szCs w:val="21"/>
              </w:rPr>
            </w:pPr>
            <w:r>
              <w:rPr>
                <w:color w:val="auto"/>
                <w:sz w:val="21"/>
                <w:szCs w:val="21"/>
              </w:rPr>
              <w:t>处理工段</w:t>
            </w:r>
          </w:p>
        </w:tc>
        <w:tc>
          <w:tcPr>
            <w:tcW w:w="3459" w:type="pct"/>
            <w:gridSpan w:val="4"/>
            <w:vAlign w:val="center"/>
          </w:tcPr>
          <w:p>
            <w:pPr>
              <w:spacing w:line="240" w:lineRule="auto"/>
              <w:ind w:firstLine="0" w:firstLineChars="0"/>
              <w:jc w:val="center"/>
              <w:rPr>
                <w:color w:val="auto"/>
                <w:sz w:val="21"/>
                <w:szCs w:val="21"/>
              </w:rPr>
            </w:pPr>
            <w:r>
              <w:rPr>
                <w:color w:val="auto"/>
                <w:sz w:val="21"/>
                <w:szCs w:val="21"/>
              </w:rPr>
              <w:t>主要污染物浓度（mg/L）</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540" w:type="pct"/>
            <w:gridSpan w:val="2"/>
            <w:vMerge w:val="continue"/>
            <w:vAlign w:val="center"/>
          </w:tcPr>
          <w:p>
            <w:pPr>
              <w:spacing w:line="240" w:lineRule="auto"/>
              <w:ind w:firstLine="0" w:firstLineChars="0"/>
              <w:jc w:val="center"/>
              <w:rPr>
                <w:color w:val="auto"/>
                <w:sz w:val="21"/>
                <w:szCs w:val="21"/>
              </w:rPr>
            </w:pPr>
          </w:p>
        </w:tc>
        <w:tc>
          <w:tcPr>
            <w:tcW w:w="860" w:type="pct"/>
            <w:vAlign w:val="center"/>
          </w:tcPr>
          <w:p>
            <w:pPr>
              <w:spacing w:line="240" w:lineRule="auto"/>
              <w:ind w:firstLine="0" w:firstLineChars="0"/>
              <w:jc w:val="center"/>
              <w:rPr>
                <w:color w:val="auto"/>
                <w:sz w:val="21"/>
                <w:szCs w:val="21"/>
              </w:rPr>
            </w:pPr>
            <w:r>
              <w:rPr>
                <w:color w:val="auto"/>
                <w:sz w:val="21"/>
                <w:szCs w:val="21"/>
              </w:rPr>
              <w:t>COD</w:t>
            </w:r>
          </w:p>
        </w:tc>
        <w:tc>
          <w:tcPr>
            <w:tcW w:w="860" w:type="pct"/>
            <w:vAlign w:val="center"/>
          </w:tcPr>
          <w:p>
            <w:pPr>
              <w:spacing w:line="240" w:lineRule="auto"/>
              <w:ind w:firstLine="0" w:firstLineChars="0"/>
              <w:jc w:val="center"/>
              <w:rPr>
                <w:color w:val="auto"/>
                <w:sz w:val="21"/>
                <w:szCs w:val="21"/>
              </w:rPr>
            </w:pPr>
            <w:r>
              <w:rPr>
                <w:color w:val="auto"/>
                <w:sz w:val="21"/>
                <w:szCs w:val="21"/>
              </w:rPr>
              <w:t>BOD</w:t>
            </w:r>
            <w:r>
              <w:rPr>
                <w:color w:val="auto"/>
                <w:sz w:val="21"/>
                <w:szCs w:val="21"/>
                <w:vertAlign w:val="subscript"/>
              </w:rPr>
              <w:t>5</w:t>
            </w:r>
          </w:p>
        </w:tc>
        <w:tc>
          <w:tcPr>
            <w:tcW w:w="860" w:type="pct"/>
            <w:vAlign w:val="center"/>
          </w:tcPr>
          <w:p>
            <w:pPr>
              <w:spacing w:line="240" w:lineRule="auto"/>
              <w:ind w:firstLine="0" w:firstLineChars="0"/>
              <w:jc w:val="center"/>
              <w:rPr>
                <w:color w:val="auto"/>
                <w:sz w:val="21"/>
                <w:szCs w:val="21"/>
              </w:rPr>
            </w:pPr>
            <w:r>
              <w:rPr>
                <w:color w:val="auto"/>
                <w:sz w:val="21"/>
                <w:szCs w:val="21"/>
              </w:rPr>
              <w:t>SS</w:t>
            </w:r>
          </w:p>
        </w:tc>
        <w:tc>
          <w:tcPr>
            <w:tcW w:w="878" w:type="pct"/>
            <w:vAlign w:val="center"/>
          </w:tcPr>
          <w:p>
            <w:pPr>
              <w:spacing w:line="240" w:lineRule="auto"/>
              <w:ind w:firstLine="0" w:firstLineChars="0"/>
              <w:jc w:val="center"/>
              <w:rPr>
                <w:color w:val="auto"/>
                <w:sz w:val="21"/>
                <w:szCs w:val="21"/>
              </w:rPr>
            </w:pPr>
            <w:r>
              <w:rPr>
                <w:color w:val="auto"/>
                <w:sz w:val="21"/>
                <w:szCs w:val="21"/>
              </w:rPr>
              <w:t>NH</w:t>
            </w:r>
            <w:r>
              <w:rPr>
                <w:color w:val="auto"/>
                <w:sz w:val="21"/>
                <w:szCs w:val="21"/>
                <w:vertAlign w:val="subscript"/>
              </w:rPr>
              <w:t>3</w:t>
            </w:r>
            <w:r>
              <w:rPr>
                <w:color w:val="auto"/>
                <w:sz w:val="21"/>
                <w:szCs w:val="21"/>
              </w:rPr>
              <w:t>-N</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85" w:type="pct"/>
            <w:vMerge w:val="restart"/>
            <w:vAlign w:val="center"/>
          </w:tcPr>
          <w:p>
            <w:pPr>
              <w:spacing w:line="240" w:lineRule="auto"/>
              <w:ind w:firstLine="0" w:firstLineChars="0"/>
              <w:jc w:val="center"/>
              <w:rPr>
                <w:color w:val="auto"/>
                <w:sz w:val="21"/>
                <w:szCs w:val="21"/>
              </w:rPr>
            </w:pPr>
            <w:r>
              <w:rPr>
                <w:color w:val="auto"/>
                <w:sz w:val="21"/>
                <w:szCs w:val="21"/>
              </w:rPr>
              <w:t>废水处理系统</w:t>
            </w:r>
          </w:p>
        </w:tc>
        <w:tc>
          <w:tcPr>
            <w:tcW w:w="755" w:type="pct"/>
            <w:vAlign w:val="center"/>
          </w:tcPr>
          <w:p>
            <w:pPr>
              <w:spacing w:line="240" w:lineRule="auto"/>
              <w:ind w:firstLine="0" w:firstLineChars="0"/>
              <w:jc w:val="center"/>
              <w:rPr>
                <w:color w:val="auto"/>
                <w:sz w:val="21"/>
                <w:szCs w:val="21"/>
              </w:rPr>
            </w:pPr>
            <w:r>
              <w:rPr>
                <w:color w:val="auto"/>
                <w:sz w:val="21"/>
                <w:szCs w:val="21"/>
              </w:rPr>
              <w:t>进水</w:t>
            </w:r>
          </w:p>
        </w:tc>
        <w:tc>
          <w:tcPr>
            <w:tcW w:w="860" w:type="pct"/>
            <w:vAlign w:val="center"/>
          </w:tcPr>
          <w:p>
            <w:pPr>
              <w:spacing w:line="240" w:lineRule="auto"/>
              <w:ind w:firstLine="0" w:firstLineChars="0"/>
              <w:jc w:val="center"/>
              <w:rPr>
                <w:color w:val="auto"/>
                <w:sz w:val="21"/>
                <w:szCs w:val="21"/>
              </w:rPr>
            </w:pPr>
            <w:r>
              <w:rPr>
                <w:rFonts w:hint="eastAsia"/>
                <w:color w:val="auto"/>
                <w:sz w:val="21"/>
                <w:szCs w:val="21"/>
              </w:rPr>
              <w:t>14000</w:t>
            </w:r>
          </w:p>
        </w:tc>
        <w:tc>
          <w:tcPr>
            <w:tcW w:w="860" w:type="pct"/>
            <w:vAlign w:val="center"/>
          </w:tcPr>
          <w:p>
            <w:pPr>
              <w:spacing w:line="240" w:lineRule="auto"/>
              <w:ind w:firstLine="0" w:firstLineChars="0"/>
              <w:jc w:val="center"/>
              <w:rPr>
                <w:color w:val="auto"/>
                <w:sz w:val="21"/>
                <w:szCs w:val="21"/>
              </w:rPr>
            </w:pPr>
            <w:r>
              <w:rPr>
                <w:rFonts w:hint="eastAsia"/>
                <w:color w:val="auto"/>
                <w:sz w:val="21"/>
                <w:szCs w:val="21"/>
              </w:rPr>
              <w:t>6000</w:t>
            </w:r>
          </w:p>
        </w:tc>
        <w:tc>
          <w:tcPr>
            <w:tcW w:w="860" w:type="pct"/>
            <w:vAlign w:val="center"/>
          </w:tcPr>
          <w:p>
            <w:pPr>
              <w:spacing w:line="240" w:lineRule="auto"/>
              <w:ind w:firstLine="0" w:firstLineChars="0"/>
              <w:jc w:val="center"/>
              <w:rPr>
                <w:color w:val="auto"/>
                <w:sz w:val="21"/>
                <w:szCs w:val="21"/>
              </w:rPr>
            </w:pPr>
            <w:r>
              <w:rPr>
                <w:rFonts w:hint="eastAsia"/>
                <w:color w:val="auto"/>
                <w:sz w:val="21"/>
                <w:szCs w:val="21"/>
              </w:rPr>
              <w:t>7800</w:t>
            </w:r>
          </w:p>
        </w:tc>
        <w:tc>
          <w:tcPr>
            <w:tcW w:w="878" w:type="pct"/>
            <w:vAlign w:val="center"/>
          </w:tcPr>
          <w:p>
            <w:pPr>
              <w:spacing w:line="240" w:lineRule="auto"/>
              <w:ind w:firstLine="0" w:firstLineChars="0"/>
              <w:jc w:val="center"/>
              <w:rPr>
                <w:color w:val="auto"/>
                <w:sz w:val="21"/>
                <w:szCs w:val="21"/>
              </w:rPr>
            </w:pPr>
            <w:r>
              <w:rPr>
                <w:rFonts w:hint="eastAsia"/>
                <w:color w:val="auto"/>
                <w:sz w:val="21"/>
                <w:szCs w:val="21"/>
              </w:rPr>
              <w:t>1000</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85" w:type="pct"/>
            <w:vMerge w:val="continue"/>
            <w:vAlign w:val="center"/>
          </w:tcPr>
          <w:p>
            <w:pPr>
              <w:spacing w:line="240" w:lineRule="auto"/>
              <w:ind w:firstLine="0" w:firstLineChars="0"/>
              <w:jc w:val="center"/>
              <w:rPr>
                <w:color w:val="auto"/>
                <w:sz w:val="21"/>
                <w:szCs w:val="21"/>
              </w:rPr>
            </w:pPr>
          </w:p>
        </w:tc>
        <w:tc>
          <w:tcPr>
            <w:tcW w:w="755" w:type="pct"/>
            <w:vAlign w:val="center"/>
          </w:tcPr>
          <w:p>
            <w:pPr>
              <w:spacing w:line="240" w:lineRule="auto"/>
              <w:ind w:firstLine="0" w:firstLineChars="0"/>
              <w:jc w:val="center"/>
              <w:rPr>
                <w:color w:val="auto"/>
                <w:sz w:val="21"/>
                <w:szCs w:val="21"/>
              </w:rPr>
            </w:pPr>
            <w:r>
              <w:rPr>
                <w:color w:val="auto"/>
                <w:sz w:val="21"/>
                <w:szCs w:val="21"/>
              </w:rPr>
              <w:t>去除率</w:t>
            </w:r>
          </w:p>
        </w:tc>
        <w:tc>
          <w:tcPr>
            <w:tcW w:w="860" w:type="pct"/>
            <w:vAlign w:val="center"/>
          </w:tcPr>
          <w:p>
            <w:pPr>
              <w:spacing w:line="240" w:lineRule="auto"/>
              <w:ind w:firstLine="0" w:firstLineChars="0"/>
              <w:jc w:val="center"/>
              <w:rPr>
                <w:color w:val="auto"/>
                <w:sz w:val="21"/>
                <w:szCs w:val="21"/>
              </w:rPr>
            </w:pPr>
            <w:r>
              <w:rPr>
                <w:rFonts w:hint="eastAsia"/>
                <w:color w:val="auto"/>
                <w:sz w:val="21"/>
                <w:szCs w:val="21"/>
              </w:rPr>
              <w:t>78.6</w:t>
            </w:r>
          </w:p>
        </w:tc>
        <w:tc>
          <w:tcPr>
            <w:tcW w:w="860" w:type="pct"/>
            <w:vAlign w:val="center"/>
          </w:tcPr>
          <w:p>
            <w:pPr>
              <w:spacing w:line="240" w:lineRule="auto"/>
              <w:ind w:firstLine="0" w:firstLineChars="0"/>
              <w:jc w:val="center"/>
              <w:rPr>
                <w:color w:val="auto"/>
                <w:sz w:val="21"/>
                <w:szCs w:val="21"/>
              </w:rPr>
            </w:pPr>
            <w:r>
              <w:rPr>
                <w:rFonts w:hint="eastAsia"/>
                <w:color w:val="auto"/>
                <w:sz w:val="21"/>
                <w:szCs w:val="21"/>
              </w:rPr>
              <w:t>76.7</w:t>
            </w:r>
          </w:p>
        </w:tc>
        <w:tc>
          <w:tcPr>
            <w:tcW w:w="860" w:type="pct"/>
            <w:vAlign w:val="center"/>
          </w:tcPr>
          <w:p>
            <w:pPr>
              <w:spacing w:line="240" w:lineRule="auto"/>
              <w:ind w:firstLine="0" w:firstLineChars="0"/>
              <w:jc w:val="center"/>
              <w:rPr>
                <w:color w:val="auto"/>
                <w:sz w:val="21"/>
                <w:szCs w:val="21"/>
              </w:rPr>
            </w:pPr>
            <w:r>
              <w:rPr>
                <w:rFonts w:hint="eastAsia"/>
                <w:color w:val="auto"/>
                <w:sz w:val="21"/>
                <w:szCs w:val="21"/>
              </w:rPr>
              <w:t>74.4</w:t>
            </w:r>
          </w:p>
        </w:tc>
        <w:tc>
          <w:tcPr>
            <w:tcW w:w="878" w:type="pct"/>
            <w:vAlign w:val="center"/>
          </w:tcPr>
          <w:p>
            <w:pPr>
              <w:spacing w:line="240" w:lineRule="auto"/>
              <w:ind w:firstLine="0" w:firstLineChars="0"/>
              <w:jc w:val="center"/>
              <w:rPr>
                <w:color w:val="auto"/>
                <w:sz w:val="21"/>
                <w:szCs w:val="21"/>
              </w:rPr>
            </w:pPr>
            <w:r>
              <w:rPr>
                <w:rFonts w:hint="eastAsia"/>
                <w:color w:val="auto"/>
                <w:sz w:val="21"/>
                <w:szCs w:val="21"/>
              </w:rPr>
              <w:t>10</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85" w:type="pct"/>
            <w:vMerge w:val="continue"/>
            <w:vAlign w:val="center"/>
          </w:tcPr>
          <w:p>
            <w:pPr>
              <w:spacing w:line="240" w:lineRule="auto"/>
              <w:ind w:firstLine="0" w:firstLineChars="0"/>
              <w:jc w:val="center"/>
              <w:rPr>
                <w:color w:val="auto"/>
                <w:sz w:val="21"/>
                <w:szCs w:val="21"/>
              </w:rPr>
            </w:pPr>
          </w:p>
        </w:tc>
        <w:tc>
          <w:tcPr>
            <w:tcW w:w="755" w:type="pct"/>
            <w:vAlign w:val="center"/>
          </w:tcPr>
          <w:p>
            <w:pPr>
              <w:spacing w:line="240" w:lineRule="auto"/>
              <w:ind w:firstLine="0" w:firstLineChars="0"/>
              <w:jc w:val="center"/>
              <w:rPr>
                <w:color w:val="auto"/>
                <w:sz w:val="21"/>
                <w:szCs w:val="21"/>
              </w:rPr>
            </w:pPr>
            <w:r>
              <w:rPr>
                <w:color w:val="auto"/>
                <w:sz w:val="21"/>
                <w:szCs w:val="21"/>
              </w:rPr>
              <w:t>出水</w:t>
            </w:r>
          </w:p>
        </w:tc>
        <w:tc>
          <w:tcPr>
            <w:tcW w:w="860" w:type="pct"/>
          </w:tcPr>
          <w:p>
            <w:pPr>
              <w:spacing w:line="240" w:lineRule="auto"/>
              <w:ind w:firstLine="0" w:firstLineChars="0"/>
              <w:jc w:val="center"/>
              <w:rPr>
                <w:color w:val="auto"/>
                <w:sz w:val="21"/>
                <w:szCs w:val="21"/>
              </w:rPr>
            </w:pPr>
            <w:r>
              <w:rPr>
                <w:rFonts w:hint="eastAsia"/>
                <w:color w:val="auto"/>
                <w:sz w:val="21"/>
                <w:szCs w:val="21"/>
              </w:rPr>
              <w:t>3000</w:t>
            </w:r>
          </w:p>
        </w:tc>
        <w:tc>
          <w:tcPr>
            <w:tcW w:w="860" w:type="pct"/>
          </w:tcPr>
          <w:p>
            <w:pPr>
              <w:spacing w:line="240" w:lineRule="auto"/>
              <w:ind w:firstLine="0" w:firstLineChars="0"/>
              <w:jc w:val="center"/>
              <w:rPr>
                <w:color w:val="auto"/>
                <w:sz w:val="21"/>
                <w:szCs w:val="21"/>
              </w:rPr>
            </w:pPr>
            <w:r>
              <w:rPr>
                <w:color w:val="auto"/>
                <w:sz w:val="21"/>
                <w:szCs w:val="21"/>
              </w:rPr>
              <w:t>14</w:t>
            </w:r>
            <w:r>
              <w:rPr>
                <w:rFonts w:hint="eastAsia"/>
                <w:color w:val="auto"/>
                <w:sz w:val="21"/>
                <w:szCs w:val="21"/>
              </w:rPr>
              <w:t>00</w:t>
            </w:r>
          </w:p>
        </w:tc>
        <w:tc>
          <w:tcPr>
            <w:tcW w:w="860" w:type="pct"/>
          </w:tcPr>
          <w:p>
            <w:pPr>
              <w:spacing w:line="240" w:lineRule="auto"/>
              <w:ind w:firstLine="0" w:firstLineChars="0"/>
              <w:jc w:val="center"/>
              <w:rPr>
                <w:color w:val="auto"/>
                <w:sz w:val="21"/>
                <w:szCs w:val="21"/>
              </w:rPr>
            </w:pPr>
            <w:r>
              <w:rPr>
                <w:rFonts w:hint="eastAsia"/>
                <w:color w:val="auto"/>
                <w:sz w:val="21"/>
                <w:szCs w:val="21"/>
              </w:rPr>
              <w:t>2000</w:t>
            </w:r>
          </w:p>
        </w:tc>
        <w:tc>
          <w:tcPr>
            <w:tcW w:w="878" w:type="pct"/>
          </w:tcPr>
          <w:p>
            <w:pPr>
              <w:spacing w:line="240" w:lineRule="auto"/>
              <w:ind w:firstLine="0" w:firstLineChars="0"/>
              <w:jc w:val="center"/>
              <w:rPr>
                <w:color w:val="auto"/>
                <w:sz w:val="21"/>
                <w:szCs w:val="21"/>
              </w:rPr>
            </w:pPr>
            <w:r>
              <w:rPr>
                <w:rFonts w:hint="eastAsia"/>
                <w:color w:val="auto"/>
                <w:sz w:val="21"/>
                <w:szCs w:val="21"/>
              </w:rPr>
              <w:t>900</w:t>
            </w:r>
          </w:p>
        </w:tc>
      </w:tr>
    </w:tbl>
    <w:p>
      <w:pPr>
        <w:ind w:firstLine="480"/>
        <w:rPr>
          <w:rFonts w:hAnsi="宋体"/>
          <w:color w:val="auto"/>
        </w:rPr>
      </w:pPr>
      <w:r>
        <w:rPr>
          <w:color w:val="auto"/>
        </w:rPr>
        <w:t>由表</w:t>
      </w:r>
      <w:r>
        <w:rPr>
          <w:rFonts w:hint="eastAsia"/>
          <w:color w:val="auto"/>
        </w:rPr>
        <w:t>6.2-2</w:t>
      </w:r>
      <w:r>
        <w:rPr>
          <w:color w:val="auto"/>
        </w:rPr>
        <w:t>知，</w:t>
      </w:r>
      <w:r>
        <w:rPr>
          <w:rFonts w:hAnsi="宋体"/>
          <w:color w:val="auto"/>
        </w:rPr>
        <w:t>养殖区综合废水经污水处置工程处理后，</w:t>
      </w:r>
      <w:r>
        <w:rPr>
          <w:rFonts w:hint="eastAsia" w:hAnsi="宋体"/>
          <w:color w:val="auto"/>
        </w:rPr>
        <w:t>本项目</w:t>
      </w:r>
      <w:r>
        <w:rPr>
          <w:rFonts w:hAnsi="宋体"/>
          <w:color w:val="auto"/>
        </w:rPr>
        <w:t>COD、BOD</w:t>
      </w:r>
      <w:r>
        <w:rPr>
          <w:rFonts w:hAnsi="宋体"/>
          <w:color w:val="auto"/>
          <w:vertAlign w:val="subscript"/>
        </w:rPr>
        <w:t>5</w:t>
      </w:r>
      <w:r>
        <w:rPr>
          <w:rFonts w:hAnsi="宋体"/>
          <w:color w:val="auto"/>
        </w:rPr>
        <w:t>、SS的去除率分别</w:t>
      </w:r>
      <w:r>
        <w:rPr>
          <w:rFonts w:hint="eastAsia" w:hAnsi="宋体"/>
          <w:color w:val="auto"/>
        </w:rPr>
        <w:t>可</w:t>
      </w:r>
      <w:r>
        <w:rPr>
          <w:rFonts w:hAnsi="宋体"/>
          <w:color w:val="auto"/>
        </w:rPr>
        <w:t>达到</w:t>
      </w:r>
      <w:r>
        <w:rPr>
          <w:rFonts w:hint="eastAsia" w:hAnsi="宋体"/>
          <w:color w:val="auto"/>
        </w:rPr>
        <w:t>78.6</w:t>
      </w:r>
      <w:r>
        <w:rPr>
          <w:rFonts w:hAnsi="宋体"/>
          <w:color w:val="auto"/>
        </w:rPr>
        <w:t>%、</w:t>
      </w:r>
      <w:r>
        <w:rPr>
          <w:rFonts w:hint="eastAsia" w:hAnsi="宋体"/>
          <w:color w:val="auto"/>
        </w:rPr>
        <w:t>76.7</w:t>
      </w:r>
      <w:r>
        <w:rPr>
          <w:rFonts w:hAnsi="宋体"/>
          <w:color w:val="auto"/>
        </w:rPr>
        <w:t>%、</w:t>
      </w:r>
      <w:r>
        <w:rPr>
          <w:rFonts w:hint="eastAsia" w:hAnsi="宋体"/>
          <w:color w:val="auto"/>
        </w:rPr>
        <w:t>74.4</w:t>
      </w:r>
      <w:r>
        <w:rPr>
          <w:rFonts w:hAnsi="宋体"/>
          <w:color w:val="auto"/>
        </w:rPr>
        <w:t>%以上</w:t>
      </w:r>
      <w:r>
        <w:rPr>
          <w:color w:val="auto"/>
        </w:rPr>
        <w:t>。</w:t>
      </w:r>
    </w:p>
    <w:p>
      <w:pPr>
        <w:tabs>
          <w:tab w:val="left" w:pos="5625"/>
        </w:tabs>
        <w:ind w:firstLine="480"/>
        <w:outlineLvl w:val="3"/>
        <w:rPr>
          <w:color w:val="auto"/>
        </w:rPr>
      </w:pPr>
      <w:r>
        <w:rPr>
          <w:color w:val="auto"/>
        </w:rPr>
        <w:t>6.2.2.</w:t>
      </w:r>
      <w:r>
        <w:rPr>
          <w:rFonts w:hint="eastAsia"/>
          <w:color w:val="auto"/>
        </w:rPr>
        <w:t>3</w:t>
      </w:r>
      <w:r>
        <w:rPr>
          <w:color w:val="auto"/>
        </w:rPr>
        <w:t>沼液综合利用措施可行性分析</w:t>
      </w:r>
    </w:p>
    <w:p>
      <w:pPr>
        <w:ind w:firstLine="480"/>
        <w:rPr>
          <w:color w:val="auto"/>
        </w:rPr>
      </w:pPr>
      <w:r>
        <w:rPr>
          <w:color w:val="auto"/>
        </w:rPr>
        <w:t>本次评价从沼液营养成分、土地消纳能力以及现实操作性等方面来分析沼液农肥利用系统的可行性。</w:t>
      </w:r>
    </w:p>
    <w:p>
      <w:pPr>
        <w:ind w:firstLine="480"/>
        <w:rPr>
          <w:color w:val="auto"/>
        </w:rPr>
      </w:pPr>
      <w:r>
        <w:rPr>
          <w:color w:val="auto"/>
        </w:rPr>
        <w:t>（1）沼液</w:t>
      </w:r>
      <w:r>
        <w:rPr>
          <w:rFonts w:hint="eastAsia"/>
          <w:color w:val="auto"/>
        </w:rPr>
        <w:t>营养成分</w:t>
      </w:r>
    </w:p>
    <w:p>
      <w:pPr>
        <w:ind w:firstLine="480"/>
        <w:rPr>
          <w:color w:val="auto"/>
        </w:rPr>
      </w:pPr>
      <w:r>
        <w:rPr>
          <w:rFonts w:hint="eastAsia"/>
          <w:color w:val="auto"/>
        </w:rPr>
        <w:t>根据国内外大量实验研究及实际运用表明，沼液尤其是养殖废水处理后的沼液，不仅含有作物所需求丰富的N、P、K等大量元素，还含有硼、铜、铁、锰、钙、锌等中微量元素，以及大量的有机质、多种氨基酸和维生素等。施用沼液，不仅能显著改良土壤、增加作物产量、确保农作物生长所需要的良好微生态系统，还有利于增强其抗冻、抗旱、抗虫能力。因此沼液是一种非常理想的液态肥料。</w:t>
      </w:r>
    </w:p>
    <w:p>
      <w:pPr>
        <w:ind w:firstLine="480"/>
        <w:rPr>
          <w:color w:val="auto"/>
        </w:rPr>
      </w:pPr>
      <w:r>
        <w:rPr>
          <w:rFonts w:hint="eastAsia"/>
          <w:color w:val="auto"/>
        </w:rPr>
        <w:t>项目沼液做农田液体肥综合利用，环评的重点从沼液营养成分、土地消纳能力以及现实操作性等方面来分析沼液农肥利用系统的可行性。</w:t>
      </w:r>
    </w:p>
    <w:p>
      <w:pPr>
        <w:ind w:firstLine="480"/>
        <w:rPr>
          <w:color w:val="auto"/>
        </w:rPr>
      </w:pPr>
      <w:r>
        <w:rPr>
          <w:color w:val="auto"/>
        </w:rPr>
        <w:t>（</w:t>
      </w:r>
      <w:r>
        <w:rPr>
          <w:rFonts w:hint="eastAsia"/>
          <w:color w:val="auto"/>
        </w:rPr>
        <w:t>2</w:t>
      </w:r>
      <w:r>
        <w:rPr>
          <w:color w:val="auto"/>
        </w:rPr>
        <w:t>）土地沼液消纳能力</w:t>
      </w:r>
    </w:p>
    <w:p>
      <w:pPr>
        <w:ind w:firstLine="480"/>
        <w:rPr>
          <w:color w:val="auto"/>
        </w:rPr>
      </w:pPr>
      <w:r>
        <w:rPr>
          <w:rFonts w:hint="eastAsia"/>
          <w:color w:val="auto"/>
        </w:rPr>
        <w:t>①沼液肥效确定</w:t>
      </w:r>
    </w:p>
    <w:p>
      <w:pPr>
        <w:ind w:firstLine="480"/>
        <w:rPr>
          <w:bCs/>
          <w:color w:val="auto"/>
        </w:rPr>
      </w:pPr>
      <w:r>
        <w:rPr>
          <w:bCs/>
          <w:color w:val="auto"/>
        </w:rPr>
        <w:t>多年来，</w:t>
      </w:r>
      <w:r>
        <w:rPr>
          <w:rFonts w:hint="eastAsia"/>
          <w:bCs/>
          <w:color w:val="auto"/>
        </w:rPr>
        <w:t>濮阳县</w:t>
      </w:r>
      <w:r>
        <w:rPr>
          <w:bCs/>
          <w:color w:val="auto"/>
        </w:rPr>
        <w:t>耕作种植为一年两熟，夏季收获以小麦为主、秋季收获以</w:t>
      </w:r>
      <w:r>
        <w:rPr>
          <w:rFonts w:hint="eastAsia"/>
          <w:bCs/>
          <w:color w:val="auto"/>
        </w:rPr>
        <w:t>玉米</w:t>
      </w:r>
      <w:r>
        <w:rPr>
          <w:bCs/>
          <w:color w:val="auto"/>
        </w:rPr>
        <w:t>为主，因此农田消纳主要以小麦-</w:t>
      </w:r>
      <w:r>
        <w:rPr>
          <w:rFonts w:hint="eastAsia"/>
          <w:bCs/>
          <w:color w:val="auto"/>
        </w:rPr>
        <w:t>玉米</w:t>
      </w:r>
      <w:r>
        <w:rPr>
          <w:bCs/>
          <w:color w:val="auto"/>
        </w:rPr>
        <w:t>为主。</w:t>
      </w:r>
    </w:p>
    <w:p>
      <w:pPr>
        <w:ind w:firstLine="480"/>
        <w:rPr>
          <w:color w:val="auto"/>
        </w:rPr>
      </w:pPr>
      <w:r>
        <w:rPr>
          <w:rFonts w:hint="eastAsia"/>
          <w:color w:val="auto"/>
        </w:rPr>
        <w:t>沼液中含量最多也是最主要的可被作物吸收利用的为N素。根据工程分析，项目沼液中的氨氮含量为</w:t>
      </w:r>
      <w:r>
        <w:rPr>
          <w:color w:val="auto"/>
        </w:rPr>
        <w:t>9</w:t>
      </w:r>
      <w:r>
        <w:rPr>
          <w:rFonts w:hint="eastAsia"/>
          <w:color w:val="auto"/>
        </w:rPr>
        <w:t>23.13mg/L，查找类比资料可知，养殖废水中氨氮浓度为总氮的80%左右，则总氮浓度为</w:t>
      </w:r>
      <w:r>
        <w:rPr>
          <w:color w:val="auto"/>
        </w:rPr>
        <w:t>11</w:t>
      </w:r>
      <w:r>
        <w:rPr>
          <w:rFonts w:hint="eastAsia"/>
          <w:color w:val="auto"/>
        </w:rPr>
        <w:t>53.9mg/L。</w:t>
      </w:r>
    </w:p>
    <w:p>
      <w:pPr>
        <w:ind w:left="-360" w:firstLine="960" w:firstLineChars="400"/>
        <w:rPr>
          <w:color w:val="auto"/>
        </w:rPr>
      </w:pPr>
      <w:r>
        <w:rPr>
          <w:color w:val="auto"/>
        </w:rPr>
        <w:t>②</w:t>
      </w:r>
      <w:r>
        <w:rPr>
          <w:rFonts w:hint="eastAsia"/>
          <w:color w:val="auto"/>
        </w:rPr>
        <w:t>农田消纳能力计算</w:t>
      </w:r>
    </w:p>
    <w:p>
      <w:pPr>
        <w:widowControl/>
        <w:ind w:firstLine="480"/>
        <w:jc w:val="left"/>
        <w:rPr>
          <w:color w:val="auto"/>
        </w:rPr>
      </w:pPr>
      <w:r>
        <w:rPr>
          <w:rFonts w:hint="eastAsia"/>
          <w:color w:val="auto"/>
        </w:rPr>
        <w:t>按照省环保厅、省农业厅、省畜牧局《关于印发畜禽养殖业污染源总量减排技术指导意见（试行）的通知》（豫环文2012）99号中“养猪场采用干清粪方式，场建设治污设施，即粪便生产有机肥或制沼气，有机肥、沼渣还田；污水/尿液经处理后还田，无污水排放口进行外排”，采用此模式要求养殖场每出栏10头猪需配套不少于1亩土地。</w:t>
      </w:r>
    </w:p>
    <w:p>
      <w:pPr>
        <w:widowControl/>
        <w:ind w:firstLine="480"/>
        <w:rPr>
          <w:color w:val="auto"/>
        </w:rPr>
      </w:pPr>
      <w:r>
        <w:rPr>
          <w:rFonts w:hint="eastAsia"/>
          <w:color w:val="auto"/>
        </w:rPr>
        <w:t>本项目养殖过程产生的猪粪、沼渣经固液分离机分离后运至固粪处理区堆肥发酵，产生的沼渣与堆肥发酵后的肥料在固粪处理区制有机肥</w:t>
      </w:r>
      <w:r>
        <w:rPr>
          <w:rFonts w:hint="eastAsia"/>
          <w:color w:val="auto"/>
          <w:lang w:eastAsia="zh-CN"/>
        </w:rPr>
        <w:t>基料</w:t>
      </w:r>
      <w:r>
        <w:rPr>
          <w:rFonts w:hint="eastAsia"/>
          <w:color w:val="auto"/>
        </w:rPr>
        <w:t>，只有污水处理系统产生的沼液用于农田施肥，不适合“畜禽养殖业污染源总量减排技术指导意见（试行）”的计算方法。沼液中含有丰富的氮、磷、钾等元素，其中含量最多也是最主要的可被作物吸收利用的为氮元素。本次评价通过氮元素在猪粪、沼液和沼渣中的含量比来计算本项目产生的沼液需要消纳地的面积。</w:t>
      </w:r>
    </w:p>
    <w:p>
      <w:pPr>
        <w:ind w:firstLine="464"/>
        <w:rPr>
          <w:color w:val="auto"/>
        </w:rPr>
      </w:pPr>
      <w:r>
        <w:rPr>
          <w:color w:val="auto"/>
          <w:spacing w:val="-4"/>
        </w:rPr>
        <w:t>根据农业部办公厅印发的《畜禽粪污土地承载力测算技术指南》（农办牧</w:t>
      </w:r>
      <w:r>
        <w:rPr>
          <w:color w:val="auto"/>
        </w:rPr>
        <w:t>【</w:t>
      </w:r>
      <w:r>
        <w:rPr>
          <w:rFonts w:eastAsia="Times New Roman"/>
          <w:color w:val="auto"/>
        </w:rPr>
        <w:t>2018</w:t>
      </w:r>
      <w:r>
        <w:rPr>
          <w:color w:val="auto"/>
        </w:rPr>
        <w:t>】</w:t>
      </w:r>
      <w:r>
        <w:rPr>
          <w:rFonts w:eastAsia="Times New Roman"/>
          <w:color w:val="auto"/>
        </w:rPr>
        <w:t>1</w:t>
      </w:r>
      <w:r>
        <w:rPr>
          <w:color w:val="auto"/>
        </w:rPr>
        <w:t>号）中的核算方法（具体核算见</w:t>
      </w:r>
      <w:r>
        <w:rPr>
          <w:color w:val="auto"/>
          <w:spacing w:val="-60"/>
        </w:rPr>
        <w:t xml:space="preserve"> </w:t>
      </w:r>
      <w:r>
        <w:rPr>
          <w:rFonts w:eastAsia="Times New Roman"/>
          <w:color w:val="auto"/>
          <w:spacing w:val="-6"/>
        </w:rPr>
        <w:t>5.1.2.2</w:t>
      </w:r>
      <w:r>
        <w:rPr>
          <w:color w:val="auto"/>
          <w:spacing w:val="-6"/>
        </w:rPr>
        <w:t>）</w:t>
      </w:r>
      <w:r>
        <w:rPr>
          <w:rFonts w:hint="eastAsia"/>
          <w:color w:val="auto"/>
          <w:spacing w:val="-6"/>
        </w:rPr>
        <w:t>及</w:t>
      </w:r>
      <w:r>
        <w:rPr>
          <w:rFonts w:hint="eastAsia"/>
          <w:color w:val="auto"/>
        </w:rPr>
        <w:t>农业农村部办公厅 生态环境部办公厅关于进一步明确畜禽粪污还田利用要求强化养殖污染监管的通知（农办牧【2020】23号）</w:t>
      </w:r>
      <w:r>
        <w:rPr>
          <w:color w:val="auto"/>
          <w:spacing w:val="-6"/>
        </w:rPr>
        <w:t>，核算本项目沼液需要的消</w:t>
      </w:r>
      <w:r>
        <w:rPr>
          <w:color w:val="auto"/>
        </w:rPr>
        <w:t>纳面积为</w:t>
      </w:r>
      <w:r>
        <w:rPr>
          <w:rFonts w:hint="eastAsia"/>
          <w:color w:val="auto"/>
        </w:rPr>
        <w:t>1300</w:t>
      </w:r>
      <w:r>
        <w:rPr>
          <w:color w:val="auto"/>
        </w:rPr>
        <w:t>亩农田。</w:t>
      </w:r>
    </w:p>
    <w:p>
      <w:pPr>
        <w:widowControl/>
        <w:ind w:firstLine="480"/>
        <w:jc w:val="left"/>
        <w:rPr>
          <w:color w:val="auto"/>
        </w:rPr>
      </w:pPr>
      <w:r>
        <w:rPr>
          <w:rFonts w:hint="eastAsia"/>
          <w:color w:val="auto"/>
        </w:rPr>
        <w:t>为了保证项目产生的沼液能够100%综合利用，牧原公司采用配套农田模式来推进沼液消纳。公司与周围村庄签订协议，利用五星乡</w:t>
      </w:r>
      <w:r>
        <w:rPr>
          <w:rStyle w:val="31"/>
          <w:rFonts w:hint="eastAsia"/>
          <w:color w:val="auto"/>
          <w:sz w:val="24"/>
          <w:szCs w:val="24"/>
          <w:lang w:eastAsia="zh-CN"/>
        </w:rPr>
        <w:t>于屯村</w:t>
      </w:r>
      <w:r>
        <w:rPr>
          <w:rFonts w:hint="eastAsia"/>
          <w:color w:val="auto"/>
        </w:rPr>
        <w:t>共1300亩农田，消纳项目产生的沼液，消纳地由消纳地由当地农民根据需要自己种植作物，公司负责无偿将沼液输送管网铺设至田间地头，并定期派出管理和技术人员指导农户合理施用沼液。沼液消纳范围详见附图。</w:t>
      </w:r>
    </w:p>
    <w:p>
      <w:pPr>
        <w:widowControl/>
        <w:ind w:firstLine="480"/>
        <w:jc w:val="left"/>
        <w:rPr>
          <w:color w:val="auto"/>
        </w:rPr>
      </w:pPr>
      <w:r>
        <w:rPr>
          <w:color w:val="auto"/>
        </w:rPr>
        <w:t>（3）沼液利用的现实操作性</w:t>
      </w:r>
    </w:p>
    <w:p>
      <w:pPr>
        <w:pStyle w:val="48"/>
        <w:spacing w:afterLines="0"/>
        <w:ind w:firstLine="480"/>
        <w:rPr>
          <w:color w:val="auto"/>
          <w:kern w:val="2"/>
        </w:rPr>
      </w:pPr>
      <w:r>
        <w:rPr>
          <w:color w:val="auto"/>
          <w:kern w:val="2"/>
        </w:rPr>
        <w:fldChar w:fldCharType="begin"/>
      </w:r>
      <w:r>
        <w:rPr>
          <w:color w:val="auto"/>
          <w:kern w:val="2"/>
        </w:rPr>
        <w:instrText xml:space="preserve"> </w:instrText>
      </w:r>
      <w:r>
        <w:rPr>
          <w:rFonts w:hint="eastAsia"/>
          <w:color w:val="auto"/>
          <w:kern w:val="2"/>
        </w:rPr>
        <w:instrText xml:space="preserve">= 1 \* GB3</w:instrText>
      </w:r>
      <w:r>
        <w:rPr>
          <w:color w:val="auto"/>
          <w:kern w:val="2"/>
        </w:rPr>
        <w:instrText xml:space="preserve"> </w:instrText>
      </w:r>
      <w:r>
        <w:rPr>
          <w:color w:val="auto"/>
          <w:kern w:val="2"/>
        </w:rPr>
        <w:fldChar w:fldCharType="separate"/>
      </w:r>
      <w:r>
        <w:rPr>
          <w:rFonts w:hint="eastAsia"/>
          <w:color w:val="auto"/>
          <w:kern w:val="2"/>
        </w:rPr>
        <w:t>①</w:t>
      </w:r>
      <w:r>
        <w:rPr>
          <w:color w:val="auto"/>
          <w:kern w:val="2"/>
        </w:rPr>
        <w:fldChar w:fldCharType="end"/>
      </w:r>
      <w:r>
        <w:rPr>
          <w:rFonts w:hint="eastAsia"/>
          <w:color w:val="auto"/>
          <w:kern w:val="2"/>
        </w:rPr>
        <w:t>消纳区土壤类型及作物种植情况</w:t>
      </w:r>
    </w:p>
    <w:p>
      <w:pPr>
        <w:pStyle w:val="49"/>
        <w:shd w:val="clear" w:color="auto" w:fill="auto"/>
        <w:spacing w:after="0" w:line="360" w:lineRule="auto"/>
        <w:ind w:firstLine="436" w:firstLineChars="182"/>
        <w:jc w:val="both"/>
        <w:rPr>
          <w:rFonts w:ascii="Times New Roman" w:eastAsia="宋体"/>
          <w:color w:val="auto"/>
          <w:spacing w:val="0"/>
          <w:kern w:val="2"/>
          <w:sz w:val="24"/>
          <w:szCs w:val="24"/>
        </w:rPr>
      </w:pPr>
      <w:r>
        <w:rPr>
          <w:rFonts w:hint="eastAsia" w:ascii="Times New Roman" w:eastAsia="宋体"/>
          <w:color w:val="auto"/>
          <w:spacing w:val="0"/>
          <w:kern w:val="2"/>
          <w:sz w:val="24"/>
          <w:szCs w:val="24"/>
        </w:rPr>
        <w:t>目前本项目沼液消纳区农作物以小麦、玉米为主，主要使用化肥增加土壤肥力，化肥容易</w:t>
      </w:r>
      <w:r>
        <w:rPr>
          <w:rFonts w:ascii="Times New Roman" w:eastAsia="宋体"/>
          <w:color w:val="auto"/>
          <w:spacing w:val="0"/>
          <w:kern w:val="2"/>
          <w:sz w:val="24"/>
          <w:szCs w:val="24"/>
        </w:rPr>
        <w:t>引起土壤酸度变化</w:t>
      </w:r>
      <w:r>
        <w:rPr>
          <w:rFonts w:hint="eastAsia" w:ascii="Times New Roman" w:eastAsia="宋体"/>
          <w:color w:val="auto"/>
          <w:spacing w:val="0"/>
          <w:kern w:val="2"/>
          <w:sz w:val="24"/>
          <w:szCs w:val="24"/>
        </w:rPr>
        <w:t>。</w:t>
      </w:r>
      <w:r>
        <w:rPr>
          <w:rFonts w:ascii="Times New Roman" w:eastAsia="宋体"/>
          <w:color w:val="auto"/>
          <w:spacing w:val="0"/>
          <w:kern w:val="2"/>
          <w:sz w:val="24"/>
          <w:szCs w:val="24"/>
        </w:rPr>
        <w:t>过磷酸钙、硫酸铵、氯化铵等都属生物酸性肥料</w:t>
      </w:r>
      <w:r>
        <w:rPr>
          <w:rFonts w:hint="eastAsia" w:ascii="Times New Roman" w:eastAsia="宋体"/>
          <w:color w:val="auto"/>
          <w:spacing w:val="0"/>
          <w:kern w:val="2"/>
          <w:sz w:val="24"/>
          <w:szCs w:val="24"/>
        </w:rPr>
        <w:t>，</w:t>
      </w:r>
      <w:r>
        <w:rPr>
          <w:rFonts w:ascii="Times New Roman" w:eastAsia="宋体"/>
          <w:color w:val="auto"/>
          <w:spacing w:val="0"/>
          <w:kern w:val="2"/>
          <w:sz w:val="24"/>
          <w:szCs w:val="24"/>
        </w:rPr>
        <w:t>即植物吸收肥料中的养分离子后</w:t>
      </w:r>
      <w:r>
        <w:rPr>
          <w:rFonts w:hint="eastAsia" w:ascii="Times New Roman" w:eastAsia="宋体"/>
          <w:color w:val="auto"/>
          <w:spacing w:val="0"/>
          <w:kern w:val="2"/>
          <w:sz w:val="24"/>
          <w:szCs w:val="24"/>
        </w:rPr>
        <w:t>，</w:t>
      </w:r>
      <w:r>
        <w:rPr>
          <w:rFonts w:ascii="Times New Roman" w:eastAsia="宋体"/>
          <w:color w:val="auto"/>
          <w:spacing w:val="0"/>
          <w:kern w:val="2"/>
          <w:sz w:val="24"/>
          <w:szCs w:val="24"/>
        </w:rPr>
        <w:t>土壤中氢离子增多</w:t>
      </w:r>
      <w:r>
        <w:rPr>
          <w:rFonts w:hint="eastAsia" w:ascii="Times New Roman" w:eastAsia="宋体"/>
          <w:color w:val="auto"/>
          <w:spacing w:val="0"/>
          <w:kern w:val="2"/>
          <w:sz w:val="24"/>
          <w:szCs w:val="24"/>
        </w:rPr>
        <w:t>，</w:t>
      </w:r>
      <w:r>
        <w:rPr>
          <w:rFonts w:ascii="Times New Roman" w:eastAsia="宋体"/>
          <w:color w:val="auto"/>
          <w:spacing w:val="0"/>
          <w:kern w:val="2"/>
          <w:sz w:val="24"/>
          <w:szCs w:val="24"/>
        </w:rPr>
        <w:t>易造成土壤酸化</w:t>
      </w:r>
      <w:r>
        <w:rPr>
          <w:rFonts w:hint="eastAsia" w:ascii="Times New Roman" w:eastAsia="宋体"/>
          <w:color w:val="auto"/>
          <w:spacing w:val="0"/>
          <w:kern w:val="2"/>
          <w:sz w:val="24"/>
          <w:szCs w:val="24"/>
        </w:rPr>
        <w:t>，</w:t>
      </w:r>
      <w:r>
        <w:rPr>
          <w:rFonts w:ascii="Times New Roman" w:eastAsia="宋体"/>
          <w:color w:val="auto"/>
          <w:spacing w:val="0"/>
          <w:kern w:val="2"/>
          <w:sz w:val="24"/>
          <w:szCs w:val="24"/>
        </w:rPr>
        <w:t>长期大量施用化肥</w:t>
      </w:r>
      <w:r>
        <w:rPr>
          <w:rFonts w:hint="eastAsia" w:ascii="Times New Roman" w:eastAsia="宋体"/>
          <w:color w:val="auto"/>
          <w:spacing w:val="0"/>
          <w:kern w:val="2"/>
          <w:sz w:val="24"/>
          <w:szCs w:val="24"/>
        </w:rPr>
        <w:t>，</w:t>
      </w:r>
      <w:r>
        <w:rPr>
          <w:rFonts w:ascii="Times New Roman" w:eastAsia="宋体"/>
          <w:color w:val="auto"/>
          <w:spacing w:val="0"/>
          <w:kern w:val="2"/>
          <w:sz w:val="24"/>
          <w:szCs w:val="24"/>
        </w:rPr>
        <w:t>尤其在连续施用单一品种化肥时</w:t>
      </w:r>
      <w:r>
        <w:rPr>
          <w:rFonts w:hint="eastAsia" w:ascii="Times New Roman" w:eastAsia="宋体"/>
          <w:color w:val="auto"/>
          <w:spacing w:val="0"/>
          <w:kern w:val="2"/>
          <w:sz w:val="24"/>
          <w:szCs w:val="24"/>
        </w:rPr>
        <w:t>，</w:t>
      </w:r>
      <w:r>
        <w:rPr>
          <w:rFonts w:ascii="Times New Roman" w:eastAsia="宋体"/>
          <w:color w:val="auto"/>
          <w:spacing w:val="0"/>
          <w:kern w:val="2"/>
          <w:sz w:val="24"/>
          <w:szCs w:val="24"/>
        </w:rPr>
        <w:t>在短期内即可出现这种情况</w:t>
      </w:r>
      <w:r>
        <w:rPr>
          <w:rFonts w:hint="eastAsia" w:ascii="Times New Roman" w:eastAsia="宋体"/>
          <w:color w:val="auto"/>
          <w:spacing w:val="0"/>
          <w:kern w:val="2"/>
          <w:sz w:val="24"/>
          <w:szCs w:val="24"/>
        </w:rPr>
        <w:t>。</w:t>
      </w:r>
      <w:r>
        <w:rPr>
          <w:rFonts w:ascii="Times New Roman" w:eastAsia="宋体"/>
          <w:color w:val="auto"/>
          <w:spacing w:val="0"/>
          <w:kern w:val="2"/>
          <w:sz w:val="24"/>
          <w:szCs w:val="24"/>
        </w:rPr>
        <w:t>土壤酸化后会导致有毒物质的释放</w:t>
      </w:r>
      <w:r>
        <w:rPr>
          <w:rFonts w:hint="eastAsia" w:ascii="Times New Roman" w:eastAsia="宋体"/>
          <w:color w:val="auto"/>
          <w:spacing w:val="0"/>
          <w:kern w:val="2"/>
          <w:sz w:val="24"/>
          <w:szCs w:val="24"/>
        </w:rPr>
        <w:t>，</w:t>
      </w:r>
      <w:r>
        <w:rPr>
          <w:rFonts w:ascii="Times New Roman" w:eastAsia="宋体"/>
          <w:color w:val="auto"/>
          <w:spacing w:val="0"/>
          <w:kern w:val="2"/>
          <w:sz w:val="24"/>
          <w:szCs w:val="24"/>
        </w:rPr>
        <w:t>或使有毒物质毒性增强</w:t>
      </w:r>
      <w:r>
        <w:rPr>
          <w:rFonts w:hint="eastAsia" w:ascii="Times New Roman" w:eastAsia="宋体"/>
          <w:color w:val="auto"/>
          <w:spacing w:val="0"/>
          <w:kern w:val="2"/>
          <w:sz w:val="24"/>
          <w:szCs w:val="24"/>
        </w:rPr>
        <w:t>，</w:t>
      </w:r>
      <w:r>
        <w:rPr>
          <w:rFonts w:ascii="Times New Roman" w:eastAsia="宋体"/>
          <w:color w:val="auto"/>
          <w:spacing w:val="0"/>
          <w:kern w:val="2"/>
          <w:sz w:val="24"/>
          <w:szCs w:val="24"/>
        </w:rPr>
        <w:t>对生物体产生不良影响</w:t>
      </w:r>
      <w:r>
        <w:rPr>
          <w:rFonts w:hint="eastAsia" w:ascii="Times New Roman" w:eastAsia="宋体"/>
          <w:color w:val="auto"/>
          <w:spacing w:val="0"/>
          <w:kern w:val="2"/>
          <w:sz w:val="24"/>
          <w:szCs w:val="24"/>
        </w:rPr>
        <w:t>，</w:t>
      </w:r>
      <w:r>
        <w:rPr>
          <w:rFonts w:ascii="Times New Roman" w:eastAsia="宋体"/>
          <w:color w:val="auto"/>
          <w:spacing w:val="0"/>
          <w:kern w:val="2"/>
          <w:sz w:val="24"/>
          <w:szCs w:val="24"/>
        </w:rPr>
        <w:t>土壤酸化还能溶解土壤中的一些营养物质</w:t>
      </w:r>
      <w:r>
        <w:rPr>
          <w:rFonts w:hint="eastAsia" w:ascii="Times New Roman" w:eastAsia="宋体"/>
          <w:color w:val="auto"/>
          <w:spacing w:val="0"/>
          <w:kern w:val="2"/>
          <w:sz w:val="24"/>
          <w:szCs w:val="24"/>
        </w:rPr>
        <w:t>，</w:t>
      </w:r>
      <w:r>
        <w:rPr>
          <w:rFonts w:ascii="Times New Roman" w:eastAsia="宋体"/>
          <w:color w:val="auto"/>
          <w:spacing w:val="0"/>
          <w:kern w:val="2"/>
          <w:sz w:val="24"/>
          <w:szCs w:val="24"/>
        </w:rPr>
        <w:t>在降雨和灌溉的作用下</w:t>
      </w:r>
      <w:r>
        <w:rPr>
          <w:rFonts w:hint="eastAsia" w:ascii="Times New Roman" w:eastAsia="宋体"/>
          <w:color w:val="auto"/>
          <w:spacing w:val="0"/>
          <w:kern w:val="2"/>
          <w:sz w:val="24"/>
          <w:szCs w:val="24"/>
        </w:rPr>
        <w:t>，</w:t>
      </w:r>
      <w:r>
        <w:rPr>
          <w:rFonts w:ascii="Times New Roman" w:eastAsia="宋体"/>
          <w:color w:val="auto"/>
          <w:spacing w:val="0"/>
          <w:kern w:val="2"/>
          <w:sz w:val="24"/>
          <w:szCs w:val="24"/>
        </w:rPr>
        <w:t>向下渗透补给地下水</w:t>
      </w:r>
      <w:r>
        <w:rPr>
          <w:rFonts w:hint="eastAsia" w:ascii="Times New Roman" w:eastAsia="宋体"/>
          <w:color w:val="auto"/>
          <w:spacing w:val="0"/>
          <w:kern w:val="2"/>
          <w:sz w:val="24"/>
          <w:szCs w:val="24"/>
        </w:rPr>
        <w:t>，</w:t>
      </w:r>
      <w:r>
        <w:rPr>
          <w:rFonts w:ascii="Times New Roman" w:eastAsia="宋体"/>
          <w:color w:val="auto"/>
          <w:spacing w:val="0"/>
          <w:kern w:val="2"/>
          <w:sz w:val="24"/>
          <w:szCs w:val="24"/>
        </w:rPr>
        <w:t>使得营养成分流失</w:t>
      </w:r>
      <w:r>
        <w:rPr>
          <w:rFonts w:hint="eastAsia" w:ascii="Times New Roman" w:eastAsia="宋体"/>
          <w:color w:val="auto"/>
          <w:spacing w:val="0"/>
          <w:kern w:val="2"/>
          <w:sz w:val="24"/>
          <w:szCs w:val="24"/>
        </w:rPr>
        <w:t>，</w:t>
      </w:r>
      <w:r>
        <w:rPr>
          <w:rFonts w:ascii="Times New Roman" w:eastAsia="宋体"/>
          <w:color w:val="auto"/>
          <w:spacing w:val="0"/>
          <w:kern w:val="2"/>
          <w:sz w:val="24"/>
          <w:szCs w:val="24"/>
        </w:rPr>
        <w:t>造成土壤贫瘠化</w:t>
      </w:r>
      <w:r>
        <w:rPr>
          <w:rFonts w:hint="eastAsia" w:ascii="Times New Roman" w:eastAsia="宋体"/>
          <w:color w:val="auto"/>
          <w:spacing w:val="0"/>
          <w:kern w:val="2"/>
          <w:sz w:val="24"/>
          <w:szCs w:val="24"/>
        </w:rPr>
        <w:t>，</w:t>
      </w:r>
      <w:r>
        <w:rPr>
          <w:rFonts w:ascii="Times New Roman" w:eastAsia="宋体"/>
          <w:color w:val="auto"/>
          <w:spacing w:val="0"/>
          <w:kern w:val="2"/>
          <w:sz w:val="24"/>
          <w:szCs w:val="24"/>
        </w:rPr>
        <w:t>影响作物的生长</w:t>
      </w:r>
      <w:r>
        <w:rPr>
          <w:rFonts w:hint="eastAsia" w:ascii="Times New Roman" w:eastAsia="宋体"/>
          <w:color w:val="auto"/>
          <w:spacing w:val="0"/>
          <w:kern w:val="2"/>
          <w:sz w:val="24"/>
          <w:szCs w:val="24"/>
        </w:rPr>
        <w:t>。</w:t>
      </w:r>
      <w:r>
        <w:rPr>
          <w:rFonts w:ascii="Times New Roman" w:eastAsia="宋体"/>
          <w:color w:val="auto"/>
          <w:spacing w:val="0"/>
          <w:kern w:val="2"/>
          <w:sz w:val="24"/>
          <w:szCs w:val="24"/>
        </w:rPr>
        <w:t>有害物质对土壤产生污染</w:t>
      </w:r>
      <w:r>
        <w:rPr>
          <w:rFonts w:hint="eastAsia" w:ascii="Times New Roman" w:eastAsia="宋体"/>
          <w:color w:val="auto"/>
          <w:spacing w:val="0"/>
          <w:kern w:val="2"/>
          <w:sz w:val="24"/>
          <w:szCs w:val="24"/>
        </w:rPr>
        <w:t>，</w:t>
      </w:r>
      <w:r>
        <w:rPr>
          <w:rFonts w:ascii="Times New Roman" w:eastAsia="宋体"/>
          <w:color w:val="auto"/>
          <w:spacing w:val="0"/>
          <w:kern w:val="2"/>
          <w:sz w:val="24"/>
          <w:szCs w:val="24"/>
        </w:rPr>
        <w:t>制造化肥的矿物原料及化工原料中</w:t>
      </w:r>
      <w:r>
        <w:rPr>
          <w:rFonts w:hint="eastAsia" w:ascii="Times New Roman" w:eastAsia="宋体"/>
          <w:color w:val="auto"/>
          <w:spacing w:val="0"/>
          <w:kern w:val="2"/>
          <w:sz w:val="24"/>
          <w:szCs w:val="24"/>
        </w:rPr>
        <w:t>，</w:t>
      </w:r>
      <w:r>
        <w:rPr>
          <w:rFonts w:ascii="Times New Roman" w:eastAsia="宋体"/>
          <w:color w:val="auto"/>
          <w:spacing w:val="0"/>
          <w:kern w:val="2"/>
          <w:sz w:val="24"/>
          <w:szCs w:val="24"/>
        </w:rPr>
        <w:t>含有多种重金属放射性物质和其他有害成分</w:t>
      </w:r>
      <w:r>
        <w:rPr>
          <w:rFonts w:hint="eastAsia" w:ascii="Times New Roman" w:eastAsia="宋体"/>
          <w:color w:val="auto"/>
          <w:spacing w:val="0"/>
          <w:kern w:val="2"/>
          <w:sz w:val="24"/>
          <w:szCs w:val="24"/>
        </w:rPr>
        <w:t>，</w:t>
      </w:r>
      <w:r>
        <w:rPr>
          <w:rFonts w:ascii="Times New Roman" w:eastAsia="宋体"/>
          <w:color w:val="auto"/>
          <w:spacing w:val="0"/>
          <w:kern w:val="2"/>
          <w:sz w:val="24"/>
          <w:szCs w:val="24"/>
        </w:rPr>
        <w:t>它们随施肥</w:t>
      </w:r>
      <w:r>
        <w:rPr>
          <w:rFonts w:hint="eastAsia" w:ascii="Times New Roman" w:eastAsia="宋体"/>
          <w:color w:val="auto"/>
          <w:spacing w:val="0"/>
          <w:kern w:val="2"/>
          <w:sz w:val="24"/>
          <w:szCs w:val="24"/>
        </w:rPr>
        <w:t>进入</w:t>
      </w:r>
      <w:r>
        <w:rPr>
          <w:rFonts w:ascii="Times New Roman" w:eastAsia="宋体"/>
          <w:color w:val="auto"/>
          <w:spacing w:val="0"/>
          <w:kern w:val="2"/>
          <w:sz w:val="24"/>
          <w:szCs w:val="24"/>
        </w:rPr>
        <w:t>农田土壤造成污染</w:t>
      </w:r>
      <w:r>
        <w:rPr>
          <w:rFonts w:hint="eastAsia" w:ascii="Times New Roman" w:eastAsia="宋体"/>
          <w:color w:val="auto"/>
          <w:spacing w:val="0"/>
          <w:kern w:val="2"/>
          <w:sz w:val="24"/>
          <w:szCs w:val="24"/>
        </w:rPr>
        <w:t>。</w:t>
      </w:r>
    </w:p>
    <w:p>
      <w:pPr>
        <w:pStyle w:val="49"/>
        <w:shd w:val="clear" w:color="auto" w:fill="auto"/>
        <w:spacing w:after="0" w:line="360" w:lineRule="auto"/>
        <w:ind w:firstLine="436" w:firstLineChars="182"/>
        <w:jc w:val="both"/>
        <w:rPr>
          <w:rFonts w:ascii="Times New Roman" w:eastAsia="宋体"/>
          <w:color w:val="auto"/>
          <w:spacing w:val="0"/>
          <w:kern w:val="2"/>
          <w:sz w:val="24"/>
          <w:szCs w:val="24"/>
        </w:rPr>
      </w:pPr>
      <w:r>
        <w:rPr>
          <w:rFonts w:ascii="Times New Roman" w:eastAsia="宋体"/>
          <w:color w:val="auto"/>
          <w:spacing w:val="0"/>
          <w:kern w:val="2"/>
          <w:sz w:val="24"/>
          <w:szCs w:val="24"/>
        </w:rPr>
        <w:t>随着我国人民生活水平的提高和消费理念的转变，以及环境污染和资源浪费问题的日益严峻，有利于人们健康的无污染、安全、优质营养的绿色食品已成为时尚，越来越受到人们的青睐。</w:t>
      </w:r>
    </w:p>
    <w:p>
      <w:pPr>
        <w:pStyle w:val="49"/>
        <w:shd w:val="clear" w:color="auto" w:fill="auto"/>
        <w:spacing w:after="0" w:line="360" w:lineRule="auto"/>
        <w:ind w:firstLine="436" w:firstLineChars="182"/>
        <w:jc w:val="both"/>
        <w:rPr>
          <w:rFonts w:ascii="Times New Roman" w:eastAsia="宋体"/>
          <w:color w:val="auto"/>
          <w:spacing w:val="0"/>
          <w:kern w:val="2"/>
          <w:sz w:val="24"/>
          <w:szCs w:val="24"/>
        </w:rPr>
      </w:pPr>
      <w:r>
        <w:rPr>
          <w:rFonts w:hint="eastAsia" w:ascii="Times New Roman" w:eastAsia="宋体"/>
          <w:color w:val="auto"/>
          <w:spacing w:val="0"/>
          <w:kern w:val="2"/>
          <w:sz w:val="24"/>
          <w:szCs w:val="24"/>
        </w:rPr>
        <w:t>本项目建成运行后，沼液消纳区的农作物将使用沼液施肥，这些农作物需要大量的养分，沼液能提供充足的养分。</w:t>
      </w:r>
      <w:r>
        <w:rPr>
          <w:rFonts w:ascii="Times New Roman" w:eastAsia="宋体"/>
          <w:color w:val="auto"/>
          <w:spacing w:val="0"/>
          <w:kern w:val="2"/>
          <w:sz w:val="24"/>
          <w:szCs w:val="24"/>
        </w:rPr>
        <w:t>沼液中的有机质、腐殖质可以明显的改善土壤理化性质，提髙肥力，提高地力，可以使农业用地变成有持续发展的良性循环的金土地。</w:t>
      </w:r>
      <w:r>
        <w:rPr>
          <w:rFonts w:hint="eastAsia" w:ascii="Times New Roman" w:eastAsia="宋体"/>
          <w:color w:val="auto"/>
          <w:spacing w:val="0"/>
          <w:kern w:val="2"/>
          <w:sz w:val="24"/>
          <w:szCs w:val="24"/>
        </w:rPr>
        <w:t>沼液含有大量丰富的营养成分，是农作物的无公害长效肥料，施用后能增产增收改善土壤结构，克服了</w:t>
      </w:r>
      <w:r>
        <w:rPr>
          <w:rFonts w:ascii="Times New Roman" w:eastAsia="宋体"/>
          <w:color w:val="auto"/>
          <w:spacing w:val="0"/>
          <w:kern w:val="2"/>
          <w:sz w:val="24"/>
          <w:szCs w:val="24"/>
        </w:rPr>
        <w:t>我国化肥的施用量急剧增加，导致农田土壤产生质变，有机质</w:t>
      </w:r>
      <w:r>
        <w:rPr>
          <w:rFonts w:hint="eastAsia" w:ascii="Times New Roman" w:eastAsia="宋体"/>
          <w:color w:val="auto"/>
          <w:spacing w:val="0"/>
          <w:kern w:val="2"/>
          <w:sz w:val="24"/>
          <w:szCs w:val="24"/>
        </w:rPr>
        <w:t>含量</w:t>
      </w:r>
      <w:r>
        <w:rPr>
          <w:rFonts w:ascii="Times New Roman" w:eastAsia="宋体"/>
          <w:color w:val="auto"/>
          <w:spacing w:val="0"/>
          <w:kern w:val="2"/>
          <w:sz w:val="24"/>
          <w:szCs w:val="24"/>
        </w:rPr>
        <w:t>降低，导致土壤板结，肥力下降等</w:t>
      </w:r>
      <w:r>
        <w:rPr>
          <w:rFonts w:hint="eastAsia" w:ascii="Times New Roman" w:eastAsia="宋体"/>
          <w:color w:val="auto"/>
          <w:spacing w:val="0"/>
          <w:kern w:val="2"/>
          <w:sz w:val="24"/>
          <w:szCs w:val="24"/>
        </w:rPr>
        <w:t>现象。</w:t>
      </w:r>
    </w:p>
    <w:p>
      <w:pPr>
        <w:pStyle w:val="49"/>
        <w:shd w:val="clear" w:color="auto" w:fill="auto"/>
        <w:spacing w:after="0" w:line="360" w:lineRule="auto"/>
        <w:ind w:firstLine="436" w:firstLineChars="182"/>
        <w:jc w:val="both"/>
        <w:rPr>
          <w:rFonts w:ascii="Times New Roman" w:eastAsia="宋体"/>
          <w:color w:val="auto"/>
          <w:spacing w:val="0"/>
          <w:kern w:val="2"/>
          <w:sz w:val="24"/>
          <w:szCs w:val="24"/>
        </w:rPr>
      </w:pPr>
      <w:r>
        <w:rPr>
          <w:rFonts w:ascii="Times New Roman" w:eastAsia="宋体"/>
          <w:color w:val="auto"/>
          <w:spacing w:val="0"/>
          <w:kern w:val="2"/>
          <w:sz w:val="24"/>
          <w:szCs w:val="24"/>
        </w:rPr>
        <w:fldChar w:fldCharType="begin"/>
      </w:r>
      <w:r>
        <w:rPr>
          <w:rFonts w:ascii="Times New Roman" w:eastAsia="宋体"/>
          <w:color w:val="auto"/>
          <w:spacing w:val="0"/>
          <w:kern w:val="2"/>
          <w:sz w:val="24"/>
          <w:szCs w:val="24"/>
        </w:rPr>
        <w:instrText xml:space="preserve"> </w:instrText>
      </w:r>
      <w:r>
        <w:rPr>
          <w:rFonts w:hint="eastAsia" w:ascii="Times New Roman" w:eastAsia="宋体"/>
          <w:color w:val="auto"/>
          <w:spacing w:val="0"/>
          <w:kern w:val="2"/>
          <w:sz w:val="24"/>
          <w:szCs w:val="24"/>
        </w:rPr>
        <w:instrText xml:space="preserve">= 2 \* GB3</w:instrText>
      </w:r>
      <w:r>
        <w:rPr>
          <w:rFonts w:ascii="Times New Roman" w:eastAsia="宋体"/>
          <w:color w:val="auto"/>
          <w:spacing w:val="0"/>
          <w:kern w:val="2"/>
          <w:sz w:val="24"/>
          <w:szCs w:val="24"/>
        </w:rPr>
        <w:instrText xml:space="preserve"> </w:instrText>
      </w:r>
      <w:r>
        <w:rPr>
          <w:rFonts w:ascii="Times New Roman" w:eastAsia="宋体"/>
          <w:color w:val="auto"/>
          <w:spacing w:val="0"/>
          <w:kern w:val="2"/>
          <w:sz w:val="24"/>
          <w:szCs w:val="24"/>
        </w:rPr>
        <w:fldChar w:fldCharType="separate"/>
      </w:r>
      <w:r>
        <w:rPr>
          <w:rFonts w:hint="eastAsia" w:ascii="Times New Roman" w:eastAsia="宋体"/>
          <w:color w:val="auto"/>
          <w:spacing w:val="0"/>
          <w:kern w:val="2"/>
          <w:sz w:val="24"/>
          <w:szCs w:val="24"/>
        </w:rPr>
        <w:t>②</w:t>
      </w:r>
      <w:r>
        <w:rPr>
          <w:rFonts w:ascii="Times New Roman" w:eastAsia="宋体"/>
          <w:color w:val="auto"/>
          <w:spacing w:val="0"/>
          <w:kern w:val="2"/>
          <w:sz w:val="24"/>
          <w:szCs w:val="24"/>
        </w:rPr>
        <w:fldChar w:fldCharType="end"/>
      </w:r>
      <w:r>
        <w:rPr>
          <w:rFonts w:hint="eastAsia" w:ascii="Times New Roman" w:eastAsia="宋体"/>
          <w:color w:val="auto"/>
          <w:spacing w:val="0"/>
          <w:kern w:val="2"/>
          <w:sz w:val="24"/>
          <w:szCs w:val="24"/>
        </w:rPr>
        <w:t>沼液使用方式、过程控制</w:t>
      </w:r>
    </w:p>
    <w:p>
      <w:pPr>
        <w:widowControl/>
        <w:ind w:firstLine="480"/>
        <w:rPr>
          <w:color w:val="auto"/>
          <w:kern w:val="0"/>
        </w:rPr>
      </w:pPr>
      <w:r>
        <w:rPr>
          <w:color w:val="auto"/>
          <w:kern w:val="0"/>
        </w:rPr>
        <w:t>根据当地的种植规律及施肥规律，对于小麦和</w:t>
      </w:r>
      <w:r>
        <w:rPr>
          <w:rFonts w:hint="eastAsia"/>
          <w:color w:val="auto"/>
          <w:kern w:val="0"/>
        </w:rPr>
        <w:t>玉米</w:t>
      </w:r>
      <w:r>
        <w:rPr>
          <w:color w:val="auto"/>
          <w:kern w:val="0"/>
        </w:rPr>
        <w:t>均为施基肥一次、追肥一次，其中小麦在返青期或拔节期进行追肥，</w:t>
      </w:r>
      <w:r>
        <w:rPr>
          <w:rFonts w:hint="eastAsia"/>
          <w:color w:val="auto"/>
          <w:kern w:val="0"/>
        </w:rPr>
        <w:t>玉米在穗粒期</w:t>
      </w:r>
      <w:r>
        <w:rPr>
          <w:color w:val="auto"/>
          <w:kern w:val="0"/>
        </w:rPr>
        <w:t>进行追肥。</w:t>
      </w:r>
    </w:p>
    <w:p>
      <w:pPr>
        <w:widowControl/>
        <w:ind w:firstLine="480"/>
        <w:rPr>
          <w:color w:val="auto"/>
          <w:kern w:val="0"/>
        </w:rPr>
      </w:pPr>
      <w:r>
        <w:rPr>
          <w:rFonts w:hint="eastAsia"/>
          <w:color w:val="auto"/>
          <w:kern w:val="0"/>
        </w:rPr>
        <w:t>该过程中牧原公司负责沼液配水、黑膜沼气池到田间预留口的沼液管网铺设、预留口到施肥农田的管道和喷灌设备提供、科学合理施肥的技术指导服务。</w:t>
      </w:r>
    </w:p>
    <w:p>
      <w:pPr>
        <w:ind w:firstLine="480"/>
        <w:rPr>
          <w:color w:val="auto"/>
        </w:rPr>
      </w:pPr>
      <w:r>
        <w:rPr>
          <w:color w:val="auto"/>
        </w:rPr>
        <w:t>针对本项目，由</w:t>
      </w:r>
      <w:r>
        <w:rPr>
          <w:rFonts w:hint="eastAsia"/>
          <w:color w:val="auto"/>
        </w:rPr>
        <w:t>厂区</w:t>
      </w:r>
      <w:r>
        <w:rPr>
          <w:rFonts w:hint="eastAsia"/>
          <w:bCs/>
          <w:color w:val="auto"/>
        </w:rPr>
        <w:t>黑膜沼气池</w:t>
      </w:r>
      <w:r>
        <w:rPr>
          <w:color w:val="auto"/>
        </w:rPr>
        <w:t>引至</w:t>
      </w:r>
      <w:r>
        <w:rPr>
          <w:rFonts w:hint="eastAsia"/>
          <w:color w:val="auto"/>
        </w:rPr>
        <w:t>施肥</w:t>
      </w:r>
      <w:r>
        <w:rPr>
          <w:color w:val="auto"/>
        </w:rPr>
        <w:t>农田</w:t>
      </w:r>
      <w:r>
        <w:rPr>
          <w:rFonts w:hint="eastAsia"/>
          <w:color w:val="auto"/>
        </w:rPr>
        <w:t>配套管道总主干管</w:t>
      </w:r>
      <w:r>
        <w:rPr>
          <w:color w:val="auto"/>
        </w:rPr>
        <w:t>长度为</w:t>
      </w:r>
      <w:r>
        <w:rPr>
          <w:rFonts w:hint="eastAsia"/>
          <w:color w:val="auto"/>
          <w:lang w:val="en-US" w:eastAsia="zh-CN"/>
        </w:rPr>
        <w:t>2</w:t>
      </w:r>
      <w:r>
        <w:rPr>
          <w:rFonts w:hint="eastAsia"/>
          <w:color w:val="auto"/>
        </w:rPr>
        <w:t>k</w:t>
      </w:r>
      <w:r>
        <w:rPr>
          <w:color w:val="auto"/>
        </w:rPr>
        <w:t>m</w:t>
      </w:r>
      <w:r>
        <w:rPr>
          <w:rFonts w:hint="eastAsia"/>
          <w:color w:val="auto"/>
        </w:rPr>
        <w:t>，支管长度为</w:t>
      </w:r>
      <w:r>
        <w:rPr>
          <w:rFonts w:hint="eastAsia"/>
          <w:color w:val="auto"/>
          <w:lang w:val="en-US" w:eastAsia="zh-CN"/>
        </w:rPr>
        <w:t>3800</w:t>
      </w:r>
      <w:r>
        <w:rPr>
          <w:rFonts w:hint="eastAsia"/>
          <w:color w:val="auto"/>
        </w:rPr>
        <w:t>m，主干管直径为160mm，支管直径分别为110mm和75mm，主管网不超过2km。</w:t>
      </w:r>
    </w:p>
    <w:p>
      <w:pPr>
        <w:widowControl/>
        <w:ind w:firstLine="480"/>
        <w:jc w:val="left"/>
        <w:rPr>
          <w:color w:val="auto"/>
        </w:rPr>
      </w:pPr>
      <w:r>
        <w:rPr>
          <w:rFonts w:hint="eastAsia"/>
          <w:color w:val="auto"/>
        </w:rPr>
        <w:t>根据沼液综合利用协议可知，牧原公司根据农民土地位置设计并负责铺设沼液输送管网等综合利用配套设施，在每个施肥口设有阀门，每两个施肥口间隔50-80m。农肥利用季节农民根据自身需要进行使用。另外，根据施肥需求牧原公司定期派出管理和技术人员指导农户合理施用沼液。</w:t>
      </w:r>
    </w:p>
    <w:p>
      <w:pPr>
        <w:widowControl/>
        <w:ind w:firstLine="480"/>
        <w:jc w:val="left"/>
        <w:rPr>
          <w:color w:val="auto"/>
        </w:rPr>
      </w:pPr>
      <w:r>
        <w:rPr>
          <w:color w:val="auto"/>
        </w:rPr>
        <w:t>沼液输送管线，做好防腐工作，定期进行检修，一旦发现滴漏，沼液排入</w:t>
      </w:r>
      <w:r>
        <w:rPr>
          <w:rFonts w:hint="eastAsia"/>
          <w:bCs/>
          <w:color w:val="auto"/>
        </w:rPr>
        <w:t>黑膜沼气池</w:t>
      </w:r>
      <w:r>
        <w:rPr>
          <w:color w:val="auto"/>
        </w:rPr>
        <w:t>，待维护完毕后方可输送；</w:t>
      </w:r>
    </w:p>
    <w:p>
      <w:pPr>
        <w:widowControl/>
        <w:ind w:firstLine="480"/>
        <w:jc w:val="left"/>
        <w:rPr>
          <w:color w:val="auto"/>
        </w:rPr>
      </w:pPr>
      <w:r>
        <w:rPr>
          <w:color w:val="auto"/>
        </w:rPr>
        <w:t>施肥区根据地形进行单元划分，分单元进行开沟施肥，支管阀门间隔</w:t>
      </w:r>
      <w:r>
        <w:rPr>
          <w:rFonts w:hint="eastAsia"/>
          <w:color w:val="auto"/>
        </w:rPr>
        <w:t>50-80</w:t>
      </w:r>
      <w:r>
        <w:rPr>
          <w:color w:val="auto"/>
        </w:rPr>
        <w:t>m，防止农田施肥不匀引起的地下水污染问题</w:t>
      </w:r>
      <w:r>
        <w:rPr>
          <w:rFonts w:hint="eastAsia"/>
          <w:color w:val="auto"/>
        </w:rPr>
        <w:t>，采用喷灌的施肥方式；</w:t>
      </w:r>
    </w:p>
    <w:p>
      <w:pPr>
        <w:ind w:firstLine="480"/>
        <w:rPr>
          <w:color w:val="auto"/>
        </w:rPr>
      </w:pPr>
      <w:r>
        <w:rPr>
          <w:color w:val="auto"/>
        </w:rPr>
        <w:t>严格根据评价要求，控制施肥量，严禁突击施肥，在非施肥季节及雨季，沼液由</w:t>
      </w:r>
      <w:r>
        <w:rPr>
          <w:rFonts w:hint="eastAsia"/>
          <w:bCs/>
          <w:color w:val="auto"/>
        </w:rPr>
        <w:t>黑膜沼气池</w:t>
      </w:r>
      <w:r>
        <w:rPr>
          <w:color w:val="auto"/>
        </w:rPr>
        <w:t>暂存</w:t>
      </w:r>
      <w:r>
        <w:rPr>
          <w:rFonts w:hint="eastAsia"/>
          <w:color w:val="auto"/>
        </w:rPr>
        <w:t>。</w:t>
      </w:r>
    </w:p>
    <w:p>
      <w:pPr>
        <w:ind w:firstLine="480"/>
        <w:rPr>
          <w:color w:val="auto"/>
        </w:rPr>
      </w:pPr>
      <w:r>
        <w:rPr>
          <w:rFonts w:hint="eastAsia"/>
          <w:color w:val="auto"/>
        </w:rPr>
        <w:t>对沼液施肥农田区域定期进行观测，场外农田区设置地下水观测井，建议</w:t>
      </w:r>
      <w:r>
        <w:rPr>
          <w:color w:val="auto"/>
        </w:rPr>
        <w:t>在配套农田</w:t>
      </w:r>
      <w:r>
        <w:rPr>
          <w:rFonts w:hint="eastAsia"/>
          <w:color w:val="auto"/>
        </w:rPr>
        <w:t>西南和东北方位各</w:t>
      </w:r>
      <w:r>
        <w:rPr>
          <w:color w:val="auto"/>
        </w:rPr>
        <w:t>设置</w:t>
      </w:r>
      <w:r>
        <w:rPr>
          <w:rFonts w:hint="eastAsia"/>
          <w:color w:val="auto"/>
        </w:rPr>
        <w:t>1</w:t>
      </w:r>
      <w:r>
        <w:rPr>
          <w:color w:val="auto"/>
        </w:rPr>
        <w:t>口地下水观测井</w:t>
      </w:r>
      <w:r>
        <w:rPr>
          <w:rFonts w:hint="eastAsia"/>
          <w:color w:val="auto"/>
        </w:rPr>
        <w:t>，观察沼液长期施肥对地下水的累积性影响。</w:t>
      </w:r>
    </w:p>
    <w:p>
      <w:pPr>
        <w:ind w:firstLine="480"/>
        <w:rPr>
          <w:color w:val="auto"/>
        </w:rPr>
      </w:pPr>
      <w:r>
        <w:rPr>
          <w:color w:val="auto"/>
        </w:rPr>
        <w:t>沼液施肥首部包括：动力系统、沼液泵、管道安全装置、电器保护装置。泵站设计应充分考虑灌区的覆盖面积、扬程。沼液泵必须满足抽提含有纤维或其它悬浮物的高粘稠液体的要求，泵、管网及管件具抗腐蚀性。</w:t>
      </w:r>
    </w:p>
    <w:p>
      <w:pPr>
        <w:ind w:firstLine="480"/>
        <w:rPr>
          <w:color w:val="auto"/>
        </w:rPr>
      </w:pPr>
      <w:r>
        <w:rPr>
          <w:color w:val="auto"/>
        </w:rPr>
        <w:t>安装管道安全装置、电器保护装置的设计应根据抽提扬程、出液量，实现管道自动调压抗爆、排堵防蚀和过载保护，满足</w:t>
      </w:r>
      <w:r>
        <w:rPr>
          <w:rFonts w:hint="eastAsia"/>
          <w:color w:val="auto"/>
        </w:rPr>
        <w:t>项目使用</w:t>
      </w:r>
      <w:r>
        <w:rPr>
          <w:color w:val="auto"/>
        </w:rPr>
        <w:t>管材在沼液提灌中不堵塞、不爆管，接口不拉裂、不滴漏的需要，降低建造和运行成本。</w:t>
      </w:r>
    </w:p>
    <w:p>
      <w:pPr>
        <w:ind w:firstLine="480"/>
        <w:rPr>
          <w:color w:val="auto"/>
        </w:rPr>
      </w:pPr>
      <w:r>
        <w:rPr>
          <w:color w:val="auto"/>
        </w:rPr>
        <w:t>沼液施肥管网必须具有自动防爆抗堵等安全功能，具有效防止管道沼液二次产气爆管，沼渣、厌氧菌落群生长和化学沉淀物、鸟粪石等堵管的处置设计和工艺装置，具有迅速发现和确定管道堵塞位置的监测装置。安装的防爆裂、防堵塞安全装置能够保证UPVC、PVC、PE等塑料管材在沼液管道</w:t>
      </w:r>
      <w:r>
        <w:rPr>
          <w:rFonts w:hint="eastAsia"/>
          <w:color w:val="auto"/>
        </w:rPr>
        <w:t>施肥</w:t>
      </w:r>
      <w:r>
        <w:rPr>
          <w:color w:val="auto"/>
        </w:rPr>
        <w:t>中不出现堵塞、爆裂，接口拉裂、漏水等质量安全问题，保证沼液施肥管网的长期使用和安全运行。</w:t>
      </w:r>
    </w:p>
    <w:p>
      <w:pPr>
        <w:ind w:firstLine="480"/>
        <w:rPr>
          <w:color w:val="auto"/>
        </w:rPr>
      </w:pPr>
      <w:r>
        <w:rPr>
          <w:color w:val="auto"/>
        </w:rPr>
        <w:t>各种管线应全面安排，用不同颜色加以区别，要避免迂回曲折和相互干扰，沼液输送管道与管件必须具防腐性，管线布置应尽量减少管道弯头，减少能量损耗和便于清通。主要管网宜采用埋设，距管顶深度</w:t>
      </w:r>
      <w:r>
        <w:rPr>
          <w:rFonts w:hint="eastAsia" w:ascii="宋体" w:hAnsi="宋体" w:cs="宋体"/>
          <w:color w:val="auto"/>
        </w:rPr>
        <w:t>≧</w:t>
      </w:r>
      <w:r>
        <w:rPr>
          <w:color w:val="auto"/>
        </w:rPr>
        <w:t>40cm，裸露部分应选用抗老化材料或进行防老化处理。长距离直线管道要设计防热胀冷缩的构造。</w:t>
      </w:r>
    </w:p>
    <w:p>
      <w:pPr>
        <w:ind w:firstLine="480"/>
        <w:rPr>
          <w:color w:val="auto"/>
        </w:rPr>
      </w:pPr>
      <w:r>
        <w:rPr>
          <w:color w:val="auto"/>
        </w:rPr>
        <w:t>（</w:t>
      </w:r>
      <w:r>
        <w:rPr>
          <w:rFonts w:hint="eastAsia"/>
          <w:color w:val="auto"/>
        </w:rPr>
        <w:t>4</w:t>
      </w:r>
      <w:r>
        <w:rPr>
          <w:color w:val="auto"/>
        </w:rPr>
        <w:t>）沼液利用工程的管理要求</w:t>
      </w:r>
    </w:p>
    <w:p>
      <w:pPr>
        <w:tabs>
          <w:tab w:val="left" w:pos="5625"/>
        </w:tabs>
        <w:ind w:firstLine="480"/>
        <w:outlineLvl w:val="3"/>
        <w:rPr>
          <w:color w:val="auto"/>
        </w:rPr>
      </w:pPr>
      <w:r>
        <w:rPr>
          <w:rFonts w:hint="eastAsia"/>
          <w:color w:val="auto"/>
        </w:rPr>
        <w:t>①</w:t>
      </w:r>
      <w:r>
        <w:rPr>
          <w:color w:val="auto"/>
        </w:rPr>
        <w:t>基本要求</w:t>
      </w:r>
    </w:p>
    <w:p>
      <w:pPr>
        <w:tabs>
          <w:tab w:val="left" w:pos="5625"/>
        </w:tabs>
        <w:ind w:firstLine="480"/>
        <w:outlineLvl w:val="3"/>
        <w:rPr>
          <w:color w:val="auto"/>
        </w:rPr>
      </w:pPr>
      <w:r>
        <w:rPr>
          <w:color w:val="auto"/>
        </w:rPr>
        <w:t>企业必须确定或建立相应的管理机构，安排专人管理，落实足够的运行管理经费，制定切实可行的管理规章和工程维修养护制度，并对管理人员进行技术培训和岗位考核。同时做到对沼液利用工程进行经常性的维护、季节性的整修和临时性的抢修以及系统运行效果和有害重金属的监测与处理。</w:t>
      </w:r>
    </w:p>
    <w:p>
      <w:pPr>
        <w:tabs>
          <w:tab w:val="left" w:pos="5625"/>
        </w:tabs>
        <w:ind w:firstLine="480"/>
        <w:outlineLvl w:val="3"/>
        <w:rPr>
          <w:color w:val="auto"/>
        </w:rPr>
      </w:pPr>
      <w:r>
        <w:rPr>
          <w:rFonts w:hint="eastAsia"/>
          <w:color w:val="auto"/>
        </w:rPr>
        <w:t>②</w:t>
      </w:r>
      <w:r>
        <w:rPr>
          <w:color w:val="auto"/>
        </w:rPr>
        <w:t>管道养护</w:t>
      </w:r>
    </w:p>
    <w:p>
      <w:pPr>
        <w:tabs>
          <w:tab w:val="left" w:pos="5625"/>
        </w:tabs>
        <w:ind w:firstLine="480"/>
        <w:outlineLvl w:val="3"/>
        <w:rPr>
          <w:color w:val="auto"/>
        </w:rPr>
      </w:pPr>
      <w:r>
        <w:rPr>
          <w:color w:val="auto"/>
        </w:rPr>
        <w:t>要经常对管道进行巡查维护，发现管道漏水、爆裂及时修补，发现沼液出水明显减少，要及时监测、疏通污物收集装置，确保沼液输送通畅和设施完好、运行正常。</w:t>
      </w:r>
    </w:p>
    <w:p>
      <w:pPr>
        <w:tabs>
          <w:tab w:val="left" w:pos="5625"/>
        </w:tabs>
        <w:ind w:firstLine="480"/>
        <w:outlineLvl w:val="3"/>
        <w:rPr>
          <w:color w:val="auto"/>
        </w:rPr>
      </w:pPr>
      <w:r>
        <w:rPr>
          <w:color w:val="auto"/>
        </w:rPr>
        <w:fldChar w:fldCharType="begin"/>
      </w:r>
      <w:r>
        <w:rPr>
          <w:color w:val="auto"/>
        </w:rPr>
        <w:instrText xml:space="preserve"> </w:instrText>
      </w:r>
      <w:r>
        <w:rPr>
          <w:rFonts w:hint="eastAsia"/>
          <w:color w:val="auto"/>
        </w:rPr>
        <w:instrText xml:space="preserve">= 3 \* GB3</w:instrText>
      </w:r>
      <w:r>
        <w:rPr>
          <w:color w:val="auto"/>
        </w:rPr>
        <w:instrText xml:space="preserve"> </w:instrText>
      </w:r>
      <w:r>
        <w:rPr>
          <w:color w:val="auto"/>
        </w:rPr>
        <w:fldChar w:fldCharType="separate"/>
      </w:r>
      <w:r>
        <w:rPr>
          <w:rFonts w:hint="eastAsia"/>
          <w:color w:val="auto"/>
        </w:rPr>
        <w:t>③</w:t>
      </w:r>
      <w:r>
        <w:rPr>
          <w:color w:val="auto"/>
        </w:rPr>
        <w:fldChar w:fldCharType="end"/>
      </w:r>
      <w:r>
        <w:rPr>
          <w:color w:val="auto"/>
        </w:rPr>
        <w:t>设施维修保养</w:t>
      </w:r>
    </w:p>
    <w:p>
      <w:pPr>
        <w:tabs>
          <w:tab w:val="left" w:pos="5625"/>
        </w:tabs>
        <w:ind w:firstLine="480"/>
        <w:outlineLvl w:val="3"/>
        <w:rPr>
          <w:color w:val="auto"/>
        </w:rPr>
      </w:pPr>
      <w:r>
        <w:rPr>
          <w:color w:val="auto"/>
        </w:rPr>
        <w:t>建立处理、储液等主要建筑结构和管网、机电设备的检修制度或维修养护办法，确保各类设施设备完整，做到无损、无漏、无裂，闸门启闭灵活。安装的沼液泵、动力设备与电气设备应每年全面检修一次，确保安全运行。</w:t>
      </w:r>
    </w:p>
    <w:p>
      <w:pPr>
        <w:tabs>
          <w:tab w:val="left" w:pos="5625"/>
        </w:tabs>
        <w:ind w:firstLine="480"/>
        <w:outlineLvl w:val="3"/>
        <w:rPr>
          <w:color w:val="auto"/>
        </w:rPr>
      </w:pPr>
      <w:r>
        <w:rPr>
          <w:color w:val="auto"/>
        </w:rPr>
        <w:t>6.2.2.</w:t>
      </w:r>
      <w:r>
        <w:rPr>
          <w:rFonts w:hint="eastAsia"/>
          <w:color w:val="auto"/>
        </w:rPr>
        <w:t>4</w:t>
      </w:r>
      <w:r>
        <w:rPr>
          <w:color w:val="auto"/>
        </w:rPr>
        <w:t xml:space="preserve"> 初期雨水处理措施分析</w:t>
      </w:r>
    </w:p>
    <w:p>
      <w:pPr>
        <w:pStyle w:val="11"/>
        <w:spacing w:after="0"/>
        <w:ind w:firstLine="496"/>
        <w:rPr>
          <w:color w:val="auto"/>
          <w:spacing w:val="4"/>
        </w:rPr>
      </w:pPr>
      <w:r>
        <w:rPr>
          <w:color w:val="auto"/>
          <w:spacing w:val="4"/>
        </w:rPr>
        <w:t>项目初期雨水主要产生于项目养殖区脏道及粪污处理区，养殖区初期雨水主要为脏道落雨，脏道即养殖场粪污输送通道。</w:t>
      </w:r>
      <w:r>
        <w:rPr>
          <w:rFonts w:hint="eastAsia"/>
          <w:color w:val="auto"/>
          <w:spacing w:val="4"/>
        </w:rPr>
        <w:t>根据</w:t>
      </w:r>
      <w:r>
        <w:rPr>
          <w:bCs/>
          <w:color w:val="auto"/>
        </w:rPr>
        <w:t>牧原公司其他分场</w:t>
      </w:r>
      <w:r>
        <w:rPr>
          <w:rFonts w:hint="eastAsia"/>
          <w:bCs/>
          <w:color w:val="auto"/>
        </w:rPr>
        <w:t>的实际建设情况，项目采用干清粪工艺，各个衔接过程均设有预埋管道，粪污均采取密闭方式运至处理场所，厂区内无粪污产生点，因此产生的初期雨水不再设计初期雨水收集池集中收集，直接外排至厂区外。</w:t>
      </w:r>
    </w:p>
    <w:p>
      <w:pPr>
        <w:pStyle w:val="6"/>
        <w:rPr>
          <w:color w:val="auto"/>
          <w:lang w:val="en-US"/>
        </w:rPr>
      </w:pPr>
      <w:r>
        <w:rPr>
          <w:color w:val="auto"/>
          <w:lang w:val="en-US"/>
        </w:rPr>
        <w:t>6.2.</w:t>
      </w:r>
      <w:r>
        <w:rPr>
          <w:rFonts w:hint="eastAsia"/>
          <w:color w:val="auto"/>
          <w:lang w:val="en-US"/>
        </w:rPr>
        <w:t>3</w:t>
      </w:r>
      <w:r>
        <w:rPr>
          <w:color w:val="auto"/>
          <w:lang w:val="en-US"/>
        </w:rPr>
        <w:t>地下水污染防治措施</w:t>
      </w:r>
    </w:p>
    <w:p>
      <w:pPr>
        <w:ind w:firstLine="480"/>
        <w:rPr>
          <w:color w:val="auto"/>
        </w:rPr>
      </w:pPr>
      <w:r>
        <w:rPr>
          <w:color w:val="auto"/>
        </w:rPr>
        <w:t>本项目产生的废水主要</w:t>
      </w:r>
      <w:r>
        <w:rPr>
          <w:rFonts w:hint="eastAsia"/>
          <w:color w:val="auto"/>
        </w:rPr>
        <w:t>为</w:t>
      </w:r>
      <w:r>
        <w:rPr>
          <w:color w:val="auto"/>
        </w:rPr>
        <w:t>养殖废水和</w:t>
      </w:r>
      <w:r>
        <w:rPr>
          <w:rFonts w:hint="eastAsia"/>
          <w:color w:val="auto"/>
        </w:rPr>
        <w:t>职工</w:t>
      </w:r>
      <w:r>
        <w:rPr>
          <w:color w:val="auto"/>
        </w:rPr>
        <w:t>生活污水</w:t>
      </w:r>
      <w:r>
        <w:rPr>
          <w:rFonts w:hint="eastAsia"/>
          <w:color w:val="auto"/>
        </w:rPr>
        <w:t>，经管道收集后自流至污水处理系统统一处理，其中养殖废水经厌氧反应处理后用于附近农田施肥，雨季及非施肥季节暂存在厂区</w:t>
      </w:r>
      <w:r>
        <w:rPr>
          <w:rFonts w:hint="eastAsia"/>
          <w:color w:val="auto"/>
          <w:lang w:eastAsia="zh-CN"/>
        </w:rPr>
        <w:t>黑膜沼气池</w:t>
      </w:r>
      <w:r>
        <w:rPr>
          <w:rFonts w:hint="eastAsia"/>
          <w:color w:val="auto"/>
        </w:rPr>
        <w:t>中</w:t>
      </w:r>
      <w:r>
        <w:rPr>
          <w:color w:val="auto"/>
        </w:rPr>
        <w:t>。</w:t>
      </w:r>
    </w:p>
    <w:p>
      <w:pPr>
        <w:ind w:firstLine="480"/>
        <w:rPr>
          <w:bCs/>
          <w:color w:val="auto"/>
        </w:rPr>
      </w:pPr>
      <w:r>
        <w:rPr>
          <w:bCs/>
          <w:color w:val="auto"/>
        </w:rPr>
        <w:t>（1）源头控制措施</w:t>
      </w:r>
    </w:p>
    <w:p>
      <w:pPr>
        <w:ind w:firstLine="480"/>
        <w:rPr>
          <w:bCs/>
          <w:color w:val="auto"/>
        </w:rPr>
      </w:pPr>
      <w:r>
        <w:rPr>
          <w:bCs/>
          <w:color w:val="auto"/>
        </w:rPr>
        <w:t>本项目运营期对地下水环境影响的主要渠道为猪舍、</w:t>
      </w:r>
      <w:r>
        <w:rPr>
          <w:rFonts w:hint="eastAsia"/>
          <w:bCs/>
          <w:color w:val="auto"/>
        </w:rPr>
        <w:t>黑膜沼气池</w:t>
      </w:r>
      <w:r>
        <w:rPr>
          <w:bCs/>
          <w:color w:val="auto"/>
        </w:rPr>
        <w:t>、沼气工程、发酵区等以上污染因素如不加以管理，各区污水下渗将污染地下水；猪粪、沼渣若乱堆乱放，可能转入环境空气或地表水体，并通过下渗影响到地下水环境。因此评价要求首先在源头进行控制，具体防控措施为：</w:t>
      </w:r>
    </w:p>
    <w:p>
      <w:pPr>
        <w:ind w:firstLine="480"/>
        <w:rPr>
          <w:bCs/>
          <w:color w:val="auto"/>
        </w:rPr>
      </w:pPr>
      <w:r>
        <w:rPr>
          <w:bCs/>
          <w:color w:val="auto"/>
        </w:rPr>
        <w:fldChar w:fldCharType="begin"/>
      </w:r>
      <w:r>
        <w:rPr>
          <w:bCs/>
          <w:color w:val="auto"/>
        </w:rPr>
        <w:instrText xml:space="preserve"> = 1 \* GB3 </w:instrText>
      </w:r>
      <w:r>
        <w:rPr>
          <w:bCs/>
          <w:color w:val="auto"/>
        </w:rPr>
        <w:fldChar w:fldCharType="separate"/>
      </w:r>
      <w:r>
        <w:rPr>
          <w:rFonts w:hint="eastAsia" w:ascii="宋体" w:hAnsi="宋体" w:cs="宋体"/>
          <w:bCs/>
          <w:color w:val="auto"/>
        </w:rPr>
        <w:t>①</w:t>
      </w:r>
      <w:r>
        <w:rPr>
          <w:color w:val="auto"/>
        </w:rPr>
        <w:fldChar w:fldCharType="end"/>
      </w:r>
      <w:r>
        <w:rPr>
          <w:bCs/>
          <w:color w:val="auto"/>
        </w:rPr>
        <w:t>猪舍采用限位饮水器，减少水资源不必要的流失，猪舍内部底部采取混凝土进行防渗减少污染物的跑、冒、滴、漏；</w:t>
      </w:r>
    </w:p>
    <w:p>
      <w:pPr>
        <w:ind w:firstLine="480"/>
        <w:rPr>
          <w:bCs/>
          <w:color w:val="auto"/>
        </w:rPr>
      </w:pPr>
      <w:r>
        <w:rPr>
          <w:bCs/>
          <w:color w:val="auto"/>
        </w:rPr>
        <w:fldChar w:fldCharType="begin"/>
      </w:r>
      <w:r>
        <w:rPr>
          <w:bCs/>
          <w:color w:val="auto"/>
        </w:rPr>
        <w:instrText xml:space="preserve"> = 2 \* GB3 </w:instrText>
      </w:r>
      <w:r>
        <w:rPr>
          <w:bCs/>
          <w:color w:val="auto"/>
        </w:rPr>
        <w:fldChar w:fldCharType="separate"/>
      </w:r>
      <w:r>
        <w:rPr>
          <w:rFonts w:hint="eastAsia" w:ascii="宋体" w:hAnsi="宋体" w:cs="宋体"/>
          <w:bCs/>
          <w:color w:val="auto"/>
        </w:rPr>
        <w:t>②</w:t>
      </w:r>
      <w:r>
        <w:rPr>
          <w:color w:val="auto"/>
        </w:rPr>
        <w:fldChar w:fldCharType="end"/>
      </w:r>
      <w:r>
        <w:rPr>
          <w:bCs/>
          <w:color w:val="auto"/>
        </w:rPr>
        <w:t>沼气工程设置围堰，</w:t>
      </w:r>
      <w:r>
        <w:rPr>
          <w:rFonts w:hint="eastAsia"/>
          <w:bCs/>
          <w:color w:val="auto"/>
        </w:rPr>
        <w:t>黑膜沼气池是土膜夯实+HDPE膜</w:t>
      </w:r>
      <w:r>
        <w:rPr>
          <w:bCs/>
          <w:color w:val="auto"/>
        </w:rPr>
        <w:t>；</w:t>
      </w:r>
    </w:p>
    <w:p>
      <w:pPr>
        <w:ind w:firstLine="480"/>
        <w:rPr>
          <w:bCs/>
          <w:color w:val="auto"/>
        </w:rPr>
      </w:pPr>
      <w:r>
        <w:rPr>
          <w:bCs/>
          <w:color w:val="auto"/>
        </w:rPr>
        <w:fldChar w:fldCharType="begin"/>
      </w:r>
      <w:r>
        <w:rPr>
          <w:bCs/>
          <w:color w:val="auto"/>
        </w:rPr>
        <w:instrText xml:space="preserve"> = 3 \* GB3 </w:instrText>
      </w:r>
      <w:r>
        <w:rPr>
          <w:bCs/>
          <w:color w:val="auto"/>
        </w:rPr>
        <w:fldChar w:fldCharType="separate"/>
      </w:r>
      <w:r>
        <w:rPr>
          <w:rFonts w:hint="eastAsia" w:ascii="宋体" w:hAnsi="宋体" w:cs="宋体"/>
          <w:bCs/>
          <w:color w:val="auto"/>
        </w:rPr>
        <w:t>③</w:t>
      </w:r>
      <w:r>
        <w:rPr>
          <w:color w:val="auto"/>
        </w:rPr>
        <w:fldChar w:fldCharType="end"/>
      </w:r>
      <w:r>
        <w:rPr>
          <w:rFonts w:hint="eastAsia"/>
          <w:bCs/>
          <w:color w:val="auto"/>
        </w:rPr>
        <w:t>固粪处理区</w:t>
      </w:r>
      <w:r>
        <w:rPr>
          <w:bCs/>
          <w:color w:val="auto"/>
        </w:rPr>
        <w:t>，地面</w:t>
      </w:r>
      <w:r>
        <w:rPr>
          <w:rFonts w:hint="eastAsia"/>
          <w:bCs/>
          <w:color w:val="auto"/>
        </w:rPr>
        <w:t>素土夯实+混凝土</w:t>
      </w:r>
      <w:r>
        <w:rPr>
          <w:bCs/>
          <w:color w:val="auto"/>
        </w:rPr>
        <w:t>进行防渗，三面砌筑不低于1m高的围堰；其上搭建顶棚；</w:t>
      </w:r>
    </w:p>
    <w:p>
      <w:pPr>
        <w:ind w:firstLine="480"/>
        <w:rPr>
          <w:color w:val="auto"/>
        </w:rPr>
      </w:pPr>
      <w:r>
        <w:rPr>
          <w:bCs/>
          <w:color w:val="auto"/>
        </w:rPr>
        <w:fldChar w:fldCharType="begin"/>
      </w:r>
      <w:r>
        <w:rPr>
          <w:bCs/>
          <w:color w:val="auto"/>
        </w:rPr>
        <w:instrText xml:space="preserve"> = 4 \* GB3 </w:instrText>
      </w:r>
      <w:r>
        <w:rPr>
          <w:bCs/>
          <w:color w:val="auto"/>
        </w:rPr>
        <w:fldChar w:fldCharType="separate"/>
      </w:r>
      <w:r>
        <w:rPr>
          <w:rFonts w:hint="eastAsia" w:ascii="宋体" w:hAnsi="宋体" w:cs="宋体"/>
          <w:bCs/>
          <w:color w:val="auto"/>
        </w:rPr>
        <w:t>④</w:t>
      </w:r>
      <w:r>
        <w:rPr>
          <w:color w:val="auto"/>
        </w:rPr>
        <w:fldChar w:fldCharType="end"/>
      </w:r>
      <w:r>
        <w:rPr>
          <w:bCs/>
          <w:color w:val="auto"/>
        </w:rPr>
        <w:t>雨污分流，</w:t>
      </w:r>
      <w:r>
        <w:rPr>
          <w:rFonts w:hint="eastAsia"/>
          <w:bCs/>
          <w:color w:val="auto"/>
        </w:rPr>
        <w:t>雨水</w:t>
      </w:r>
      <w:r>
        <w:rPr>
          <w:rFonts w:hint="eastAsia"/>
          <w:bCs/>
          <w:color w:val="auto"/>
          <w:lang w:eastAsia="zh-CN"/>
        </w:rPr>
        <w:t>为</w:t>
      </w:r>
      <w:r>
        <w:rPr>
          <w:rFonts w:hint="eastAsia"/>
          <w:bCs/>
          <w:color w:val="auto"/>
        </w:rPr>
        <w:t>硬化水渠，粪污管道</w:t>
      </w:r>
      <w:r>
        <w:rPr>
          <w:rFonts w:hint="eastAsia"/>
          <w:bCs/>
          <w:color w:val="auto"/>
          <w:lang w:eastAsia="zh-CN"/>
        </w:rPr>
        <w:t>采用</w:t>
      </w:r>
      <w:r>
        <w:rPr>
          <w:rFonts w:hint="eastAsia"/>
          <w:bCs/>
          <w:color w:val="auto"/>
        </w:rPr>
        <w:t>地埋pvc管道</w:t>
      </w:r>
      <w:r>
        <w:rPr>
          <w:rFonts w:hint="eastAsia"/>
          <w:bCs/>
          <w:color w:val="auto"/>
          <w:lang w:eastAsia="zh-CN"/>
        </w:rPr>
        <w:t>，</w:t>
      </w:r>
      <w:r>
        <w:rPr>
          <w:bCs/>
          <w:color w:val="auto"/>
        </w:rPr>
        <w:t>按照畜禽养殖业污染防治技术规范要求进行建设。</w:t>
      </w:r>
    </w:p>
    <w:p>
      <w:pPr>
        <w:ind w:firstLine="480"/>
        <w:rPr>
          <w:color w:val="auto"/>
        </w:rPr>
      </w:pPr>
      <w:r>
        <w:rPr>
          <w:rFonts w:hint="eastAsia"/>
          <w:color w:val="auto"/>
        </w:rPr>
        <w:t>（2）污染措施分析</w:t>
      </w:r>
    </w:p>
    <w:p>
      <w:pPr>
        <w:ind w:firstLine="480"/>
        <w:rPr>
          <w:color w:val="auto"/>
        </w:rPr>
      </w:pPr>
      <w:r>
        <w:rPr>
          <w:color w:val="auto"/>
        </w:rPr>
        <w:t>污染物从污染源进入地下水所经过路径称为地下水污染途径，地下水污染途径是多种多样的。本项目运营期环境影响因素主要为生活污水、养殖废水、猪粪。以上污染因素如不加以管理，</w:t>
      </w:r>
      <w:r>
        <w:rPr>
          <w:rFonts w:hint="eastAsia" w:hAnsi="宋体"/>
          <w:color w:val="auto"/>
        </w:rPr>
        <w:t>猪舍底部、污水处理站收集管线及污水处理站、固粪处理区</w:t>
      </w:r>
      <w:r>
        <w:rPr>
          <w:color w:val="auto"/>
        </w:rPr>
        <w:t>存在</w:t>
      </w:r>
      <w:r>
        <w:rPr>
          <w:rFonts w:hint="eastAsia"/>
          <w:color w:val="auto"/>
        </w:rPr>
        <w:t>污染物</w:t>
      </w:r>
      <w:r>
        <w:rPr>
          <w:color w:val="auto"/>
        </w:rPr>
        <w:t>下渗</w:t>
      </w:r>
      <w:r>
        <w:rPr>
          <w:rFonts w:hint="eastAsia"/>
          <w:color w:val="auto"/>
        </w:rPr>
        <w:t>到</w:t>
      </w:r>
      <w:r>
        <w:rPr>
          <w:color w:val="auto"/>
        </w:rPr>
        <w:t>污染地下水的隐患；猪粪、沼渣</w:t>
      </w:r>
      <w:r>
        <w:rPr>
          <w:rFonts w:hint="eastAsia"/>
          <w:color w:val="auto"/>
        </w:rPr>
        <w:t>若</w:t>
      </w:r>
      <w:r>
        <w:rPr>
          <w:color w:val="auto"/>
        </w:rPr>
        <w:t>乱堆乱放，可能转入环境空气或地表水体，并通过下渗影响到地下水环境</w:t>
      </w:r>
      <w:r>
        <w:rPr>
          <w:rFonts w:hint="eastAsia"/>
          <w:color w:val="auto"/>
        </w:rPr>
        <w:t>。本项目防渗工程污染防治分区情况如表6.2-3。本项目污染地下水途径及防治措施一览表见表6.2-4。</w:t>
      </w:r>
    </w:p>
    <w:p>
      <w:pPr>
        <w:spacing w:after="93" w:afterLines="30" w:line="500" w:lineRule="exact"/>
        <w:ind w:firstLine="482"/>
        <w:jc w:val="center"/>
        <w:rPr>
          <w:rFonts w:hint="eastAsia"/>
          <w:b/>
          <w:color w:val="auto"/>
        </w:rPr>
      </w:pPr>
    </w:p>
    <w:p>
      <w:pPr>
        <w:spacing w:after="93" w:afterLines="30" w:line="500" w:lineRule="exact"/>
        <w:ind w:firstLine="482"/>
        <w:jc w:val="center"/>
        <w:rPr>
          <w:b/>
          <w:color w:val="auto"/>
        </w:rPr>
      </w:pPr>
      <w:r>
        <w:rPr>
          <w:rFonts w:hint="eastAsia"/>
          <w:b/>
          <w:color w:val="auto"/>
        </w:rPr>
        <w:t>表6.2-3             本项目防渗工程污染防治分区</w:t>
      </w:r>
    </w:p>
    <w:tbl>
      <w:tblPr>
        <w:tblStyle w:val="27"/>
        <w:tblW w:w="5000" w:type="pct"/>
        <w:jc w:val="center"/>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545"/>
        <w:gridCol w:w="3113"/>
        <w:gridCol w:w="2604"/>
        <w:gridCol w:w="2696"/>
      </w:tblGrid>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04" w:type="pct"/>
            <w:tcMar>
              <w:left w:w="0" w:type="dxa"/>
              <w:right w:w="0" w:type="dxa"/>
            </w:tcMar>
            <w:vAlign w:val="center"/>
          </w:tcPr>
          <w:p>
            <w:pPr>
              <w:spacing w:line="240" w:lineRule="auto"/>
              <w:ind w:firstLine="0" w:firstLineChars="0"/>
              <w:jc w:val="center"/>
              <w:rPr>
                <w:color w:val="auto"/>
                <w:sz w:val="21"/>
                <w:szCs w:val="21"/>
              </w:rPr>
            </w:pPr>
            <w:r>
              <w:rPr>
                <w:color w:val="auto"/>
                <w:sz w:val="21"/>
                <w:szCs w:val="21"/>
              </w:rPr>
              <w:t>序号</w:t>
            </w:r>
          </w:p>
        </w:tc>
        <w:tc>
          <w:tcPr>
            <w:tcW w:w="1737" w:type="pct"/>
            <w:tcMar>
              <w:left w:w="0" w:type="dxa"/>
              <w:right w:w="0" w:type="dxa"/>
            </w:tcMar>
            <w:vAlign w:val="center"/>
          </w:tcPr>
          <w:p>
            <w:pPr>
              <w:spacing w:line="240" w:lineRule="auto"/>
              <w:ind w:firstLine="0" w:firstLineChars="0"/>
              <w:jc w:val="center"/>
              <w:rPr>
                <w:color w:val="auto"/>
                <w:sz w:val="21"/>
                <w:szCs w:val="21"/>
              </w:rPr>
            </w:pPr>
            <w:r>
              <w:rPr>
                <w:color w:val="auto"/>
                <w:sz w:val="21"/>
                <w:szCs w:val="21"/>
              </w:rPr>
              <w:t>项目</w:t>
            </w:r>
          </w:p>
        </w:tc>
        <w:tc>
          <w:tcPr>
            <w:tcW w:w="1453" w:type="pct"/>
            <w:tcMar>
              <w:left w:w="0" w:type="dxa"/>
              <w:right w:w="0" w:type="dxa"/>
            </w:tcMar>
            <w:vAlign w:val="center"/>
          </w:tcPr>
          <w:p>
            <w:pPr>
              <w:spacing w:line="240" w:lineRule="auto"/>
              <w:ind w:firstLine="0" w:firstLineChars="0"/>
              <w:jc w:val="center"/>
              <w:rPr>
                <w:color w:val="auto"/>
                <w:sz w:val="21"/>
                <w:szCs w:val="21"/>
              </w:rPr>
            </w:pPr>
            <w:r>
              <w:rPr>
                <w:rFonts w:hint="eastAsia"/>
                <w:color w:val="auto"/>
                <w:sz w:val="21"/>
                <w:szCs w:val="21"/>
              </w:rPr>
              <w:t>防渗区域及部位</w:t>
            </w:r>
          </w:p>
        </w:tc>
        <w:tc>
          <w:tcPr>
            <w:tcW w:w="1504" w:type="pct"/>
            <w:tcMar>
              <w:left w:w="0" w:type="dxa"/>
              <w:right w:w="0" w:type="dxa"/>
            </w:tcMar>
            <w:vAlign w:val="center"/>
          </w:tcPr>
          <w:p>
            <w:pPr>
              <w:spacing w:line="240" w:lineRule="auto"/>
              <w:ind w:firstLine="0" w:firstLineChars="0"/>
              <w:jc w:val="center"/>
              <w:rPr>
                <w:color w:val="auto"/>
                <w:sz w:val="21"/>
                <w:szCs w:val="21"/>
              </w:rPr>
            </w:pPr>
            <w:r>
              <w:rPr>
                <w:rFonts w:hint="eastAsia"/>
                <w:color w:val="auto"/>
                <w:sz w:val="21"/>
                <w:szCs w:val="21"/>
              </w:rPr>
              <w:t>防渗分区等级</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04" w:type="pct"/>
            <w:tcMar>
              <w:left w:w="0" w:type="dxa"/>
              <w:right w:w="0" w:type="dxa"/>
            </w:tcMar>
            <w:vAlign w:val="center"/>
          </w:tcPr>
          <w:p>
            <w:pPr>
              <w:spacing w:line="240" w:lineRule="auto"/>
              <w:ind w:firstLine="0" w:firstLineChars="0"/>
              <w:jc w:val="center"/>
              <w:rPr>
                <w:color w:val="auto"/>
                <w:sz w:val="21"/>
                <w:szCs w:val="21"/>
              </w:rPr>
            </w:pPr>
            <w:r>
              <w:rPr>
                <w:rFonts w:hint="eastAsia"/>
                <w:color w:val="auto"/>
                <w:sz w:val="21"/>
                <w:szCs w:val="21"/>
              </w:rPr>
              <w:t>1</w:t>
            </w:r>
          </w:p>
        </w:tc>
        <w:tc>
          <w:tcPr>
            <w:tcW w:w="1737" w:type="pct"/>
            <w:tcMar>
              <w:left w:w="0" w:type="dxa"/>
              <w:right w:w="0" w:type="dxa"/>
            </w:tcMar>
            <w:vAlign w:val="center"/>
          </w:tcPr>
          <w:p>
            <w:pPr>
              <w:spacing w:line="240" w:lineRule="auto"/>
              <w:ind w:firstLine="0" w:firstLineChars="0"/>
              <w:jc w:val="center"/>
              <w:rPr>
                <w:color w:val="auto"/>
                <w:sz w:val="21"/>
                <w:szCs w:val="21"/>
              </w:rPr>
            </w:pPr>
            <w:r>
              <w:rPr>
                <w:rFonts w:hint="eastAsia"/>
                <w:color w:val="auto"/>
                <w:sz w:val="21"/>
                <w:szCs w:val="21"/>
              </w:rPr>
              <w:t>养殖区</w:t>
            </w:r>
          </w:p>
        </w:tc>
        <w:tc>
          <w:tcPr>
            <w:tcW w:w="1453" w:type="pct"/>
            <w:tcMar>
              <w:left w:w="0" w:type="dxa"/>
              <w:right w:w="0" w:type="dxa"/>
            </w:tcMar>
            <w:vAlign w:val="center"/>
          </w:tcPr>
          <w:p>
            <w:pPr>
              <w:spacing w:line="240" w:lineRule="auto"/>
              <w:ind w:firstLine="0" w:firstLineChars="0"/>
              <w:jc w:val="center"/>
              <w:rPr>
                <w:color w:val="auto"/>
                <w:sz w:val="21"/>
                <w:szCs w:val="21"/>
              </w:rPr>
            </w:pPr>
            <w:r>
              <w:rPr>
                <w:color w:val="auto"/>
                <w:sz w:val="21"/>
                <w:szCs w:val="21"/>
              </w:rPr>
              <w:t>粪污储存</w:t>
            </w:r>
            <w:r>
              <w:rPr>
                <w:rFonts w:hint="eastAsia"/>
                <w:color w:val="auto"/>
                <w:sz w:val="21"/>
                <w:szCs w:val="21"/>
                <w:lang w:eastAsia="zh-CN"/>
              </w:rPr>
              <w:t>池</w:t>
            </w:r>
          </w:p>
        </w:tc>
        <w:tc>
          <w:tcPr>
            <w:tcW w:w="1504" w:type="pct"/>
            <w:tcMar>
              <w:left w:w="0" w:type="dxa"/>
              <w:right w:w="0" w:type="dxa"/>
            </w:tcMar>
            <w:vAlign w:val="center"/>
          </w:tcPr>
          <w:p>
            <w:pPr>
              <w:spacing w:line="240" w:lineRule="auto"/>
              <w:ind w:firstLine="0" w:firstLineChars="0"/>
              <w:jc w:val="center"/>
              <w:rPr>
                <w:color w:val="auto"/>
                <w:sz w:val="21"/>
                <w:szCs w:val="21"/>
              </w:rPr>
            </w:pPr>
            <w:r>
              <w:rPr>
                <w:rFonts w:hint="eastAsia"/>
                <w:color w:val="auto"/>
                <w:sz w:val="21"/>
                <w:szCs w:val="21"/>
              </w:rPr>
              <w:t>重点</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04" w:type="pct"/>
            <w:tcMar>
              <w:left w:w="0" w:type="dxa"/>
              <w:right w:w="0" w:type="dxa"/>
            </w:tcMar>
            <w:vAlign w:val="center"/>
          </w:tcPr>
          <w:p>
            <w:pPr>
              <w:spacing w:line="240" w:lineRule="auto"/>
              <w:ind w:firstLine="0" w:firstLineChars="0"/>
              <w:jc w:val="center"/>
              <w:rPr>
                <w:color w:val="auto"/>
                <w:sz w:val="21"/>
                <w:szCs w:val="21"/>
              </w:rPr>
            </w:pPr>
            <w:r>
              <w:rPr>
                <w:rFonts w:hint="eastAsia"/>
                <w:color w:val="auto"/>
                <w:sz w:val="21"/>
                <w:szCs w:val="21"/>
              </w:rPr>
              <w:t>2</w:t>
            </w:r>
          </w:p>
        </w:tc>
        <w:tc>
          <w:tcPr>
            <w:tcW w:w="1737" w:type="pct"/>
            <w:tcMar>
              <w:left w:w="0" w:type="dxa"/>
              <w:right w:w="0" w:type="dxa"/>
            </w:tcMar>
            <w:vAlign w:val="center"/>
          </w:tcPr>
          <w:p>
            <w:pPr>
              <w:spacing w:line="240" w:lineRule="auto"/>
              <w:ind w:firstLine="0" w:firstLineChars="0"/>
              <w:jc w:val="center"/>
              <w:rPr>
                <w:color w:val="auto"/>
                <w:sz w:val="21"/>
                <w:szCs w:val="21"/>
              </w:rPr>
            </w:pPr>
            <w:r>
              <w:rPr>
                <w:rFonts w:hint="eastAsia"/>
                <w:color w:val="auto"/>
                <w:sz w:val="21"/>
                <w:szCs w:val="21"/>
              </w:rPr>
              <w:t>固粪处理区</w:t>
            </w:r>
          </w:p>
        </w:tc>
        <w:tc>
          <w:tcPr>
            <w:tcW w:w="1453" w:type="pct"/>
            <w:tcMar>
              <w:left w:w="0" w:type="dxa"/>
              <w:right w:w="0" w:type="dxa"/>
            </w:tcMar>
            <w:vAlign w:val="center"/>
          </w:tcPr>
          <w:p>
            <w:pPr>
              <w:spacing w:line="240" w:lineRule="auto"/>
              <w:ind w:firstLine="0" w:firstLineChars="0"/>
              <w:jc w:val="center"/>
              <w:rPr>
                <w:color w:val="auto"/>
                <w:sz w:val="21"/>
                <w:szCs w:val="21"/>
              </w:rPr>
            </w:pPr>
            <w:r>
              <w:rPr>
                <w:rFonts w:hint="eastAsia"/>
                <w:color w:val="auto"/>
                <w:sz w:val="21"/>
                <w:szCs w:val="21"/>
              </w:rPr>
              <w:t>固粪处理区地面</w:t>
            </w:r>
          </w:p>
        </w:tc>
        <w:tc>
          <w:tcPr>
            <w:tcW w:w="1504" w:type="pct"/>
            <w:tcMar>
              <w:left w:w="0" w:type="dxa"/>
              <w:right w:w="0" w:type="dxa"/>
            </w:tcMar>
            <w:vAlign w:val="center"/>
          </w:tcPr>
          <w:p>
            <w:pPr>
              <w:spacing w:line="240" w:lineRule="auto"/>
              <w:ind w:firstLine="0" w:firstLineChars="0"/>
              <w:jc w:val="center"/>
              <w:rPr>
                <w:color w:val="auto"/>
                <w:sz w:val="21"/>
                <w:szCs w:val="21"/>
              </w:rPr>
            </w:pPr>
            <w:r>
              <w:rPr>
                <w:rFonts w:hint="eastAsia"/>
                <w:color w:val="auto"/>
                <w:sz w:val="21"/>
                <w:szCs w:val="21"/>
              </w:rPr>
              <w:t>重点</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04" w:type="pct"/>
            <w:tcMar>
              <w:left w:w="0" w:type="dxa"/>
              <w:right w:w="0" w:type="dxa"/>
            </w:tcMar>
            <w:vAlign w:val="center"/>
          </w:tcPr>
          <w:p>
            <w:pPr>
              <w:spacing w:line="240" w:lineRule="auto"/>
              <w:ind w:firstLine="0" w:firstLineChars="0"/>
              <w:jc w:val="center"/>
              <w:rPr>
                <w:color w:val="auto"/>
                <w:sz w:val="21"/>
                <w:szCs w:val="21"/>
              </w:rPr>
            </w:pPr>
            <w:r>
              <w:rPr>
                <w:rFonts w:hint="eastAsia"/>
                <w:color w:val="auto"/>
                <w:sz w:val="21"/>
                <w:szCs w:val="21"/>
              </w:rPr>
              <w:t>3</w:t>
            </w:r>
          </w:p>
        </w:tc>
        <w:tc>
          <w:tcPr>
            <w:tcW w:w="1737" w:type="pct"/>
            <w:tcMar>
              <w:left w:w="0" w:type="dxa"/>
              <w:right w:w="0" w:type="dxa"/>
            </w:tcMar>
            <w:vAlign w:val="center"/>
          </w:tcPr>
          <w:p>
            <w:pPr>
              <w:spacing w:line="240" w:lineRule="auto"/>
              <w:ind w:firstLine="0" w:firstLineChars="0"/>
              <w:jc w:val="center"/>
              <w:rPr>
                <w:color w:val="auto"/>
                <w:sz w:val="21"/>
                <w:szCs w:val="21"/>
              </w:rPr>
            </w:pPr>
            <w:r>
              <w:rPr>
                <w:rFonts w:hint="eastAsia"/>
                <w:color w:val="auto"/>
                <w:sz w:val="21"/>
                <w:szCs w:val="21"/>
              </w:rPr>
              <w:t>黑膜沼气池</w:t>
            </w:r>
          </w:p>
        </w:tc>
        <w:tc>
          <w:tcPr>
            <w:tcW w:w="1453" w:type="pct"/>
            <w:tcMar>
              <w:left w:w="0" w:type="dxa"/>
              <w:right w:w="0" w:type="dxa"/>
            </w:tcMar>
            <w:vAlign w:val="center"/>
          </w:tcPr>
          <w:p>
            <w:pPr>
              <w:spacing w:line="240" w:lineRule="auto"/>
              <w:ind w:firstLine="0" w:firstLineChars="0"/>
              <w:jc w:val="center"/>
              <w:rPr>
                <w:color w:val="auto"/>
                <w:sz w:val="21"/>
                <w:szCs w:val="21"/>
              </w:rPr>
            </w:pPr>
            <w:r>
              <w:rPr>
                <w:rFonts w:hint="eastAsia"/>
                <w:color w:val="auto"/>
                <w:sz w:val="21"/>
                <w:szCs w:val="21"/>
              </w:rPr>
              <w:t>池底、池壁</w:t>
            </w:r>
          </w:p>
        </w:tc>
        <w:tc>
          <w:tcPr>
            <w:tcW w:w="1504" w:type="pct"/>
            <w:tcMar>
              <w:left w:w="0" w:type="dxa"/>
              <w:right w:w="0" w:type="dxa"/>
            </w:tcMar>
            <w:vAlign w:val="center"/>
          </w:tcPr>
          <w:p>
            <w:pPr>
              <w:spacing w:line="240" w:lineRule="auto"/>
              <w:ind w:firstLine="0" w:firstLineChars="0"/>
              <w:jc w:val="center"/>
              <w:rPr>
                <w:color w:val="auto"/>
                <w:sz w:val="21"/>
                <w:szCs w:val="21"/>
              </w:rPr>
            </w:pPr>
            <w:r>
              <w:rPr>
                <w:rFonts w:hint="eastAsia"/>
                <w:color w:val="auto"/>
                <w:sz w:val="21"/>
                <w:szCs w:val="21"/>
              </w:rPr>
              <w:t>重点</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04" w:type="pct"/>
            <w:tcMar>
              <w:left w:w="0" w:type="dxa"/>
              <w:right w:w="0" w:type="dxa"/>
            </w:tcMar>
            <w:vAlign w:val="center"/>
          </w:tcPr>
          <w:p>
            <w:pPr>
              <w:spacing w:line="240" w:lineRule="auto"/>
              <w:ind w:firstLine="0" w:firstLineChars="0"/>
              <w:jc w:val="center"/>
              <w:rPr>
                <w:color w:val="auto"/>
                <w:sz w:val="21"/>
                <w:szCs w:val="21"/>
              </w:rPr>
            </w:pPr>
            <w:r>
              <w:rPr>
                <w:rFonts w:hint="eastAsia"/>
                <w:color w:val="auto"/>
                <w:sz w:val="21"/>
                <w:szCs w:val="21"/>
              </w:rPr>
              <w:t>4</w:t>
            </w:r>
          </w:p>
        </w:tc>
        <w:tc>
          <w:tcPr>
            <w:tcW w:w="1737" w:type="pct"/>
            <w:tcMar>
              <w:left w:w="0" w:type="dxa"/>
              <w:right w:w="0" w:type="dxa"/>
            </w:tcMar>
            <w:vAlign w:val="center"/>
          </w:tcPr>
          <w:p>
            <w:pPr>
              <w:spacing w:line="240" w:lineRule="auto"/>
              <w:ind w:firstLine="0" w:firstLineChars="0"/>
              <w:jc w:val="center"/>
              <w:rPr>
                <w:color w:val="auto"/>
                <w:sz w:val="21"/>
                <w:szCs w:val="21"/>
              </w:rPr>
            </w:pPr>
            <w:r>
              <w:rPr>
                <w:rFonts w:hint="eastAsia"/>
                <w:color w:val="auto"/>
                <w:sz w:val="21"/>
                <w:szCs w:val="21"/>
              </w:rPr>
              <w:t>其他</w:t>
            </w:r>
            <w:r>
              <w:rPr>
                <w:color w:val="auto"/>
                <w:sz w:val="21"/>
                <w:szCs w:val="21"/>
              </w:rPr>
              <w:t>区域</w:t>
            </w:r>
          </w:p>
        </w:tc>
        <w:tc>
          <w:tcPr>
            <w:tcW w:w="1453" w:type="pct"/>
            <w:tcMar>
              <w:left w:w="0" w:type="dxa"/>
              <w:right w:w="0" w:type="dxa"/>
            </w:tcMar>
            <w:vAlign w:val="center"/>
          </w:tcPr>
          <w:p>
            <w:pPr>
              <w:spacing w:line="240" w:lineRule="auto"/>
              <w:ind w:firstLine="0" w:firstLineChars="0"/>
              <w:jc w:val="center"/>
              <w:rPr>
                <w:color w:val="auto"/>
                <w:sz w:val="21"/>
                <w:szCs w:val="21"/>
              </w:rPr>
            </w:pPr>
            <w:r>
              <w:rPr>
                <w:rFonts w:hint="eastAsia"/>
                <w:color w:val="auto"/>
                <w:sz w:val="21"/>
                <w:szCs w:val="21"/>
              </w:rPr>
              <w:t>地面</w:t>
            </w:r>
          </w:p>
        </w:tc>
        <w:tc>
          <w:tcPr>
            <w:tcW w:w="1504" w:type="pct"/>
            <w:tcMar>
              <w:left w:w="0" w:type="dxa"/>
              <w:right w:w="0" w:type="dxa"/>
            </w:tcMar>
            <w:vAlign w:val="center"/>
          </w:tcPr>
          <w:p>
            <w:pPr>
              <w:spacing w:line="240" w:lineRule="auto"/>
              <w:ind w:firstLine="0" w:firstLineChars="0"/>
              <w:jc w:val="center"/>
              <w:rPr>
                <w:color w:val="auto"/>
                <w:sz w:val="21"/>
                <w:szCs w:val="21"/>
              </w:rPr>
            </w:pPr>
            <w:r>
              <w:rPr>
                <w:rFonts w:hint="eastAsia"/>
                <w:color w:val="auto"/>
                <w:sz w:val="21"/>
                <w:szCs w:val="21"/>
              </w:rPr>
              <w:t>一般</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04" w:type="pct"/>
            <w:tcMar>
              <w:left w:w="0" w:type="dxa"/>
              <w:right w:w="0" w:type="dxa"/>
            </w:tcMar>
            <w:vAlign w:val="center"/>
          </w:tcPr>
          <w:p>
            <w:pPr>
              <w:spacing w:line="240" w:lineRule="auto"/>
              <w:ind w:firstLine="0" w:firstLineChars="0"/>
              <w:jc w:val="center"/>
              <w:rPr>
                <w:color w:val="auto"/>
                <w:sz w:val="21"/>
                <w:szCs w:val="21"/>
              </w:rPr>
            </w:pPr>
            <w:r>
              <w:rPr>
                <w:rFonts w:hint="eastAsia"/>
                <w:color w:val="auto"/>
                <w:sz w:val="21"/>
                <w:szCs w:val="21"/>
              </w:rPr>
              <w:t>5</w:t>
            </w:r>
          </w:p>
        </w:tc>
        <w:tc>
          <w:tcPr>
            <w:tcW w:w="1737" w:type="pct"/>
            <w:tcMar>
              <w:left w:w="0" w:type="dxa"/>
              <w:right w:w="0" w:type="dxa"/>
            </w:tcMar>
            <w:vAlign w:val="center"/>
          </w:tcPr>
          <w:p>
            <w:pPr>
              <w:spacing w:line="240" w:lineRule="auto"/>
              <w:ind w:firstLine="0" w:firstLineChars="0"/>
              <w:jc w:val="center"/>
              <w:rPr>
                <w:color w:val="auto"/>
                <w:sz w:val="21"/>
                <w:szCs w:val="21"/>
              </w:rPr>
            </w:pPr>
            <w:r>
              <w:rPr>
                <w:rFonts w:hint="eastAsia"/>
                <w:color w:val="auto"/>
                <w:sz w:val="21"/>
                <w:szCs w:val="21"/>
              </w:rPr>
              <w:t>医疗废物暂存间、病死猪处理间</w:t>
            </w:r>
          </w:p>
        </w:tc>
        <w:tc>
          <w:tcPr>
            <w:tcW w:w="1453" w:type="pct"/>
            <w:tcMar>
              <w:left w:w="0" w:type="dxa"/>
              <w:right w:w="0" w:type="dxa"/>
            </w:tcMar>
            <w:vAlign w:val="center"/>
          </w:tcPr>
          <w:p>
            <w:pPr>
              <w:spacing w:line="240" w:lineRule="auto"/>
              <w:ind w:firstLine="0" w:firstLineChars="0"/>
              <w:jc w:val="center"/>
              <w:rPr>
                <w:color w:val="auto"/>
                <w:sz w:val="21"/>
                <w:szCs w:val="21"/>
              </w:rPr>
            </w:pPr>
            <w:r>
              <w:rPr>
                <w:rFonts w:hint="eastAsia"/>
                <w:color w:val="auto"/>
                <w:sz w:val="21"/>
                <w:szCs w:val="21"/>
              </w:rPr>
              <w:t>地面</w:t>
            </w:r>
          </w:p>
        </w:tc>
        <w:tc>
          <w:tcPr>
            <w:tcW w:w="1504" w:type="pct"/>
            <w:tcMar>
              <w:left w:w="0" w:type="dxa"/>
              <w:right w:w="0" w:type="dxa"/>
            </w:tcMar>
            <w:vAlign w:val="center"/>
          </w:tcPr>
          <w:p>
            <w:pPr>
              <w:spacing w:line="240" w:lineRule="auto"/>
              <w:ind w:firstLine="0" w:firstLineChars="0"/>
              <w:jc w:val="center"/>
              <w:rPr>
                <w:color w:val="auto"/>
                <w:sz w:val="21"/>
                <w:szCs w:val="21"/>
              </w:rPr>
            </w:pPr>
            <w:r>
              <w:rPr>
                <w:rFonts w:hint="eastAsia"/>
                <w:color w:val="auto"/>
                <w:sz w:val="21"/>
                <w:szCs w:val="21"/>
              </w:rPr>
              <w:t>重点</w:t>
            </w:r>
          </w:p>
        </w:tc>
      </w:tr>
    </w:tbl>
    <w:p>
      <w:pPr>
        <w:spacing w:after="93" w:afterLines="30" w:line="500" w:lineRule="exact"/>
        <w:ind w:firstLine="482"/>
        <w:jc w:val="center"/>
        <w:rPr>
          <w:b/>
          <w:color w:val="auto"/>
        </w:rPr>
      </w:pPr>
      <w:r>
        <w:rPr>
          <w:rFonts w:hint="eastAsia"/>
          <w:b/>
          <w:color w:val="auto"/>
        </w:rPr>
        <w:t>表6.2-4          本项目污染地下水防治措施一览表</w:t>
      </w:r>
    </w:p>
    <w:tbl>
      <w:tblPr>
        <w:tblStyle w:val="27"/>
        <w:tblW w:w="0" w:type="auto"/>
        <w:jc w:val="center"/>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94"/>
        <w:gridCol w:w="1165"/>
        <w:gridCol w:w="4231"/>
        <w:gridCol w:w="2670"/>
      </w:tblGrid>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694"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序号</w:t>
            </w:r>
          </w:p>
        </w:tc>
        <w:tc>
          <w:tcPr>
            <w:tcW w:w="1165"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项目</w:t>
            </w:r>
          </w:p>
        </w:tc>
        <w:tc>
          <w:tcPr>
            <w:tcW w:w="4231"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保护措施</w:t>
            </w:r>
          </w:p>
        </w:tc>
        <w:tc>
          <w:tcPr>
            <w:tcW w:w="2670"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达到效果</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694"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1</w:t>
            </w:r>
          </w:p>
        </w:tc>
        <w:tc>
          <w:tcPr>
            <w:tcW w:w="1165"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猪舍</w:t>
            </w:r>
            <w:r>
              <w:rPr>
                <w:rFonts w:hint="eastAsia"/>
                <w:color w:val="auto"/>
                <w:sz w:val="21"/>
                <w:szCs w:val="21"/>
                <w:lang w:eastAsia="zh-CN"/>
              </w:rPr>
              <w:t>底</w:t>
            </w:r>
            <w:r>
              <w:rPr>
                <w:color w:val="auto"/>
                <w:sz w:val="21"/>
                <w:szCs w:val="21"/>
              </w:rPr>
              <w:t>部</w:t>
            </w:r>
          </w:p>
        </w:tc>
        <w:tc>
          <w:tcPr>
            <w:tcW w:w="4231" w:type="dxa"/>
            <w:tcMar>
              <w:top w:w="57" w:type="dxa"/>
              <w:left w:w="85" w:type="dxa"/>
              <w:bottom w:w="57" w:type="dxa"/>
              <w:right w:w="85" w:type="dxa"/>
            </w:tcMar>
            <w:vAlign w:val="center"/>
          </w:tcPr>
          <w:p>
            <w:pPr>
              <w:spacing w:line="240" w:lineRule="auto"/>
              <w:ind w:firstLine="0" w:firstLineChars="0"/>
              <w:rPr>
                <w:color w:val="auto"/>
                <w:sz w:val="21"/>
                <w:szCs w:val="21"/>
              </w:rPr>
            </w:pPr>
            <w:r>
              <w:rPr>
                <w:color w:val="auto"/>
                <w:sz w:val="21"/>
                <w:szCs w:val="21"/>
              </w:rPr>
              <w:t>底部混凝土进行防渗，渗透系数达到1.0×10</w:t>
            </w:r>
            <w:r>
              <w:rPr>
                <w:color w:val="auto"/>
                <w:sz w:val="21"/>
                <w:szCs w:val="21"/>
                <w:vertAlign w:val="superscript"/>
              </w:rPr>
              <w:t>-7</w:t>
            </w:r>
            <w:r>
              <w:rPr>
                <w:color w:val="auto"/>
                <w:sz w:val="21"/>
                <w:szCs w:val="21"/>
              </w:rPr>
              <w:t>cm/s，减少污染物的跑、冒、滴、漏，将污染物泄漏的环境风险事故降到最低限度</w:t>
            </w:r>
          </w:p>
        </w:tc>
        <w:tc>
          <w:tcPr>
            <w:tcW w:w="2670" w:type="dxa"/>
            <w:vMerge w:val="restart"/>
            <w:tcMar>
              <w:top w:w="57" w:type="dxa"/>
              <w:left w:w="85" w:type="dxa"/>
              <w:bottom w:w="57" w:type="dxa"/>
              <w:right w:w="85" w:type="dxa"/>
            </w:tcMar>
            <w:vAlign w:val="center"/>
          </w:tcPr>
          <w:p>
            <w:pPr>
              <w:spacing w:line="240" w:lineRule="auto"/>
              <w:ind w:firstLine="0" w:firstLineChars="0"/>
              <w:rPr>
                <w:color w:val="auto"/>
                <w:sz w:val="21"/>
                <w:szCs w:val="21"/>
              </w:rPr>
            </w:pPr>
            <w:r>
              <w:rPr>
                <w:color w:val="auto"/>
                <w:sz w:val="21"/>
                <w:szCs w:val="21"/>
              </w:rPr>
              <w:t>各反应池符合《规模化畜禽养殖场沼气工程设计规范》（NY/T1222）和《混凝土结构设计规范》（GB50010）的要求，具备“防渗、防雨、防溢”的三防措施；畜禽粪便的贮存相关要求，应具备防渗、防风、防雨的“三防”措施，雨污分流。</w:t>
            </w:r>
          </w:p>
          <w:p>
            <w:pPr>
              <w:spacing w:line="240" w:lineRule="auto"/>
              <w:ind w:firstLine="0" w:firstLineChars="0"/>
              <w:rPr>
                <w:color w:val="auto"/>
                <w:sz w:val="21"/>
                <w:szCs w:val="21"/>
              </w:rPr>
            </w:pPr>
            <w:r>
              <w:rPr>
                <w:color w:val="auto"/>
                <w:sz w:val="21"/>
                <w:szCs w:val="21"/>
              </w:rPr>
              <w:t>满足《畜禽养殖业污染防治技术规范》（HJ/T81~2001）要求</w:t>
            </w:r>
            <w:r>
              <w:rPr>
                <w:rFonts w:hint="eastAsia"/>
                <w:color w:val="auto"/>
                <w:sz w:val="21"/>
                <w:szCs w:val="21"/>
              </w:rPr>
              <w:t>，</w:t>
            </w:r>
            <w:r>
              <w:rPr>
                <w:color w:val="auto"/>
                <w:sz w:val="21"/>
                <w:szCs w:val="21"/>
              </w:rPr>
              <w:t>满足《畜禽养殖业污染源总量减排技术指导意见（试行）》（豫环文（2012）99号文）要求。</w:t>
            </w:r>
          </w:p>
          <w:p>
            <w:pPr>
              <w:spacing w:line="240" w:lineRule="auto"/>
              <w:ind w:firstLine="0" w:firstLineChars="0"/>
              <w:rPr>
                <w:color w:val="auto"/>
                <w:sz w:val="21"/>
                <w:szCs w:val="21"/>
              </w:rPr>
            </w:pPr>
            <w:r>
              <w:rPr>
                <w:color w:val="auto"/>
                <w:sz w:val="21"/>
                <w:szCs w:val="21"/>
              </w:rPr>
              <w:t>在厂址西南</w:t>
            </w:r>
            <w:r>
              <w:rPr>
                <w:rFonts w:hint="eastAsia"/>
                <w:color w:val="auto"/>
                <w:sz w:val="21"/>
                <w:szCs w:val="21"/>
              </w:rPr>
              <w:t>和</w:t>
            </w:r>
            <w:r>
              <w:rPr>
                <w:color w:val="auto"/>
                <w:sz w:val="21"/>
                <w:szCs w:val="21"/>
              </w:rPr>
              <w:t>东北方位设置2口地下水观测井。</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694"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2</w:t>
            </w:r>
          </w:p>
        </w:tc>
        <w:tc>
          <w:tcPr>
            <w:tcW w:w="1165"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污水处理系统</w:t>
            </w:r>
          </w:p>
        </w:tc>
        <w:tc>
          <w:tcPr>
            <w:tcW w:w="4231" w:type="dxa"/>
            <w:tcMar>
              <w:top w:w="57" w:type="dxa"/>
              <w:left w:w="85" w:type="dxa"/>
              <w:bottom w:w="57" w:type="dxa"/>
              <w:right w:w="85" w:type="dxa"/>
            </w:tcMar>
            <w:vAlign w:val="center"/>
          </w:tcPr>
          <w:p>
            <w:pPr>
              <w:spacing w:line="240" w:lineRule="auto"/>
              <w:ind w:firstLine="0" w:firstLineChars="0"/>
              <w:rPr>
                <w:color w:val="auto"/>
                <w:sz w:val="21"/>
                <w:szCs w:val="21"/>
              </w:rPr>
            </w:pPr>
            <w:r>
              <w:rPr>
                <w:color w:val="auto"/>
                <w:sz w:val="21"/>
                <w:szCs w:val="21"/>
              </w:rPr>
              <w:t>应由有资质施工企业设计并建设。</w:t>
            </w:r>
            <w:r>
              <w:rPr>
                <w:rFonts w:hint="eastAsia"/>
                <w:color w:val="auto"/>
                <w:sz w:val="21"/>
                <w:szCs w:val="21"/>
              </w:rPr>
              <w:t>黑膜沼气池防渗工艺是素土夯实+HDPE膜</w:t>
            </w:r>
          </w:p>
        </w:tc>
        <w:tc>
          <w:tcPr>
            <w:tcW w:w="2670" w:type="dxa"/>
            <w:vMerge w:val="continue"/>
            <w:tcMar>
              <w:top w:w="57" w:type="dxa"/>
              <w:left w:w="85" w:type="dxa"/>
              <w:bottom w:w="57" w:type="dxa"/>
              <w:right w:w="85" w:type="dxa"/>
            </w:tcMar>
            <w:vAlign w:val="center"/>
          </w:tcPr>
          <w:p>
            <w:pPr>
              <w:spacing w:line="240" w:lineRule="auto"/>
              <w:ind w:firstLine="0" w:firstLineChars="0"/>
              <w:jc w:val="left"/>
              <w:rPr>
                <w:color w:val="auto"/>
                <w:sz w:val="21"/>
                <w:szCs w:val="21"/>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694"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3</w:t>
            </w:r>
          </w:p>
        </w:tc>
        <w:tc>
          <w:tcPr>
            <w:tcW w:w="1165"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rFonts w:hint="eastAsia"/>
                <w:color w:val="auto"/>
                <w:sz w:val="21"/>
                <w:szCs w:val="21"/>
              </w:rPr>
              <w:t>固粪处理区</w:t>
            </w:r>
          </w:p>
        </w:tc>
        <w:tc>
          <w:tcPr>
            <w:tcW w:w="4231" w:type="dxa"/>
            <w:tcMar>
              <w:top w:w="57" w:type="dxa"/>
              <w:left w:w="85" w:type="dxa"/>
              <w:bottom w:w="57" w:type="dxa"/>
              <w:right w:w="85" w:type="dxa"/>
            </w:tcMar>
            <w:vAlign w:val="center"/>
          </w:tcPr>
          <w:p>
            <w:pPr>
              <w:spacing w:line="240" w:lineRule="auto"/>
              <w:ind w:firstLine="0" w:firstLineChars="0"/>
              <w:rPr>
                <w:color w:val="auto"/>
                <w:sz w:val="21"/>
                <w:szCs w:val="21"/>
              </w:rPr>
            </w:pPr>
            <w:r>
              <w:rPr>
                <w:color w:val="auto"/>
                <w:sz w:val="21"/>
                <w:szCs w:val="21"/>
              </w:rPr>
              <w:t>地面混凝土进行防渗，渗透系数达到1.0×10</w:t>
            </w:r>
            <w:r>
              <w:rPr>
                <w:color w:val="auto"/>
                <w:sz w:val="21"/>
                <w:szCs w:val="21"/>
                <w:vertAlign w:val="superscript"/>
              </w:rPr>
              <w:t>-7</w:t>
            </w:r>
            <w:r>
              <w:rPr>
                <w:color w:val="auto"/>
                <w:sz w:val="21"/>
                <w:szCs w:val="21"/>
              </w:rPr>
              <w:t>cm/s，三面砌筑不低于1m高的</w:t>
            </w:r>
            <w:r>
              <w:rPr>
                <w:rFonts w:hint="eastAsia"/>
                <w:color w:val="auto"/>
                <w:sz w:val="21"/>
                <w:szCs w:val="21"/>
              </w:rPr>
              <w:t>混凝土围墙</w:t>
            </w:r>
            <w:r>
              <w:rPr>
                <w:color w:val="auto"/>
                <w:sz w:val="21"/>
                <w:szCs w:val="21"/>
              </w:rPr>
              <w:t>；其上搭建顶棚</w:t>
            </w:r>
          </w:p>
        </w:tc>
        <w:tc>
          <w:tcPr>
            <w:tcW w:w="2670" w:type="dxa"/>
            <w:vMerge w:val="continue"/>
            <w:tcMar>
              <w:top w:w="57" w:type="dxa"/>
              <w:left w:w="85" w:type="dxa"/>
              <w:bottom w:w="57" w:type="dxa"/>
              <w:right w:w="85" w:type="dxa"/>
            </w:tcMar>
            <w:vAlign w:val="center"/>
          </w:tcPr>
          <w:p>
            <w:pPr>
              <w:spacing w:line="240" w:lineRule="auto"/>
              <w:ind w:firstLine="0" w:firstLineChars="0"/>
              <w:jc w:val="left"/>
              <w:rPr>
                <w:color w:val="auto"/>
                <w:sz w:val="21"/>
                <w:szCs w:val="21"/>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694"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4</w:t>
            </w:r>
          </w:p>
        </w:tc>
        <w:tc>
          <w:tcPr>
            <w:tcW w:w="1165"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rFonts w:hint="eastAsia"/>
                <w:color w:val="auto"/>
                <w:sz w:val="21"/>
                <w:szCs w:val="21"/>
              </w:rPr>
              <w:t>厂区</w:t>
            </w:r>
            <w:r>
              <w:rPr>
                <w:color w:val="auto"/>
                <w:sz w:val="21"/>
                <w:szCs w:val="21"/>
              </w:rPr>
              <w:t>雨、污管网</w:t>
            </w:r>
          </w:p>
        </w:tc>
        <w:tc>
          <w:tcPr>
            <w:tcW w:w="4231" w:type="dxa"/>
            <w:tcMar>
              <w:top w:w="57" w:type="dxa"/>
              <w:left w:w="85" w:type="dxa"/>
              <w:bottom w:w="57" w:type="dxa"/>
              <w:right w:w="85" w:type="dxa"/>
            </w:tcMar>
            <w:vAlign w:val="center"/>
          </w:tcPr>
          <w:p>
            <w:pPr>
              <w:spacing w:line="240" w:lineRule="auto"/>
              <w:ind w:firstLine="0" w:firstLineChars="0"/>
              <w:rPr>
                <w:color w:val="auto"/>
                <w:sz w:val="21"/>
                <w:szCs w:val="21"/>
              </w:rPr>
            </w:pPr>
            <w:r>
              <w:rPr>
                <w:color w:val="auto"/>
                <w:sz w:val="21"/>
                <w:szCs w:val="21"/>
              </w:rPr>
              <w:t>雨污分流、</w:t>
            </w:r>
            <w:r>
              <w:rPr>
                <w:rFonts w:hint="eastAsia"/>
                <w:color w:val="auto"/>
                <w:sz w:val="21"/>
                <w:szCs w:val="21"/>
              </w:rPr>
              <w:t>雨水是硬化水渠，粪污管道</w:t>
            </w:r>
            <w:r>
              <w:rPr>
                <w:rFonts w:hint="eastAsia"/>
                <w:color w:val="auto"/>
                <w:sz w:val="21"/>
                <w:szCs w:val="21"/>
                <w:lang w:eastAsia="zh-CN"/>
              </w:rPr>
              <w:t>采用</w:t>
            </w:r>
            <w:r>
              <w:rPr>
                <w:rFonts w:hint="eastAsia"/>
                <w:color w:val="auto"/>
                <w:sz w:val="21"/>
                <w:szCs w:val="21"/>
              </w:rPr>
              <w:t>地埋pvc管道</w:t>
            </w:r>
            <w:r>
              <w:rPr>
                <w:rFonts w:hint="eastAsia"/>
                <w:color w:val="auto"/>
                <w:sz w:val="21"/>
                <w:szCs w:val="21"/>
                <w:lang w:eastAsia="zh-CN"/>
              </w:rPr>
              <w:t>，</w:t>
            </w:r>
            <w:r>
              <w:rPr>
                <w:color w:val="auto"/>
                <w:sz w:val="21"/>
                <w:szCs w:val="21"/>
              </w:rPr>
              <w:t>按照畜禽养殖业污染防治技术规范要求进行建设</w:t>
            </w:r>
          </w:p>
        </w:tc>
        <w:tc>
          <w:tcPr>
            <w:tcW w:w="2670" w:type="dxa"/>
            <w:vMerge w:val="continue"/>
            <w:tcMar>
              <w:top w:w="57" w:type="dxa"/>
              <w:left w:w="85" w:type="dxa"/>
              <w:bottom w:w="57" w:type="dxa"/>
              <w:right w:w="85" w:type="dxa"/>
            </w:tcMar>
            <w:vAlign w:val="center"/>
          </w:tcPr>
          <w:p>
            <w:pPr>
              <w:spacing w:line="240" w:lineRule="auto"/>
              <w:ind w:firstLine="0" w:firstLineChars="0"/>
              <w:jc w:val="left"/>
              <w:rPr>
                <w:color w:val="auto"/>
                <w:sz w:val="21"/>
                <w:szCs w:val="21"/>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694" w:type="dxa"/>
            <w:tcMar>
              <w:top w:w="57" w:type="dxa"/>
              <w:left w:w="85" w:type="dxa"/>
              <w:bottom w:w="57" w:type="dxa"/>
              <w:right w:w="85" w:type="dxa"/>
            </w:tcMar>
            <w:vAlign w:val="center"/>
          </w:tcPr>
          <w:p>
            <w:pPr>
              <w:spacing w:line="240" w:lineRule="auto"/>
              <w:ind w:firstLine="0" w:firstLineChars="0"/>
              <w:jc w:val="center"/>
              <w:rPr>
                <w:rFonts w:hint="eastAsia" w:eastAsia="宋体"/>
                <w:color w:val="auto"/>
                <w:sz w:val="21"/>
                <w:szCs w:val="21"/>
                <w:lang w:eastAsia="zh-CN"/>
              </w:rPr>
            </w:pPr>
            <w:r>
              <w:rPr>
                <w:rFonts w:hint="eastAsia"/>
                <w:color w:val="auto"/>
                <w:sz w:val="21"/>
                <w:szCs w:val="21"/>
                <w:lang w:val="en-US" w:eastAsia="zh-CN"/>
              </w:rPr>
              <w:t>5</w:t>
            </w:r>
          </w:p>
        </w:tc>
        <w:tc>
          <w:tcPr>
            <w:tcW w:w="1165"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rFonts w:hint="eastAsia"/>
                <w:color w:val="auto"/>
                <w:sz w:val="21"/>
                <w:szCs w:val="21"/>
              </w:rPr>
              <w:t>医疗废物暂存间、病死猪处理间</w:t>
            </w:r>
          </w:p>
        </w:tc>
        <w:tc>
          <w:tcPr>
            <w:tcW w:w="4231" w:type="dxa"/>
            <w:tcMar>
              <w:top w:w="57" w:type="dxa"/>
              <w:left w:w="85" w:type="dxa"/>
              <w:bottom w:w="57" w:type="dxa"/>
              <w:right w:w="85" w:type="dxa"/>
            </w:tcMar>
            <w:vAlign w:val="center"/>
          </w:tcPr>
          <w:p>
            <w:pPr>
              <w:spacing w:line="240" w:lineRule="auto"/>
              <w:ind w:firstLine="0" w:firstLineChars="0"/>
              <w:rPr>
                <w:color w:val="auto"/>
                <w:sz w:val="21"/>
                <w:szCs w:val="21"/>
              </w:rPr>
            </w:pPr>
            <w:r>
              <w:rPr>
                <w:rFonts w:hint="eastAsia"/>
                <w:color w:val="auto"/>
                <w:sz w:val="21"/>
                <w:szCs w:val="21"/>
              </w:rPr>
              <w:t>医疗废物暂存间及病死猪处理间建成具有防水、防渗、防流失的空间基础必须防渗，防渗层为至少</w:t>
            </w:r>
            <w:r>
              <w:rPr>
                <w:color w:val="auto"/>
                <w:sz w:val="21"/>
                <w:szCs w:val="21"/>
              </w:rPr>
              <w:t>1</w:t>
            </w:r>
            <w:r>
              <w:rPr>
                <w:rFonts w:hint="eastAsia"/>
                <w:color w:val="auto"/>
                <w:sz w:val="21"/>
                <w:szCs w:val="21"/>
              </w:rPr>
              <w:t>米厚粘土层</w:t>
            </w:r>
            <w:r>
              <w:rPr>
                <w:color w:val="auto"/>
                <w:sz w:val="21"/>
                <w:szCs w:val="21"/>
              </w:rPr>
              <w:t>(</w:t>
            </w:r>
            <w:r>
              <w:rPr>
                <w:rFonts w:hint="eastAsia"/>
                <w:color w:val="auto"/>
                <w:sz w:val="21"/>
                <w:szCs w:val="21"/>
              </w:rPr>
              <w:t>渗透系数</w:t>
            </w:r>
            <w:r>
              <w:rPr>
                <w:color w:val="auto"/>
                <w:sz w:val="21"/>
                <w:szCs w:val="21"/>
              </w:rPr>
              <w:t>≤10</w:t>
            </w:r>
            <w:r>
              <w:rPr>
                <w:color w:val="auto"/>
                <w:sz w:val="21"/>
                <w:szCs w:val="21"/>
                <w:vertAlign w:val="superscript"/>
              </w:rPr>
              <w:t>-7</w:t>
            </w:r>
            <w:r>
              <w:rPr>
                <w:color w:val="auto"/>
                <w:sz w:val="21"/>
                <w:szCs w:val="21"/>
              </w:rPr>
              <w:t>cm/s)</w:t>
            </w:r>
            <w:r>
              <w:rPr>
                <w:rFonts w:hint="eastAsia"/>
                <w:color w:val="auto"/>
                <w:sz w:val="21"/>
                <w:szCs w:val="21"/>
              </w:rPr>
              <w:t>，或</w:t>
            </w:r>
            <w:r>
              <w:rPr>
                <w:color w:val="auto"/>
                <w:sz w:val="21"/>
                <w:szCs w:val="21"/>
              </w:rPr>
              <w:t>2mm</w:t>
            </w:r>
            <w:r>
              <w:rPr>
                <w:rFonts w:hint="eastAsia"/>
                <w:color w:val="auto"/>
                <w:sz w:val="21"/>
                <w:szCs w:val="21"/>
              </w:rPr>
              <w:t>厚高密度聚乙烯，或至少</w:t>
            </w:r>
            <w:r>
              <w:rPr>
                <w:color w:val="auto"/>
                <w:sz w:val="21"/>
                <w:szCs w:val="21"/>
              </w:rPr>
              <w:t>2mm</w:t>
            </w:r>
            <w:r>
              <w:rPr>
                <w:rFonts w:hint="eastAsia"/>
                <w:color w:val="auto"/>
                <w:sz w:val="21"/>
                <w:szCs w:val="21"/>
              </w:rPr>
              <w:t>厚的其它人工材料，渗透系数</w:t>
            </w:r>
            <w:r>
              <w:rPr>
                <w:color w:val="auto"/>
                <w:sz w:val="21"/>
                <w:szCs w:val="21"/>
              </w:rPr>
              <w:t>≤10</w:t>
            </w:r>
            <w:r>
              <w:rPr>
                <w:color w:val="auto"/>
                <w:sz w:val="21"/>
                <w:szCs w:val="21"/>
                <w:vertAlign w:val="superscript"/>
              </w:rPr>
              <w:t>-10</w:t>
            </w:r>
            <w:r>
              <w:rPr>
                <w:color w:val="auto"/>
                <w:sz w:val="21"/>
                <w:szCs w:val="21"/>
              </w:rPr>
              <w:t>cm/s</w:t>
            </w:r>
            <w:r>
              <w:rPr>
                <w:rFonts w:hint="eastAsia"/>
                <w:color w:val="auto"/>
                <w:sz w:val="21"/>
                <w:szCs w:val="21"/>
              </w:rPr>
              <w:t>。设置专用贮存设施贮存医疗废物。贮存医疗废物的容器材质和衬里要与医疗废物相容（不相互反应）。贮存设施必须防渗。</w:t>
            </w:r>
          </w:p>
        </w:tc>
        <w:tc>
          <w:tcPr>
            <w:tcW w:w="2670" w:type="dxa"/>
            <w:tcMar>
              <w:top w:w="57" w:type="dxa"/>
              <w:left w:w="85" w:type="dxa"/>
              <w:bottom w:w="57" w:type="dxa"/>
              <w:right w:w="85" w:type="dxa"/>
            </w:tcMar>
            <w:vAlign w:val="center"/>
          </w:tcPr>
          <w:p>
            <w:pPr>
              <w:spacing w:line="240" w:lineRule="auto"/>
              <w:ind w:firstLine="0" w:firstLineChars="0"/>
              <w:jc w:val="left"/>
              <w:rPr>
                <w:color w:val="auto"/>
                <w:sz w:val="21"/>
                <w:szCs w:val="21"/>
              </w:rPr>
            </w:pPr>
            <w:r>
              <w:rPr>
                <w:rFonts w:hint="eastAsia"/>
                <w:color w:val="auto"/>
                <w:sz w:val="21"/>
                <w:szCs w:val="21"/>
              </w:rPr>
              <w:t>满足《危险废物贮存污染</w:t>
            </w:r>
          </w:p>
          <w:p>
            <w:pPr>
              <w:spacing w:line="240" w:lineRule="auto"/>
              <w:ind w:firstLine="0" w:firstLineChars="0"/>
              <w:jc w:val="left"/>
              <w:rPr>
                <w:color w:val="auto"/>
                <w:sz w:val="21"/>
                <w:szCs w:val="21"/>
              </w:rPr>
            </w:pPr>
            <w:r>
              <w:rPr>
                <w:rFonts w:hint="eastAsia"/>
                <w:color w:val="auto"/>
                <w:sz w:val="21"/>
                <w:szCs w:val="21"/>
              </w:rPr>
              <w:t>控制标准》（</w:t>
            </w:r>
            <w:r>
              <w:rPr>
                <w:color w:val="auto"/>
                <w:sz w:val="21"/>
                <w:szCs w:val="21"/>
              </w:rPr>
              <w:t>GB18597-2001</w:t>
            </w:r>
            <w:r>
              <w:rPr>
                <w:rFonts w:hint="eastAsia"/>
                <w:color w:val="auto"/>
                <w:sz w:val="21"/>
                <w:szCs w:val="21"/>
              </w:rPr>
              <w:t>）（</w:t>
            </w:r>
            <w:r>
              <w:rPr>
                <w:color w:val="auto"/>
                <w:sz w:val="21"/>
                <w:szCs w:val="21"/>
              </w:rPr>
              <w:t>2013</w:t>
            </w:r>
            <w:r>
              <w:rPr>
                <w:rFonts w:hint="eastAsia"/>
                <w:color w:val="auto"/>
                <w:sz w:val="21"/>
                <w:szCs w:val="21"/>
              </w:rPr>
              <w:t>修订版）</w:t>
            </w:r>
          </w:p>
        </w:tc>
      </w:tr>
    </w:tbl>
    <w:p>
      <w:pPr>
        <w:ind w:firstLine="480"/>
        <w:rPr>
          <w:bCs/>
          <w:color w:val="auto"/>
          <w:kern w:val="0"/>
        </w:rPr>
      </w:pPr>
      <w:r>
        <w:rPr>
          <w:bCs/>
          <w:color w:val="auto"/>
          <w:kern w:val="0"/>
        </w:rPr>
        <w:t>（3）预防地下水污染物的要求及环境管理建议</w:t>
      </w:r>
    </w:p>
    <w:p>
      <w:pPr>
        <w:ind w:firstLine="480"/>
        <w:rPr>
          <w:bCs/>
          <w:color w:val="auto"/>
          <w:kern w:val="0"/>
        </w:rPr>
      </w:pPr>
      <w:r>
        <w:rPr>
          <w:bCs/>
          <w:color w:val="auto"/>
          <w:kern w:val="0"/>
        </w:rPr>
        <w:t>项目在施工阶段，应充分做好排污管道的防渗处理，杜绝污水渗漏，确保污水收集处理系统衔接良好，严格用水管理，防止污水“跑、冒、滴、漏”现象的发生，这样可以保证项目区内产生的全部废水汇集到沼气工程集中处理，可以很大程度的消除污染物排放对周边地区地下水环境的影响。运营期环境建议严格按照以下要求进行管理：</w:t>
      </w:r>
    </w:p>
    <w:p>
      <w:pPr>
        <w:ind w:firstLine="480"/>
        <w:rPr>
          <w:bCs/>
          <w:color w:val="auto"/>
          <w:kern w:val="0"/>
        </w:rPr>
      </w:pPr>
      <w:r>
        <w:rPr>
          <w:rFonts w:hint="eastAsia" w:ascii="宋体" w:hAnsi="宋体" w:cs="宋体"/>
          <w:bCs/>
          <w:color w:val="auto"/>
          <w:kern w:val="0"/>
        </w:rPr>
        <w:t>①</w:t>
      </w:r>
      <w:r>
        <w:rPr>
          <w:bCs/>
          <w:color w:val="auto"/>
          <w:kern w:val="0"/>
        </w:rPr>
        <w:t>《畜禽养殖业污染防治技术规范》（HJ/T81－2001）规定，养殖场的排水系统应实施雨水和污水收集输送系统分离，在</w:t>
      </w:r>
      <w:r>
        <w:rPr>
          <w:rFonts w:hint="eastAsia"/>
          <w:bCs/>
          <w:color w:val="auto"/>
          <w:kern w:val="0"/>
        </w:rPr>
        <w:t>厂区</w:t>
      </w:r>
      <w:r>
        <w:rPr>
          <w:bCs/>
          <w:color w:val="auto"/>
          <w:kern w:val="0"/>
        </w:rPr>
        <w:t>内设置的污水收集输送系统，不得采用明沟布设。排水沟应采取水泥硬化防渗措施或采用水泥排水管进行输送，防止随处溢流和下渗污染。</w:t>
      </w:r>
    </w:p>
    <w:p>
      <w:pPr>
        <w:ind w:firstLine="480"/>
        <w:rPr>
          <w:bCs/>
          <w:color w:val="auto"/>
          <w:kern w:val="0"/>
        </w:rPr>
      </w:pPr>
      <w:r>
        <w:rPr>
          <w:rFonts w:hint="eastAsia" w:ascii="宋体" w:hAnsi="宋体" w:cs="宋体"/>
          <w:bCs/>
          <w:color w:val="auto"/>
          <w:kern w:val="0"/>
        </w:rPr>
        <w:t>②</w:t>
      </w:r>
      <w:r>
        <w:rPr>
          <w:bCs/>
          <w:color w:val="auto"/>
          <w:kern w:val="0"/>
        </w:rPr>
        <w:t>猪舍、粪污处理及储存设施等应采取有效的防渗处理工艺，防止废水、粪便淋滤液污染地下水。</w:t>
      </w:r>
    </w:p>
    <w:p>
      <w:pPr>
        <w:ind w:firstLine="480"/>
        <w:rPr>
          <w:bCs/>
          <w:color w:val="auto"/>
          <w:kern w:val="0"/>
        </w:rPr>
      </w:pPr>
      <w:r>
        <w:rPr>
          <w:bCs/>
          <w:color w:val="auto"/>
          <w:kern w:val="0"/>
        </w:rPr>
        <w:t>本项目建成后全场分为重点防渗区和一般防渗区。重点污染防渗区主要包括：</w:t>
      </w:r>
      <w:r>
        <w:rPr>
          <w:rFonts w:hint="eastAsia"/>
          <w:bCs/>
          <w:color w:val="auto"/>
          <w:kern w:val="0"/>
        </w:rPr>
        <w:t>黑膜沼气池</w:t>
      </w:r>
      <w:r>
        <w:rPr>
          <w:bCs/>
          <w:color w:val="auto"/>
          <w:kern w:val="0"/>
        </w:rPr>
        <w:t>、</w:t>
      </w:r>
      <w:r>
        <w:rPr>
          <w:rFonts w:hint="eastAsia"/>
          <w:bCs/>
          <w:color w:val="auto"/>
          <w:kern w:val="0"/>
        </w:rPr>
        <w:t>固粪处理区</w:t>
      </w:r>
      <w:r>
        <w:rPr>
          <w:bCs/>
          <w:color w:val="auto"/>
          <w:kern w:val="0"/>
        </w:rPr>
        <w:t>、危险废物暂存</w:t>
      </w:r>
      <w:r>
        <w:rPr>
          <w:rFonts w:hint="eastAsia"/>
          <w:bCs/>
          <w:color w:val="auto"/>
          <w:kern w:val="0"/>
          <w:lang w:eastAsia="zh-CN"/>
        </w:rPr>
        <w:t>间</w:t>
      </w:r>
      <w:r>
        <w:rPr>
          <w:bCs/>
          <w:color w:val="auto"/>
          <w:kern w:val="0"/>
        </w:rPr>
        <w:t>等；一般污染防渗区主要包括：猪舍周围地面。</w:t>
      </w:r>
    </w:p>
    <w:p>
      <w:pPr>
        <w:pStyle w:val="10"/>
        <w:ind w:firstLine="480"/>
        <w:rPr>
          <w:bCs/>
          <w:color w:val="auto"/>
          <w:kern w:val="0"/>
        </w:rPr>
      </w:pPr>
      <w:r>
        <w:rPr>
          <w:bCs/>
          <w:color w:val="auto"/>
          <w:kern w:val="0"/>
        </w:rPr>
        <w:t>重点防渗区：重点防渗区在清场夯压的基础上，</w:t>
      </w:r>
      <w:r>
        <w:rPr>
          <w:rFonts w:hint="eastAsia"/>
          <w:bCs/>
          <w:color w:val="auto"/>
          <w:kern w:val="0"/>
        </w:rPr>
        <w:t>黑膜沼气池</w:t>
      </w:r>
      <w:r>
        <w:rPr>
          <w:bCs/>
          <w:color w:val="auto"/>
          <w:kern w:val="0"/>
        </w:rPr>
        <w:t>用HDPE膜进行防渗；HDPE膜抗渗能力比较强，</w:t>
      </w:r>
      <w:r>
        <w:rPr>
          <w:rFonts w:hint="eastAsia"/>
          <w:color w:val="auto"/>
        </w:rPr>
        <w:t>固粪处理区混凝土防渗</w:t>
      </w:r>
      <w:r>
        <w:rPr>
          <w:rFonts w:hint="eastAsia"/>
          <w:bCs/>
          <w:color w:val="auto"/>
          <w:kern w:val="0"/>
        </w:rPr>
        <w:t>，</w:t>
      </w:r>
      <w:r>
        <w:rPr>
          <w:bCs/>
          <w:color w:val="auto"/>
          <w:kern w:val="0"/>
        </w:rPr>
        <w:t>混凝土的抗渗标号为P6，渗透系数能够达到1.0×10</w:t>
      </w:r>
      <w:r>
        <w:rPr>
          <w:bCs/>
          <w:color w:val="auto"/>
          <w:kern w:val="0"/>
          <w:vertAlign w:val="superscript"/>
        </w:rPr>
        <w:t>-10</w:t>
      </w:r>
      <w:r>
        <w:rPr>
          <w:bCs/>
          <w:color w:val="auto"/>
          <w:kern w:val="0"/>
        </w:rPr>
        <w:t>cm/s，以防止污染地下水，同时各废水输送管道应做到防泄露、跑冒等。</w:t>
      </w:r>
    </w:p>
    <w:p>
      <w:pPr>
        <w:ind w:firstLine="480"/>
        <w:rPr>
          <w:bCs/>
          <w:color w:val="auto"/>
          <w:kern w:val="0"/>
        </w:rPr>
      </w:pPr>
      <w:r>
        <w:rPr>
          <w:bCs/>
          <w:color w:val="auto"/>
          <w:kern w:val="0"/>
        </w:rPr>
        <w:t>根据《畜禽养殖业污染源总量减排技术指导意见（试行）》（豫环文（2012）99号文）中的相关要求，</w:t>
      </w:r>
      <w:r>
        <w:rPr>
          <w:rFonts w:hint="eastAsia"/>
          <w:bCs/>
          <w:color w:val="auto"/>
          <w:kern w:val="0"/>
        </w:rPr>
        <w:t>固粪处理区</w:t>
      </w:r>
      <w:r>
        <w:rPr>
          <w:bCs/>
          <w:color w:val="auto"/>
          <w:kern w:val="0"/>
        </w:rPr>
        <w:t>（本项目为发酵区）应采取有效的防雨、防渗漏、防溢流措施。</w:t>
      </w:r>
    </w:p>
    <w:p>
      <w:pPr>
        <w:ind w:firstLine="480"/>
        <w:rPr>
          <w:bCs/>
          <w:color w:val="auto"/>
          <w:kern w:val="0"/>
        </w:rPr>
      </w:pPr>
      <w:r>
        <w:rPr>
          <w:rFonts w:hint="eastAsia" w:ascii="宋体" w:hAnsi="宋体" w:cs="宋体"/>
          <w:bCs/>
          <w:color w:val="auto"/>
          <w:kern w:val="0"/>
        </w:rPr>
        <w:t>③</w:t>
      </w:r>
      <w:r>
        <w:rPr>
          <w:bCs/>
          <w:color w:val="auto"/>
          <w:kern w:val="0"/>
        </w:rPr>
        <w:t>肥水适当施用，由企业结合天气状况、当地土地消纳能力、当地农田施肥规律等定时定量合理施肥，防止过度施肥而影响地下水环境。并且，防止在雨天进行施肥，以避免肥水随雨水垂直径流进入地下水体，造成污染。</w:t>
      </w:r>
    </w:p>
    <w:p>
      <w:pPr>
        <w:ind w:firstLine="480"/>
        <w:rPr>
          <w:bCs/>
          <w:color w:val="auto"/>
          <w:kern w:val="0"/>
        </w:rPr>
      </w:pPr>
      <w:r>
        <w:rPr>
          <w:bCs/>
          <w:color w:val="auto"/>
          <w:kern w:val="0"/>
        </w:rPr>
        <w:t>（4）管理措施</w:t>
      </w:r>
    </w:p>
    <w:p>
      <w:pPr>
        <w:ind w:firstLine="480"/>
        <w:rPr>
          <w:bCs/>
          <w:color w:val="auto"/>
          <w:kern w:val="0"/>
        </w:rPr>
      </w:pPr>
      <w:r>
        <w:rPr>
          <w:bCs/>
          <w:color w:val="auto"/>
          <w:kern w:val="0"/>
        </w:rPr>
        <w:t>成立事故处理组织，一旦发生废水事故排放，应立即组织人力、物力和财力加紧对设备进行维修，同时对废水进行回收、拦截，以防止污染地下水；建设单位建立了科学合理的沼液利用制度，沼液适当施用，由企业结合农业技术部门根据天气情况、当地土地消纳能力、农田施肥及灌溉规律定时定量施肥，防治过度施肥而影响地下水环境。</w:t>
      </w:r>
    </w:p>
    <w:p>
      <w:pPr>
        <w:ind w:firstLine="480"/>
        <w:rPr>
          <w:bCs/>
          <w:color w:val="auto"/>
          <w:kern w:val="0"/>
        </w:rPr>
      </w:pPr>
      <w:r>
        <w:rPr>
          <w:color w:val="auto"/>
        </w:rPr>
        <w:t>根据《排污许可证核发与技术规范 畜禽养殖行业》中的废</w:t>
      </w:r>
      <w:r>
        <w:rPr>
          <w:rFonts w:hint="eastAsia"/>
          <w:color w:val="auto"/>
        </w:rPr>
        <w:t>水污染防治可行技术参数表，本项目属于中型养殖规模，废水排放去向为间接排放，可采用干清粪+固液分离+厌氧+好氧发酵处理措施。</w:t>
      </w:r>
      <w:r>
        <w:rPr>
          <w:color w:val="auto"/>
        </w:rPr>
        <w:t>结合《畜禽养殖业污染治理工程技术规范》（HJ497-2009）中要求对污水进行处理</w:t>
      </w:r>
      <w:r>
        <w:rPr>
          <w:rFonts w:hint="eastAsia"/>
          <w:color w:val="auto"/>
        </w:rPr>
        <w:t>，</w:t>
      </w:r>
      <w:r>
        <w:rPr>
          <w:color w:val="auto"/>
        </w:rPr>
        <w:t>本项目粪污处理系统的核心技术是“黑膜沼气池”，粪便污水经固液分离后进入黑膜沼气池，在沼气池内进行厌氧发酵，经厌氧发酵去除大部分有机物，设计发酵周期为3</w:t>
      </w:r>
      <w:r>
        <w:rPr>
          <w:rFonts w:hint="eastAsia"/>
          <w:color w:val="auto"/>
        </w:rPr>
        <w:t>0</w:t>
      </w:r>
      <w:r>
        <w:rPr>
          <w:color w:val="auto"/>
        </w:rPr>
        <w:t>天，发酵后的沼渣</w:t>
      </w:r>
      <w:r>
        <w:rPr>
          <w:rFonts w:hint="eastAsia"/>
          <w:color w:val="auto"/>
        </w:rPr>
        <w:t>再次经固液分离后进入黑膜发酵</w:t>
      </w:r>
      <w:r>
        <w:rPr>
          <w:color w:val="auto"/>
        </w:rPr>
        <w:t>，发酵后的沼液排至黑膜沼气池，用作农肥使用。厌氧发酵产生的沼气经净化后，用于伙房灶台，</w:t>
      </w:r>
      <w:r>
        <w:rPr>
          <w:rFonts w:hint="eastAsia"/>
          <w:color w:val="auto"/>
        </w:rPr>
        <w:t>夏季</w:t>
      </w:r>
      <w:r>
        <w:rPr>
          <w:color w:val="auto"/>
        </w:rPr>
        <w:t>多余部分</w:t>
      </w:r>
      <w:r>
        <w:rPr>
          <w:rFonts w:hint="eastAsia"/>
          <w:color w:val="auto"/>
        </w:rPr>
        <w:t>火炬</w:t>
      </w:r>
      <w:r>
        <w:rPr>
          <w:color w:val="auto"/>
        </w:rPr>
        <w:t>燃烧</w:t>
      </w:r>
      <w:r>
        <w:rPr>
          <w:rFonts w:hint="eastAsia"/>
          <w:color w:val="auto"/>
        </w:rPr>
        <w:t>放空。沼渣再次经固液分离后进入黑膜沼气池发酵。本项目废水处理技术可以满足</w:t>
      </w:r>
      <w:r>
        <w:rPr>
          <w:color w:val="auto"/>
        </w:rPr>
        <w:t>畜禽养殖行业</w:t>
      </w:r>
      <w:r>
        <w:rPr>
          <w:rFonts w:hint="eastAsia"/>
          <w:color w:val="auto"/>
        </w:rPr>
        <w:t>排污许可证核发技术规范。</w:t>
      </w:r>
    </w:p>
    <w:p>
      <w:pPr>
        <w:ind w:firstLine="480"/>
        <w:rPr>
          <w:color w:val="auto"/>
        </w:rPr>
      </w:pPr>
      <w:r>
        <w:rPr>
          <w:bCs/>
          <w:color w:val="auto"/>
          <w:kern w:val="0"/>
        </w:rPr>
        <w:t>综上，在落实好各项防渗、防污措施后，本项目污染物能得到有效处理，对地下水水质影响较小，项目的建设不会产生其他环境地质问题，因此对地下水环境质量影响较小。</w:t>
      </w:r>
    </w:p>
    <w:p>
      <w:pPr>
        <w:pStyle w:val="6"/>
        <w:rPr>
          <w:color w:val="auto"/>
          <w:lang w:val="en-US"/>
        </w:rPr>
      </w:pPr>
      <w:r>
        <w:rPr>
          <w:color w:val="auto"/>
          <w:lang w:val="en-US"/>
        </w:rPr>
        <w:t>6.2.</w:t>
      </w:r>
      <w:r>
        <w:rPr>
          <w:rFonts w:hint="eastAsia"/>
          <w:color w:val="auto"/>
          <w:lang w:val="en-US"/>
        </w:rPr>
        <w:t>4</w:t>
      </w:r>
      <w:r>
        <w:rPr>
          <w:color w:val="auto"/>
          <w:lang w:val="en-US"/>
        </w:rPr>
        <w:t>废气污染防治措施分析</w:t>
      </w:r>
    </w:p>
    <w:p>
      <w:pPr>
        <w:tabs>
          <w:tab w:val="left" w:pos="5625"/>
        </w:tabs>
        <w:ind w:firstLine="480"/>
        <w:outlineLvl w:val="3"/>
        <w:rPr>
          <w:color w:val="auto"/>
        </w:rPr>
      </w:pPr>
      <w:r>
        <w:rPr>
          <w:color w:val="auto"/>
        </w:rPr>
        <w:t>6.2.</w:t>
      </w:r>
      <w:r>
        <w:rPr>
          <w:rFonts w:hint="eastAsia"/>
          <w:color w:val="auto"/>
        </w:rPr>
        <w:t>4</w:t>
      </w:r>
      <w:r>
        <w:rPr>
          <w:color w:val="auto"/>
        </w:rPr>
        <w:t>.1恶臭</w:t>
      </w:r>
    </w:p>
    <w:p>
      <w:pPr>
        <w:pStyle w:val="15"/>
        <w:ind w:firstLine="480"/>
        <w:rPr>
          <w:color w:val="auto"/>
        </w:rPr>
      </w:pPr>
      <w:r>
        <w:rPr>
          <w:rFonts w:hint="eastAsia"/>
          <w:color w:val="auto"/>
        </w:rPr>
        <w:t>（1）</w:t>
      </w:r>
      <w:r>
        <w:rPr>
          <w:color w:val="auto"/>
        </w:rPr>
        <w:t>恶臭产生的场所</w:t>
      </w:r>
    </w:p>
    <w:p>
      <w:pPr>
        <w:ind w:firstLine="480"/>
        <w:rPr>
          <w:color w:val="auto"/>
        </w:rPr>
      </w:pPr>
      <w:r>
        <w:rPr>
          <w:color w:val="auto"/>
        </w:rPr>
        <w:t>恶臭在养殖场和</w:t>
      </w:r>
      <w:r>
        <w:rPr>
          <w:rFonts w:hint="eastAsia"/>
          <w:color w:val="auto"/>
        </w:rPr>
        <w:t>粪污</w:t>
      </w:r>
      <w:r>
        <w:rPr>
          <w:color w:val="auto"/>
        </w:rPr>
        <w:t>处理场等处均可产生。影响畜禽场恶臭产生的的主要原因是清粪方式、管理水平、粪便和污水处理程度，同时也与场址选择、场地规划和布局、畜舍设计、畜舍通风等有关。</w:t>
      </w:r>
    </w:p>
    <w:p>
      <w:pPr>
        <w:ind w:firstLine="480"/>
        <w:rPr>
          <w:color w:val="auto"/>
        </w:rPr>
      </w:pPr>
      <w:r>
        <w:rPr>
          <w:color w:val="auto"/>
        </w:rPr>
        <w:t>恶臭的成分十分复杂，因家畜的种类、清粪方式、日粮组成、</w:t>
      </w:r>
      <w:r>
        <w:rPr>
          <w:rFonts w:hint="eastAsia"/>
          <w:color w:val="auto"/>
        </w:rPr>
        <w:t>空气湿度、</w:t>
      </w:r>
      <w:r>
        <w:rPr>
          <w:color w:val="auto"/>
        </w:rPr>
        <w:t>粪便和污水处理等不同而异，有机成分是硫醇类、胺类、吲哚、挥发性有机酸、酚类、醛类、酮类、醇类以及含氮杂环化合物等，无机成分主要是NH</w:t>
      </w:r>
      <w:r>
        <w:rPr>
          <w:color w:val="auto"/>
          <w:vertAlign w:val="subscript"/>
        </w:rPr>
        <w:t>3</w:t>
      </w:r>
      <w:r>
        <w:rPr>
          <w:color w:val="auto"/>
        </w:rPr>
        <w:t>和H</w:t>
      </w:r>
      <w:r>
        <w:rPr>
          <w:color w:val="auto"/>
          <w:vertAlign w:val="subscript"/>
        </w:rPr>
        <w:t>2</w:t>
      </w:r>
      <w:r>
        <w:rPr>
          <w:color w:val="auto"/>
        </w:rPr>
        <w:t>S。</w:t>
      </w:r>
    </w:p>
    <w:p>
      <w:pPr>
        <w:ind w:firstLine="480"/>
        <w:rPr>
          <w:color w:val="auto"/>
        </w:rPr>
      </w:pPr>
      <w:r>
        <w:rPr>
          <w:rFonts w:hint="eastAsia"/>
          <w:color w:val="auto"/>
        </w:rPr>
        <w:t>（2）</w:t>
      </w:r>
      <w:r>
        <w:rPr>
          <w:color w:val="auto"/>
        </w:rPr>
        <w:t>恶臭污染防治措施</w:t>
      </w:r>
    </w:p>
    <w:p>
      <w:pPr>
        <w:ind w:firstLine="480"/>
        <w:rPr>
          <w:color w:val="auto"/>
        </w:rPr>
      </w:pPr>
      <w:r>
        <w:rPr>
          <w:color w:val="auto"/>
        </w:rPr>
        <w:t>由于猪舍的恶臭污染源很分散，集中处理困难，最有效的控制方法是预防为主，在恶臭产生的源头就地处理。</w:t>
      </w:r>
      <w:r>
        <w:rPr>
          <w:rFonts w:hAnsi="宋体"/>
          <w:bCs/>
          <w:iCs/>
          <w:color w:val="auto"/>
          <w:szCs w:val="28"/>
        </w:rPr>
        <w:t>根据《畜禽养殖业污染治理工程技术规范》（</w:t>
      </w:r>
      <w:r>
        <w:rPr>
          <w:bCs/>
          <w:iCs/>
          <w:color w:val="auto"/>
          <w:szCs w:val="28"/>
        </w:rPr>
        <w:t>HJ 497</w:t>
      </w:r>
      <w:r>
        <w:rPr>
          <w:rFonts w:hAnsi="宋体"/>
          <w:bCs/>
          <w:iCs/>
          <w:color w:val="auto"/>
          <w:szCs w:val="28"/>
        </w:rPr>
        <w:t>－</w:t>
      </w:r>
      <w:r>
        <w:rPr>
          <w:bCs/>
          <w:iCs/>
          <w:color w:val="auto"/>
          <w:szCs w:val="28"/>
        </w:rPr>
        <w:t>2009</w:t>
      </w:r>
      <w:r>
        <w:rPr>
          <w:rFonts w:hAnsi="宋体"/>
          <w:bCs/>
          <w:iCs/>
          <w:color w:val="auto"/>
          <w:szCs w:val="28"/>
        </w:rPr>
        <w:t>）及《畜禽养殖业污染防治技术规范》（</w:t>
      </w:r>
      <w:r>
        <w:rPr>
          <w:bCs/>
          <w:iCs/>
          <w:color w:val="auto"/>
          <w:szCs w:val="28"/>
        </w:rPr>
        <w:t>HJ/T81</w:t>
      </w:r>
      <w:r>
        <w:rPr>
          <w:rFonts w:hAnsi="宋体"/>
          <w:bCs/>
          <w:iCs/>
          <w:color w:val="auto"/>
          <w:szCs w:val="28"/>
        </w:rPr>
        <w:t>－</w:t>
      </w:r>
      <w:r>
        <w:rPr>
          <w:bCs/>
          <w:iCs/>
          <w:color w:val="auto"/>
          <w:szCs w:val="28"/>
        </w:rPr>
        <w:t>2001</w:t>
      </w:r>
      <w:r>
        <w:rPr>
          <w:rFonts w:hAnsi="宋体"/>
          <w:bCs/>
          <w:iCs/>
          <w:color w:val="auto"/>
          <w:szCs w:val="28"/>
        </w:rPr>
        <w:t>）相关要求，结合本项目生产实际，</w:t>
      </w:r>
      <w:r>
        <w:rPr>
          <w:color w:val="auto"/>
        </w:rPr>
        <w:t>本评价主要提出如下措施减降恶臭污染物的产生：</w:t>
      </w:r>
    </w:p>
    <w:p>
      <w:pPr>
        <w:ind w:firstLine="480"/>
        <w:rPr>
          <w:color w:val="auto"/>
        </w:rPr>
      </w:pPr>
      <w:r>
        <w:rPr>
          <w:color w:val="auto"/>
        </w:rPr>
        <w:t>①源头控制</w:t>
      </w:r>
    </w:p>
    <w:p>
      <w:pPr>
        <w:ind w:firstLine="480"/>
        <w:rPr>
          <w:color w:val="auto"/>
        </w:rPr>
      </w:pPr>
      <w:r>
        <w:rPr>
          <w:color w:val="auto"/>
        </w:rPr>
        <w:t>■</w:t>
      </w:r>
      <w:r>
        <w:rPr>
          <w:rFonts w:hint="eastAsia" w:ascii="宋体" w:hAnsi="宋体" w:cs="宋体"/>
          <w:bCs/>
          <w:iCs/>
          <w:color w:val="auto"/>
          <w:szCs w:val="28"/>
        </w:rPr>
        <w:t>通过控制饲养密度，并加强舍内通风，及时清理猪舍，猪粪、污泥等应及时加工或外运，尽量减少其在场内的堆存时间和堆存量；搞好厂区环境卫生，采用节水型饮水器，猪舍及时冲洗；</w:t>
      </w:r>
    </w:p>
    <w:p>
      <w:pPr>
        <w:ind w:firstLine="480"/>
        <w:rPr>
          <w:color w:val="auto"/>
        </w:rPr>
      </w:pPr>
      <w:r>
        <w:rPr>
          <w:color w:val="auto"/>
        </w:rPr>
        <w:t>■</w:t>
      </w:r>
      <w:r>
        <w:rPr>
          <w:bCs/>
          <w:color w:val="auto"/>
          <w:szCs w:val="28"/>
        </w:rPr>
        <w:t>温度高</w:t>
      </w:r>
      <w:r>
        <w:rPr>
          <w:rFonts w:hint="eastAsia"/>
          <w:bCs/>
          <w:color w:val="auto"/>
          <w:szCs w:val="28"/>
        </w:rPr>
        <w:t>、湿度大</w:t>
      </w:r>
      <w:r>
        <w:rPr>
          <w:bCs/>
          <w:color w:val="auto"/>
          <w:szCs w:val="28"/>
        </w:rPr>
        <w:t>时恶臭气体浓度高，猪粪在1～2周后发酵较快，粪便暴露面积大的发酵率高。猪舍使用漏缝地板，保证粪便冷却，并尽快从猪舍内清粪，在猪舍内加强通风，</w:t>
      </w:r>
      <w:r>
        <w:rPr>
          <w:rFonts w:hint="eastAsia"/>
          <w:bCs/>
          <w:color w:val="auto"/>
          <w:szCs w:val="28"/>
        </w:rPr>
        <w:t>采用节水型饮水器，</w:t>
      </w:r>
      <w:r>
        <w:rPr>
          <w:bCs/>
          <w:color w:val="auto"/>
          <w:szCs w:val="28"/>
        </w:rPr>
        <w:t>加速粪便干燥，可减少猪粪污染</w:t>
      </w:r>
      <w:r>
        <w:rPr>
          <w:color w:val="auto"/>
        </w:rPr>
        <w:t>；</w:t>
      </w:r>
    </w:p>
    <w:p>
      <w:pPr>
        <w:ind w:firstLine="480"/>
        <w:rPr>
          <w:color w:val="auto"/>
        </w:rPr>
      </w:pPr>
      <w:r>
        <w:rPr>
          <w:color w:val="auto"/>
        </w:rPr>
        <w:t>②过程整治</w:t>
      </w:r>
    </w:p>
    <w:p>
      <w:pPr>
        <w:ind w:firstLine="480"/>
        <w:rPr>
          <w:bCs/>
          <w:color w:val="auto"/>
        </w:rPr>
      </w:pPr>
      <w:r>
        <w:rPr>
          <w:bCs/>
          <w:color w:val="auto"/>
        </w:rPr>
        <w:t>■猪场采用“</w:t>
      </w:r>
      <w:r>
        <w:rPr>
          <w:rFonts w:hint="eastAsia"/>
          <w:bCs/>
          <w:color w:val="auto"/>
        </w:rPr>
        <w:t>干清粪</w:t>
      </w:r>
      <w:r>
        <w:rPr>
          <w:bCs/>
          <w:color w:val="auto"/>
        </w:rPr>
        <w:t>”工艺，项目采用墙体集热板、猪舍内热交换器和风机相结合的方式进行猪舍内部温度控制。</w:t>
      </w:r>
      <w:r>
        <w:rPr>
          <w:rFonts w:hint="eastAsia"/>
          <w:bCs/>
          <w:color w:val="auto"/>
        </w:rPr>
        <w:t>猪转栏时利用高压水枪冲圈消毒，夏季加强猪舍通风，降低舍内有害气体浓度，产生的粪渣等固废及时运至贮存或处理场所，以减少污染；</w:t>
      </w:r>
    </w:p>
    <w:p>
      <w:pPr>
        <w:ind w:firstLine="480"/>
        <w:rPr>
          <w:bCs/>
          <w:color w:val="auto"/>
        </w:rPr>
      </w:pPr>
      <w:r>
        <w:rPr>
          <w:bCs/>
          <w:color w:val="auto"/>
        </w:rPr>
        <w:t>■加强养殖场生产管理，并对工作人员强化知识培训，提高饲养人员操作技能；</w:t>
      </w:r>
    </w:p>
    <w:p>
      <w:pPr>
        <w:ind w:firstLine="480"/>
        <w:rPr>
          <w:bCs/>
          <w:color w:val="auto"/>
        </w:rPr>
      </w:pPr>
      <w:r>
        <w:rPr>
          <w:bCs/>
          <w:color w:val="auto"/>
        </w:rPr>
        <w:t>■</w:t>
      </w:r>
      <w:r>
        <w:rPr>
          <w:rFonts w:hint="eastAsia"/>
          <w:bCs/>
          <w:color w:val="auto"/>
        </w:rPr>
        <w:t>猪粪及时运往固粪处理区，固粪处理区设置风机，将臭气引至除臭棚处理，除臭棚墙内填充填料吸附，同时除臭棚顶部有喷淋水装置，定期喷洒除臭剂；加强厂区绿化等；</w:t>
      </w:r>
    </w:p>
    <w:p>
      <w:pPr>
        <w:ind w:firstLine="480"/>
        <w:rPr>
          <w:bCs/>
          <w:color w:val="auto"/>
        </w:rPr>
      </w:pPr>
      <w:r>
        <w:rPr>
          <w:bCs/>
          <w:color w:val="auto"/>
        </w:rPr>
        <w:t>■</w:t>
      </w:r>
      <w:r>
        <w:rPr>
          <w:rFonts w:hint="eastAsia"/>
          <w:bCs/>
          <w:color w:val="auto"/>
        </w:rPr>
        <w:t>黑膜沼气池</w:t>
      </w:r>
      <w:r>
        <w:rPr>
          <w:bCs/>
          <w:color w:val="auto"/>
        </w:rPr>
        <w:t>密闭，减少恶臭的</w:t>
      </w:r>
      <w:r>
        <w:rPr>
          <w:rFonts w:hint="eastAsia"/>
          <w:bCs/>
          <w:color w:val="auto"/>
        </w:rPr>
        <w:t>排放；</w:t>
      </w:r>
    </w:p>
    <w:p>
      <w:pPr>
        <w:ind w:firstLine="480"/>
        <w:rPr>
          <w:bCs/>
          <w:color w:val="auto"/>
        </w:rPr>
      </w:pPr>
      <w:r>
        <w:rPr>
          <w:bCs/>
          <w:color w:val="auto"/>
        </w:rPr>
        <w:t>■</w:t>
      </w:r>
      <w:r>
        <w:rPr>
          <w:rFonts w:hint="eastAsia"/>
          <w:bCs/>
          <w:color w:val="auto"/>
        </w:rPr>
        <w:t>厂区布置按功能区进行相应划分，各构筑物之间设绿化隔离带，特别是黑膜沼气池四周应加强绿化，易种植椿树、法国梧桐、枸杞树、柏树、小叶女贞等具有吸附恶臭功能的绿色植物，并配合种植草木、灌木等，实现立体绿化，利用绿色植物的吸收作用，以减少恶臭气体的逸散，减轻恶臭等对周围环境的影响。</w:t>
      </w:r>
    </w:p>
    <w:p>
      <w:pPr>
        <w:ind w:firstLine="480"/>
        <w:rPr>
          <w:color w:val="auto"/>
        </w:rPr>
      </w:pPr>
      <w:r>
        <w:rPr>
          <w:rFonts w:hint="eastAsia"/>
          <w:color w:val="auto"/>
        </w:rPr>
        <w:t>③</w:t>
      </w:r>
      <w:r>
        <w:rPr>
          <w:color w:val="auto"/>
        </w:rPr>
        <w:t>终端处理</w:t>
      </w:r>
    </w:p>
    <w:p>
      <w:pPr>
        <w:ind w:firstLine="480"/>
        <w:rPr>
          <w:color w:val="auto"/>
        </w:rPr>
      </w:pPr>
      <w:r>
        <w:rPr>
          <w:color w:val="auto"/>
        </w:rPr>
        <w:t>A、产生的恶臭用多种化学和生物产品来控制恶臭。评价建议夏季高温天气在污水处理站附近喷洒除臭剂进行处理，多用强氧化剂和杀菌剂等消除微生物产生的臭味或化学氧化臭味物质。</w:t>
      </w:r>
    </w:p>
    <w:p>
      <w:pPr>
        <w:ind w:firstLine="480"/>
        <w:rPr>
          <w:color w:val="auto"/>
        </w:rPr>
      </w:pPr>
      <w:r>
        <w:rPr>
          <w:rFonts w:hint="eastAsia"/>
          <w:color w:val="auto"/>
        </w:rPr>
        <w:t>本项目采用</w:t>
      </w:r>
      <w:r>
        <w:rPr>
          <w:color w:val="auto"/>
        </w:rPr>
        <w:t>植物型除臭剂</w:t>
      </w:r>
      <w:r>
        <w:rPr>
          <w:rFonts w:hint="eastAsia"/>
          <w:color w:val="auto"/>
        </w:rPr>
        <w:t>，该除臭剂主要由</w:t>
      </w:r>
      <w:r>
        <w:rPr>
          <w:color w:val="auto"/>
        </w:rPr>
        <w:t>丝兰、银杏叶、茶多酚、葡萄籽、樟科植物、桉叶油、松油等多种植物提取物精制而成，</w:t>
      </w:r>
      <w:r>
        <w:rPr>
          <w:rFonts w:hint="eastAsia"/>
          <w:color w:val="auto"/>
        </w:rPr>
        <w:t>适用</w:t>
      </w:r>
      <w:r>
        <w:rPr>
          <w:color w:val="auto"/>
        </w:rPr>
        <w:t>于各种恶臭环境的异味处理，如垃圾填埋场、垃圾转运站、垃圾堆肥厂、垃圾焚烧厂、污水处理中心、粪便处理中心、养猪养鸡场、工业废水处理及渔业加工中心等。</w:t>
      </w:r>
      <w:r>
        <w:rPr>
          <w:rFonts w:hint="eastAsia"/>
          <w:color w:val="auto"/>
        </w:rPr>
        <w:t>除臭剂中的活性基</w:t>
      </w:r>
      <w:r>
        <w:rPr>
          <w:color w:val="auto"/>
        </w:rPr>
        <w:t>(-CHO)</w:t>
      </w:r>
      <w:r>
        <w:rPr>
          <w:rFonts w:hint="eastAsia"/>
          <w:color w:val="auto"/>
        </w:rPr>
        <w:t>具有很高的活性，利用它的活性同挥发性含</w:t>
      </w:r>
      <w:r>
        <w:rPr>
          <w:color w:val="auto"/>
        </w:rPr>
        <w:t>S(</w:t>
      </w:r>
      <w:r>
        <w:rPr>
          <w:rFonts w:hint="eastAsia"/>
          <w:color w:val="auto"/>
        </w:rPr>
        <w:t>如硫化氢、硫醇、疏基化合物</w:t>
      </w:r>
      <w:r>
        <w:rPr>
          <w:color w:val="auto"/>
        </w:rPr>
        <w:t>)</w:t>
      </w:r>
      <w:r>
        <w:rPr>
          <w:rFonts w:hint="eastAsia"/>
          <w:color w:val="auto"/>
        </w:rPr>
        <w:t>、含</w:t>
      </w:r>
      <w:r>
        <w:rPr>
          <w:color w:val="auto"/>
        </w:rPr>
        <w:t>N(</w:t>
      </w:r>
      <w:r>
        <w:rPr>
          <w:rFonts w:hint="eastAsia"/>
          <w:color w:val="auto"/>
        </w:rPr>
        <w:t>如氨、有机胺</w:t>
      </w:r>
      <w:r>
        <w:rPr>
          <w:color w:val="auto"/>
        </w:rPr>
        <w:t xml:space="preserve">) </w:t>
      </w:r>
      <w:r>
        <w:rPr>
          <w:rFonts w:hint="eastAsia"/>
          <w:color w:val="auto"/>
        </w:rPr>
        <w:t>等易挥发物质反应，产生新的低气味且无毒的新物质，不能参与活性基</w:t>
      </w:r>
      <w:r>
        <w:rPr>
          <w:color w:val="auto"/>
        </w:rPr>
        <w:t>(-CHO)</w:t>
      </w:r>
      <w:r>
        <w:rPr>
          <w:rFonts w:hint="eastAsia"/>
          <w:color w:val="auto"/>
        </w:rPr>
        <w:t>反应的一些挥发性物质则采用气味补偿办法解决，这种补偿也不是筒单的气味掩盖作用，而是利用植物提取液中的活性成分与不能和活性基</w:t>
      </w:r>
      <w:r>
        <w:rPr>
          <w:color w:val="auto"/>
        </w:rPr>
        <w:t>(-CHO)</w:t>
      </w:r>
      <w:r>
        <w:rPr>
          <w:rFonts w:hint="eastAsia"/>
          <w:color w:val="auto"/>
        </w:rPr>
        <w:t>反应的成分进行再次作用，使其失去原来的气味，藉此实现对挥发性恶臭物质的有效削减和消除。植物型除臭剂</w:t>
      </w:r>
      <w:r>
        <w:rPr>
          <w:color w:val="auto"/>
        </w:rPr>
        <w:t>原液稀释100倍喷洒，1kg可喷洒500</w:t>
      </w:r>
      <w:r>
        <w:rPr>
          <w:rFonts w:hint="eastAsia"/>
          <w:color w:val="auto"/>
        </w:rPr>
        <w:t>m</w:t>
      </w:r>
      <w:r>
        <w:rPr>
          <w:rFonts w:hint="eastAsia"/>
          <w:color w:val="auto"/>
          <w:vertAlign w:val="superscript"/>
        </w:rPr>
        <w:t>2</w:t>
      </w:r>
      <w:r>
        <w:rPr>
          <w:rFonts w:hint="eastAsia"/>
          <w:color w:val="auto"/>
        </w:rPr>
        <w:t>。</w:t>
      </w:r>
    </w:p>
    <w:p>
      <w:pPr>
        <w:ind w:firstLine="480"/>
        <w:rPr>
          <w:color w:val="auto"/>
        </w:rPr>
      </w:pPr>
      <w:r>
        <w:rPr>
          <w:color w:val="auto"/>
        </w:rPr>
        <w:t>植物型除臭剂原理</w:t>
      </w:r>
      <w:r>
        <w:rPr>
          <w:rFonts w:hint="eastAsia"/>
          <w:color w:val="auto"/>
        </w:rPr>
        <w:t>具体为：</w:t>
      </w:r>
      <w:r>
        <w:rPr>
          <w:color w:val="auto"/>
        </w:rPr>
        <w:t>植物型除臭剂通过4种物理化学作用力将臭气分子捕捉</w:t>
      </w:r>
      <w:r>
        <w:rPr>
          <w:rFonts w:hint="eastAsia"/>
          <w:color w:val="auto"/>
        </w:rPr>
        <w:t>：</w:t>
      </w:r>
      <w:r>
        <w:rPr>
          <w:color w:val="auto"/>
        </w:rPr>
        <w:t>范德华力</w:t>
      </w:r>
      <w:r>
        <w:rPr>
          <w:rFonts w:hint="eastAsia"/>
          <w:color w:val="auto"/>
        </w:rPr>
        <w:t>、</w:t>
      </w:r>
      <w:r>
        <w:rPr>
          <w:color w:val="auto"/>
        </w:rPr>
        <w:t>耦合力</w:t>
      </w:r>
      <w:r>
        <w:rPr>
          <w:rFonts w:hint="eastAsia"/>
          <w:color w:val="auto"/>
        </w:rPr>
        <w:t>、</w:t>
      </w:r>
      <w:r>
        <w:rPr>
          <w:color w:val="auto"/>
        </w:rPr>
        <w:t>化学反应力</w:t>
      </w:r>
      <w:r>
        <w:rPr>
          <w:rFonts w:hint="eastAsia"/>
          <w:color w:val="auto"/>
        </w:rPr>
        <w:t>、</w:t>
      </w:r>
      <w:r>
        <w:rPr>
          <w:color w:val="auto"/>
        </w:rPr>
        <w:t>吸附力</w:t>
      </w:r>
      <w:r>
        <w:rPr>
          <w:rFonts w:hint="eastAsia"/>
          <w:color w:val="auto"/>
        </w:rPr>
        <w:t>。</w:t>
      </w:r>
      <w:r>
        <w:rPr>
          <w:color w:val="auto"/>
        </w:rPr>
        <w:t>植物型除臭剂将臭气分子捕捉后，其有效成分可</w:t>
      </w:r>
      <w:r>
        <w:rPr>
          <w:rFonts w:hint="eastAsia"/>
          <w:color w:val="auto"/>
        </w:rPr>
        <w:t>与</w:t>
      </w:r>
      <w:r>
        <w:rPr>
          <w:color w:val="auto"/>
        </w:rPr>
        <w:t>环境中恶臭气体分子发生如下反应：</w:t>
      </w:r>
    </w:p>
    <w:p>
      <w:pPr>
        <w:ind w:firstLine="480"/>
        <w:rPr>
          <w:color w:val="auto"/>
        </w:rPr>
      </w:pPr>
      <w:r>
        <w:rPr>
          <w:color w:val="auto"/>
        </w:rPr>
        <w:t>①硫化氢H</w:t>
      </w:r>
      <w:r>
        <w:rPr>
          <w:color w:val="auto"/>
          <w:vertAlign w:val="subscript"/>
        </w:rPr>
        <w:t>2</w:t>
      </w:r>
      <w:r>
        <w:rPr>
          <w:color w:val="auto"/>
        </w:rPr>
        <w:t>S的反应</w:t>
      </w:r>
      <w:r>
        <w:rPr>
          <w:rFonts w:hint="eastAsia"/>
          <w:color w:val="auto"/>
        </w:rPr>
        <w:t>：</w:t>
      </w:r>
    </w:p>
    <w:p>
      <w:pPr>
        <w:ind w:firstLine="960" w:firstLineChars="400"/>
        <w:rPr>
          <w:color w:val="auto"/>
        </w:rPr>
      </w:pPr>
      <w:r>
        <w:rPr>
          <w:color w:val="auto"/>
        </w:rPr>
        <w:t>R-NH</w:t>
      </w:r>
      <w:r>
        <w:rPr>
          <w:color w:val="auto"/>
          <w:vertAlign w:val="subscript"/>
        </w:rPr>
        <w:t>2</w:t>
      </w:r>
      <w:r>
        <w:rPr>
          <w:color w:val="auto"/>
        </w:rPr>
        <w:t>+H</w:t>
      </w:r>
      <w:r>
        <w:rPr>
          <w:color w:val="auto"/>
          <w:vertAlign w:val="subscript"/>
        </w:rPr>
        <w:t>2</w:t>
      </w:r>
      <w:r>
        <w:rPr>
          <w:color w:val="auto"/>
        </w:rPr>
        <w:t>S→R-NH</w:t>
      </w:r>
      <w:r>
        <w:rPr>
          <w:color w:val="auto"/>
          <w:vertAlign w:val="subscript"/>
        </w:rPr>
        <w:t>3-</w:t>
      </w:r>
      <w:r>
        <w:rPr>
          <w:color w:val="auto"/>
        </w:rPr>
        <w:t>+SH</w:t>
      </w:r>
      <w:r>
        <w:rPr>
          <w:color w:val="auto"/>
          <w:vertAlign w:val="superscript"/>
        </w:rPr>
        <w:t>-</w:t>
      </w:r>
    </w:p>
    <w:p>
      <w:pPr>
        <w:ind w:firstLine="960" w:firstLineChars="400"/>
        <w:rPr>
          <w:color w:val="auto"/>
        </w:rPr>
      </w:pPr>
      <w:r>
        <w:rPr>
          <w:color w:val="auto"/>
        </w:rPr>
        <w:t>R-NH</w:t>
      </w:r>
      <w:r>
        <w:rPr>
          <w:color w:val="auto"/>
          <w:vertAlign w:val="subscript"/>
        </w:rPr>
        <w:t>2</w:t>
      </w:r>
      <w:r>
        <w:rPr>
          <w:color w:val="auto"/>
        </w:rPr>
        <w:t>+SH-+O</w:t>
      </w:r>
      <w:r>
        <w:rPr>
          <w:color w:val="auto"/>
          <w:vertAlign w:val="subscript"/>
        </w:rPr>
        <w:t>2</w:t>
      </w:r>
      <w:r>
        <w:rPr>
          <w:color w:val="auto"/>
        </w:rPr>
        <w:t>+H</w:t>
      </w:r>
      <w:r>
        <w:rPr>
          <w:color w:val="auto"/>
          <w:vertAlign w:val="subscript"/>
        </w:rPr>
        <w:t>2</w:t>
      </w:r>
      <w:r>
        <w:rPr>
          <w:color w:val="auto"/>
        </w:rPr>
        <w:t>O→R-NH</w:t>
      </w:r>
      <w:r>
        <w:rPr>
          <w:color w:val="auto"/>
          <w:vertAlign w:val="subscript"/>
        </w:rPr>
        <w:t>3</w:t>
      </w:r>
      <w:r>
        <w:rPr>
          <w:color w:val="auto"/>
        </w:rPr>
        <w:t>++SO</w:t>
      </w:r>
      <w:r>
        <w:rPr>
          <w:color w:val="auto"/>
          <w:vertAlign w:val="subscript"/>
        </w:rPr>
        <w:t>4</w:t>
      </w:r>
      <w:r>
        <w:rPr>
          <w:color w:val="auto"/>
          <w:vertAlign w:val="superscript"/>
        </w:rPr>
        <w:t>2-</w:t>
      </w:r>
      <w:r>
        <w:rPr>
          <w:color w:val="auto"/>
        </w:rPr>
        <w:t>+OH</w:t>
      </w:r>
      <w:r>
        <w:rPr>
          <w:color w:val="auto"/>
          <w:vertAlign w:val="superscript"/>
        </w:rPr>
        <w:t>-</w:t>
      </w:r>
    </w:p>
    <w:p>
      <w:pPr>
        <w:ind w:firstLine="480"/>
        <w:rPr>
          <w:color w:val="auto"/>
        </w:rPr>
      </w:pPr>
      <w:r>
        <w:rPr>
          <w:color w:val="auto"/>
        </w:rPr>
        <w:t>R-NH</w:t>
      </w:r>
      <w:r>
        <w:rPr>
          <w:color w:val="auto"/>
          <w:vertAlign w:val="subscript"/>
        </w:rPr>
        <w:t>3</w:t>
      </w:r>
      <w:r>
        <w:rPr>
          <w:color w:val="auto"/>
        </w:rPr>
        <w:t>++OH</w:t>
      </w:r>
      <w:r>
        <w:rPr>
          <w:color w:val="auto"/>
          <w:vertAlign w:val="superscript"/>
        </w:rPr>
        <w:t>-</w:t>
      </w:r>
      <w:r>
        <w:rPr>
          <w:color w:val="auto"/>
        </w:rPr>
        <w:t>→R-NH</w:t>
      </w:r>
      <w:r>
        <w:rPr>
          <w:color w:val="auto"/>
          <w:vertAlign w:val="subscript"/>
        </w:rPr>
        <w:t>2</w:t>
      </w:r>
      <w:r>
        <w:rPr>
          <w:color w:val="auto"/>
        </w:rPr>
        <w:t>+H</w:t>
      </w:r>
      <w:r>
        <w:rPr>
          <w:color w:val="auto"/>
          <w:vertAlign w:val="subscript"/>
        </w:rPr>
        <w:t>2</w:t>
      </w:r>
      <w:r>
        <w:rPr>
          <w:color w:val="auto"/>
        </w:rPr>
        <w:t>O</w:t>
      </w:r>
    </w:p>
    <w:p>
      <w:pPr>
        <w:ind w:left="480" w:leftChars="200" w:firstLine="0" w:firstLineChars="0"/>
        <w:rPr>
          <w:color w:val="auto"/>
        </w:rPr>
      </w:pPr>
      <w:r>
        <w:rPr>
          <w:color w:val="auto"/>
        </w:rPr>
        <w:t>②与甲醛HCHO的反应：</w:t>
      </w:r>
      <w:r>
        <w:rPr>
          <w:color w:val="auto"/>
        </w:rPr>
        <w:br w:type="textWrapping"/>
      </w:r>
      <w:r>
        <w:rPr>
          <w:color w:val="auto"/>
        </w:rPr>
        <w:t>R-NH</w:t>
      </w:r>
      <w:r>
        <w:rPr>
          <w:color w:val="auto"/>
          <w:vertAlign w:val="subscript"/>
        </w:rPr>
        <w:t>2</w:t>
      </w:r>
      <w:r>
        <w:rPr>
          <w:color w:val="auto"/>
        </w:rPr>
        <w:t>+HCHO→CO</w:t>
      </w:r>
      <w:r>
        <w:rPr>
          <w:color w:val="auto"/>
          <w:vertAlign w:val="subscript"/>
        </w:rPr>
        <w:t>2</w:t>
      </w:r>
      <w:r>
        <w:rPr>
          <w:color w:val="auto"/>
        </w:rPr>
        <w:t>+H</w:t>
      </w:r>
      <w:r>
        <w:rPr>
          <w:color w:val="auto"/>
          <w:vertAlign w:val="subscript"/>
        </w:rPr>
        <w:t>2</w:t>
      </w:r>
      <w:r>
        <w:rPr>
          <w:color w:val="auto"/>
        </w:rPr>
        <w:t>O+N</w:t>
      </w:r>
      <w:r>
        <w:rPr>
          <w:color w:val="auto"/>
          <w:vertAlign w:val="subscript"/>
        </w:rPr>
        <w:t>2</w:t>
      </w:r>
      <w:r>
        <w:rPr>
          <w:color w:val="auto"/>
        </w:rPr>
        <w:br w:type="textWrapping"/>
      </w:r>
      <w:r>
        <w:rPr>
          <w:color w:val="auto"/>
        </w:rPr>
        <w:t>③与氨NH</w:t>
      </w:r>
      <w:r>
        <w:rPr>
          <w:color w:val="auto"/>
          <w:vertAlign w:val="subscript"/>
        </w:rPr>
        <w:t>3</w:t>
      </w:r>
      <w:r>
        <w:rPr>
          <w:color w:val="auto"/>
        </w:rPr>
        <w:t>的反应：</w:t>
      </w:r>
      <w:r>
        <w:rPr>
          <w:color w:val="auto"/>
        </w:rPr>
        <w:br w:type="textWrapping"/>
      </w:r>
      <w:r>
        <w:rPr>
          <w:color w:val="auto"/>
        </w:rPr>
        <w:t>R-NH</w:t>
      </w:r>
      <w:r>
        <w:rPr>
          <w:color w:val="auto"/>
          <w:vertAlign w:val="subscript"/>
        </w:rPr>
        <w:t>2</w:t>
      </w:r>
      <w:r>
        <w:rPr>
          <w:color w:val="auto"/>
        </w:rPr>
        <w:t>+NH</w:t>
      </w:r>
      <w:r>
        <w:rPr>
          <w:color w:val="auto"/>
          <w:vertAlign w:val="subscript"/>
        </w:rPr>
        <w:t>3</w:t>
      </w:r>
      <w:r>
        <w:rPr>
          <w:color w:val="auto"/>
        </w:rPr>
        <w:t>→R-NH</w:t>
      </w:r>
      <w:r>
        <w:rPr>
          <w:color w:val="auto"/>
          <w:vertAlign w:val="subscript"/>
        </w:rPr>
        <w:t>2</w:t>
      </w:r>
      <w:r>
        <w:rPr>
          <w:color w:val="auto"/>
        </w:rPr>
        <w:t>+N</w:t>
      </w:r>
      <w:r>
        <w:rPr>
          <w:color w:val="auto"/>
          <w:vertAlign w:val="subscript"/>
        </w:rPr>
        <w:t>2</w:t>
      </w:r>
      <w:r>
        <w:rPr>
          <w:color w:val="auto"/>
        </w:rPr>
        <w:t>+H</w:t>
      </w:r>
      <w:r>
        <w:rPr>
          <w:color w:val="auto"/>
          <w:vertAlign w:val="subscript"/>
        </w:rPr>
        <w:t>2</w:t>
      </w:r>
      <w:r>
        <w:rPr>
          <w:color w:val="auto"/>
        </w:rPr>
        <w:t>O</w:t>
      </w:r>
      <w:r>
        <w:rPr>
          <w:color w:val="auto"/>
        </w:rPr>
        <w:br w:type="textWrapping"/>
      </w:r>
      <w:r>
        <w:rPr>
          <w:color w:val="auto"/>
        </w:rPr>
        <w:t>④与硫醇类恶臭气体的反应：</w:t>
      </w:r>
      <w:r>
        <w:rPr>
          <w:color w:val="auto"/>
        </w:rPr>
        <w:br w:type="textWrapping"/>
      </w:r>
      <w:r>
        <w:rPr>
          <w:color w:val="auto"/>
        </w:rPr>
        <w:t>R-NH</w:t>
      </w:r>
      <w:r>
        <w:rPr>
          <w:color w:val="auto"/>
          <w:vertAlign w:val="subscript"/>
        </w:rPr>
        <w:t>2</w:t>
      </w:r>
      <w:r>
        <w:rPr>
          <w:color w:val="auto"/>
        </w:rPr>
        <w:t>+CH</w:t>
      </w:r>
      <w:r>
        <w:rPr>
          <w:color w:val="auto"/>
          <w:vertAlign w:val="subscript"/>
        </w:rPr>
        <w:t>4</w:t>
      </w:r>
      <w:r>
        <w:rPr>
          <w:color w:val="auto"/>
        </w:rPr>
        <w:t>S→R-NH</w:t>
      </w:r>
      <w:r>
        <w:rPr>
          <w:color w:val="auto"/>
          <w:vertAlign w:val="subscript"/>
        </w:rPr>
        <w:t>2</w:t>
      </w:r>
      <w:r>
        <w:rPr>
          <w:color w:val="auto"/>
        </w:rPr>
        <w:t>+N</w:t>
      </w:r>
      <w:r>
        <w:rPr>
          <w:color w:val="auto"/>
          <w:vertAlign w:val="subscript"/>
        </w:rPr>
        <w:t>2</w:t>
      </w:r>
      <w:r>
        <w:rPr>
          <w:color w:val="auto"/>
        </w:rPr>
        <w:t>+H</w:t>
      </w:r>
      <w:r>
        <w:rPr>
          <w:color w:val="auto"/>
          <w:vertAlign w:val="subscript"/>
        </w:rPr>
        <w:t>2</w:t>
      </w:r>
      <w:r>
        <w:rPr>
          <w:color w:val="auto"/>
        </w:rPr>
        <w:t>O+SO</w:t>
      </w:r>
      <w:r>
        <w:rPr>
          <w:color w:val="auto"/>
          <w:vertAlign w:val="subscript"/>
        </w:rPr>
        <w:t>2</w:t>
      </w:r>
      <w:r>
        <w:rPr>
          <w:color w:val="auto"/>
        </w:rPr>
        <w:br w:type="textWrapping"/>
      </w:r>
      <w:r>
        <w:rPr>
          <w:color w:val="auto"/>
        </w:rPr>
        <w:t>R-NH2+C</w:t>
      </w:r>
      <w:r>
        <w:rPr>
          <w:color w:val="auto"/>
          <w:vertAlign w:val="subscript"/>
        </w:rPr>
        <w:t>2</w:t>
      </w:r>
      <w:r>
        <w:rPr>
          <w:color w:val="auto"/>
        </w:rPr>
        <w:t>H</w:t>
      </w:r>
      <w:r>
        <w:rPr>
          <w:color w:val="auto"/>
          <w:vertAlign w:val="subscript"/>
        </w:rPr>
        <w:t>6</w:t>
      </w:r>
      <w:r>
        <w:rPr>
          <w:color w:val="auto"/>
        </w:rPr>
        <w:t>S→R-NH</w:t>
      </w:r>
      <w:r>
        <w:rPr>
          <w:color w:val="auto"/>
          <w:vertAlign w:val="subscript"/>
        </w:rPr>
        <w:t>2</w:t>
      </w:r>
      <w:r>
        <w:rPr>
          <w:color w:val="auto"/>
        </w:rPr>
        <w:t>+N</w:t>
      </w:r>
      <w:r>
        <w:rPr>
          <w:color w:val="auto"/>
          <w:vertAlign w:val="subscript"/>
        </w:rPr>
        <w:t>2</w:t>
      </w:r>
      <w:r>
        <w:rPr>
          <w:color w:val="auto"/>
        </w:rPr>
        <w:t>+H</w:t>
      </w:r>
      <w:r>
        <w:rPr>
          <w:color w:val="auto"/>
          <w:vertAlign w:val="subscript"/>
        </w:rPr>
        <w:t>2</w:t>
      </w:r>
      <w:r>
        <w:rPr>
          <w:color w:val="auto"/>
        </w:rPr>
        <w:t>O+SO</w:t>
      </w:r>
      <w:r>
        <w:rPr>
          <w:color w:val="auto"/>
          <w:vertAlign w:val="subscript"/>
        </w:rPr>
        <w:t>2</w:t>
      </w:r>
    </w:p>
    <w:p>
      <w:pPr>
        <w:widowControl/>
        <w:ind w:firstLine="480"/>
        <w:jc w:val="left"/>
        <w:rPr>
          <w:color w:val="auto"/>
          <w:kern w:val="0"/>
        </w:rPr>
      </w:pPr>
      <w:r>
        <w:rPr>
          <w:rFonts w:hAnsi="宋体"/>
          <w:color w:val="auto"/>
          <w:kern w:val="0"/>
        </w:rPr>
        <w:t>①硫化氢</w:t>
      </w:r>
      <w:r>
        <w:rPr>
          <w:color w:val="auto"/>
          <w:kern w:val="0"/>
        </w:rPr>
        <w:t>H</w:t>
      </w:r>
      <w:r>
        <w:rPr>
          <w:color w:val="auto"/>
          <w:kern w:val="0"/>
          <w:vertAlign w:val="subscript"/>
        </w:rPr>
        <w:t>2</w:t>
      </w:r>
      <w:r>
        <w:rPr>
          <w:color w:val="auto"/>
          <w:kern w:val="0"/>
        </w:rPr>
        <w:t>S</w:t>
      </w:r>
      <w:r>
        <w:rPr>
          <w:rFonts w:hAnsi="宋体"/>
          <w:color w:val="auto"/>
          <w:kern w:val="0"/>
        </w:rPr>
        <w:t>的反应</w:t>
      </w:r>
      <w:r>
        <w:rPr>
          <w:rFonts w:hint="eastAsia" w:hAnsi="宋体"/>
          <w:color w:val="auto"/>
          <w:kern w:val="0"/>
        </w:rPr>
        <w:t>：</w:t>
      </w:r>
    </w:p>
    <w:p>
      <w:pPr>
        <w:widowControl/>
        <w:ind w:firstLine="480"/>
        <w:jc w:val="left"/>
        <w:rPr>
          <w:color w:val="auto"/>
          <w:kern w:val="0"/>
        </w:rPr>
      </w:pPr>
      <w:r>
        <w:rPr>
          <w:color w:val="auto"/>
          <w:kern w:val="0"/>
        </w:rPr>
        <w:t>R-NH</w:t>
      </w:r>
      <w:r>
        <w:rPr>
          <w:color w:val="auto"/>
          <w:kern w:val="0"/>
          <w:vertAlign w:val="subscript"/>
        </w:rPr>
        <w:t>2</w:t>
      </w:r>
      <w:r>
        <w:rPr>
          <w:color w:val="auto"/>
          <w:kern w:val="0"/>
        </w:rPr>
        <w:t>+H</w:t>
      </w:r>
      <w:r>
        <w:rPr>
          <w:color w:val="auto"/>
          <w:kern w:val="0"/>
          <w:vertAlign w:val="subscript"/>
        </w:rPr>
        <w:t>2</w:t>
      </w:r>
      <w:r>
        <w:rPr>
          <w:color w:val="auto"/>
          <w:kern w:val="0"/>
        </w:rPr>
        <w:t>S→R-NH</w:t>
      </w:r>
      <w:r>
        <w:rPr>
          <w:color w:val="auto"/>
          <w:kern w:val="0"/>
          <w:vertAlign w:val="subscript"/>
        </w:rPr>
        <w:t>3</w:t>
      </w:r>
      <w:r>
        <w:rPr>
          <w:color w:val="auto"/>
          <w:kern w:val="0"/>
        </w:rPr>
        <w:t>-+SH</w:t>
      </w:r>
      <w:r>
        <w:rPr>
          <w:color w:val="auto"/>
          <w:kern w:val="0"/>
          <w:vertAlign w:val="superscript"/>
        </w:rPr>
        <w:t>-</w:t>
      </w:r>
    </w:p>
    <w:p>
      <w:pPr>
        <w:widowControl/>
        <w:ind w:firstLine="480"/>
        <w:jc w:val="left"/>
        <w:rPr>
          <w:color w:val="auto"/>
          <w:kern w:val="0"/>
        </w:rPr>
      </w:pPr>
      <w:r>
        <w:rPr>
          <w:color w:val="auto"/>
          <w:kern w:val="0"/>
        </w:rPr>
        <w:t>R-NH</w:t>
      </w:r>
      <w:r>
        <w:rPr>
          <w:color w:val="auto"/>
          <w:kern w:val="0"/>
          <w:vertAlign w:val="subscript"/>
        </w:rPr>
        <w:t>2</w:t>
      </w:r>
      <w:r>
        <w:rPr>
          <w:color w:val="auto"/>
          <w:kern w:val="0"/>
        </w:rPr>
        <w:t>+SH</w:t>
      </w:r>
      <w:r>
        <w:rPr>
          <w:color w:val="auto"/>
          <w:kern w:val="0"/>
          <w:vertAlign w:val="superscript"/>
        </w:rPr>
        <w:t>-</w:t>
      </w:r>
      <w:r>
        <w:rPr>
          <w:color w:val="auto"/>
          <w:kern w:val="0"/>
        </w:rPr>
        <w:t>+O</w:t>
      </w:r>
      <w:r>
        <w:rPr>
          <w:color w:val="auto"/>
          <w:kern w:val="0"/>
          <w:vertAlign w:val="subscript"/>
        </w:rPr>
        <w:t>2</w:t>
      </w:r>
      <w:r>
        <w:rPr>
          <w:color w:val="auto"/>
          <w:kern w:val="0"/>
        </w:rPr>
        <w:t>+H</w:t>
      </w:r>
      <w:r>
        <w:rPr>
          <w:color w:val="auto"/>
          <w:kern w:val="0"/>
          <w:vertAlign w:val="subscript"/>
        </w:rPr>
        <w:t>2</w:t>
      </w:r>
      <w:r>
        <w:rPr>
          <w:color w:val="auto"/>
          <w:kern w:val="0"/>
        </w:rPr>
        <w:t>O→R-NH</w:t>
      </w:r>
      <w:r>
        <w:rPr>
          <w:color w:val="auto"/>
          <w:kern w:val="0"/>
          <w:vertAlign w:val="subscript"/>
        </w:rPr>
        <w:t>3</w:t>
      </w:r>
      <w:r>
        <w:rPr>
          <w:color w:val="auto"/>
          <w:kern w:val="0"/>
          <w:vertAlign w:val="superscript"/>
        </w:rPr>
        <w:t>+</w:t>
      </w:r>
      <w:r>
        <w:rPr>
          <w:color w:val="auto"/>
          <w:kern w:val="0"/>
        </w:rPr>
        <w:t>+SO</w:t>
      </w:r>
      <w:r>
        <w:rPr>
          <w:color w:val="auto"/>
          <w:kern w:val="0"/>
          <w:vertAlign w:val="subscript"/>
        </w:rPr>
        <w:t>4</w:t>
      </w:r>
      <w:r>
        <w:rPr>
          <w:color w:val="auto"/>
          <w:kern w:val="0"/>
          <w:vertAlign w:val="superscript"/>
        </w:rPr>
        <w:t>2-</w:t>
      </w:r>
      <w:r>
        <w:rPr>
          <w:color w:val="auto"/>
          <w:kern w:val="0"/>
        </w:rPr>
        <w:t>+OH</w:t>
      </w:r>
      <w:r>
        <w:rPr>
          <w:color w:val="auto"/>
          <w:kern w:val="0"/>
          <w:vertAlign w:val="superscript"/>
        </w:rPr>
        <w:t>-</w:t>
      </w:r>
    </w:p>
    <w:p>
      <w:pPr>
        <w:widowControl/>
        <w:ind w:firstLine="480"/>
        <w:jc w:val="left"/>
        <w:rPr>
          <w:color w:val="auto"/>
          <w:kern w:val="0"/>
        </w:rPr>
      </w:pPr>
      <w:r>
        <w:rPr>
          <w:color w:val="auto"/>
          <w:kern w:val="0"/>
        </w:rPr>
        <w:t>R-NH</w:t>
      </w:r>
      <w:r>
        <w:rPr>
          <w:color w:val="auto"/>
          <w:kern w:val="0"/>
          <w:vertAlign w:val="subscript"/>
        </w:rPr>
        <w:t>3</w:t>
      </w:r>
      <w:r>
        <w:rPr>
          <w:color w:val="auto"/>
          <w:kern w:val="0"/>
          <w:vertAlign w:val="superscript"/>
        </w:rPr>
        <w:t>+</w:t>
      </w:r>
      <w:r>
        <w:rPr>
          <w:color w:val="auto"/>
          <w:kern w:val="0"/>
        </w:rPr>
        <w:t>+OH</w:t>
      </w:r>
      <w:r>
        <w:rPr>
          <w:color w:val="auto"/>
          <w:kern w:val="0"/>
          <w:vertAlign w:val="superscript"/>
        </w:rPr>
        <w:t>-</w:t>
      </w:r>
      <w:r>
        <w:rPr>
          <w:color w:val="auto"/>
          <w:kern w:val="0"/>
        </w:rPr>
        <w:t>→R-NH</w:t>
      </w:r>
      <w:r>
        <w:rPr>
          <w:color w:val="auto"/>
          <w:kern w:val="0"/>
          <w:vertAlign w:val="subscript"/>
        </w:rPr>
        <w:t>2</w:t>
      </w:r>
      <w:r>
        <w:rPr>
          <w:color w:val="auto"/>
          <w:kern w:val="0"/>
        </w:rPr>
        <w:t>+H</w:t>
      </w:r>
      <w:r>
        <w:rPr>
          <w:color w:val="auto"/>
          <w:kern w:val="0"/>
          <w:vertAlign w:val="subscript"/>
        </w:rPr>
        <w:t>2</w:t>
      </w:r>
      <w:r>
        <w:rPr>
          <w:color w:val="auto"/>
          <w:kern w:val="0"/>
        </w:rPr>
        <w:t>O</w:t>
      </w:r>
    </w:p>
    <w:p>
      <w:pPr>
        <w:widowControl/>
        <w:ind w:left="480" w:leftChars="200" w:firstLine="0" w:firstLineChars="0"/>
        <w:jc w:val="left"/>
        <w:rPr>
          <w:rFonts w:hAnsi="宋体"/>
          <w:color w:val="auto"/>
          <w:kern w:val="0"/>
        </w:rPr>
      </w:pPr>
      <w:r>
        <w:rPr>
          <w:rFonts w:hAnsi="宋体"/>
          <w:color w:val="auto"/>
          <w:kern w:val="0"/>
        </w:rPr>
        <w:t>②与甲醛</w:t>
      </w:r>
      <w:r>
        <w:rPr>
          <w:color w:val="auto"/>
          <w:kern w:val="0"/>
        </w:rPr>
        <w:t>HCHO</w:t>
      </w:r>
      <w:r>
        <w:rPr>
          <w:rFonts w:hAnsi="宋体"/>
          <w:color w:val="auto"/>
          <w:kern w:val="0"/>
        </w:rPr>
        <w:t>的反应：</w:t>
      </w:r>
      <w:r>
        <w:rPr>
          <w:color w:val="auto"/>
          <w:kern w:val="0"/>
        </w:rPr>
        <w:br w:type="textWrapping"/>
      </w:r>
      <w:r>
        <w:rPr>
          <w:color w:val="auto"/>
          <w:kern w:val="0"/>
        </w:rPr>
        <w:t>R-NH</w:t>
      </w:r>
      <w:r>
        <w:rPr>
          <w:color w:val="auto"/>
          <w:kern w:val="0"/>
          <w:vertAlign w:val="subscript"/>
        </w:rPr>
        <w:t>2</w:t>
      </w:r>
      <w:r>
        <w:rPr>
          <w:color w:val="auto"/>
          <w:kern w:val="0"/>
        </w:rPr>
        <w:t>+HCHO→CO</w:t>
      </w:r>
      <w:r>
        <w:rPr>
          <w:color w:val="auto"/>
          <w:kern w:val="0"/>
          <w:vertAlign w:val="subscript"/>
        </w:rPr>
        <w:t>2</w:t>
      </w:r>
      <w:r>
        <w:rPr>
          <w:color w:val="auto"/>
          <w:kern w:val="0"/>
        </w:rPr>
        <w:t>+H</w:t>
      </w:r>
      <w:r>
        <w:rPr>
          <w:color w:val="auto"/>
          <w:kern w:val="0"/>
          <w:vertAlign w:val="subscript"/>
        </w:rPr>
        <w:t>2</w:t>
      </w:r>
      <w:r>
        <w:rPr>
          <w:color w:val="auto"/>
          <w:kern w:val="0"/>
        </w:rPr>
        <w:t>O+N</w:t>
      </w:r>
      <w:r>
        <w:rPr>
          <w:color w:val="auto"/>
          <w:kern w:val="0"/>
          <w:vertAlign w:val="subscript"/>
        </w:rPr>
        <w:t>2</w:t>
      </w:r>
      <w:r>
        <w:rPr>
          <w:color w:val="auto"/>
          <w:kern w:val="0"/>
        </w:rPr>
        <w:br w:type="textWrapping"/>
      </w:r>
      <w:r>
        <w:rPr>
          <w:rFonts w:hAnsi="宋体"/>
          <w:color w:val="auto"/>
          <w:kern w:val="0"/>
        </w:rPr>
        <w:t>③与氨</w:t>
      </w:r>
      <w:r>
        <w:rPr>
          <w:color w:val="auto"/>
          <w:kern w:val="0"/>
        </w:rPr>
        <w:t>NH</w:t>
      </w:r>
      <w:r>
        <w:rPr>
          <w:color w:val="auto"/>
          <w:kern w:val="0"/>
          <w:vertAlign w:val="subscript"/>
        </w:rPr>
        <w:t>3</w:t>
      </w:r>
      <w:r>
        <w:rPr>
          <w:rFonts w:hAnsi="宋体"/>
          <w:color w:val="auto"/>
          <w:kern w:val="0"/>
        </w:rPr>
        <w:t>的反应：</w:t>
      </w:r>
      <w:r>
        <w:rPr>
          <w:color w:val="auto"/>
          <w:kern w:val="0"/>
        </w:rPr>
        <w:br w:type="textWrapping"/>
      </w:r>
      <w:r>
        <w:rPr>
          <w:color w:val="auto"/>
          <w:kern w:val="0"/>
        </w:rPr>
        <w:t>R-NH</w:t>
      </w:r>
      <w:r>
        <w:rPr>
          <w:color w:val="auto"/>
          <w:kern w:val="0"/>
          <w:vertAlign w:val="subscript"/>
        </w:rPr>
        <w:t>2</w:t>
      </w:r>
      <w:r>
        <w:rPr>
          <w:color w:val="auto"/>
          <w:kern w:val="0"/>
        </w:rPr>
        <w:t>+NH</w:t>
      </w:r>
      <w:r>
        <w:rPr>
          <w:color w:val="auto"/>
          <w:kern w:val="0"/>
          <w:vertAlign w:val="subscript"/>
        </w:rPr>
        <w:t>3</w:t>
      </w:r>
      <w:r>
        <w:rPr>
          <w:color w:val="auto"/>
          <w:kern w:val="0"/>
        </w:rPr>
        <w:t>→R-NH</w:t>
      </w:r>
      <w:r>
        <w:rPr>
          <w:color w:val="auto"/>
          <w:kern w:val="0"/>
          <w:vertAlign w:val="subscript"/>
        </w:rPr>
        <w:t>2</w:t>
      </w:r>
      <w:r>
        <w:rPr>
          <w:color w:val="auto"/>
          <w:kern w:val="0"/>
        </w:rPr>
        <w:t>+N</w:t>
      </w:r>
      <w:r>
        <w:rPr>
          <w:color w:val="auto"/>
          <w:kern w:val="0"/>
          <w:vertAlign w:val="subscript"/>
        </w:rPr>
        <w:t>2</w:t>
      </w:r>
      <w:r>
        <w:rPr>
          <w:color w:val="auto"/>
          <w:kern w:val="0"/>
        </w:rPr>
        <w:t>+H</w:t>
      </w:r>
      <w:r>
        <w:rPr>
          <w:color w:val="auto"/>
          <w:kern w:val="0"/>
          <w:vertAlign w:val="subscript"/>
        </w:rPr>
        <w:t>2</w:t>
      </w:r>
      <w:r>
        <w:rPr>
          <w:color w:val="auto"/>
          <w:kern w:val="0"/>
        </w:rPr>
        <w:t>O</w:t>
      </w:r>
      <w:r>
        <w:rPr>
          <w:color w:val="auto"/>
          <w:kern w:val="0"/>
        </w:rPr>
        <w:br w:type="textWrapping"/>
      </w:r>
      <w:r>
        <w:rPr>
          <w:rFonts w:hAnsi="宋体"/>
          <w:color w:val="auto"/>
          <w:kern w:val="0"/>
        </w:rPr>
        <w:t>④与硫醇类恶臭气体的反应：</w:t>
      </w:r>
    </w:p>
    <w:p>
      <w:pPr>
        <w:widowControl/>
        <w:ind w:firstLine="480"/>
        <w:jc w:val="left"/>
        <w:rPr>
          <w:color w:val="auto"/>
          <w:kern w:val="0"/>
          <w:vertAlign w:val="subscript"/>
        </w:rPr>
      </w:pPr>
      <w:r>
        <w:rPr>
          <w:color w:val="auto"/>
          <w:kern w:val="0"/>
        </w:rPr>
        <w:t>R-NH</w:t>
      </w:r>
      <w:r>
        <w:rPr>
          <w:color w:val="auto"/>
          <w:kern w:val="0"/>
          <w:vertAlign w:val="subscript"/>
        </w:rPr>
        <w:t>2</w:t>
      </w:r>
      <w:r>
        <w:rPr>
          <w:color w:val="auto"/>
          <w:kern w:val="0"/>
        </w:rPr>
        <w:t>+CH</w:t>
      </w:r>
      <w:r>
        <w:rPr>
          <w:color w:val="auto"/>
          <w:kern w:val="0"/>
          <w:vertAlign w:val="subscript"/>
        </w:rPr>
        <w:t>4</w:t>
      </w:r>
      <w:r>
        <w:rPr>
          <w:color w:val="auto"/>
          <w:kern w:val="0"/>
        </w:rPr>
        <w:t>S→R-NH</w:t>
      </w:r>
      <w:r>
        <w:rPr>
          <w:color w:val="auto"/>
          <w:kern w:val="0"/>
          <w:vertAlign w:val="subscript"/>
        </w:rPr>
        <w:t>2</w:t>
      </w:r>
      <w:r>
        <w:rPr>
          <w:color w:val="auto"/>
          <w:kern w:val="0"/>
        </w:rPr>
        <w:t>+N</w:t>
      </w:r>
      <w:r>
        <w:rPr>
          <w:color w:val="auto"/>
          <w:kern w:val="0"/>
          <w:vertAlign w:val="subscript"/>
        </w:rPr>
        <w:t>2</w:t>
      </w:r>
      <w:r>
        <w:rPr>
          <w:color w:val="auto"/>
          <w:kern w:val="0"/>
        </w:rPr>
        <w:t>+H</w:t>
      </w:r>
      <w:r>
        <w:rPr>
          <w:color w:val="auto"/>
          <w:kern w:val="0"/>
          <w:vertAlign w:val="subscript"/>
        </w:rPr>
        <w:t>2</w:t>
      </w:r>
      <w:r>
        <w:rPr>
          <w:color w:val="auto"/>
          <w:kern w:val="0"/>
        </w:rPr>
        <w:t>O+SO</w:t>
      </w:r>
      <w:r>
        <w:rPr>
          <w:color w:val="auto"/>
          <w:kern w:val="0"/>
          <w:vertAlign w:val="subscript"/>
        </w:rPr>
        <w:t>2</w:t>
      </w:r>
    </w:p>
    <w:p>
      <w:pPr>
        <w:widowControl/>
        <w:ind w:firstLine="480" w:firstLineChars="200"/>
        <w:jc w:val="left"/>
        <w:rPr>
          <w:b/>
          <w:bCs/>
          <w:color w:val="auto"/>
          <w:kern w:val="0"/>
          <w:u w:val="single"/>
          <w:vertAlign w:val="subscript"/>
        </w:rPr>
      </w:pPr>
      <w:r>
        <w:rPr>
          <w:color w:val="auto"/>
          <w:kern w:val="0"/>
        </w:rPr>
        <w:t>R-NH</w:t>
      </w:r>
      <w:r>
        <w:rPr>
          <w:color w:val="auto"/>
          <w:kern w:val="0"/>
          <w:vertAlign w:val="subscript"/>
        </w:rPr>
        <w:t>2</w:t>
      </w:r>
      <w:r>
        <w:rPr>
          <w:color w:val="auto"/>
          <w:kern w:val="0"/>
        </w:rPr>
        <w:t>+C</w:t>
      </w:r>
      <w:r>
        <w:rPr>
          <w:color w:val="auto"/>
          <w:kern w:val="0"/>
          <w:vertAlign w:val="subscript"/>
        </w:rPr>
        <w:t>2</w:t>
      </w:r>
      <w:r>
        <w:rPr>
          <w:color w:val="auto"/>
          <w:kern w:val="0"/>
        </w:rPr>
        <w:t>H</w:t>
      </w:r>
      <w:r>
        <w:rPr>
          <w:color w:val="auto"/>
          <w:kern w:val="0"/>
          <w:vertAlign w:val="subscript"/>
        </w:rPr>
        <w:t>6</w:t>
      </w:r>
      <w:r>
        <w:rPr>
          <w:color w:val="auto"/>
          <w:kern w:val="0"/>
        </w:rPr>
        <w:t>S→R-NH</w:t>
      </w:r>
      <w:r>
        <w:rPr>
          <w:color w:val="auto"/>
          <w:kern w:val="0"/>
          <w:vertAlign w:val="subscript"/>
        </w:rPr>
        <w:t>2</w:t>
      </w:r>
      <w:r>
        <w:rPr>
          <w:color w:val="auto"/>
          <w:kern w:val="0"/>
        </w:rPr>
        <w:t>+N</w:t>
      </w:r>
      <w:r>
        <w:rPr>
          <w:color w:val="auto"/>
          <w:kern w:val="0"/>
          <w:vertAlign w:val="subscript"/>
        </w:rPr>
        <w:t>2</w:t>
      </w:r>
      <w:r>
        <w:rPr>
          <w:color w:val="auto"/>
          <w:kern w:val="0"/>
        </w:rPr>
        <w:t>+H</w:t>
      </w:r>
      <w:r>
        <w:rPr>
          <w:color w:val="auto"/>
          <w:kern w:val="0"/>
          <w:vertAlign w:val="subscript"/>
        </w:rPr>
        <w:t>2</w:t>
      </w:r>
      <w:r>
        <w:rPr>
          <w:color w:val="auto"/>
          <w:kern w:val="0"/>
        </w:rPr>
        <w:t>O+SO</w:t>
      </w:r>
      <w:r>
        <w:rPr>
          <w:color w:val="auto"/>
          <w:kern w:val="0"/>
          <w:vertAlign w:val="subscript"/>
        </w:rPr>
        <w:t>2</w:t>
      </w:r>
    </w:p>
    <w:p>
      <w:pPr>
        <w:ind w:firstLine="480"/>
        <w:rPr>
          <w:color w:val="auto"/>
        </w:rPr>
      </w:pPr>
      <w:r>
        <w:rPr>
          <w:color w:val="auto"/>
        </w:rPr>
        <w:t>B、恶臭治理设施</w:t>
      </w:r>
    </w:p>
    <w:p>
      <w:pPr>
        <w:widowControl/>
        <w:ind w:firstLine="480"/>
        <w:jc w:val="left"/>
        <w:rPr>
          <w:color w:val="auto"/>
          <w:kern w:val="0"/>
        </w:rPr>
      </w:pPr>
      <w:r>
        <w:rPr>
          <w:color w:val="auto"/>
          <w:kern w:val="0"/>
        </w:rPr>
        <w:t>本项目主要废气污染物为恶臭，养殖场多为无组织排放。</w:t>
      </w:r>
    </w:p>
    <w:p>
      <w:pPr>
        <w:widowControl/>
        <w:ind w:firstLine="480"/>
        <w:jc w:val="left"/>
        <w:rPr>
          <w:color w:val="auto"/>
          <w:kern w:val="0"/>
        </w:rPr>
      </w:pPr>
      <w:r>
        <w:rPr>
          <w:rFonts w:hint="eastAsia"/>
          <w:color w:val="auto"/>
          <w:kern w:val="0"/>
        </w:rPr>
        <w:t>项目粪污治理区采用4面围挡、其中1面设置进出口大门</w:t>
      </w:r>
      <w:r>
        <w:rPr>
          <w:rFonts w:hint="eastAsia"/>
          <w:color w:val="auto"/>
          <w:kern w:val="0"/>
          <w:lang w:eastAsia="zh-CN"/>
        </w:rPr>
        <w:t>，</w:t>
      </w:r>
      <w:r>
        <w:rPr>
          <w:rFonts w:hint="eastAsia"/>
          <w:color w:val="auto"/>
          <w:kern w:val="0"/>
        </w:rPr>
        <w:t>粪污治理区在一侧围墙上设置风机，通过风机将固粪处理区的臭气引至除臭棚处理，除臭棚墙内填充填料吸附，同时除臭棚顶部有喷淋水装置。</w:t>
      </w:r>
    </w:p>
    <w:p>
      <w:pPr>
        <w:ind w:firstLine="480"/>
        <w:jc w:val="left"/>
        <w:rPr>
          <w:color w:val="auto"/>
        </w:rPr>
      </w:pPr>
      <w:r>
        <w:rPr>
          <w:color w:val="auto"/>
        </w:rPr>
        <w:t>根据《排污许可证核发与技术规范 畜禽养殖行业》中的废气无组织控制要求，评价建议本项目拟采取的措施：</w:t>
      </w:r>
      <w:r>
        <w:rPr>
          <w:rFonts w:hint="eastAsia"/>
          <w:color w:val="auto"/>
        </w:rPr>
        <w:t>（1）猪舍：控制饲养密度、加强通风、定期冲洗、调整饲料配方，猪舍出风口处设置风机，将臭气引至除臭棚处理，除臭棚墙内填充填料吸附，同时除臭棚顶部有喷淋水装置；（2）固体粪污处理区：臭气引至除臭棚处理，除臭棚墙内填充填料吸附，同时除臭棚顶部有喷淋水装置；（3）废水处理工程：定期喷洒除臭剂</w:t>
      </w:r>
      <w:r>
        <w:rPr>
          <w:rFonts w:hint="eastAsia"/>
          <w:color w:val="auto"/>
          <w:lang w:eastAsia="zh-CN"/>
        </w:rPr>
        <w:t>、周边绿化</w:t>
      </w:r>
      <w:r>
        <w:rPr>
          <w:rFonts w:hint="eastAsia"/>
          <w:color w:val="auto"/>
        </w:rPr>
        <w:t>；（4）整个厂区：固体粪污规划还田利用；厂区运输道路全硬化、及时清扫、无积灰扬尘、定期洒水抑尘；加强厂区绿化。</w:t>
      </w:r>
    </w:p>
    <w:p>
      <w:pPr>
        <w:spacing w:before="128" w:line="331" w:lineRule="auto"/>
        <w:ind w:left="217" w:firstLine="422"/>
        <w:jc w:val="center"/>
        <w:rPr>
          <w:rFonts w:ascii="宋体" w:hAnsi="宋体" w:cs="宋体"/>
          <w:color w:val="auto"/>
        </w:rPr>
      </w:pPr>
      <w:r>
        <w:rPr>
          <w:rFonts w:ascii="宋体" w:hAnsi="宋体" w:cs="宋体"/>
          <w:b/>
          <w:bCs/>
          <w:color w:val="auto"/>
          <w:sz w:val="21"/>
          <w:szCs w:val="21"/>
        </w:rPr>
        <w:t>表</w:t>
      </w:r>
      <w:r>
        <w:rPr>
          <w:rFonts w:ascii="宋体" w:hAnsi="宋体" w:cs="宋体"/>
          <w:b/>
          <w:bCs/>
          <w:color w:val="auto"/>
          <w:spacing w:val="-53"/>
          <w:sz w:val="21"/>
          <w:szCs w:val="21"/>
        </w:rPr>
        <w:t xml:space="preserve"> </w:t>
      </w:r>
      <w:r>
        <w:rPr>
          <w:rFonts w:eastAsia="Times New Roman"/>
          <w:b/>
          <w:bCs/>
          <w:color w:val="auto"/>
          <w:sz w:val="21"/>
          <w:szCs w:val="21"/>
        </w:rPr>
        <w:t>6.2-5</w:t>
      </w:r>
      <w:r>
        <w:rPr>
          <w:rFonts w:eastAsia="Times New Roman"/>
          <w:b/>
          <w:bCs/>
          <w:color w:val="auto"/>
          <w:sz w:val="21"/>
          <w:szCs w:val="21"/>
        </w:rPr>
        <w:tab/>
      </w:r>
      <w:r>
        <w:rPr>
          <w:rFonts w:ascii="宋体" w:hAnsi="宋体" w:cs="宋体"/>
          <w:b/>
          <w:bCs/>
          <w:color w:val="auto"/>
          <w:sz w:val="21"/>
          <w:szCs w:val="21"/>
        </w:rPr>
        <w:t>项目废气污染防治措施一览表</w:t>
      </w:r>
    </w:p>
    <w:tbl>
      <w:tblPr>
        <w:tblStyle w:val="27"/>
        <w:tblW w:w="4997" w:type="pct"/>
        <w:tblInd w:w="0" w:type="dxa"/>
        <w:tblBorders>
          <w:top w:val="single" w:color="000000" w:sz="2" w:space="0"/>
          <w:left w:val="none" w:color="auto" w:sz="0" w:space="0"/>
          <w:bottom w:val="single" w:color="000000" w:sz="2" w:space="0"/>
          <w:right w:val="none" w:color="auto" w:sz="0" w:space="0"/>
          <w:insideH w:val="single" w:color="000000" w:sz="2" w:space="0"/>
          <w:insideV w:val="single" w:color="000000" w:sz="6" w:space="0"/>
        </w:tblBorders>
        <w:tblLayout w:type="autofit"/>
        <w:tblCellMar>
          <w:top w:w="0" w:type="dxa"/>
          <w:left w:w="0" w:type="dxa"/>
          <w:bottom w:w="0" w:type="dxa"/>
          <w:right w:w="0" w:type="dxa"/>
        </w:tblCellMar>
      </w:tblPr>
      <w:tblGrid>
        <w:gridCol w:w="503"/>
        <w:gridCol w:w="1383"/>
        <w:gridCol w:w="2492"/>
        <w:gridCol w:w="3323"/>
        <w:gridCol w:w="1252"/>
      </w:tblGrid>
      <w:tr>
        <w:tblPrEx>
          <w:tblBorders>
            <w:top w:val="single" w:color="000000" w:sz="2" w:space="0"/>
            <w:left w:val="none" w:color="auto" w:sz="0" w:space="0"/>
            <w:bottom w:val="single" w:color="000000" w:sz="2" w:space="0"/>
            <w:right w:val="none" w:color="auto" w:sz="0" w:space="0"/>
            <w:insideH w:val="single" w:color="000000" w:sz="2" w:space="0"/>
            <w:insideV w:val="single" w:color="000000" w:sz="6" w:space="0"/>
          </w:tblBorders>
          <w:tblCellMar>
            <w:top w:w="0" w:type="dxa"/>
            <w:left w:w="0" w:type="dxa"/>
            <w:bottom w:w="0" w:type="dxa"/>
            <w:right w:w="0" w:type="dxa"/>
          </w:tblCellMar>
        </w:tblPrEx>
        <w:trPr>
          <w:trHeight w:val="555" w:hRule="exact"/>
        </w:trPr>
        <w:tc>
          <w:tcPr>
            <w:tcW w:w="281" w:type="pct"/>
            <w:tcBorders>
              <w:tl2br w:val="nil"/>
              <w:tr2bl w:val="nil"/>
            </w:tcBorders>
            <w:shd w:val="clear" w:color="auto" w:fill="auto"/>
            <w:vAlign w:val="center"/>
          </w:tcPr>
          <w:p>
            <w:pPr>
              <w:pStyle w:val="42"/>
              <w:adjustRightInd/>
              <w:snapToGrid/>
              <w:spacing w:line="240" w:lineRule="auto"/>
              <w:ind w:firstLine="0" w:firstLineChars="0"/>
              <w:jc w:val="center"/>
              <w:rPr>
                <w:color w:val="auto"/>
                <w:sz w:val="21"/>
                <w:szCs w:val="21"/>
              </w:rPr>
            </w:pPr>
            <w:r>
              <w:rPr>
                <w:b/>
                <w:bCs/>
                <w:color w:val="auto"/>
                <w:w w:val="99"/>
                <w:sz w:val="21"/>
                <w:szCs w:val="21"/>
              </w:rPr>
              <w:t>序</w:t>
            </w:r>
          </w:p>
          <w:p>
            <w:pPr>
              <w:pStyle w:val="42"/>
              <w:adjustRightInd/>
              <w:snapToGrid/>
              <w:spacing w:line="240" w:lineRule="auto"/>
              <w:ind w:firstLine="0" w:firstLineChars="0"/>
              <w:jc w:val="center"/>
              <w:rPr>
                <w:color w:val="auto"/>
                <w:sz w:val="21"/>
                <w:szCs w:val="21"/>
              </w:rPr>
            </w:pPr>
            <w:r>
              <w:rPr>
                <w:b/>
                <w:bCs/>
                <w:color w:val="auto"/>
                <w:w w:val="99"/>
                <w:sz w:val="21"/>
                <w:szCs w:val="21"/>
              </w:rPr>
              <w:t>号</w:t>
            </w:r>
          </w:p>
        </w:tc>
        <w:tc>
          <w:tcPr>
            <w:tcW w:w="772" w:type="pct"/>
            <w:tcBorders>
              <w:tl2br w:val="nil"/>
              <w:tr2bl w:val="nil"/>
            </w:tcBorders>
            <w:shd w:val="clear" w:color="auto" w:fill="auto"/>
            <w:vAlign w:val="center"/>
          </w:tcPr>
          <w:p>
            <w:pPr>
              <w:pStyle w:val="42"/>
              <w:adjustRightInd/>
              <w:snapToGrid/>
              <w:spacing w:line="240" w:lineRule="auto"/>
              <w:ind w:firstLine="0" w:firstLineChars="0"/>
              <w:jc w:val="center"/>
              <w:rPr>
                <w:color w:val="auto"/>
                <w:sz w:val="21"/>
                <w:szCs w:val="21"/>
              </w:rPr>
            </w:pPr>
            <w:r>
              <w:rPr>
                <w:b/>
                <w:bCs/>
                <w:color w:val="auto"/>
                <w:sz w:val="21"/>
                <w:szCs w:val="21"/>
              </w:rPr>
              <w:t>排放源</w:t>
            </w:r>
          </w:p>
        </w:tc>
        <w:tc>
          <w:tcPr>
            <w:tcW w:w="1391" w:type="pct"/>
            <w:tcBorders>
              <w:tl2br w:val="nil"/>
              <w:tr2bl w:val="nil"/>
            </w:tcBorders>
            <w:shd w:val="clear" w:color="auto" w:fill="auto"/>
            <w:vAlign w:val="center"/>
          </w:tcPr>
          <w:p>
            <w:pPr>
              <w:pStyle w:val="42"/>
              <w:adjustRightInd/>
              <w:snapToGrid/>
              <w:spacing w:line="240" w:lineRule="auto"/>
              <w:ind w:firstLine="0" w:firstLineChars="0"/>
              <w:jc w:val="center"/>
              <w:rPr>
                <w:color w:val="auto"/>
                <w:sz w:val="21"/>
                <w:szCs w:val="21"/>
              </w:rPr>
            </w:pPr>
            <w:r>
              <w:rPr>
                <w:b/>
                <w:bCs/>
                <w:color w:val="auto"/>
                <w:sz w:val="21"/>
                <w:szCs w:val="21"/>
              </w:rPr>
              <w:t>防治措施</w:t>
            </w:r>
          </w:p>
        </w:tc>
        <w:tc>
          <w:tcPr>
            <w:tcW w:w="1855" w:type="pct"/>
            <w:tcBorders>
              <w:tl2br w:val="nil"/>
              <w:tr2bl w:val="nil"/>
            </w:tcBorders>
            <w:shd w:val="clear" w:color="auto" w:fill="auto"/>
            <w:vAlign w:val="center"/>
          </w:tcPr>
          <w:p>
            <w:pPr>
              <w:pStyle w:val="42"/>
              <w:adjustRightInd/>
              <w:snapToGrid/>
              <w:spacing w:line="240" w:lineRule="auto"/>
              <w:ind w:firstLine="0" w:firstLineChars="0"/>
              <w:jc w:val="center"/>
              <w:rPr>
                <w:color w:val="auto"/>
                <w:sz w:val="21"/>
                <w:szCs w:val="21"/>
              </w:rPr>
            </w:pPr>
            <w:r>
              <w:rPr>
                <w:b/>
                <w:bCs/>
                <w:color w:val="auto"/>
                <w:sz w:val="21"/>
                <w:szCs w:val="21"/>
              </w:rPr>
              <w:t>实施方案</w:t>
            </w:r>
          </w:p>
        </w:tc>
        <w:tc>
          <w:tcPr>
            <w:tcW w:w="698" w:type="pct"/>
            <w:tcBorders>
              <w:tl2br w:val="nil"/>
              <w:tr2bl w:val="nil"/>
            </w:tcBorders>
            <w:shd w:val="clear" w:color="auto" w:fill="auto"/>
            <w:vAlign w:val="center"/>
          </w:tcPr>
          <w:p>
            <w:pPr>
              <w:pStyle w:val="42"/>
              <w:adjustRightInd/>
              <w:snapToGrid/>
              <w:spacing w:line="240" w:lineRule="auto"/>
              <w:ind w:firstLine="0" w:firstLineChars="0"/>
              <w:jc w:val="center"/>
              <w:rPr>
                <w:color w:val="auto"/>
                <w:sz w:val="21"/>
                <w:szCs w:val="21"/>
              </w:rPr>
            </w:pPr>
            <w:r>
              <w:rPr>
                <w:b/>
                <w:bCs/>
                <w:color w:val="auto"/>
                <w:sz w:val="21"/>
                <w:szCs w:val="21"/>
              </w:rPr>
              <w:t>治理目标</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6" w:space="0"/>
          </w:tblBorders>
          <w:tblCellMar>
            <w:top w:w="0" w:type="dxa"/>
            <w:left w:w="0" w:type="dxa"/>
            <w:bottom w:w="0" w:type="dxa"/>
            <w:right w:w="0" w:type="dxa"/>
          </w:tblCellMar>
        </w:tblPrEx>
        <w:trPr>
          <w:trHeight w:val="1871" w:hRule="exact"/>
        </w:trPr>
        <w:tc>
          <w:tcPr>
            <w:tcW w:w="281" w:type="pct"/>
            <w:tcBorders>
              <w:tl2br w:val="nil"/>
              <w:tr2bl w:val="nil"/>
            </w:tcBorders>
            <w:shd w:val="clear" w:color="auto" w:fill="auto"/>
            <w:vAlign w:val="center"/>
          </w:tcPr>
          <w:p>
            <w:pPr>
              <w:pStyle w:val="42"/>
              <w:adjustRightInd/>
              <w:snapToGrid/>
              <w:spacing w:line="240" w:lineRule="auto"/>
              <w:ind w:firstLine="0" w:firstLineChars="0"/>
              <w:jc w:val="center"/>
              <w:rPr>
                <w:color w:val="auto"/>
                <w:sz w:val="21"/>
                <w:szCs w:val="21"/>
              </w:rPr>
            </w:pPr>
            <w:r>
              <w:rPr>
                <w:color w:val="auto"/>
                <w:w w:val="99"/>
                <w:sz w:val="21"/>
                <w:szCs w:val="21"/>
              </w:rPr>
              <w:t>1</w:t>
            </w:r>
          </w:p>
        </w:tc>
        <w:tc>
          <w:tcPr>
            <w:tcW w:w="772" w:type="pct"/>
            <w:tcBorders>
              <w:tl2br w:val="nil"/>
              <w:tr2bl w:val="nil"/>
            </w:tcBorders>
            <w:shd w:val="clear" w:color="auto" w:fill="auto"/>
            <w:vAlign w:val="center"/>
          </w:tcPr>
          <w:p>
            <w:pPr>
              <w:pStyle w:val="42"/>
              <w:adjustRightInd/>
              <w:snapToGrid/>
              <w:spacing w:line="240" w:lineRule="auto"/>
              <w:ind w:firstLine="0" w:firstLineChars="0"/>
              <w:jc w:val="center"/>
              <w:rPr>
                <w:color w:val="auto"/>
                <w:sz w:val="21"/>
                <w:szCs w:val="21"/>
              </w:rPr>
            </w:pPr>
            <w:r>
              <w:rPr>
                <w:color w:val="auto"/>
                <w:sz w:val="21"/>
                <w:szCs w:val="21"/>
              </w:rPr>
              <w:t>猪舍</w:t>
            </w:r>
          </w:p>
        </w:tc>
        <w:tc>
          <w:tcPr>
            <w:tcW w:w="1391" w:type="pct"/>
            <w:tcBorders>
              <w:tl2br w:val="nil"/>
              <w:tr2bl w:val="nil"/>
            </w:tcBorders>
            <w:shd w:val="clear" w:color="auto" w:fill="auto"/>
            <w:vAlign w:val="center"/>
          </w:tcPr>
          <w:p>
            <w:pPr>
              <w:pStyle w:val="42"/>
              <w:adjustRightInd/>
              <w:snapToGrid/>
              <w:spacing w:line="240" w:lineRule="auto"/>
              <w:ind w:firstLine="0" w:firstLineChars="0"/>
              <w:jc w:val="center"/>
              <w:rPr>
                <w:color w:val="auto"/>
                <w:sz w:val="21"/>
                <w:szCs w:val="21"/>
              </w:rPr>
            </w:pPr>
            <w:r>
              <w:rPr>
                <w:color w:val="auto"/>
                <w:sz w:val="21"/>
                <w:szCs w:val="21"/>
              </w:rPr>
              <w:t>调整饲料配方、喷洒除臭剂、猪舍出风口处设置风机，将臭气引至除臭棚处理，除臭棚墙内填充填料吸附，同时除臭棚顶部有喷淋水装置</w:t>
            </w:r>
          </w:p>
        </w:tc>
        <w:tc>
          <w:tcPr>
            <w:tcW w:w="1855" w:type="pct"/>
            <w:tcBorders>
              <w:tl2br w:val="nil"/>
              <w:tr2bl w:val="nil"/>
            </w:tcBorders>
            <w:shd w:val="clear" w:color="auto" w:fill="auto"/>
            <w:vAlign w:val="center"/>
          </w:tcPr>
          <w:p>
            <w:pPr>
              <w:pStyle w:val="42"/>
              <w:adjustRightInd/>
              <w:snapToGrid/>
              <w:spacing w:line="240" w:lineRule="auto"/>
              <w:ind w:firstLine="0" w:firstLineChars="0"/>
              <w:jc w:val="center"/>
              <w:rPr>
                <w:color w:val="auto"/>
                <w:sz w:val="21"/>
                <w:szCs w:val="21"/>
              </w:rPr>
            </w:pPr>
            <w:r>
              <w:rPr>
                <w:color w:val="auto"/>
                <w:spacing w:val="2"/>
                <w:sz w:val="21"/>
                <w:szCs w:val="21"/>
              </w:rPr>
              <w:t>猪舍清空时利用高压水枪彻底冲圈消毒，调整饲料配方，减少猪粪</w:t>
            </w:r>
            <w:r>
              <w:rPr>
                <w:color w:val="auto"/>
                <w:sz w:val="21"/>
                <w:szCs w:val="21"/>
              </w:rPr>
              <w:t>便中恶臭的产生</w:t>
            </w:r>
          </w:p>
        </w:tc>
        <w:tc>
          <w:tcPr>
            <w:tcW w:w="698" w:type="pct"/>
            <w:vMerge w:val="restart"/>
            <w:tcBorders>
              <w:tl2br w:val="nil"/>
              <w:tr2bl w:val="nil"/>
            </w:tcBorders>
            <w:shd w:val="clear" w:color="auto" w:fill="auto"/>
            <w:vAlign w:val="center"/>
          </w:tcPr>
          <w:p>
            <w:pPr>
              <w:pStyle w:val="42"/>
              <w:adjustRightInd/>
              <w:snapToGrid/>
              <w:spacing w:line="240" w:lineRule="auto"/>
              <w:ind w:firstLine="0" w:firstLineChars="0"/>
              <w:jc w:val="center"/>
              <w:rPr>
                <w:color w:val="auto"/>
                <w:sz w:val="21"/>
                <w:szCs w:val="21"/>
              </w:rPr>
            </w:pPr>
            <w:r>
              <w:rPr>
                <w:color w:val="auto"/>
                <w:spacing w:val="-16"/>
                <w:sz w:val="21"/>
                <w:szCs w:val="21"/>
              </w:rPr>
              <w:t>满足《恶臭</w:t>
            </w:r>
            <w:r>
              <w:rPr>
                <w:color w:val="auto"/>
                <w:spacing w:val="-61"/>
                <w:sz w:val="21"/>
                <w:szCs w:val="21"/>
              </w:rPr>
              <w:t xml:space="preserve"> </w:t>
            </w:r>
            <w:r>
              <w:rPr>
                <w:color w:val="auto"/>
                <w:sz w:val="21"/>
                <w:szCs w:val="21"/>
              </w:rPr>
              <w:t>染</w:t>
            </w:r>
            <w:r>
              <w:rPr>
                <w:color w:val="auto"/>
                <w:spacing w:val="-61"/>
                <w:sz w:val="21"/>
                <w:szCs w:val="21"/>
              </w:rPr>
              <w:t xml:space="preserve"> </w:t>
            </w:r>
            <w:r>
              <w:rPr>
                <w:color w:val="auto"/>
                <w:sz w:val="21"/>
                <w:szCs w:val="21"/>
              </w:rPr>
              <w:t>物排放标准》</w:t>
            </w:r>
          </w:p>
          <w:p>
            <w:pPr>
              <w:pStyle w:val="42"/>
              <w:adjustRightInd/>
              <w:snapToGrid/>
              <w:spacing w:line="240" w:lineRule="auto"/>
              <w:ind w:firstLine="0" w:firstLineChars="0"/>
              <w:jc w:val="center"/>
              <w:rPr>
                <w:color w:val="auto"/>
                <w:sz w:val="21"/>
                <w:szCs w:val="21"/>
              </w:rPr>
            </w:pPr>
            <w:r>
              <w:rPr>
                <w:color w:val="auto"/>
                <w:sz w:val="21"/>
                <w:szCs w:val="21"/>
              </w:rPr>
              <w:t>（GB1455</w:t>
            </w:r>
          </w:p>
          <w:p>
            <w:pPr>
              <w:pStyle w:val="42"/>
              <w:adjustRightInd/>
              <w:snapToGrid/>
              <w:spacing w:line="240" w:lineRule="auto"/>
              <w:ind w:firstLine="0" w:firstLineChars="0"/>
              <w:jc w:val="center"/>
              <w:rPr>
                <w:color w:val="auto"/>
                <w:sz w:val="21"/>
                <w:szCs w:val="21"/>
              </w:rPr>
            </w:pPr>
            <w:r>
              <w:rPr>
                <w:color w:val="auto"/>
                <w:spacing w:val="-6"/>
                <w:sz w:val="21"/>
                <w:szCs w:val="21"/>
              </w:rPr>
              <w:t>4-93）标准</w:t>
            </w:r>
            <w:r>
              <w:rPr>
                <w:color w:val="auto"/>
                <w:sz w:val="21"/>
                <w:szCs w:val="21"/>
              </w:rPr>
              <w:t>要求。</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6" w:space="0"/>
          </w:tblBorders>
          <w:tblCellMar>
            <w:top w:w="0" w:type="dxa"/>
            <w:left w:w="0" w:type="dxa"/>
            <w:bottom w:w="0" w:type="dxa"/>
            <w:right w:w="0" w:type="dxa"/>
          </w:tblCellMar>
        </w:tblPrEx>
        <w:trPr>
          <w:trHeight w:val="1679" w:hRule="exact"/>
        </w:trPr>
        <w:tc>
          <w:tcPr>
            <w:tcW w:w="281" w:type="pct"/>
            <w:tcBorders>
              <w:tl2br w:val="nil"/>
              <w:tr2bl w:val="nil"/>
            </w:tcBorders>
            <w:shd w:val="clear" w:color="auto" w:fill="auto"/>
            <w:vAlign w:val="center"/>
          </w:tcPr>
          <w:p>
            <w:pPr>
              <w:pStyle w:val="42"/>
              <w:adjustRightInd/>
              <w:snapToGrid/>
              <w:spacing w:line="240" w:lineRule="auto"/>
              <w:ind w:firstLine="0" w:firstLineChars="0"/>
              <w:jc w:val="center"/>
              <w:rPr>
                <w:color w:val="auto"/>
                <w:sz w:val="21"/>
                <w:szCs w:val="21"/>
              </w:rPr>
            </w:pPr>
            <w:r>
              <w:rPr>
                <w:color w:val="auto"/>
                <w:w w:val="99"/>
                <w:sz w:val="21"/>
                <w:szCs w:val="21"/>
              </w:rPr>
              <w:t>2</w:t>
            </w:r>
          </w:p>
        </w:tc>
        <w:tc>
          <w:tcPr>
            <w:tcW w:w="772" w:type="pct"/>
            <w:tcBorders>
              <w:tl2br w:val="nil"/>
              <w:tr2bl w:val="nil"/>
            </w:tcBorders>
            <w:shd w:val="clear" w:color="auto" w:fill="auto"/>
            <w:vAlign w:val="center"/>
          </w:tcPr>
          <w:p>
            <w:pPr>
              <w:pStyle w:val="42"/>
              <w:adjustRightInd/>
              <w:snapToGrid/>
              <w:spacing w:line="240" w:lineRule="auto"/>
              <w:ind w:firstLine="0" w:firstLineChars="0"/>
              <w:jc w:val="center"/>
              <w:rPr>
                <w:color w:val="auto"/>
                <w:sz w:val="21"/>
                <w:szCs w:val="21"/>
              </w:rPr>
            </w:pPr>
            <w:r>
              <w:rPr>
                <w:color w:val="auto"/>
                <w:sz w:val="21"/>
                <w:szCs w:val="21"/>
              </w:rPr>
              <w:t>固粪处理区</w:t>
            </w:r>
          </w:p>
        </w:tc>
        <w:tc>
          <w:tcPr>
            <w:tcW w:w="1391" w:type="pct"/>
            <w:tcBorders>
              <w:tl2br w:val="nil"/>
              <w:tr2bl w:val="nil"/>
            </w:tcBorders>
            <w:shd w:val="clear" w:color="auto" w:fill="auto"/>
            <w:vAlign w:val="center"/>
          </w:tcPr>
          <w:p>
            <w:pPr>
              <w:pStyle w:val="42"/>
              <w:adjustRightInd/>
              <w:snapToGrid/>
              <w:spacing w:line="240" w:lineRule="auto"/>
              <w:ind w:firstLine="0" w:firstLineChars="0"/>
              <w:jc w:val="center"/>
              <w:rPr>
                <w:color w:val="auto"/>
                <w:sz w:val="21"/>
                <w:szCs w:val="21"/>
              </w:rPr>
            </w:pPr>
            <w:r>
              <w:rPr>
                <w:color w:val="auto"/>
                <w:sz w:val="21"/>
                <w:szCs w:val="21"/>
              </w:rPr>
              <w:t>四面围墙，上设置顶棚，臭气通过风机引出至除臭棚处理，除臭棚墙内填充填料吸附，同时除臭棚顶部有喷淋水装置</w:t>
            </w:r>
          </w:p>
        </w:tc>
        <w:tc>
          <w:tcPr>
            <w:tcW w:w="1855" w:type="pct"/>
            <w:tcBorders>
              <w:tl2br w:val="nil"/>
              <w:tr2bl w:val="nil"/>
            </w:tcBorders>
            <w:shd w:val="clear" w:color="auto" w:fill="auto"/>
            <w:vAlign w:val="center"/>
          </w:tcPr>
          <w:p>
            <w:pPr>
              <w:pStyle w:val="42"/>
              <w:adjustRightInd/>
              <w:snapToGrid/>
              <w:spacing w:line="240" w:lineRule="auto"/>
              <w:ind w:firstLine="0" w:firstLineChars="0"/>
              <w:jc w:val="center"/>
              <w:rPr>
                <w:color w:val="auto"/>
                <w:sz w:val="21"/>
                <w:szCs w:val="21"/>
              </w:rPr>
            </w:pPr>
            <w:r>
              <w:rPr>
                <w:color w:val="auto"/>
                <w:spacing w:val="2"/>
                <w:sz w:val="21"/>
                <w:szCs w:val="21"/>
              </w:rPr>
              <w:t>对操作人员强化培训，并配合喷洒除臭剂，喷洒频率为：前期连续喷</w:t>
            </w:r>
            <w:r>
              <w:rPr>
                <w:color w:val="auto"/>
                <w:sz w:val="21"/>
                <w:szCs w:val="21"/>
              </w:rPr>
              <w:t>洒3天，之后每隔5天喷洒一次</w:t>
            </w:r>
          </w:p>
        </w:tc>
        <w:tc>
          <w:tcPr>
            <w:tcW w:w="698" w:type="pct"/>
            <w:vMerge w:val="continue"/>
            <w:tcBorders>
              <w:tl2br w:val="nil"/>
              <w:tr2bl w:val="nil"/>
            </w:tcBorders>
            <w:shd w:val="clear" w:color="auto" w:fill="auto"/>
            <w:vAlign w:val="center"/>
          </w:tcPr>
          <w:p>
            <w:pPr>
              <w:adjustRightInd/>
              <w:snapToGrid/>
              <w:spacing w:line="240" w:lineRule="auto"/>
              <w:ind w:firstLine="0" w:firstLineChars="0"/>
              <w:jc w:val="center"/>
              <w:rPr>
                <w:color w:val="auto"/>
                <w:sz w:val="21"/>
                <w:szCs w:val="21"/>
              </w:rPr>
            </w:pP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6" w:space="0"/>
          </w:tblBorders>
          <w:tblCellMar>
            <w:top w:w="0" w:type="dxa"/>
            <w:left w:w="0" w:type="dxa"/>
            <w:bottom w:w="0" w:type="dxa"/>
            <w:right w:w="0" w:type="dxa"/>
          </w:tblCellMar>
        </w:tblPrEx>
        <w:trPr>
          <w:trHeight w:val="1307" w:hRule="exact"/>
        </w:trPr>
        <w:tc>
          <w:tcPr>
            <w:tcW w:w="281" w:type="pct"/>
            <w:tcBorders>
              <w:tl2br w:val="nil"/>
              <w:tr2bl w:val="nil"/>
            </w:tcBorders>
            <w:shd w:val="clear" w:color="auto" w:fill="auto"/>
            <w:vAlign w:val="center"/>
          </w:tcPr>
          <w:p>
            <w:pPr>
              <w:pStyle w:val="42"/>
              <w:adjustRightInd/>
              <w:snapToGrid/>
              <w:spacing w:line="240" w:lineRule="auto"/>
              <w:ind w:firstLine="0" w:firstLineChars="0"/>
              <w:jc w:val="center"/>
              <w:rPr>
                <w:color w:val="auto"/>
                <w:sz w:val="21"/>
                <w:szCs w:val="21"/>
              </w:rPr>
            </w:pPr>
            <w:r>
              <w:rPr>
                <w:color w:val="auto"/>
                <w:w w:val="99"/>
                <w:sz w:val="21"/>
                <w:szCs w:val="21"/>
              </w:rPr>
              <w:t>3</w:t>
            </w:r>
          </w:p>
        </w:tc>
        <w:tc>
          <w:tcPr>
            <w:tcW w:w="772" w:type="pct"/>
            <w:tcBorders>
              <w:tl2br w:val="nil"/>
              <w:tr2bl w:val="nil"/>
            </w:tcBorders>
            <w:shd w:val="clear" w:color="auto" w:fill="auto"/>
            <w:vAlign w:val="center"/>
          </w:tcPr>
          <w:p>
            <w:pPr>
              <w:pStyle w:val="42"/>
              <w:adjustRightInd/>
              <w:snapToGrid/>
              <w:spacing w:line="240" w:lineRule="auto"/>
              <w:ind w:firstLine="0" w:firstLineChars="0"/>
              <w:jc w:val="center"/>
              <w:rPr>
                <w:color w:val="auto"/>
                <w:sz w:val="21"/>
                <w:szCs w:val="21"/>
              </w:rPr>
            </w:pPr>
            <w:r>
              <w:rPr>
                <w:color w:val="auto"/>
                <w:sz w:val="21"/>
                <w:szCs w:val="21"/>
              </w:rPr>
              <w:t>污水处理系统</w:t>
            </w:r>
          </w:p>
        </w:tc>
        <w:tc>
          <w:tcPr>
            <w:tcW w:w="1391" w:type="pct"/>
            <w:tcBorders>
              <w:tl2br w:val="nil"/>
              <w:tr2bl w:val="nil"/>
            </w:tcBorders>
            <w:shd w:val="clear" w:color="auto" w:fill="auto"/>
            <w:vAlign w:val="center"/>
          </w:tcPr>
          <w:p>
            <w:pPr>
              <w:pStyle w:val="42"/>
              <w:adjustRightInd/>
              <w:snapToGrid/>
              <w:spacing w:line="240" w:lineRule="auto"/>
              <w:ind w:firstLine="0" w:firstLineChars="0"/>
              <w:jc w:val="center"/>
              <w:rPr>
                <w:color w:val="auto"/>
                <w:sz w:val="21"/>
                <w:szCs w:val="21"/>
              </w:rPr>
            </w:pPr>
            <w:r>
              <w:rPr>
                <w:color w:val="auto"/>
                <w:spacing w:val="3"/>
                <w:sz w:val="21"/>
                <w:szCs w:val="21"/>
              </w:rPr>
              <w:t>加强管理，喷洒除臭剂，周</w:t>
            </w:r>
            <w:r>
              <w:rPr>
                <w:color w:val="auto"/>
                <w:sz w:val="21"/>
                <w:szCs w:val="21"/>
              </w:rPr>
              <w:t>边绿化带</w:t>
            </w:r>
          </w:p>
        </w:tc>
        <w:tc>
          <w:tcPr>
            <w:tcW w:w="1855" w:type="pct"/>
            <w:tcBorders>
              <w:tl2br w:val="nil"/>
              <w:tr2bl w:val="nil"/>
            </w:tcBorders>
            <w:shd w:val="clear" w:color="auto" w:fill="auto"/>
            <w:vAlign w:val="center"/>
          </w:tcPr>
          <w:p>
            <w:pPr>
              <w:pStyle w:val="42"/>
              <w:adjustRightInd/>
              <w:snapToGrid/>
              <w:spacing w:line="240" w:lineRule="auto"/>
              <w:ind w:firstLine="0" w:firstLineChars="0"/>
              <w:jc w:val="center"/>
              <w:rPr>
                <w:color w:val="auto"/>
                <w:sz w:val="21"/>
                <w:szCs w:val="21"/>
              </w:rPr>
            </w:pPr>
            <w:r>
              <w:rPr>
                <w:color w:val="auto"/>
                <w:spacing w:val="2"/>
                <w:sz w:val="21"/>
                <w:szCs w:val="21"/>
              </w:rPr>
              <w:t>对操作人员强化培训，并配合喷洒</w:t>
            </w:r>
          </w:p>
          <w:p>
            <w:pPr>
              <w:pStyle w:val="42"/>
              <w:adjustRightInd/>
              <w:snapToGrid/>
              <w:spacing w:line="240" w:lineRule="auto"/>
              <w:ind w:firstLine="0" w:firstLineChars="0"/>
              <w:jc w:val="center"/>
              <w:rPr>
                <w:color w:val="auto"/>
                <w:sz w:val="21"/>
                <w:szCs w:val="21"/>
              </w:rPr>
            </w:pPr>
            <w:r>
              <w:rPr>
                <w:color w:val="auto"/>
                <w:spacing w:val="2"/>
                <w:sz w:val="21"/>
                <w:szCs w:val="21"/>
              </w:rPr>
              <w:t>除臭剂，喷洒频率为：前期连续喷</w:t>
            </w:r>
            <w:r>
              <w:rPr>
                <w:color w:val="auto"/>
                <w:sz w:val="21"/>
                <w:szCs w:val="21"/>
              </w:rPr>
              <w:t>洒3天，之后每隔5天喷洒一次</w:t>
            </w:r>
          </w:p>
        </w:tc>
        <w:tc>
          <w:tcPr>
            <w:tcW w:w="698" w:type="pct"/>
            <w:vMerge w:val="continue"/>
            <w:tcBorders>
              <w:tl2br w:val="nil"/>
              <w:tr2bl w:val="nil"/>
            </w:tcBorders>
            <w:shd w:val="clear" w:color="auto" w:fill="auto"/>
            <w:vAlign w:val="center"/>
          </w:tcPr>
          <w:p>
            <w:pPr>
              <w:adjustRightInd/>
              <w:snapToGrid/>
              <w:spacing w:line="240" w:lineRule="auto"/>
              <w:ind w:firstLine="0" w:firstLineChars="0"/>
              <w:jc w:val="center"/>
              <w:rPr>
                <w:color w:val="auto"/>
                <w:sz w:val="21"/>
                <w:szCs w:val="21"/>
              </w:rPr>
            </w:pP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6" w:space="0"/>
          </w:tblBorders>
          <w:tblCellMar>
            <w:top w:w="0" w:type="dxa"/>
            <w:left w:w="0" w:type="dxa"/>
            <w:bottom w:w="0" w:type="dxa"/>
            <w:right w:w="0" w:type="dxa"/>
          </w:tblCellMar>
        </w:tblPrEx>
        <w:trPr>
          <w:trHeight w:val="1455" w:hRule="exact"/>
        </w:trPr>
        <w:tc>
          <w:tcPr>
            <w:tcW w:w="281" w:type="pct"/>
            <w:tcBorders>
              <w:tl2br w:val="nil"/>
              <w:tr2bl w:val="nil"/>
            </w:tcBorders>
            <w:shd w:val="clear" w:color="auto" w:fill="auto"/>
            <w:vAlign w:val="center"/>
          </w:tcPr>
          <w:p>
            <w:pPr>
              <w:pStyle w:val="42"/>
              <w:adjustRightInd/>
              <w:snapToGrid/>
              <w:spacing w:line="240" w:lineRule="auto"/>
              <w:ind w:firstLine="0" w:firstLineChars="0"/>
              <w:jc w:val="center"/>
              <w:rPr>
                <w:color w:val="auto"/>
                <w:sz w:val="21"/>
                <w:szCs w:val="21"/>
              </w:rPr>
            </w:pPr>
            <w:r>
              <w:rPr>
                <w:rFonts w:hint="eastAsia"/>
                <w:color w:val="auto"/>
                <w:w w:val="99"/>
                <w:sz w:val="21"/>
                <w:szCs w:val="21"/>
              </w:rPr>
              <w:t>4</w:t>
            </w:r>
          </w:p>
        </w:tc>
        <w:tc>
          <w:tcPr>
            <w:tcW w:w="772" w:type="pct"/>
            <w:tcBorders>
              <w:tl2br w:val="nil"/>
              <w:tr2bl w:val="nil"/>
            </w:tcBorders>
            <w:shd w:val="clear" w:color="auto" w:fill="auto"/>
            <w:vAlign w:val="center"/>
          </w:tcPr>
          <w:p>
            <w:pPr>
              <w:pStyle w:val="42"/>
              <w:adjustRightInd/>
              <w:snapToGrid/>
              <w:spacing w:line="240" w:lineRule="auto"/>
              <w:ind w:firstLine="0" w:firstLineChars="0"/>
              <w:jc w:val="center"/>
              <w:rPr>
                <w:color w:val="auto"/>
                <w:sz w:val="21"/>
                <w:szCs w:val="21"/>
              </w:rPr>
            </w:pPr>
            <w:r>
              <w:rPr>
                <w:color w:val="auto"/>
                <w:sz w:val="21"/>
                <w:szCs w:val="21"/>
              </w:rPr>
              <w:t>高温化制机</w:t>
            </w:r>
          </w:p>
        </w:tc>
        <w:tc>
          <w:tcPr>
            <w:tcW w:w="1391" w:type="pct"/>
            <w:tcBorders>
              <w:tl2br w:val="nil"/>
              <w:tr2bl w:val="nil"/>
            </w:tcBorders>
            <w:shd w:val="clear" w:color="auto" w:fill="auto"/>
            <w:vAlign w:val="center"/>
          </w:tcPr>
          <w:p>
            <w:pPr>
              <w:pStyle w:val="42"/>
              <w:adjustRightInd/>
              <w:snapToGrid/>
              <w:spacing w:line="240" w:lineRule="auto"/>
              <w:ind w:firstLine="0" w:firstLineChars="0"/>
              <w:jc w:val="center"/>
              <w:rPr>
                <w:color w:val="auto"/>
                <w:sz w:val="21"/>
                <w:szCs w:val="21"/>
              </w:rPr>
            </w:pPr>
            <w:r>
              <w:rPr>
                <w:color w:val="auto"/>
                <w:sz w:val="21"/>
                <w:szCs w:val="21"/>
              </w:rPr>
              <w:t>设置风机引至除臭棚处理，除臭棚墙内填充填料吸附，同时除臭棚顶部有喷淋水装置</w:t>
            </w:r>
          </w:p>
        </w:tc>
        <w:tc>
          <w:tcPr>
            <w:tcW w:w="1855" w:type="pct"/>
            <w:tcBorders>
              <w:tl2br w:val="nil"/>
              <w:tr2bl w:val="nil"/>
            </w:tcBorders>
            <w:shd w:val="clear" w:color="auto" w:fill="auto"/>
            <w:vAlign w:val="center"/>
          </w:tcPr>
          <w:p>
            <w:pPr>
              <w:pStyle w:val="42"/>
              <w:adjustRightInd/>
              <w:snapToGrid/>
              <w:spacing w:line="240" w:lineRule="auto"/>
              <w:ind w:firstLine="0" w:firstLineChars="0"/>
              <w:jc w:val="center"/>
              <w:rPr>
                <w:color w:val="auto"/>
                <w:sz w:val="21"/>
                <w:szCs w:val="21"/>
              </w:rPr>
            </w:pPr>
            <w:r>
              <w:rPr>
                <w:color w:val="auto"/>
                <w:sz w:val="21"/>
                <w:szCs w:val="21"/>
              </w:rPr>
              <w:t>设置风机引至除臭棚处理，除臭棚墙内填充填料吸附，同时除臭棚顶部有喷淋水装置</w:t>
            </w:r>
          </w:p>
        </w:tc>
        <w:tc>
          <w:tcPr>
            <w:tcW w:w="698" w:type="pct"/>
            <w:vMerge w:val="continue"/>
            <w:tcBorders>
              <w:tl2br w:val="nil"/>
              <w:tr2bl w:val="nil"/>
            </w:tcBorders>
            <w:shd w:val="clear" w:color="auto" w:fill="auto"/>
            <w:vAlign w:val="center"/>
          </w:tcPr>
          <w:p>
            <w:pPr>
              <w:adjustRightInd/>
              <w:snapToGrid/>
              <w:spacing w:line="240" w:lineRule="auto"/>
              <w:ind w:firstLine="0" w:firstLineChars="0"/>
              <w:jc w:val="center"/>
              <w:rPr>
                <w:color w:val="auto"/>
                <w:sz w:val="21"/>
                <w:szCs w:val="21"/>
              </w:rPr>
            </w:pPr>
          </w:p>
        </w:tc>
      </w:tr>
    </w:tbl>
    <w:p>
      <w:pPr>
        <w:ind w:firstLine="480"/>
        <w:rPr>
          <w:bCs/>
          <w:color w:val="auto"/>
        </w:rPr>
      </w:pPr>
      <w:r>
        <w:rPr>
          <w:bCs/>
          <w:color w:val="auto"/>
        </w:rPr>
        <w:t>（</w:t>
      </w:r>
      <w:r>
        <w:rPr>
          <w:rFonts w:hint="eastAsia"/>
          <w:bCs/>
          <w:color w:val="auto"/>
        </w:rPr>
        <w:t>4</w:t>
      </w:r>
      <w:r>
        <w:rPr>
          <w:bCs/>
          <w:color w:val="auto"/>
        </w:rPr>
        <w:t>）同类污染源防治措施及源强类比分析</w:t>
      </w:r>
    </w:p>
    <w:p>
      <w:pPr>
        <w:ind w:firstLine="480"/>
        <w:rPr>
          <w:color w:val="auto"/>
        </w:rPr>
      </w:pPr>
      <w:r>
        <w:rPr>
          <w:bCs/>
          <w:color w:val="auto"/>
        </w:rPr>
        <w:t>根据牧原食品股份有限公司内乡十五分场（年出栏生猪6万头，2012年12月取得批复，现已全部投产）恶臭气体监测报告（内乡县环境监测站2013年3月监测）显示，通过绿化处理后，距离</w:t>
      </w:r>
      <w:r>
        <w:rPr>
          <w:rFonts w:hint="eastAsia"/>
          <w:bCs/>
          <w:color w:val="auto"/>
        </w:rPr>
        <w:t>黑膜沼气池</w:t>
      </w:r>
      <w:r>
        <w:rPr>
          <w:bCs/>
          <w:color w:val="auto"/>
        </w:rPr>
        <w:t>下风向5m恶臭气体浓度（氨气0.16mg/m</w:t>
      </w:r>
      <w:r>
        <w:rPr>
          <w:bCs/>
          <w:color w:val="auto"/>
          <w:vertAlign w:val="superscript"/>
        </w:rPr>
        <w:t>3</w:t>
      </w:r>
      <w:r>
        <w:rPr>
          <w:bCs/>
          <w:color w:val="auto"/>
        </w:rPr>
        <w:t>；H</w:t>
      </w:r>
      <w:r>
        <w:rPr>
          <w:bCs/>
          <w:color w:val="auto"/>
          <w:vertAlign w:val="subscript"/>
        </w:rPr>
        <w:t>2</w:t>
      </w:r>
      <w:r>
        <w:rPr>
          <w:bCs/>
          <w:color w:val="auto"/>
        </w:rPr>
        <w:t>S0.03mg/m</w:t>
      </w:r>
      <w:r>
        <w:rPr>
          <w:bCs/>
          <w:color w:val="auto"/>
          <w:vertAlign w:val="superscript"/>
        </w:rPr>
        <w:t>3</w:t>
      </w:r>
      <w:r>
        <w:rPr>
          <w:bCs/>
          <w:color w:val="auto"/>
        </w:rPr>
        <w:t>）；下风向50m恶臭气体浓度（氨气0.11mg/m</w:t>
      </w:r>
      <w:r>
        <w:rPr>
          <w:bCs/>
          <w:color w:val="auto"/>
          <w:vertAlign w:val="superscript"/>
        </w:rPr>
        <w:t>3</w:t>
      </w:r>
      <w:r>
        <w:rPr>
          <w:bCs/>
          <w:color w:val="auto"/>
        </w:rPr>
        <w:t>；H</w:t>
      </w:r>
      <w:r>
        <w:rPr>
          <w:bCs/>
          <w:color w:val="auto"/>
          <w:vertAlign w:val="subscript"/>
        </w:rPr>
        <w:t>2</w:t>
      </w:r>
      <w:r>
        <w:rPr>
          <w:bCs/>
          <w:color w:val="auto"/>
        </w:rPr>
        <w:t>S 0.002mg/m</w:t>
      </w:r>
      <w:r>
        <w:rPr>
          <w:bCs/>
          <w:color w:val="auto"/>
          <w:vertAlign w:val="superscript"/>
        </w:rPr>
        <w:t>3</w:t>
      </w:r>
      <w:r>
        <w:rPr>
          <w:bCs/>
          <w:color w:val="auto"/>
        </w:rPr>
        <w:t>）可满足《环境影响评价技术导则 大气环境》（HJ2.2-2018）附录D，其他污染物空气质量浓度参考限值要求。</w:t>
      </w:r>
    </w:p>
    <w:p>
      <w:pPr>
        <w:ind w:firstLine="480"/>
        <w:rPr>
          <w:color w:val="auto"/>
        </w:rPr>
      </w:pPr>
      <w:r>
        <w:rPr>
          <w:color w:val="auto"/>
        </w:rPr>
        <w:t>采用上述措施治理后，可有效减轻项目恶臭污染影响，</w:t>
      </w:r>
      <w:r>
        <w:rPr>
          <w:rFonts w:hint="eastAsia"/>
          <w:color w:val="auto"/>
          <w:lang w:eastAsia="zh-CN"/>
        </w:rPr>
        <w:t>同时</w:t>
      </w:r>
      <w:r>
        <w:rPr>
          <w:rFonts w:hint="eastAsia"/>
          <w:color w:val="auto"/>
        </w:rPr>
        <w:t>厂界</w:t>
      </w:r>
      <w:r>
        <w:rPr>
          <w:color w:val="auto"/>
        </w:rPr>
        <w:t>外设置防护距离，在防护距离内不得新建学校、医院、居民区等环境敏感点。</w:t>
      </w:r>
    </w:p>
    <w:p>
      <w:pPr>
        <w:ind w:firstLine="480"/>
        <w:rPr>
          <w:color w:val="auto"/>
        </w:rPr>
      </w:pPr>
      <w:r>
        <w:rPr>
          <w:color w:val="auto"/>
        </w:rPr>
        <w:t>因此采用</w:t>
      </w:r>
      <w:r>
        <w:rPr>
          <w:rFonts w:hint="eastAsia"/>
          <w:color w:val="auto"/>
        </w:rPr>
        <w:t>厂区绿化等</w:t>
      </w:r>
      <w:r>
        <w:rPr>
          <w:color w:val="auto"/>
        </w:rPr>
        <w:t>方式可有效去除恶臭，达到减降目的。</w:t>
      </w:r>
    </w:p>
    <w:p>
      <w:pPr>
        <w:tabs>
          <w:tab w:val="left" w:pos="5625"/>
        </w:tabs>
        <w:ind w:firstLine="480"/>
        <w:outlineLvl w:val="3"/>
        <w:rPr>
          <w:color w:val="auto"/>
        </w:rPr>
      </w:pPr>
      <w:r>
        <w:rPr>
          <w:color w:val="auto"/>
        </w:rPr>
        <w:t>6.2.</w:t>
      </w:r>
      <w:r>
        <w:rPr>
          <w:rFonts w:hint="eastAsia"/>
          <w:color w:val="auto"/>
        </w:rPr>
        <w:t>4</w:t>
      </w:r>
      <w:r>
        <w:rPr>
          <w:color w:val="auto"/>
        </w:rPr>
        <w:t>.2</w:t>
      </w:r>
      <w:r>
        <w:rPr>
          <w:rFonts w:hint="eastAsia"/>
          <w:color w:val="auto"/>
        </w:rPr>
        <w:t>其他废气</w:t>
      </w:r>
    </w:p>
    <w:p>
      <w:pPr>
        <w:ind w:firstLine="480"/>
        <w:rPr>
          <w:color w:val="auto"/>
        </w:rPr>
      </w:pPr>
      <w:r>
        <w:rPr>
          <w:rFonts w:hint="eastAsia"/>
          <w:color w:val="auto"/>
        </w:rPr>
        <w:t>（1）多余沼气燃烧废气</w:t>
      </w:r>
    </w:p>
    <w:p>
      <w:pPr>
        <w:pStyle w:val="11"/>
        <w:spacing w:after="0"/>
        <w:ind w:firstLine="496"/>
        <w:rPr>
          <w:color w:val="auto"/>
          <w:spacing w:val="4"/>
          <w:highlight w:val="none"/>
        </w:rPr>
      </w:pPr>
      <w:r>
        <w:rPr>
          <w:color w:val="auto"/>
          <w:spacing w:val="4"/>
        </w:rPr>
        <w:t>根据项目的沼气特性，经类比，1m</w:t>
      </w:r>
      <w:r>
        <w:rPr>
          <w:rFonts w:hint="eastAsia"/>
          <w:color w:val="auto"/>
          <w:spacing w:val="4"/>
          <w:vertAlign w:val="superscript"/>
        </w:rPr>
        <w:t>3</w:t>
      </w:r>
      <w:r>
        <w:rPr>
          <w:color w:val="auto"/>
          <w:spacing w:val="4"/>
        </w:rPr>
        <w:t>沼气燃烧后产生的废气量为7.96m</w:t>
      </w:r>
      <w:r>
        <w:rPr>
          <w:rFonts w:hint="eastAsia"/>
          <w:color w:val="auto"/>
          <w:spacing w:val="4"/>
          <w:vertAlign w:val="superscript"/>
        </w:rPr>
        <w:t>3</w:t>
      </w:r>
      <w:r>
        <w:rPr>
          <w:rFonts w:hint="eastAsia"/>
          <w:color w:val="auto"/>
          <w:spacing w:val="4"/>
        </w:rPr>
        <w:t>，</w:t>
      </w:r>
      <w:r>
        <w:rPr>
          <w:color w:val="auto"/>
          <w:spacing w:val="4"/>
        </w:rPr>
        <w:t>SO</w:t>
      </w:r>
      <w:r>
        <w:rPr>
          <w:color w:val="auto"/>
          <w:spacing w:val="4"/>
          <w:vertAlign w:val="subscript"/>
        </w:rPr>
        <w:t>2</w:t>
      </w:r>
      <w:r>
        <w:rPr>
          <w:color w:val="auto"/>
          <w:spacing w:val="4"/>
        </w:rPr>
        <w:t>产生浓度为17mg/m</w:t>
      </w:r>
      <w:r>
        <w:rPr>
          <w:color w:val="auto"/>
          <w:spacing w:val="4"/>
          <w:vertAlign w:val="superscript"/>
        </w:rPr>
        <w:t>3</w:t>
      </w:r>
      <w:r>
        <w:rPr>
          <w:rFonts w:hint="eastAsia"/>
          <w:color w:val="auto"/>
          <w:spacing w:val="4"/>
        </w:rPr>
        <w:t>，</w:t>
      </w:r>
      <w:r>
        <w:rPr>
          <w:color w:val="auto"/>
          <w:spacing w:val="4"/>
        </w:rPr>
        <w:t>烟尘产生浓度30</w:t>
      </w:r>
      <w:r>
        <w:rPr>
          <w:rFonts w:hint="eastAsia"/>
          <w:color w:val="auto"/>
          <w:spacing w:val="4"/>
        </w:rPr>
        <w:t>m</w:t>
      </w:r>
      <w:r>
        <w:rPr>
          <w:color w:val="auto"/>
          <w:spacing w:val="4"/>
        </w:rPr>
        <w:t>g/m</w:t>
      </w:r>
      <w:r>
        <w:rPr>
          <w:color w:val="auto"/>
          <w:spacing w:val="4"/>
          <w:vertAlign w:val="superscript"/>
        </w:rPr>
        <w:t>3</w:t>
      </w:r>
      <w:r>
        <w:rPr>
          <w:rFonts w:hint="eastAsia"/>
          <w:color w:val="auto"/>
          <w:spacing w:val="4"/>
        </w:rPr>
        <w:t>，</w:t>
      </w:r>
      <w:r>
        <w:rPr>
          <w:color w:val="auto"/>
          <w:spacing w:val="4"/>
        </w:rPr>
        <w:t>NOx产生浓度为75mg/m</w:t>
      </w:r>
      <w:r>
        <w:rPr>
          <w:color w:val="auto"/>
          <w:spacing w:val="4"/>
          <w:vertAlign w:val="superscript"/>
        </w:rPr>
        <w:t>3</w:t>
      </w:r>
      <w:r>
        <w:rPr>
          <w:color w:val="auto"/>
          <w:spacing w:val="4"/>
        </w:rPr>
        <w:t>。</w:t>
      </w:r>
      <w:r>
        <w:rPr>
          <w:rFonts w:hint="eastAsia"/>
          <w:color w:val="auto"/>
          <w:spacing w:val="4"/>
        </w:rPr>
        <w:t>则项目沼气火炬</w:t>
      </w:r>
      <w:r>
        <w:rPr>
          <w:color w:val="auto"/>
          <w:spacing w:val="4"/>
        </w:rPr>
        <w:t>燃烧废气量为</w:t>
      </w:r>
      <w:r>
        <w:rPr>
          <w:rFonts w:hint="eastAsia"/>
          <w:color w:val="auto"/>
          <w:spacing w:val="4"/>
        </w:rPr>
        <w:t>87.5万m</w:t>
      </w:r>
      <w:r>
        <w:rPr>
          <w:rFonts w:hint="eastAsia"/>
          <w:color w:val="auto"/>
          <w:spacing w:val="4"/>
          <w:vertAlign w:val="superscript"/>
        </w:rPr>
        <w:t>3</w:t>
      </w:r>
      <w:r>
        <w:rPr>
          <w:rFonts w:hint="eastAsia"/>
          <w:color w:val="auto"/>
          <w:spacing w:val="4"/>
        </w:rPr>
        <w:t>，</w:t>
      </w:r>
      <w:r>
        <w:rPr>
          <w:color w:val="auto"/>
          <w:spacing w:val="4"/>
        </w:rPr>
        <w:t>SO</w:t>
      </w:r>
      <w:r>
        <w:rPr>
          <w:color w:val="auto"/>
          <w:spacing w:val="4"/>
          <w:vertAlign w:val="subscript"/>
        </w:rPr>
        <w:t>2</w:t>
      </w:r>
      <w:r>
        <w:rPr>
          <w:color w:val="auto"/>
          <w:spacing w:val="4"/>
        </w:rPr>
        <w:t>产生量为</w:t>
      </w:r>
      <w:r>
        <w:rPr>
          <w:rFonts w:hint="eastAsia"/>
          <w:color w:val="auto"/>
          <w:spacing w:val="4"/>
        </w:rPr>
        <w:t>0.0</w:t>
      </w:r>
      <w:r>
        <w:rPr>
          <w:rFonts w:hint="eastAsia"/>
          <w:color w:val="auto"/>
          <w:spacing w:val="4"/>
          <w:lang w:val="en-US" w:eastAsia="zh-CN"/>
        </w:rPr>
        <w:t>15</w:t>
      </w:r>
      <w:r>
        <w:rPr>
          <w:color w:val="auto"/>
          <w:spacing w:val="4"/>
        </w:rPr>
        <w:t>t/a</w:t>
      </w:r>
      <w:r>
        <w:rPr>
          <w:rFonts w:hint="eastAsia"/>
          <w:color w:val="auto"/>
          <w:spacing w:val="4"/>
        </w:rPr>
        <w:t>（0.00</w:t>
      </w:r>
      <w:r>
        <w:rPr>
          <w:rFonts w:hint="eastAsia"/>
          <w:color w:val="auto"/>
          <w:spacing w:val="4"/>
          <w:lang w:val="en-US" w:eastAsia="zh-CN"/>
        </w:rPr>
        <w:t>17</w:t>
      </w:r>
      <w:r>
        <w:rPr>
          <w:rFonts w:hint="eastAsia"/>
          <w:color w:val="auto"/>
          <w:spacing w:val="4"/>
        </w:rPr>
        <w:t>kg/h），</w:t>
      </w:r>
      <w:r>
        <w:rPr>
          <w:color w:val="auto"/>
          <w:spacing w:val="4"/>
        </w:rPr>
        <w:t>烟尘产生量为</w:t>
      </w:r>
      <w:r>
        <w:rPr>
          <w:rFonts w:hint="eastAsia"/>
          <w:color w:val="auto"/>
          <w:spacing w:val="4"/>
        </w:rPr>
        <w:t>0.0</w:t>
      </w:r>
      <w:r>
        <w:rPr>
          <w:rFonts w:hint="eastAsia"/>
          <w:color w:val="auto"/>
          <w:spacing w:val="4"/>
          <w:lang w:val="en-US" w:eastAsia="zh-CN"/>
        </w:rPr>
        <w:t>26</w:t>
      </w:r>
      <w:r>
        <w:rPr>
          <w:color w:val="auto"/>
          <w:spacing w:val="4"/>
        </w:rPr>
        <w:t>t/a</w:t>
      </w:r>
      <w:r>
        <w:rPr>
          <w:rFonts w:hint="eastAsia"/>
          <w:color w:val="auto"/>
          <w:spacing w:val="4"/>
        </w:rPr>
        <w:t>（0.003kg/h），</w:t>
      </w:r>
      <w:r>
        <w:rPr>
          <w:color w:val="auto"/>
          <w:spacing w:val="4"/>
        </w:rPr>
        <w:t>NOx产生量为</w:t>
      </w:r>
      <w:r>
        <w:rPr>
          <w:rFonts w:hint="eastAsia"/>
          <w:color w:val="auto"/>
          <w:spacing w:val="4"/>
        </w:rPr>
        <w:t>0.0</w:t>
      </w:r>
      <w:r>
        <w:rPr>
          <w:rFonts w:hint="eastAsia"/>
          <w:color w:val="auto"/>
          <w:spacing w:val="4"/>
          <w:lang w:val="en-US" w:eastAsia="zh-CN"/>
        </w:rPr>
        <w:t>65</w:t>
      </w:r>
      <w:r>
        <w:rPr>
          <w:color w:val="auto"/>
          <w:spacing w:val="4"/>
        </w:rPr>
        <w:t>t/a</w:t>
      </w:r>
      <w:r>
        <w:rPr>
          <w:rFonts w:hint="eastAsia"/>
          <w:color w:val="auto"/>
          <w:spacing w:val="4"/>
        </w:rPr>
        <w:t>（0.00</w:t>
      </w:r>
      <w:r>
        <w:rPr>
          <w:rFonts w:hint="eastAsia"/>
          <w:color w:val="auto"/>
          <w:spacing w:val="4"/>
          <w:lang w:val="en-US" w:eastAsia="zh-CN"/>
        </w:rPr>
        <w:t>7</w:t>
      </w:r>
      <w:r>
        <w:rPr>
          <w:rFonts w:hint="eastAsia"/>
          <w:color w:val="auto"/>
          <w:spacing w:val="4"/>
        </w:rPr>
        <w:t>kg/h）。</w:t>
      </w:r>
      <w:r>
        <w:rPr>
          <w:rFonts w:hint="eastAsia"/>
          <w:color w:val="auto"/>
          <w:spacing w:val="4"/>
          <w:highlight w:val="none"/>
        </w:rPr>
        <w:t>本项目沼气燃烧废气排放能够满足《大气污染物综合排放标准》(GB16297-1996)二级排放标准。</w:t>
      </w:r>
    </w:p>
    <w:p>
      <w:pPr>
        <w:widowControl/>
        <w:ind w:firstLine="480"/>
        <w:rPr>
          <w:color w:val="auto"/>
        </w:rPr>
      </w:pPr>
      <w:r>
        <w:rPr>
          <w:rFonts w:hint="eastAsia"/>
          <w:color w:val="auto"/>
        </w:rPr>
        <w:t>（2）食堂油烟</w:t>
      </w:r>
    </w:p>
    <w:p>
      <w:pPr>
        <w:widowControl/>
        <w:ind w:firstLine="480"/>
        <w:rPr>
          <w:color w:val="auto"/>
        </w:rPr>
      </w:pPr>
      <w:r>
        <w:rPr>
          <w:rFonts w:hint="eastAsia" w:hAnsi="宋体"/>
          <w:color w:val="auto"/>
        </w:rPr>
        <w:t>项目食堂</w:t>
      </w:r>
      <w:r>
        <w:rPr>
          <w:rFonts w:hint="eastAsia"/>
          <w:color w:val="auto"/>
        </w:rPr>
        <w:t>油烟经油烟净化装置处理后，</w:t>
      </w:r>
      <w:r>
        <w:rPr>
          <w:color w:val="auto"/>
          <w:spacing w:val="25"/>
        </w:rPr>
        <w:t>处理后餐厅油烟年排放量为</w:t>
      </w:r>
      <w:r>
        <w:rPr>
          <w:rFonts w:eastAsia="Times New Roman"/>
          <w:color w:val="auto"/>
          <w:spacing w:val="2"/>
        </w:rPr>
        <w:t>0.00</w:t>
      </w:r>
      <w:r>
        <w:rPr>
          <w:rFonts w:hint="eastAsia"/>
          <w:color w:val="auto"/>
          <w:spacing w:val="2"/>
        </w:rPr>
        <w:t>05</w:t>
      </w:r>
      <w:r>
        <w:rPr>
          <w:rFonts w:eastAsia="Times New Roman"/>
          <w:color w:val="auto"/>
          <w:spacing w:val="2"/>
        </w:rPr>
        <w:t>t/a</w:t>
      </w:r>
      <w:r>
        <w:rPr>
          <w:color w:val="auto"/>
          <w:spacing w:val="2"/>
        </w:rPr>
        <w:t>，</w:t>
      </w:r>
      <w:r>
        <w:rPr>
          <w:color w:val="auto"/>
          <w:spacing w:val="22"/>
        </w:rPr>
        <w:t>排放浓度</w:t>
      </w:r>
      <w:r>
        <w:rPr>
          <w:rFonts w:eastAsia="Times New Roman"/>
          <w:color w:val="auto"/>
          <w:spacing w:val="-5"/>
        </w:rPr>
        <w:t>0.</w:t>
      </w:r>
      <w:r>
        <w:rPr>
          <w:rFonts w:hint="eastAsia"/>
          <w:color w:val="auto"/>
          <w:spacing w:val="-5"/>
        </w:rPr>
        <w:t>21</w:t>
      </w:r>
      <w:r>
        <w:rPr>
          <w:rFonts w:eastAsia="Times New Roman"/>
          <w:color w:val="auto"/>
          <w:spacing w:val="-5"/>
        </w:rPr>
        <w:t>mg/</w:t>
      </w:r>
      <w:r>
        <w:rPr>
          <w:rFonts w:hint="eastAsia"/>
          <w:color w:val="auto"/>
          <w:spacing w:val="-5"/>
        </w:rPr>
        <w:t>m</w:t>
      </w:r>
      <w:r>
        <w:rPr>
          <w:rFonts w:hint="eastAsia"/>
          <w:color w:val="auto"/>
          <w:spacing w:val="-5"/>
          <w:vertAlign w:val="superscript"/>
        </w:rPr>
        <w:t>3</w:t>
      </w:r>
      <w:r>
        <w:rPr>
          <w:color w:val="auto"/>
          <w:spacing w:val="-5"/>
        </w:rPr>
        <w:t>，能够满足</w:t>
      </w:r>
      <w:r>
        <w:rPr>
          <w:rFonts w:hint="eastAsia"/>
          <w:color w:val="auto"/>
          <w:spacing w:val="-5"/>
        </w:rPr>
        <w:t>河南省</w:t>
      </w:r>
      <w:r>
        <w:rPr>
          <w:color w:val="auto"/>
          <w:spacing w:val="-5"/>
        </w:rPr>
        <w:t>《餐饮业油烟污染物排放标准》（试行）（</w:t>
      </w:r>
      <w:r>
        <w:rPr>
          <w:rFonts w:eastAsia="Times New Roman"/>
          <w:color w:val="auto"/>
          <w:spacing w:val="-5"/>
        </w:rPr>
        <w:t>DB41/1604-2018</w:t>
      </w:r>
      <w:r>
        <w:rPr>
          <w:color w:val="auto"/>
          <w:spacing w:val="-5"/>
        </w:rPr>
        <w:t>）油烟最高允许排放浓度标准（</w:t>
      </w:r>
      <w:r>
        <w:rPr>
          <w:rFonts w:eastAsia="Times New Roman"/>
          <w:color w:val="auto"/>
          <w:spacing w:val="-5"/>
        </w:rPr>
        <w:t>1.5mg/</w:t>
      </w:r>
      <w:r>
        <w:rPr>
          <w:rFonts w:hint="eastAsia"/>
          <w:color w:val="auto"/>
          <w:spacing w:val="-5"/>
        </w:rPr>
        <w:t>m</w:t>
      </w:r>
      <w:r>
        <w:rPr>
          <w:rFonts w:hint="eastAsia"/>
          <w:color w:val="auto"/>
          <w:spacing w:val="-5"/>
          <w:vertAlign w:val="superscript"/>
        </w:rPr>
        <w:t>3</w:t>
      </w:r>
      <w:r>
        <w:rPr>
          <w:color w:val="auto"/>
          <w:spacing w:val="-5"/>
        </w:rPr>
        <w:t>）</w:t>
      </w:r>
      <w:r>
        <w:rPr>
          <w:rFonts w:hint="eastAsia"/>
          <w:color w:val="auto"/>
        </w:rPr>
        <w:t>。</w:t>
      </w:r>
    </w:p>
    <w:p>
      <w:pPr>
        <w:pStyle w:val="6"/>
        <w:rPr>
          <w:color w:val="auto"/>
          <w:lang w:val="en-US"/>
        </w:rPr>
      </w:pPr>
      <w:r>
        <w:rPr>
          <w:color w:val="auto"/>
          <w:lang w:val="en-US"/>
        </w:rPr>
        <w:t>6.2.</w:t>
      </w:r>
      <w:r>
        <w:rPr>
          <w:rFonts w:hint="eastAsia"/>
          <w:color w:val="auto"/>
          <w:lang w:val="en-US"/>
        </w:rPr>
        <w:t>5</w:t>
      </w:r>
      <w:r>
        <w:rPr>
          <w:color w:val="auto"/>
          <w:lang w:val="en-US"/>
        </w:rPr>
        <w:t>噪声污染防治措施分析</w:t>
      </w:r>
    </w:p>
    <w:p>
      <w:pPr>
        <w:ind w:firstLine="480"/>
        <w:rPr>
          <w:bCs/>
          <w:color w:val="auto"/>
        </w:rPr>
      </w:pPr>
      <w:r>
        <w:rPr>
          <w:bCs/>
          <w:color w:val="auto"/>
        </w:rPr>
        <w:t>本项目噪声主要为废水处理设备、排风扇等设备运行时产生的噪声，根据类比调查，其源强为75～85dB(A)。</w:t>
      </w:r>
    </w:p>
    <w:p>
      <w:pPr>
        <w:ind w:firstLine="480"/>
        <w:rPr>
          <w:bCs/>
          <w:color w:val="auto"/>
        </w:rPr>
      </w:pPr>
      <w:r>
        <w:rPr>
          <w:bCs/>
          <w:color w:val="auto"/>
        </w:rPr>
        <w:t>项目采取以下措施来进行：</w:t>
      </w:r>
    </w:p>
    <w:p>
      <w:pPr>
        <w:ind w:firstLine="480"/>
        <w:rPr>
          <w:bCs/>
          <w:color w:val="auto"/>
        </w:rPr>
      </w:pPr>
      <w:r>
        <w:rPr>
          <w:bCs/>
          <w:color w:val="auto"/>
        </w:rPr>
        <w:t>（1）企业在设备选型上，应选择低噪声风机、水泵设备，以防止项目运营期间产生的噪声源叠加，对区域环境产生较大影响。</w:t>
      </w:r>
    </w:p>
    <w:p>
      <w:pPr>
        <w:ind w:firstLine="480"/>
        <w:rPr>
          <w:bCs/>
          <w:color w:val="auto"/>
        </w:rPr>
      </w:pPr>
      <w:r>
        <w:rPr>
          <w:bCs/>
          <w:color w:val="auto"/>
        </w:rPr>
        <w:t>（2）对风机、水泵设备安装减振垫进行设备基础减振处理，根据噪声衰减规律分析：经基础减振（减轻振动及不固定配件摆动噪声）及隔声措施噪声衰减可以达到20～40dB(A)。</w:t>
      </w:r>
    </w:p>
    <w:p>
      <w:pPr>
        <w:ind w:firstLine="480"/>
        <w:rPr>
          <w:bCs/>
          <w:color w:val="auto"/>
        </w:rPr>
      </w:pPr>
      <w:r>
        <w:rPr>
          <w:bCs/>
          <w:color w:val="auto"/>
        </w:rPr>
        <w:t>（3）在</w:t>
      </w:r>
      <w:r>
        <w:rPr>
          <w:rFonts w:hint="eastAsia"/>
          <w:bCs/>
          <w:color w:val="auto"/>
        </w:rPr>
        <w:t>厂区</w:t>
      </w:r>
      <w:r>
        <w:rPr>
          <w:bCs/>
          <w:color w:val="auto"/>
        </w:rPr>
        <w:t>周围及场内加强绿化，充分利用建筑的边角空隙土地及不规则土地进行绿化；</w:t>
      </w:r>
      <w:r>
        <w:rPr>
          <w:rFonts w:hint="eastAsia"/>
          <w:bCs/>
          <w:color w:val="auto"/>
        </w:rPr>
        <w:t>厂区</w:t>
      </w:r>
      <w:r>
        <w:rPr>
          <w:bCs/>
          <w:color w:val="auto"/>
        </w:rPr>
        <w:t>绿化应结合</w:t>
      </w:r>
      <w:r>
        <w:rPr>
          <w:rFonts w:hint="eastAsia"/>
          <w:bCs/>
          <w:color w:val="auto"/>
        </w:rPr>
        <w:t>厂区</w:t>
      </w:r>
      <w:r>
        <w:rPr>
          <w:bCs/>
          <w:color w:val="auto"/>
        </w:rPr>
        <w:t>与猪舍之间的隔离、遮荫及防风需要进行。可根据当地实际种植能美化环境、净化空气的树种和花草，不宜种植有毒、有刺、飞絮的植物，其噪声源强可衰减约5dB(A)。</w:t>
      </w:r>
    </w:p>
    <w:p>
      <w:pPr>
        <w:ind w:firstLine="480"/>
        <w:rPr>
          <w:bCs/>
          <w:color w:val="auto"/>
        </w:rPr>
      </w:pPr>
      <w:r>
        <w:rPr>
          <w:bCs/>
          <w:color w:val="auto"/>
        </w:rPr>
        <w:t>（4）评价要求噪声源强较高的设备，尽量往</w:t>
      </w:r>
      <w:r>
        <w:rPr>
          <w:rFonts w:hint="eastAsia"/>
          <w:bCs/>
          <w:color w:val="auto"/>
        </w:rPr>
        <w:t>厂区</w:t>
      </w:r>
      <w:r>
        <w:rPr>
          <w:bCs/>
          <w:color w:val="auto"/>
        </w:rPr>
        <w:t>内部布置，因距离的原因实现噪声衰减。</w:t>
      </w:r>
    </w:p>
    <w:p>
      <w:pPr>
        <w:ind w:firstLine="480"/>
        <w:rPr>
          <w:color w:val="auto"/>
        </w:rPr>
      </w:pPr>
      <w:r>
        <w:rPr>
          <w:bCs/>
          <w:color w:val="auto"/>
        </w:rPr>
        <w:t>经采取以上措施，噪声可衰减约15~20dB(A)，再经一定距离衰减后，预测</w:t>
      </w:r>
      <w:r>
        <w:rPr>
          <w:rFonts w:hint="eastAsia"/>
          <w:bCs/>
          <w:color w:val="auto"/>
        </w:rPr>
        <w:t>厂界</w:t>
      </w:r>
      <w:r>
        <w:rPr>
          <w:bCs/>
          <w:color w:val="auto"/>
        </w:rPr>
        <w:t>噪声满足《工业企业厂界环境噪声排放标准》（GB12348－2008）</w:t>
      </w:r>
      <w:r>
        <w:rPr>
          <w:rFonts w:hint="eastAsia"/>
          <w:bCs/>
          <w:color w:val="auto"/>
        </w:rPr>
        <w:t>2</w:t>
      </w:r>
      <w:r>
        <w:rPr>
          <w:bCs/>
          <w:color w:val="auto"/>
        </w:rPr>
        <w:t>类标准的要求。</w:t>
      </w:r>
    </w:p>
    <w:p>
      <w:pPr>
        <w:pStyle w:val="6"/>
        <w:rPr>
          <w:color w:val="auto"/>
          <w:lang w:val="en-US"/>
        </w:rPr>
      </w:pPr>
      <w:r>
        <w:rPr>
          <w:color w:val="auto"/>
          <w:lang w:val="en-US"/>
        </w:rPr>
        <w:t>6.2.</w:t>
      </w:r>
      <w:r>
        <w:rPr>
          <w:rFonts w:hint="eastAsia"/>
          <w:color w:val="auto"/>
          <w:lang w:val="en-US"/>
        </w:rPr>
        <w:t>6</w:t>
      </w:r>
      <w:r>
        <w:rPr>
          <w:color w:val="auto"/>
          <w:lang w:val="en-US"/>
        </w:rPr>
        <w:t>固废污染防治措施</w:t>
      </w:r>
    </w:p>
    <w:p>
      <w:pPr>
        <w:tabs>
          <w:tab w:val="left" w:pos="5625"/>
        </w:tabs>
        <w:ind w:firstLine="480"/>
        <w:outlineLvl w:val="3"/>
        <w:rPr>
          <w:color w:val="auto"/>
        </w:rPr>
      </w:pPr>
      <w:r>
        <w:rPr>
          <w:color w:val="auto"/>
        </w:rPr>
        <w:t>6.2.</w:t>
      </w:r>
      <w:r>
        <w:rPr>
          <w:rFonts w:hint="eastAsia"/>
          <w:color w:val="auto"/>
        </w:rPr>
        <w:t>6</w:t>
      </w:r>
      <w:r>
        <w:rPr>
          <w:color w:val="auto"/>
        </w:rPr>
        <w:t>.1</w:t>
      </w:r>
      <w:r>
        <w:rPr>
          <w:rFonts w:hint="eastAsia"/>
          <w:color w:val="auto"/>
        </w:rPr>
        <w:t>固体废物处置措施</w:t>
      </w:r>
    </w:p>
    <w:p>
      <w:pPr>
        <w:ind w:firstLine="480"/>
        <w:rPr>
          <w:bCs/>
          <w:color w:val="auto"/>
        </w:rPr>
      </w:pPr>
      <w:r>
        <w:rPr>
          <w:bCs/>
          <w:color w:val="auto"/>
        </w:rPr>
        <w:t>本项目产生的固体废物主要包括疾病防疫产生的医疗废物、养殖过程产生的少量病死猪尸</w:t>
      </w:r>
      <w:r>
        <w:rPr>
          <w:rFonts w:hint="eastAsia"/>
          <w:bCs/>
          <w:color w:val="auto"/>
        </w:rPr>
        <w:t>、</w:t>
      </w:r>
      <w:r>
        <w:rPr>
          <w:bCs/>
          <w:color w:val="auto"/>
        </w:rPr>
        <w:t>猪粪固形物、</w:t>
      </w:r>
      <w:r>
        <w:rPr>
          <w:rFonts w:hint="eastAsia"/>
          <w:bCs/>
          <w:color w:val="auto"/>
        </w:rPr>
        <w:t>废导热油、废脱硫剂</w:t>
      </w:r>
      <w:r>
        <w:rPr>
          <w:rFonts w:hint="eastAsia"/>
          <w:color w:val="auto"/>
        </w:rPr>
        <w:t>及</w:t>
      </w:r>
      <w:r>
        <w:rPr>
          <w:bCs/>
          <w:color w:val="auto"/>
        </w:rPr>
        <w:t>职工生活垃圾</w:t>
      </w:r>
      <w:r>
        <w:rPr>
          <w:rFonts w:hint="eastAsia"/>
          <w:bCs/>
          <w:color w:val="auto"/>
        </w:rPr>
        <w:t>、沼渣等。对照《国家危险废物名录》（2016本），</w:t>
      </w:r>
      <w:r>
        <w:rPr>
          <w:bCs/>
          <w:color w:val="auto"/>
        </w:rPr>
        <w:t>医疗废物</w:t>
      </w:r>
      <w:r>
        <w:rPr>
          <w:rFonts w:hint="eastAsia"/>
          <w:bCs/>
          <w:color w:val="auto"/>
        </w:rPr>
        <w:t>、病死猪、废导热油均属于危险废物，其余均为一般固废。本</w:t>
      </w:r>
      <w:r>
        <w:rPr>
          <w:color w:val="auto"/>
        </w:rPr>
        <w:t>项目营运期固体废物</w:t>
      </w:r>
      <w:r>
        <w:rPr>
          <w:rFonts w:hint="eastAsia"/>
          <w:color w:val="auto"/>
        </w:rPr>
        <w:t>产排</w:t>
      </w:r>
      <w:r>
        <w:rPr>
          <w:color w:val="auto"/>
        </w:rPr>
        <w:t>情况及处置措施见表</w:t>
      </w:r>
      <w:r>
        <w:rPr>
          <w:rFonts w:hint="eastAsia"/>
          <w:color w:val="auto"/>
        </w:rPr>
        <w:t>6.2-6。</w:t>
      </w:r>
    </w:p>
    <w:p>
      <w:pPr>
        <w:spacing w:after="93" w:afterLines="30" w:line="500" w:lineRule="exact"/>
        <w:ind w:firstLine="482"/>
        <w:jc w:val="left"/>
        <w:rPr>
          <w:b/>
          <w:color w:val="auto"/>
        </w:rPr>
      </w:pPr>
      <w:r>
        <w:rPr>
          <w:rFonts w:hint="eastAsia"/>
          <w:b/>
          <w:color w:val="auto"/>
        </w:rPr>
        <w:t xml:space="preserve">表6.2-6              </w:t>
      </w:r>
      <w:r>
        <w:rPr>
          <w:b/>
          <w:color w:val="auto"/>
        </w:rPr>
        <w:t>固体废物产排情况及处置措施一览表</w:t>
      </w:r>
    </w:p>
    <w:tbl>
      <w:tblPr>
        <w:tblStyle w:val="27"/>
        <w:tblW w:w="8946" w:type="dxa"/>
        <w:tblInd w:w="137" w:type="dxa"/>
        <w:tblLayout w:type="fixed"/>
        <w:tblCellMar>
          <w:top w:w="0" w:type="dxa"/>
          <w:left w:w="0" w:type="dxa"/>
          <w:bottom w:w="0" w:type="dxa"/>
          <w:right w:w="0" w:type="dxa"/>
        </w:tblCellMar>
      </w:tblPr>
      <w:tblGrid>
        <w:gridCol w:w="701"/>
        <w:gridCol w:w="1533"/>
        <w:gridCol w:w="1419"/>
        <w:gridCol w:w="1196"/>
        <w:gridCol w:w="930"/>
        <w:gridCol w:w="2213"/>
        <w:gridCol w:w="954"/>
      </w:tblGrid>
      <w:tr>
        <w:tblPrEx>
          <w:tblCellMar>
            <w:top w:w="0" w:type="dxa"/>
            <w:left w:w="0" w:type="dxa"/>
            <w:bottom w:w="0" w:type="dxa"/>
            <w:right w:w="0" w:type="dxa"/>
          </w:tblCellMar>
        </w:tblPrEx>
        <w:trPr>
          <w:trHeight w:val="634" w:hRule="exact"/>
        </w:trPr>
        <w:tc>
          <w:tcPr>
            <w:tcW w:w="701" w:type="dxa"/>
            <w:tcBorders>
              <w:top w:val="single" w:color="000000" w:sz="2" w:space="0"/>
              <w:left w:val="nil"/>
              <w:bottom w:val="single" w:color="000000" w:sz="6" w:space="0"/>
              <w:right w:val="single" w:color="000000" w:sz="6" w:space="0"/>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b/>
                <w:bCs/>
                <w:color w:val="auto"/>
                <w:sz w:val="21"/>
                <w:szCs w:val="21"/>
              </w:rPr>
              <w:t>序号</w:t>
            </w:r>
          </w:p>
        </w:tc>
        <w:tc>
          <w:tcPr>
            <w:tcW w:w="1533" w:type="dxa"/>
            <w:tcBorders>
              <w:top w:val="single" w:color="000000" w:sz="2" w:space="0"/>
              <w:left w:val="single" w:color="000000" w:sz="6" w:space="0"/>
              <w:bottom w:val="single" w:color="000000" w:sz="6" w:space="0"/>
              <w:right w:val="single" w:color="000000" w:sz="6" w:space="0"/>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b/>
                <w:bCs/>
                <w:color w:val="auto"/>
                <w:sz w:val="21"/>
                <w:szCs w:val="21"/>
              </w:rPr>
              <w:t>产生环节</w:t>
            </w:r>
          </w:p>
        </w:tc>
        <w:tc>
          <w:tcPr>
            <w:tcW w:w="1419" w:type="dxa"/>
            <w:tcBorders>
              <w:top w:val="single" w:color="000000" w:sz="2" w:space="0"/>
              <w:left w:val="single" w:color="000000" w:sz="6" w:space="0"/>
              <w:bottom w:val="single" w:color="000000" w:sz="6" w:space="0"/>
              <w:right w:val="single" w:color="000000" w:sz="6" w:space="0"/>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b/>
                <w:bCs/>
                <w:color w:val="auto"/>
                <w:sz w:val="21"/>
                <w:szCs w:val="21"/>
              </w:rPr>
              <w:t>名称</w:t>
            </w:r>
          </w:p>
        </w:tc>
        <w:tc>
          <w:tcPr>
            <w:tcW w:w="1196" w:type="dxa"/>
            <w:tcBorders>
              <w:top w:val="single" w:color="000000" w:sz="2" w:space="0"/>
              <w:left w:val="single" w:color="000000" w:sz="6" w:space="0"/>
              <w:bottom w:val="single" w:color="000000" w:sz="6" w:space="0"/>
              <w:right w:val="single" w:color="000000" w:sz="6" w:space="0"/>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b/>
                <w:bCs/>
                <w:color w:val="auto"/>
                <w:sz w:val="21"/>
                <w:szCs w:val="21"/>
              </w:rPr>
              <w:t>固废性质</w:t>
            </w:r>
          </w:p>
        </w:tc>
        <w:tc>
          <w:tcPr>
            <w:tcW w:w="930" w:type="dxa"/>
            <w:tcBorders>
              <w:top w:val="single" w:color="000000" w:sz="2" w:space="0"/>
              <w:left w:val="single" w:color="000000" w:sz="6" w:space="0"/>
              <w:bottom w:val="single" w:color="000000" w:sz="6" w:space="0"/>
              <w:right w:val="single" w:color="000000" w:sz="6" w:space="0"/>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b/>
                <w:bCs/>
                <w:color w:val="auto"/>
                <w:sz w:val="21"/>
                <w:szCs w:val="21"/>
              </w:rPr>
              <w:t>产生量</w:t>
            </w:r>
          </w:p>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b/>
                <w:bCs/>
                <w:color w:val="auto"/>
                <w:sz w:val="21"/>
                <w:szCs w:val="21"/>
              </w:rPr>
              <w:t>（</w:t>
            </w:r>
            <w:r>
              <w:rPr>
                <w:rFonts w:eastAsia="Times New Roman"/>
                <w:b/>
                <w:bCs/>
                <w:color w:val="auto"/>
                <w:sz w:val="21"/>
                <w:szCs w:val="21"/>
              </w:rPr>
              <w:t>t/a</w:t>
            </w:r>
            <w:r>
              <w:rPr>
                <w:rFonts w:ascii="宋体" w:hAnsi="宋体" w:cs="宋体"/>
                <w:b/>
                <w:bCs/>
                <w:color w:val="auto"/>
                <w:sz w:val="21"/>
                <w:szCs w:val="21"/>
              </w:rPr>
              <w:t>）</w:t>
            </w:r>
          </w:p>
        </w:tc>
        <w:tc>
          <w:tcPr>
            <w:tcW w:w="2213" w:type="dxa"/>
            <w:tcBorders>
              <w:top w:val="single" w:color="000000" w:sz="2" w:space="0"/>
              <w:left w:val="single" w:color="000000" w:sz="6" w:space="0"/>
              <w:bottom w:val="single" w:color="000000" w:sz="6" w:space="0"/>
              <w:right w:val="single" w:color="000000" w:sz="6" w:space="0"/>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b/>
                <w:bCs/>
                <w:color w:val="auto"/>
                <w:sz w:val="21"/>
                <w:szCs w:val="21"/>
              </w:rPr>
              <w:t>处置措施</w:t>
            </w:r>
          </w:p>
        </w:tc>
        <w:tc>
          <w:tcPr>
            <w:tcW w:w="954" w:type="dxa"/>
            <w:tcBorders>
              <w:top w:val="single" w:color="000000" w:sz="2" w:space="0"/>
              <w:left w:val="single" w:color="000000" w:sz="6" w:space="0"/>
              <w:bottom w:val="single" w:color="000000" w:sz="6" w:space="0"/>
              <w:right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b/>
                <w:bCs/>
                <w:color w:val="auto"/>
                <w:sz w:val="21"/>
                <w:szCs w:val="21"/>
              </w:rPr>
              <w:t>排放量</w:t>
            </w:r>
          </w:p>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b/>
                <w:bCs/>
                <w:color w:val="auto"/>
                <w:sz w:val="21"/>
                <w:szCs w:val="21"/>
              </w:rPr>
              <w:t>（</w:t>
            </w:r>
            <w:r>
              <w:rPr>
                <w:rFonts w:eastAsia="Times New Roman"/>
                <w:b/>
                <w:bCs/>
                <w:color w:val="auto"/>
                <w:sz w:val="21"/>
                <w:szCs w:val="21"/>
              </w:rPr>
              <w:t>t/a</w:t>
            </w:r>
            <w:r>
              <w:rPr>
                <w:rFonts w:ascii="宋体" w:hAnsi="宋体" w:cs="宋体"/>
                <w:b/>
                <w:bCs/>
                <w:color w:val="auto"/>
                <w:sz w:val="21"/>
                <w:szCs w:val="21"/>
              </w:rPr>
              <w:t>）</w:t>
            </w:r>
          </w:p>
        </w:tc>
      </w:tr>
      <w:tr>
        <w:tblPrEx>
          <w:tblCellMar>
            <w:top w:w="0" w:type="dxa"/>
            <w:left w:w="0" w:type="dxa"/>
            <w:bottom w:w="0" w:type="dxa"/>
            <w:right w:w="0" w:type="dxa"/>
          </w:tblCellMar>
        </w:tblPrEx>
        <w:trPr>
          <w:trHeight w:val="639" w:hRule="exact"/>
        </w:trPr>
        <w:tc>
          <w:tcPr>
            <w:tcW w:w="701" w:type="dxa"/>
            <w:tcBorders>
              <w:top w:val="single" w:color="000000" w:sz="6" w:space="0"/>
              <w:left w:val="nil"/>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1</w:t>
            </w:r>
          </w:p>
        </w:tc>
        <w:tc>
          <w:tcPr>
            <w:tcW w:w="1533"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防疫</w:t>
            </w:r>
          </w:p>
        </w:tc>
        <w:tc>
          <w:tcPr>
            <w:tcW w:w="1419"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医疗固废</w:t>
            </w:r>
          </w:p>
        </w:tc>
        <w:tc>
          <w:tcPr>
            <w:tcW w:w="1196"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危险废物</w:t>
            </w:r>
          </w:p>
          <w:p>
            <w:pPr>
              <w:spacing w:line="240" w:lineRule="auto"/>
              <w:ind w:firstLine="0" w:firstLineChars="0"/>
              <w:jc w:val="center"/>
              <w:rPr>
                <w:color w:val="auto"/>
                <w:sz w:val="21"/>
                <w:szCs w:val="21"/>
              </w:rPr>
            </w:pPr>
            <w:r>
              <w:rPr>
                <w:rFonts w:hint="eastAsia"/>
                <w:color w:val="auto"/>
                <w:sz w:val="21"/>
                <w:szCs w:val="21"/>
              </w:rPr>
              <w:t>（HW01）</w:t>
            </w:r>
          </w:p>
        </w:tc>
        <w:tc>
          <w:tcPr>
            <w:tcW w:w="930"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0.25</w:t>
            </w:r>
          </w:p>
        </w:tc>
        <w:tc>
          <w:tcPr>
            <w:tcW w:w="2213"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定期交由有资质单位</w:t>
            </w:r>
          </w:p>
          <w:p>
            <w:pPr>
              <w:spacing w:line="240" w:lineRule="auto"/>
              <w:ind w:firstLine="0" w:firstLineChars="0"/>
              <w:jc w:val="center"/>
              <w:rPr>
                <w:color w:val="auto"/>
                <w:sz w:val="21"/>
                <w:szCs w:val="21"/>
              </w:rPr>
            </w:pPr>
            <w:r>
              <w:rPr>
                <w:rFonts w:hint="eastAsia"/>
                <w:color w:val="auto"/>
                <w:sz w:val="21"/>
                <w:szCs w:val="21"/>
              </w:rPr>
              <w:t>处理</w:t>
            </w:r>
          </w:p>
        </w:tc>
        <w:tc>
          <w:tcPr>
            <w:tcW w:w="954" w:type="dxa"/>
            <w:tcBorders>
              <w:top w:val="single" w:color="000000" w:sz="6" w:space="0"/>
              <w:left w:val="single" w:color="000000" w:sz="6" w:space="0"/>
              <w:bottom w:val="single" w:color="000000" w:sz="6" w:space="0"/>
              <w:right w:val="nil"/>
            </w:tcBorders>
            <w:vAlign w:val="center"/>
          </w:tcPr>
          <w:p>
            <w:pPr>
              <w:spacing w:line="240" w:lineRule="auto"/>
              <w:ind w:firstLine="0" w:firstLineChars="0"/>
              <w:jc w:val="center"/>
              <w:rPr>
                <w:color w:val="auto"/>
                <w:sz w:val="21"/>
                <w:szCs w:val="21"/>
              </w:rPr>
            </w:pPr>
            <w:r>
              <w:rPr>
                <w:rFonts w:hint="eastAsia"/>
                <w:color w:val="auto"/>
                <w:sz w:val="21"/>
                <w:szCs w:val="21"/>
              </w:rPr>
              <w:t>0</w:t>
            </w:r>
          </w:p>
        </w:tc>
      </w:tr>
      <w:tr>
        <w:tblPrEx>
          <w:tblCellMar>
            <w:top w:w="0" w:type="dxa"/>
            <w:left w:w="0" w:type="dxa"/>
            <w:bottom w:w="0" w:type="dxa"/>
            <w:right w:w="0" w:type="dxa"/>
          </w:tblCellMar>
        </w:tblPrEx>
        <w:trPr>
          <w:trHeight w:val="1246" w:hRule="exact"/>
        </w:trPr>
        <w:tc>
          <w:tcPr>
            <w:tcW w:w="701" w:type="dxa"/>
            <w:tcBorders>
              <w:top w:val="single" w:color="000000" w:sz="6" w:space="0"/>
              <w:left w:val="nil"/>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2</w:t>
            </w:r>
          </w:p>
        </w:tc>
        <w:tc>
          <w:tcPr>
            <w:tcW w:w="1533"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养殖</w:t>
            </w:r>
          </w:p>
        </w:tc>
        <w:tc>
          <w:tcPr>
            <w:tcW w:w="1419"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病死猪</w:t>
            </w:r>
          </w:p>
        </w:tc>
        <w:tc>
          <w:tcPr>
            <w:tcW w:w="1196"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危险废物</w:t>
            </w:r>
          </w:p>
          <w:p>
            <w:pPr>
              <w:spacing w:line="240" w:lineRule="auto"/>
              <w:ind w:firstLine="0" w:firstLineChars="0"/>
              <w:jc w:val="center"/>
              <w:rPr>
                <w:color w:val="auto"/>
                <w:sz w:val="21"/>
                <w:szCs w:val="21"/>
              </w:rPr>
            </w:pPr>
            <w:r>
              <w:rPr>
                <w:rFonts w:hint="eastAsia"/>
                <w:color w:val="auto"/>
                <w:sz w:val="21"/>
                <w:szCs w:val="21"/>
              </w:rPr>
              <w:t>（HW01）</w:t>
            </w:r>
          </w:p>
        </w:tc>
        <w:tc>
          <w:tcPr>
            <w:tcW w:w="930"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9.6</w:t>
            </w:r>
          </w:p>
        </w:tc>
        <w:tc>
          <w:tcPr>
            <w:tcW w:w="2213"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在厂区内无害化处理后，残渣作为有机肥原料外售</w:t>
            </w:r>
          </w:p>
        </w:tc>
        <w:tc>
          <w:tcPr>
            <w:tcW w:w="954" w:type="dxa"/>
            <w:tcBorders>
              <w:top w:val="single" w:color="000000" w:sz="6" w:space="0"/>
              <w:left w:val="single" w:color="000000" w:sz="6" w:space="0"/>
              <w:bottom w:val="single" w:color="000000" w:sz="6" w:space="0"/>
              <w:right w:val="nil"/>
            </w:tcBorders>
            <w:vAlign w:val="center"/>
          </w:tcPr>
          <w:p>
            <w:pPr>
              <w:spacing w:line="240" w:lineRule="auto"/>
              <w:ind w:firstLine="0" w:firstLineChars="0"/>
              <w:jc w:val="center"/>
              <w:rPr>
                <w:color w:val="auto"/>
                <w:sz w:val="21"/>
                <w:szCs w:val="21"/>
              </w:rPr>
            </w:pPr>
            <w:r>
              <w:rPr>
                <w:rFonts w:hint="eastAsia"/>
                <w:color w:val="auto"/>
                <w:sz w:val="21"/>
                <w:szCs w:val="21"/>
              </w:rPr>
              <w:t>0</w:t>
            </w:r>
          </w:p>
        </w:tc>
      </w:tr>
      <w:tr>
        <w:tblPrEx>
          <w:tblCellMar>
            <w:top w:w="0" w:type="dxa"/>
            <w:left w:w="0" w:type="dxa"/>
            <w:bottom w:w="0" w:type="dxa"/>
            <w:right w:w="0" w:type="dxa"/>
          </w:tblCellMar>
        </w:tblPrEx>
        <w:trPr>
          <w:trHeight w:val="639" w:hRule="exact"/>
        </w:trPr>
        <w:tc>
          <w:tcPr>
            <w:tcW w:w="701" w:type="dxa"/>
            <w:tcBorders>
              <w:top w:val="single" w:color="000000" w:sz="6" w:space="0"/>
              <w:left w:val="nil"/>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3</w:t>
            </w:r>
          </w:p>
        </w:tc>
        <w:tc>
          <w:tcPr>
            <w:tcW w:w="1533"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固液分离</w:t>
            </w:r>
          </w:p>
        </w:tc>
        <w:tc>
          <w:tcPr>
            <w:tcW w:w="1419"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猪粪</w:t>
            </w:r>
          </w:p>
        </w:tc>
        <w:tc>
          <w:tcPr>
            <w:tcW w:w="1196"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一般固废</w:t>
            </w:r>
          </w:p>
        </w:tc>
        <w:tc>
          <w:tcPr>
            <w:tcW w:w="930"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1564.3</w:t>
            </w:r>
          </w:p>
        </w:tc>
        <w:tc>
          <w:tcPr>
            <w:tcW w:w="2213"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经发酵后作为制有机</w:t>
            </w:r>
          </w:p>
          <w:p>
            <w:pPr>
              <w:spacing w:line="240" w:lineRule="auto"/>
              <w:ind w:firstLine="0" w:firstLineChars="0"/>
              <w:jc w:val="center"/>
              <w:rPr>
                <w:color w:val="auto"/>
                <w:sz w:val="21"/>
                <w:szCs w:val="21"/>
              </w:rPr>
            </w:pPr>
            <w:r>
              <w:rPr>
                <w:rFonts w:hint="eastAsia"/>
                <w:color w:val="auto"/>
                <w:sz w:val="21"/>
                <w:szCs w:val="21"/>
              </w:rPr>
              <w:t>肥基料外售</w:t>
            </w:r>
          </w:p>
        </w:tc>
        <w:tc>
          <w:tcPr>
            <w:tcW w:w="954" w:type="dxa"/>
            <w:tcBorders>
              <w:top w:val="single" w:color="000000" w:sz="6" w:space="0"/>
              <w:left w:val="single" w:color="000000" w:sz="6" w:space="0"/>
              <w:bottom w:val="single" w:color="000000" w:sz="6" w:space="0"/>
              <w:right w:val="nil"/>
            </w:tcBorders>
            <w:vAlign w:val="center"/>
          </w:tcPr>
          <w:p>
            <w:pPr>
              <w:spacing w:line="240" w:lineRule="auto"/>
              <w:ind w:firstLine="0" w:firstLineChars="0"/>
              <w:jc w:val="center"/>
              <w:rPr>
                <w:color w:val="auto"/>
                <w:sz w:val="21"/>
                <w:szCs w:val="21"/>
              </w:rPr>
            </w:pPr>
            <w:r>
              <w:rPr>
                <w:rFonts w:hint="eastAsia"/>
                <w:color w:val="auto"/>
                <w:sz w:val="21"/>
                <w:szCs w:val="21"/>
              </w:rPr>
              <w:t>0</w:t>
            </w:r>
          </w:p>
        </w:tc>
      </w:tr>
      <w:tr>
        <w:tblPrEx>
          <w:tblCellMar>
            <w:top w:w="0" w:type="dxa"/>
            <w:left w:w="0" w:type="dxa"/>
            <w:bottom w:w="0" w:type="dxa"/>
            <w:right w:w="0" w:type="dxa"/>
          </w:tblCellMar>
        </w:tblPrEx>
        <w:trPr>
          <w:trHeight w:val="355" w:hRule="exact"/>
        </w:trPr>
        <w:tc>
          <w:tcPr>
            <w:tcW w:w="701" w:type="dxa"/>
            <w:tcBorders>
              <w:top w:val="single" w:color="000000" w:sz="6" w:space="0"/>
              <w:left w:val="nil"/>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4</w:t>
            </w:r>
          </w:p>
        </w:tc>
        <w:tc>
          <w:tcPr>
            <w:tcW w:w="1533"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沼气脱硫装置</w:t>
            </w:r>
          </w:p>
        </w:tc>
        <w:tc>
          <w:tcPr>
            <w:tcW w:w="1419"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废脱硫剂</w:t>
            </w:r>
          </w:p>
        </w:tc>
        <w:tc>
          <w:tcPr>
            <w:tcW w:w="1196"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一般固废</w:t>
            </w:r>
          </w:p>
        </w:tc>
        <w:tc>
          <w:tcPr>
            <w:tcW w:w="930"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0.006</w:t>
            </w:r>
          </w:p>
        </w:tc>
        <w:tc>
          <w:tcPr>
            <w:tcW w:w="2213"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生产厂家统一回收处置</w:t>
            </w:r>
          </w:p>
        </w:tc>
        <w:tc>
          <w:tcPr>
            <w:tcW w:w="954" w:type="dxa"/>
            <w:tcBorders>
              <w:top w:val="single" w:color="000000" w:sz="6" w:space="0"/>
              <w:left w:val="single" w:color="000000" w:sz="6" w:space="0"/>
              <w:bottom w:val="single" w:color="000000" w:sz="6" w:space="0"/>
              <w:right w:val="nil"/>
            </w:tcBorders>
            <w:vAlign w:val="center"/>
          </w:tcPr>
          <w:p>
            <w:pPr>
              <w:spacing w:line="240" w:lineRule="auto"/>
              <w:ind w:firstLine="0" w:firstLineChars="0"/>
              <w:jc w:val="center"/>
              <w:rPr>
                <w:color w:val="auto"/>
                <w:sz w:val="21"/>
                <w:szCs w:val="21"/>
              </w:rPr>
            </w:pPr>
            <w:r>
              <w:rPr>
                <w:rFonts w:hint="eastAsia"/>
                <w:color w:val="auto"/>
                <w:sz w:val="21"/>
                <w:szCs w:val="21"/>
              </w:rPr>
              <w:t>0</w:t>
            </w:r>
          </w:p>
        </w:tc>
      </w:tr>
      <w:tr>
        <w:tblPrEx>
          <w:tblCellMar>
            <w:top w:w="0" w:type="dxa"/>
            <w:left w:w="0" w:type="dxa"/>
            <w:bottom w:w="0" w:type="dxa"/>
            <w:right w:w="0" w:type="dxa"/>
          </w:tblCellMar>
        </w:tblPrEx>
        <w:trPr>
          <w:trHeight w:val="355" w:hRule="exact"/>
        </w:trPr>
        <w:tc>
          <w:tcPr>
            <w:tcW w:w="701" w:type="dxa"/>
            <w:tcBorders>
              <w:top w:val="single" w:color="000000" w:sz="6" w:space="0"/>
              <w:left w:val="nil"/>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5</w:t>
            </w:r>
          </w:p>
        </w:tc>
        <w:tc>
          <w:tcPr>
            <w:tcW w:w="1533"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职工生活</w:t>
            </w:r>
          </w:p>
        </w:tc>
        <w:tc>
          <w:tcPr>
            <w:tcW w:w="1419"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生活垃圾</w:t>
            </w:r>
          </w:p>
        </w:tc>
        <w:tc>
          <w:tcPr>
            <w:tcW w:w="1196"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一般固废</w:t>
            </w:r>
          </w:p>
        </w:tc>
        <w:tc>
          <w:tcPr>
            <w:tcW w:w="930"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6.39</w:t>
            </w:r>
          </w:p>
        </w:tc>
        <w:tc>
          <w:tcPr>
            <w:tcW w:w="2213"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送交环卫部门处理</w:t>
            </w:r>
          </w:p>
        </w:tc>
        <w:tc>
          <w:tcPr>
            <w:tcW w:w="954" w:type="dxa"/>
            <w:tcBorders>
              <w:top w:val="single" w:color="000000" w:sz="6" w:space="0"/>
              <w:left w:val="single" w:color="000000" w:sz="6" w:space="0"/>
              <w:bottom w:val="single" w:color="000000" w:sz="6" w:space="0"/>
              <w:right w:val="nil"/>
            </w:tcBorders>
            <w:vAlign w:val="center"/>
          </w:tcPr>
          <w:p>
            <w:pPr>
              <w:spacing w:line="240" w:lineRule="auto"/>
              <w:ind w:firstLine="0" w:firstLineChars="0"/>
              <w:jc w:val="center"/>
              <w:rPr>
                <w:color w:val="auto"/>
                <w:sz w:val="21"/>
                <w:szCs w:val="21"/>
              </w:rPr>
            </w:pPr>
            <w:r>
              <w:rPr>
                <w:rFonts w:hint="eastAsia"/>
                <w:color w:val="auto"/>
                <w:sz w:val="21"/>
                <w:szCs w:val="21"/>
              </w:rPr>
              <w:t>0</w:t>
            </w:r>
          </w:p>
        </w:tc>
      </w:tr>
      <w:tr>
        <w:tblPrEx>
          <w:tblCellMar>
            <w:top w:w="0" w:type="dxa"/>
            <w:left w:w="0" w:type="dxa"/>
            <w:bottom w:w="0" w:type="dxa"/>
            <w:right w:w="0" w:type="dxa"/>
          </w:tblCellMar>
        </w:tblPrEx>
        <w:trPr>
          <w:trHeight w:val="625" w:hRule="exact"/>
        </w:trPr>
        <w:tc>
          <w:tcPr>
            <w:tcW w:w="701" w:type="dxa"/>
            <w:tcBorders>
              <w:top w:val="single" w:color="000000" w:sz="6" w:space="0"/>
              <w:left w:val="nil"/>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6</w:t>
            </w:r>
          </w:p>
        </w:tc>
        <w:tc>
          <w:tcPr>
            <w:tcW w:w="1533"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无害化处理</w:t>
            </w:r>
          </w:p>
        </w:tc>
        <w:tc>
          <w:tcPr>
            <w:tcW w:w="1419"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废导热油</w:t>
            </w:r>
          </w:p>
        </w:tc>
        <w:tc>
          <w:tcPr>
            <w:tcW w:w="1196"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危险废物</w:t>
            </w:r>
          </w:p>
          <w:p>
            <w:pPr>
              <w:widowControl/>
              <w:ind w:firstLine="0" w:firstLineChars="0"/>
              <w:jc w:val="center"/>
              <w:rPr>
                <w:color w:val="auto"/>
              </w:rPr>
            </w:pPr>
            <w:r>
              <w:rPr>
                <w:rFonts w:hint="eastAsia" w:ascii="宋体" w:hAnsi="宋体" w:cs="宋体"/>
                <w:color w:val="auto"/>
                <w:kern w:val="0"/>
                <w:sz w:val="20"/>
                <w:szCs w:val="20"/>
                <w:lang w:bidi="ar"/>
              </w:rPr>
              <w:t>（</w:t>
            </w:r>
            <w:r>
              <w:rPr>
                <w:rFonts w:ascii="TimesNewRomanPSMT" w:hAnsi="TimesNewRomanPSMT" w:eastAsia="TimesNewRomanPSMT" w:cs="TimesNewRomanPSMT"/>
                <w:color w:val="auto"/>
                <w:kern w:val="0"/>
                <w:sz w:val="20"/>
                <w:szCs w:val="20"/>
                <w:lang w:bidi="ar"/>
              </w:rPr>
              <w:t>HW08</w:t>
            </w:r>
            <w:r>
              <w:rPr>
                <w:rFonts w:hint="eastAsia" w:ascii="宋体" w:hAnsi="宋体" w:cs="宋体"/>
                <w:color w:val="auto"/>
                <w:kern w:val="0"/>
                <w:sz w:val="20"/>
                <w:szCs w:val="20"/>
                <w:lang w:bidi="ar"/>
              </w:rPr>
              <w:t>）</w:t>
            </w:r>
          </w:p>
          <w:p>
            <w:pPr>
              <w:spacing w:line="240" w:lineRule="auto"/>
              <w:ind w:firstLine="0" w:firstLineChars="0"/>
              <w:jc w:val="center"/>
              <w:rPr>
                <w:color w:val="auto"/>
                <w:sz w:val="21"/>
                <w:szCs w:val="21"/>
              </w:rPr>
            </w:pPr>
          </w:p>
        </w:tc>
        <w:tc>
          <w:tcPr>
            <w:tcW w:w="930"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0.125</w:t>
            </w:r>
          </w:p>
        </w:tc>
        <w:tc>
          <w:tcPr>
            <w:tcW w:w="2213"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定期交由有资质单位</w:t>
            </w:r>
          </w:p>
          <w:p>
            <w:pPr>
              <w:spacing w:line="240" w:lineRule="auto"/>
              <w:ind w:firstLine="0" w:firstLineChars="0"/>
              <w:jc w:val="center"/>
              <w:rPr>
                <w:color w:val="auto"/>
                <w:sz w:val="21"/>
                <w:szCs w:val="21"/>
              </w:rPr>
            </w:pPr>
            <w:r>
              <w:rPr>
                <w:rFonts w:hint="eastAsia"/>
                <w:color w:val="auto"/>
                <w:sz w:val="21"/>
                <w:szCs w:val="21"/>
              </w:rPr>
              <w:t>处理</w:t>
            </w:r>
          </w:p>
        </w:tc>
        <w:tc>
          <w:tcPr>
            <w:tcW w:w="954" w:type="dxa"/>
            <w:tcBorders>
              <w:top w:val="single" w:color="000000" w:sz="6" w:space="0"/>
              <w:left w:val="single" w:color="000000" w:sz="6" w:space="0"/>
              <w:bottom w:val="single" w:color="000000" w:sz="6" w:space="0"/>
              <w:right w:val="nil"/>
            </w:tcBorders>
            <w:vAlign w:val="center"/>
          </w:tcPr>
          <w:p>
            <w:pPr>
              <w:spacing w:line="240" w:lineRule="auto"/>
              <w:ind w:firstLine="0" w:firstLineChars="0"/>
              <w:jc w:val="center"/>
              <w:rPr>
                <w:color w:val="auto"/>
                <w:sz w:val="21"/>
                <w:szCs w:val="21"/>
              </w:rPr>
            </w:pPr>
            <w:r>
              <w:rPr>
                <w:rFonts w:hint="eastAsia"/>
                <w:color w:val="auto"/>
                <w:sz w:val="21"/>
                <w:szCs w:val="21"/>
              </w:rPr>
              <w:t>0</w:t>
            </w:r>
          </w:p>
        </w:tc>
      </w:tr>
      <w:tr>
        <w:tblPrEx>
          <w:tblCellMar>
            <w:top w:w="0" w:type="dxa"/>
            <w:left w:w="0" w:type="dxa"/>
            <w:bottom w:w="0" w:type="dxa"/>
            <w:right w:w="0" w:type="dxa"/>
          </w:tblCellMar>
        </w:tblPrEx>
        <w:trPr>
          <w:trHeight w:val="860" w:hRule="exact"/>
        </w:trPr>
        <w:tc>
          <w:tcPr>
            <w:tcW w:w="701" w:type="dxa"/>
            <w:tcBorders>
              <w:top w:val="single" w:color="000000" w:sz="6" w:space="0"/>
              <w:left w:val="nil"/>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7</w:t>
            </w:r>
          </w:p>
        </w:tc>
        <w:tc>
          <w:tcPr>
            <w:tcW w:w="1533"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厌氧发酵</w:t>
            </w:r>
          </w:p>
        </w:tc>
        <w:tc>
          <w:tcPr>
            <w:tcW w:w="1419"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沼渣</w:t>
            </w:r>
          </w:p>
        </w:tc>
        <w:tc>
          <w:tcPr>
            <w:tcW w:w="1196"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一般固废</w:t>
            </w:r>
          </w:p>
        </w:tc>
        <w:tc>
          <w:tcPr>
            <w:tcW w:w="930"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2346.95</w:t>
            </w:r>
          </w:p>
        </w:tc>
        <w:tc>
          <w:tcPr>
            <w:tcW w:w="2213"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color w:val="auto"/>
                <w:sz w:val="21"/>
                <w:szCs w:val="21"/>
              </w:rPr>
            </w:pPr>
            <w:r>
              <w:rPr>
                <w:rFonts w:hint="eastAsia"/>
                <w:color w:val="auto"/>
                <w:sz w:val="21"/>
                <w:szCs w:val="21"/>
              </w:rPr>
              <w:t>经固液分离发酵后作为制有机肥基料外售</w:t>
            </w:r>
          </w:p>
        </w:tc>
        <w:tc>
          <w:tcPr>
            <w:tcW w:w="954" w:type="dxa"/>
            <w:tcBorders>
              <w:top w:val="single" w:color="000000" w:sz="6" w:space="0"/>
              <w:left w:val="single" w:color="000000" w:sz="6" w:space="0"/>
              <w:bottom w:val="single" w:color="000000" w:sz="6" w:space="0"/>
              <w:right w:val="nil"/>
            </w:tcBorders>
            <w:vAlign w:val="center"/>
          </w:tcPr>
          <w:p>
            <w:pPr>
              <w:spacing w:line="240" w:lineRule="auto"/>
              <w:ind w:firstLine="0" w:firstLineChars="0"/>
              <w:jc w:val="center"/>
              <w:rPr>
                <w:color w:val="auto"/>
                <w:sz w:val="21"/>
                <w:szCs w:val="21"/>
              </w:rPr>
            </w:pPr>
            <w:r>
              <w:rPr>
                <w:rFonts w:hint="eastAsia"/>
                <w:color w:val="auto"/>
                <w:sz w:val="21"/>
                <w:szCs w:val="21"/>
              </w:rPr>
              <w:t>0</w:t>
            </w:r>
          </w:p>
        </w:tc>
      </w:tr>
    </w:tbl>
    <w:p>
      <w:pPr>
        <w:tabs>
          <w:tab w:val="left" w:pos="5625"/>
        </w:tabs>
        <w:spacing w:before="156" w:beforeLines="50" w:after="93" w:afterLines="30"/>
        <w:ind w:firstLine="480"/>
        <w:outlineLvl w:val="3"/>
        <w:rPr>
          <w:color w:val="auto"/>
        </w:rPr>
      </w:pPr>
      <w:r>
        <w:rPr>
          <w:color w:val="auto"/>
        </w:rPr>
        <w:t>6.2.</w:t>
      </w:r>
      <w:r>
        <w:rPr>
          <w:rFonts w:hint="eastAsia"/>
          <w:color w:val="auto"/>
        </w:rPr>
        <w:t>6</w:t>
      </w:r>
      <w:r>
        <w:rPr>
          <w:color w:val="auto"/>
        </w:rPr>
        <w:t>.</w:t>
      </w:r>
      <w:r>
        <w:rPr>
          <w:rFonts w:hint="eastAsia"/>
          <w:color w:val="auto"/>
        </w:rPr>
        <w:t>2固体废物暂存措施</w:t>
      </w:r>
    </w:p>
    <w:p>
      <w:pPr>
        <w:ind w:firstLine="480"/>
        <w:rPr>
          <w:rFonts w:hAnsi="宋体"/>
          <w:color w:val="auto"/>
        </w:rPr>
      </w:pPr>
      <w:r>
        <w:rPr>
          <w:rFonts w:hint="eastAsia" w:hAnsi="宋体"/>
          <w:color w:val="auto"/>
        </w:rPr>
        <w:t>本项目产生的固体废物主要是一般工业固体废物和危险固体废物。固体废物的暂存措施如下：</w:t>
      </w:r>
    </w:p>
    <w:p>
      <w:pPr>
        <w:ind w:firstLine="480"/>
        <w:rPr>
          <w:rFonts w:hAnsi="宋体"/>
          <w:color w:val="auto"/>
        </w:rPr>
      </w:pPr>
      <w:r>
        <w:rPr>
          <w:rFonts w:hint="eastAsia" w:hAnsi="宋体"/>
          <w:color w:val="auto"/>
        </w:rPr>
        <w:t>（1）一般工业固体废物</w:t>
      </w:r>
    </w:p>
    <w:p>
      <w:pPr>
        <w:ind w:firstLine="480"/>
        <w:rPr>
          <w:color w:val="auto"/>
        </w:rPr>
      </w:pPr>
      <w:r>
        <w:rPr>
          <w:rFonts w:hint="eastAsia"/>
          <w:color w:val="auto"/>
        </w:rPr>
        <w:t>本项目产生的一般固体废物为废脱硫剂</w:t>
      </w:r>
      <w:r>
        <w:rPr>
          <w:color w:val="auto"/>
        </w:rPr>
        <w:t>和生活垃圾</w:t>
      </w:r>
      <w:r>
        <w:rPr>
          <w:rFonts w:hint="eastAsia"/>
          <w:color w:val="auto"/>
        </w:rPr>
        <w:t>，废脱硫剂及时交由厂家处理，生活垃圾交由环卫部门统一处理</w:t>
      </w:r>
      <w:r>
        <w:rPr>
          <w:color w:val="auto"/>
        </w:rPr>
        <w:t>。</w:t>
      </w:r>
    </w:p>
    <w:p>
      <w:pPr>
        <w:tabs>
          <w:tab w:val="left" w:pos="2610"/>
        </w:tabs>
        <w:ind w:firstLine="480"/>
        <w:rPr>
          <w:rFonts w:hAnsi="宋体"/>
          <w:color w:val="auto"/>
        </w:rPr>
      </w:pPr>
      <w:r>
        <w:rPr>
          <w:rFonts w:hint="eastAsia" w:hAnsi="宋体"/>
          <w:color w:val="auto"/>
        </w:rPr>
        <w:t>（2）危险固体废物</w:t>
      </w:r>
    </w:p>
    <w:p>
      <w:pPr>
        <w:ind w:firstLine="480"/>
        <w:rPr>
          <w:color w:val="auto"/>
        </w:rPr>
      </w:pPr>
      <w:r>
        <w:rPr>
          <w:rFonts w:hint="eastAsia"/>
          <w:color w:val="auto"/>
        </w:rPr>
        <w:t>本项目在厂区设置危废暂存间暂存间1个，占地面积为5m</w:t>
      </w:r>
      <w:r>
        <w:rPr>
          <w:rFonts w:hint="eastAsia"/>
          <w:color w:val="auto"/>
          <w:vertAlign w:val="superscript"/>
        </w:rPr>
        <w:t>2</w:t>
      </w:r>
      <w:r>
        <w:rPr>
          <w:rFonts w:hint="eastAsia"/>
          <w:color w:val="auto"/>
        </w:rPr>
        <w:t>，用于收集、暂存养猪过程产生的医疗废物，</w:t>
      </w:r>
      <w:r>
        <w:rPr>
          <w:color w:val="auto"/>
          <w:spacing w:val="2"/>
        </w:rPr>
        <w:t>另设置病</w:t>
      </w:r>
      <w:r>
        <w:rPr>
          <w:color w:val="auto"/>
        </w:rPr>
        <w:t>死</w:t>
      </w:r>
      <w:r>
        <w:rPr>
          <w:color w:val="auto"/>
          <w:spacing w:val="2"/>
        </w:rPr>
        <w:t>猪暂存</w:t>
      </w:r>
      <w:r>
        <w:rPr>
          <w:color w:val="auto"/>
        </w:rPr>
        <w:t>间</w:t>
      </w:r>
      <w:r>
        <w:rPr>
          <w:rFonts w:eastAsia="Times New Roman"/>
          <w:color w:val="auto"/>
        </w:rPr>
        <w:t>1</w:t>
      </w:r>
      <w:r>
        <w:rPr>
          <w:color w:val="auto"/>
          <w:spacing w:val="2"/>
        </w:rPr>
        <w:t>个，占地</w:t>
      </w:r>
      <w:r>
        <w:rPr>
          <w:color w:val="auto"/>
        </w:rPr>
        <w:t>面积</w:t>
      </w:r>
      <w:r>
        <w:rPr>
          <w:rFonts w:hint="eastAsia"/>
          <w:color w:val="auto"/>
        </w:rPr>
        <w:t>15</w:t>
      </w:r>
      <w:r>
        <w:rPr>
          <w:rFonts w:eastAsia="Times New Roman"/>
          <w:color w:val="auto"/>
          <w:w w:val="99"/>
        </w:rPr>
        <w:t>m</w:t>
      </w:r>
      <w:r>
        <w:rPr>
          <w:rFonts w:hint="eastAsia"/>
          <w:color w:val="auto"/>
          <w:w w:val="99"/>
          <w:vertAlign w:val="superscript"/>
        </w:rPr>
        <w:t>2</w:t>
      </w:r>
      <w:r>
        <w:rPr>
          <w:rFonts w:hint="eastAsia"/>
          <w:color w:val="auto"/>
          <w:w w:val="99"/>
        </w:rPr>
        <w:t>。</w:t>
      </w:r>
      <w:r>
        <w:rPr>
          <w:color w:val="auto"/>
        </w:rPr>
        <w:t>危废</w:t>
      </w:r>
      <w:r>
        <w:rPr>
          <w:rFonts w:hint="eastAsia"/>
          <w:color w:val="auto"/>
        </w:rPr>
        <w:t>暂存间</w:t>
      </w:r>
      <w:r>
        <w:rPr>
          <w:color w:val="auto"/>
        </w:rPr>
        <w:t>须满足《危险废物贮存污染控制标准》（GB18597-2001）要求：危废临时贮存间的混凝土基础做防渗处理，防渗层采用2mm厚的防渗材料，保证渗透系数≤10</w:t>
      </w:r>
      <w:r>
        <w:rPr>
          <w:color w:val="auto"/>
          <w:vertAlign w:val="superscript"/>
        </w:rPr>
        <w:t>-10</w:t>
      </w:r>
      <w:r>
        <w:rPr>
          <w:color w:val="auto"/>
        </w:rPr>
        <w:t>cm/s，并采用环氧漆做防腐防渗处理；危废的贮存场所设置明显标志；贮存场所内禁止混放不相溶危险废物；危废的转移执行国家环保总局第5号令《危险废物转移联单管理办法》。</w:t>
      </w:r>
    </w:p>
    <w:p>
      <w:pPr>
        <w:pStyle w:val="11"/>
        <w:ind w:firstLine="480"/>
        <w:rPr>
          <w:color w:val="auto"/>
        </w:rPr>
      </w:pPr>
      <w:r>
        <w:rPr>
          <w:rFonts w:hint="eastAsia"/>
          <w:color w:val="auto"/>
        </w:rPr>
        <w:t>项目危险废物废物分类及危害汇总表及建设项目危险废物贮存场所（设施）基本情况一览表见下表。</w:t>
      </w:r>
    </w:p>
    <w:p>
      <w:pPr>
        <w:tabs>
          <w:tab w:val="left" w:pos="3260"/>
        </w:tabs>
        <w:ind w:firstLine="482"/>
        <w:jc w:val="left"/>
        <w:rPr>
          <w:rFonts w:ascii="宋体" w:hAnsi="宋体" w:cs="宋体"/>
          <w:b/>
          <w:bCs/>
          <w:color w:val="auto"/>
        </w:rPr>
      </w:pPr>
    </w:p>
    <w:p>
      <w:pPr>
        <w:tabs>
          <w:tab w:val="left" w:pos="3260"/>
        </w:tabs>
        <w:ind w:firstLine="1928" w:firstLineChars="800"/>
        <w:jc w:val="left"/>
        <w:rPr>
          <w:rFonts w:ascii="宋体" w:hAnsi="宋体" w:cs="宋体"/>
          <w:color w:val="auto"/>
        </w:rPr>
      </w:pPr>
      <w:r>
        <w:rPr>
          <w:rFonts w:ascii="宋体" w:hAnsi="宋体" w:cs="宋体"/>
          <w:b/>
          <w:bCs/>
          <w:color w:val="auto"/>
        </w:rPr>
        <w:t>表</w:t>
      </w:r>
      <w:r>
        <w:rPr>
          <w:rFonts w:eastAsia="Times New Roman"/>
          <w:b/>
          <w:bCs/>
          <w:color w:val="auto"/>
        </w:rPr>
        <w:t>6.2-7</w:t>
      </w:r>
      <w:r>
        <w:rPr>
          <w:rFonts w:eastAsia="Times New Roman"/>
          <w:b/>
          <w:bCs/>
          <w:color w:val="auto"/>
        </w:rPr>
        <w:tab/>
      </w:r>
      <w:r>
        <w:rPr>
          <w:rFonts w:ascii="宋体" w:hAnsi="宋体" w:cs="宋体"/>
          <w:b/>
          <w:bCs/>
          <w:color w:val="auto"/>
        </w:rPr>
        <w:t>项目危险废物分类及危害汇总表</w:t>
      </w:r>
    </w:p>
    <w:tbl>
      <w:tblPr>
        <w:tblStyle w:val="27"/>
        <w:tblW w:w="4993" w:type="pct"/>
        <w:tblInd w:w="0" w:type="dxa"/>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806"/>
        <w:gridCol w:w="783"/>
        <w:gridCol w:w="1168"/>
        <w:gridCol w:w="836"/>
        <w:gridCol w:w="976"/>
        <w:gridCol w:w="698"/>
        <w:gridCol w:w="734"/>
        <w:gridCol w:w="704"/>
        <w:gridCol w:w="510"/>
        <w:gridCol w:w="698"/>
        <w:gridCol w:w="1032"/>
      </w:tblGrid>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85" w:hRule="exact"/>
        </w:trPr>
        <w:tc>
          <w:tcPr>
            <w:tcW w:w="450" w:type="pct"/>
            <w:tcBorders>
              <w:tl2br w:val="nil"/>
              <w:tr2bl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b/>
                <w:bCs/>
                <w:color w:val="auto"/>
                <w:sz w:val="21"/>
                <w:szCs w:val="21"/>
              </w:rPr>
              <w:t>危险废物名称</w:t>
            </w:r>
          </w:p>
        </w:tc>
        <w:tc>
          <w:tcPr>
            <w:tcW w:w="437" w:type="pct"/>
            <w:tcBorders>
              <w:tl2br w:val="nil"/>
              <w:tr2bl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b/>
                <w:bCs/>
                <w:color w:val="auto"/>
                <w:sz w:val="21"/>
                <w:szCs w:val="21"/>
              </w:rPr>
              <w:t>危险废物类别</w:t>
            </w:r>
          </w:p>
        </w:tc>
        <w:tc>
          <w:tcPr>
            <w:tcW w:w="652" w:type="pct"/>
            <w:tcBorders>
              <w:tl2br w:val="nil"/>
              <w:tr2bl w:val="nil"/>
            </w:tcBorders>
            <w:vAlign w:val="center"/>
          </w:tcPr>
          <w:p>
            <w:pPr>
              <w:pStyle w:val="42"/>
              <w:adjustRightInd/>
              <w:snapToGrid/>
              <w:spacing w:line="240" w:lineRule="auto"/>
              <w:ind w:firstLine="0" w:firstLineChars="0"/>
              <w:jc w:val="center"/>
              <w:rPr>
                <w:rFonts w:ascii="宋体" w:hAnsi="宋体" w:cs="宋体"/>
                <w:b/>
                <w:bCs/>
                <w:color w:val="auto"/>
                <w:sz w:val="21"/>
                <w:szCs w:val="21"/>
              </w:rPr>
            </w:pPr>
            <w:r>
              <w:rPr>
                <w:rFonts w:ascii="宋体" w:hAnsi="宋体" w:cs="宋体"/>
                <w:b/>
                <w:bCs/>
                <w:color w:val="auto"/>
                <w:sz w:val="21"/>
                <w:szCs w:val="21"/>
              </w:rPr>
              <w:t>危险废物</w:t>
            </w:r>
          </w:p>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b/>
                <w:bCs/>
                <w:color w:val="auto"/>
                <w:sz w:val="21"/>
                <w:szCs w:val="21"/>
              </w:rPr>
              <w:t>代码</w:t>
            </w:r>
          </w:p>
        </w:tc>
        <w:tc>
          <w:tcPr>
            <w:tcW w:w="467" w:type="pct"/>
            <w:tcBorders>
              <w:tl2br w:val="nil"/>
              <w:tr2bl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b/>
                <w:bCs/>
                <w:color w:val="auto"/>
                <w:sz w:val="21"/>
                <w:szCs w:val="21"/>
              </w:rPr>
              <w:t>产生量</w:t>
            </w:r>
          </w:p>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b/>
                <w:bCs/>
                <w:color w:val="auto"/>
                <w:spacing w:val="-10"/>
                <w:sz w:val="21"/>
                <w:szCs w:val="21"/>
              </w:rPr>
              <w:t>（</w:t>
            </w:r>
            <w:r>
              <w:rPr>
                <w:rFonts w:eastAsia="Times New Roman"/>
                <w:b/>
                <w:bCs/>
                <w:color w:val="auto"/>
                <w:spacing w:val="-10"/>
                <w:sz w:val="21"/>
                <w:szCs w:val="21"/>
              </w:rPr>
              <w:t>t/a</w:t>
            </w:r>
            <w:r>
              <w:rPr>
                <w:rFonts w:ascii="宋体" w:hAnsi="宋体" w:cs="宋体"/>
                <w:b/>
                <w:bCs/>
                <w:color w:val="auto"/>
                <w:spacing w:val="-10"/>
                <w:sz w:val="21"/>
                <w:szCs w:val="21"/>
              </w:rPr>
              <w:t>）</w:t>
            </w:r>
          </w:p>
        </w:tc>
        <w:tc>
          <w:tcPr>
            <w:tcW w:w="545" w:type="pct"/>
            <w:tcBorders>
              <w:tl2br w:val="nil"/>
              <w:tr2bl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b/>
                <w:bCs/>
                <w:color w:val="auto"/>
                <w:sz w:val="21"/>
                <w:szCs w:val="21"/>
              </w:rPr>
              <w:t>产生工序</w:t>
            </w:r>
            <w:r>
              <w:rPr>
                <w:rFonts w:ascii="宋体" w:hAnsi="宋体" w:cs="宋体"/>
                <w:b/>
                <w:bCs/>
                <w:color w:val="auto"/>
                <w:w w:val="99"/>
                <w:sz w:val="21"/>
                <w:szCs w:val="21"/>
              </w:rPr>
              <w:t xml:space="preserve"> </w:t>
            </w:r>
            <w:r>
              <w:rPr>
                <w:rFonts w:ascii="宋体" w:hAnsi="宋体" w:cs="宋体"/>
                <w:b/>
                <w:bCs/>
                <w:color w:val="auto"/>
                <w:sz w:val="21"/>
                <w:szCs w:val="21"/>
              </w:rPr>
              <w:t>及装置</w:t>
            </w:r>
          </w:p>
        </w:tc>
        <w:tc>
          <w:tcPr>
            <w:tcW w:w="390" w:type="pct"/>
            <w:tcBorders>
              <w:tl2br w:val="nil"/>
              <w:tr2bl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b/>
                <w:bCs/>
                <w:color w:val="auto"/>
                <w:sz w:val="21"/>
                <w:szCs w:val="21"/>
              </w:rPr>
              <w:t>形态</w:t>
            </w:r>
          </w:p>
        </w:tc>
        <w:tc>
          <w:tcPr>
            <w:tcW w:w="410" w:type="pct"/>
            <w:tcBorders>
              <w:tl2br w:val="nil"/>
              <w:tr2bl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b/>
                <w:bCs/>
                <w:color w:val="auto"/>
                <w:sz w:val="21"/>
                <w:szCs w:val="21"/>
              </w:rPr>
              <w:t>主要</w:t>
            </w:r>
            <w:r>
              <w:rPr>
                <w:rFonts w:ascii="宋体" w:hAnsi="宋体" w:cs="宋体"/>
                <w:b/>
                <w:bCs/>
                <w:color w:val="auto"/>
                <w:w w:val="99"/>
                <w:sz w:val="21"/>
                <w:szCs w:val="21"/>
              </w:rPr>
              <w:t xml:space="preserve"> </w:t>
            </w:r>
            <w:r>
              <w:rPr>
                <w:rFonts w:ascii="宋体" w:hAnsi="宋体" w:cs="宋体"/>
                <w:b/>
                <w:bCs/>
                <w:color w:val="auto"/>
                <w:sz w:val="21"/>
                <w:szCs w:val="21"/>
              </w:rPr>
              <w:t>成分</w:t>
            </w:r>
          </w:p>
        </w:tc>
        <w:tc>
          <w:tcPr>
            <w:tcW w:w="393" w:type="pct"/>
            <w:tcBorders>
              <w:tl2br w:val="nil"/>
              <w:tr2bl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b/>
                <w:bCs/>
                <w:color w:val="auto"/>
                <w:sz w:val="21"/>
                <w:szCs w:val="21"/>
              </w:rPr>
              <w:t>有害</w:t>
            </w:r>
            <w:r>
              <w:rPr>
                <w:rFonts w:ascii="宋体" w:hAnsi="宋体" w:cs="宋体"/>
                <w:b/>
                <w:bCs/>
                <w:color w:val="auto"/>
                <w:w w:val="99"/>
                <w:sz w:val="21"/>
                <w:szCs w:val="21"/>
              </w:rPr>
              <w:t xml:space="preserve"> </w:t>
            </w:r>
            <w:r>
              <w:rPr>
                <w:rFonts w:ascii="宋体" w:hAnsi="宋体" w:cs="宋体"/>
                <w:b/>
                <w:bCs/>
                <w:color w:val="auto"/>
                <w:sz w:val="21"/>
                <w:szCs w:val="21"/>
              </w:rPr>
              <w:t>成分</w:t>
            </w:r>
          </w:p>
        </w:tc>
        <w:tc>
          <w:tcPr>
            <w:tcW w:w="285" w:type="pct"/>
            <w:tcBorders>
              <w:tl2br w:val="nil"/>
              <w:tr2bl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b/>
                <w:bCs/>
                <w:color w:val="auto"/>
                <w:sz w:val="21"/>
                <w:szCs w:val="21"/>
              </w:rPr>
              <w:t>产废</w:t>
            </w:r>
            <w:r>
              <w:rPr>
                <w:rFonts w:ascii="宋体" w:hAnsi="宋体" w:cs="宋体"/>
                <w:b/>
                <w:bCs/>
                <w:color w:val="auto"/>
                <w:w w:val="99"/>
                <w:sz w:val="21"/>
                <w:szCs w:val="21"/>
              </w:rPr>
              <w:t xml:space="preserve"> </w:t>
            </w:r>
            <w:r>
              <w:rPr>
                <w:rFonts w:ascii="宋体" w:hAnsi="宋体" w:cs="宋体"/>
                <w:b/>
                <w:bCs/>
                <w:color w:val="auto"/>
                <w:sz w:val="21"/>
                <w:szCs w:val="21"/>
              </w:rPr>
              <w:t>周期</w:t>
            </w:r>
          </w:p>
        </w:tc>
        <w:tc>
          <w:tcPr>
            <w:tcW w:w="390" w:type="pct"/>
            <w:tcBorders>
              <w:tl2br w:val="nil"/>
              <w:tr2bl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b/>
                <w:bCs/>
                <w:color w:val="auto"/>
                <w:sz w:val="21"/>
                <w:szCs w:val="21"/>
              </w:rPr>
              <w:t>危险</w:t>
            </w:r>
            <w:r>
              <w:rPr>
                <w:rFonts w:ascii="宋体" w:hAnsi="宋体" w:cs="宋体"/>
                <w:b/>
                <w:bCs/>
                <w:color w:val="auto"/>
                <w:w w:val="99"/>
                <w:sz w:val="21"/>
                <w:szCs w:val="21"/>
              </w:rPr>
              <w:t xml:space="preserve"> </w:t>
            </w:r>
            <w:r>
              <w:rPr>
                <w:rFonts w:ascii="宋体" w:hAnsi="宋体" w:cs="宋体"/>
                <w:b/>
                <w:bCs/>
                <w:color w:val="auto"/>
                <w:sz w:val="21"/>
                <w:szCs w:val="21"/>
              </w:rPr>
              <w:t>特性</w:t>
            </w:r>
          </w:p>
        </w:tc>
        <w:tc>
          <w:tcPr>
            <w:tcW w:w="576" w:type="pct"/>
            <w:tcBorders>
              <w:tl2br w:val="nil"/>
              <w:tr2bl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b/>
                <w:bCs/>
                <w:color w:val="auto"/>
                <w:sz w:val="21"/>
                <w:szCs w:val="21"/>
              </w:rPr>
              <w:t>污染防治</w:t>
            </w:r>
            <w:r>
              <w:rPr>
                <w:rFonts w:ascii="宋体" w:hAnsi="宋体" w:cs="宋体"/>
                <w:b/>
                <w:bCs/>
                <w:color w:val="auto"/>
                <w:w w:val="99"/>
                <w:sz w:val="21"/>
                <w:szCs w:val="21"/>
              </w:rPr>
              <w:t xml:space="preserve"> </w:t>
            </w:r>
            <w:r>
              <w:rPr>
                <w:rFonts w:ascii="宋体" w:hAnsi="宋体" w:cs="宋体"/>
                <w:b/>
                <w:bCs/>
                <w:color w:val="auto"/>
                <w:sz w:val="21"/>
                <w:szCs w:val="21"/>
              </w:rPr>
              <w:t>措施</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210" w:hRule="exact"/>
        </w:trPr>
        <w:tc>
          <w:tcPr>
            <w:tcW w:w="450" w:type="pct"/>
            <w:tcBorders>
              <w:tl2br w:val="nil"/>
              <w:tr2bl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color w:val="auto"/>
                <w:sz w:val="21"/>
                <w:szCs w:val="21"/>
              </w:rPr>
              <w:t>医疗</w:t>
            </w:r>
          </w:p>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color w:val="auto"/>
                <w:sz w:val="21"/>
                <w:szCs w:val="21"/>
              </w:rPr>
              <w:t>固废</w:t>
            </w:r>
          </w:p>
        </w:tc>
        <w:tc>
          <w:tcPr>
            <w:tcW w:w="437" w:type="pct"/>
            <w:tcBorders>
              <w:tl2br w:val="nil"/>
              <w:tr2bl w:val="nil"/>
            </w:tcBorders>
            <w:vAlign w:val="center"/>
          </w:tcPr>
          <w:p>
            <w:pPr>
              <w:pStyle w:val="42"/>
              <w:adjustRightInd/>
              <w:snapToGrid/>
              <w:spacing w:line="240" w:lineRule="auto"/>
              <w:ind w:firstLine="0" w:firstLineChars="0"/>
              <w:jc w:val="center"/>
              <w:rPr>
                <w:rFonts w:eastAsia="Times New Roman"/>
                <w:color w:val="auto"/>
                <w:sz w:val="21"/>
                <w:szCs w:val="21"/>
              </w:rPr>
            </w:pPr>
            <w:r>
              <w:rPr>
                <w:color w:val="auto"/>
                <w:sz w:val="21"/>
              </w:rPr>
              <w:t>HW01</w:t>
            </w:r>
          </w:p>
        </w:tc>
        <w:tc>
          <w:tcPr>
            <w:tcW w:w="652" w:type="pct"/>
            <w:tcBorders>
              <w:tl2br w:val="nil"/>
              <w:tr2bl w:val="nil"/>
            </w:tcBorders>
            <w:vAlign w:val="center"/>
          </w:tcPr>
          <w:p>
            <w:pPr>
              <w:pStyle w:val="42"/>
              <w:adjustRightInd/>
              <w:snapToGrid/>
              <w:spacing w:line="240" w:lineRule="auto"/>
              <w:ind w:firstLine="0" w:firstLineChars="0"/>
              <w:jc w:val="center"/>
              <w:rPr>
                <w:rFonts w:eastAsia="Times New Roman"/>
                <w:color w:val="auto"/>
                <w:sz w:val="21"/>
                <w:szCs w:val="21"/>
              </w:rPr>
            </w:pPr>
            <w:r>
              <w:rPr>
                <w:color w:val="auto"/>
                <w:sz w:val="21"/>
              </w:rPr>
              <w:t>831-002-01</w:t>
            </w:r>
          </w:p>
        </w:tc>
        <w:tc>
          <w:tcPr>
            <w:tcW w:w="467" w:type="pct"/>
            <w:tcBorders>
              <w:tl2br w:val="nil"/>
              <w:tr2bl w:val="nil"/>
            </w:tcBorders>
            <w:vAlign w:val="center"/>
          </w:tcPr>
          <w:p>
            <w:pPr>
              <w:pStyle w:val="42"/>
              <w:adjustRightInd/>
              <w:snapToGrid/>
              <w:spacing w:line="240" w:lineRule="auto"/>
              <w:ind w:firstLine="0" w:firstLineChars="0"/>
              <w:jc w:val="center"/>
              <w:rPr>
                <w:color w:val="auto"/>
                <w:sz w:val="21"/>
                <w:szCs w:val="21"/>
              </w:rPr>
            </w:pPr>
            <w:r>
              <w:rPr>
                <w:color w:val="auto"/>
                <w:sz w:val="21"/>
              </w:rPr>
              <w:t>0.</w:t>
            </w:r>
            <w:r>
              <w:rPr>
                <w:rFonts w:hint="eastAsia"/>
                <w:color w:val="auto"/>
                <w:sz w:val="21"/>
              </w:rPr>
              <w:t>25</w:t>
            </w:r>
          </w:p>
        </w:tc>
        <w:tc>
          <w:tcPr>
            <w:tcW w:w="545" w:type="pct"/>
            <w:tcBorders>
              <w:tl2br w:val="nil"/>
              <w:tr2bl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color w:val="auto"/>
                <w:sz w:val="21"/>
                <w:szCs w:val="21"/>
              </w:rPr>
              <w:t>防疫</w:t>
            </w:r>
          </w:p>
        </w:tc>
        <w:tc>
          <w:tcPr>
            <w:tcW w:w="390" w:type="pct"/>
            <w:tcBorders>
              <w:tl2br w:val="nil"/>
              <w:tr2bl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color w:val="auto"/>
                <w:sz w:val="21"/>
                <w:szCs w:val="21"/>
              </w:rPr>
              <w:t>固态</w:t>
            </w:r>
          </w:p>
        </w:tc>
        <w:tc>
          <w:tcPr>
            <w:tcW w:w="410" w:type="pct"/>
            <w:tcBorders>
              <w:tl2br w:val="nil"/>
              <w:tr2bl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color w:val="auto"/>
                <w:sz w:val="21"/>
                <w:szCs w:val="21"/>
              </w:rPr>
              <w:t>塑料、玻璃</w:t>
            </w:r>
          </w:p>
        </w:tc>
        <w:tc>
          <w:tcPr>
            <w:tcW w:w="393" w:type="pct"/>
            <w:tcBorders>
              <w:tl2br w:val="nil"/>
              <w:tr2bl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color w:val="auto"/>
                <w:sz w:val="21"/>
                <w:szCs w:val="21"/>
              </w:rPr>
              <w:t>感染</w:t>
            </w:r>
          </w:p>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color w:val="auto"/>
                <w:sz w:val="21"/>
                <w:szCs w:val="21"/>
              </w:rPr>
              <w:t>病菌</w:t>
            </w:r>
          </w:p>
        </w:tc>
        <w:tc>
          <w:tcPr>
            <w:tcW w:w="285" w:type="pct"/>
            <w:tcBorders>
              <w:tl2br w:val="nil"/>
              <w:tr2bl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eastAsia="Times New Roman"/>
                <w:color w:val="auto"/>
                <w:sz w:val="21"/>
                <w:szCs w:val="21"/>
              </w:rPr>
              <w:t>6</w:t>
            </w:r>
            <w:r>
              <w:rPr>
                <w:rFonts w:ascii="宋体" w:hAnsi="宋体" w:cs="宋体"/>
                <w:color w:val="auto"/>
                <w:sz w:val="21"/>
                <w:szCs w:val="21"/>
              </w:rPr>
              <w:t>月</w:t>
            </w:r>
          </w:p>
        </w:tc>
        <w:tc>
          <w:tcPr>
            <w:tcW w:w="390" w:type="pct"/>
            <w:tcBorders>
              <w:tl2br w:val="nil"/>
              <w:tr2bl w:val="nil"/>
            </w:tcBorders>
            <w:vAlign w:val="center"/>
          </w:tcPr>
          <w:p>
            <w:pPr>
              <w:pStyle w:val="42"/>
              <w:adjustRightInd/>
              <w:snapToGrid/>
              <w:spacing w:line="240" w:lineRule="auto"/>
              <w:ind w:firstLine="0" w:firstLineChars="0"/>
              <w:jc w:val="center"/>
              <w:rPr>
                <w:rFonts w:eastAsia="Times New Roman"/>
                <w:color w:val="auto"/>
                <w:sz w:val="21"/>
                <w:szCs w:val="21"/>
              </w:rPr>
            </w:pPr>
            <w:r>
              <w:rPr>
                <w:color w:val="auto"/>
                <w:sz w:val="21"/>
              </w:rPr>
              <w:t>In</w:t>
            </w:r>
          </w:p>
        </w:tc>
        <w:tc>
          <w:tcPr>
            <w:tcW w:w="576" w:type="pct"/>
            <w:tcBorders>
              <w:tl2br w:val="nil"/>
              <w:tr2bl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color w:val="auto"/>
                <w:sz w:val="21"/>
                <w:szCs w:val="21"/>
              </w:rPr>
              <w:t>定期委托</w:t>
            </w:r>
          </w:p>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color w:val="auto"/>
                <w:sz w:val="21"/>
                <w:szCs w:val="21"/>
              </w:rPr>
              <w:t>有资质的</w:t>
            </w:r>
          </w:p>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color w:val="auto"/>
                <w:sz w:val="21"/>
                <w:szCs w:val="21"/>
              </w:rPr>
              <w:t>单位安全</w:t>
            </w:r>
          </w:p>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color w:val="auto"/>
                <w:sz w:val="21"/>
                <w:szCs w:val="21"/>
              </w:rPr>
              <w:t>处置</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581" w:hRule="exact"/>
        </w:trPr>
        <w:tc>
          <w:tcPr>
            <w:tcW w:w="450" w:type="pct"/>
            <w:tcBorders>
              <w:tl2br w:val="nil"/>
              <w:tr2bl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color w:val="auto"/>
                <w:sz w:val="21"/>
                <w:szCs w:val="21"/>
              </w:rPr>
              <w:t>病死猪</w:t>
            </w:r>
          </w:p>
        </w:tc>
        <w:tc>
          <w:tcPr>
            <w:tcW w:w="437" w:type="pct"/>
            <w:tcBorders>
              <w:tl2br w:val="nil"/>
              <w:tr2bl w:val="nil"/>
            </w:tcBorders>
            <w:vAlign w:val="center"/>
          </w:tcPr>
          <w:p>
            <w:pPr>
              <w:pStyle w:val="42"/>
              <w:adjustRightInd/>
              <w:snapToGrid/>
              <w:spacing w:line="240" w:lineRule="auto"/>
              <w:ind w:firstLine="0" w:firstLineChars="0"/>
              <w:jc w:val="center"/>
              <w:rPr>
                <w:rFonts w:eastAsia="Times New Roman"/>
                <w:color w:val="auto"/>
                <w:sz w:val="21"/>
                <w:szCs w:val="21"/>
              </w:rPr>
            </w:pPr>
            <w:r>
              <w:rPr>
                <w:color w:val="auto"/>
                <w:sz w:val="21"/>
              </w:rPr>
              <w:t>HW01</w:t>
            </w:r>
          </w:p>
        </w:tc>
        <w:tc>
          <w:tcPr>
            <w:tcW w:w="652" w:type="pct"/>
            <w:tcBorders>
              <w:tl2br w:val="nil"/>
              <w:tr2bl w:val="nil"/>
            </w:tcBorders>
            <w:vAlign w:val="center"/>
          </w:tcPr>
          <w:p>
            <w:pPr>
              <w:pStyle w:val="42"/>
              <w:adjustRightInd/>
              <w:snapToGrid/>
              <w:spacing w:line="240" w:lineRule="auto"/>
              <w:ind w:firstLine="0" w:firstLineChars="0"/>
              <w:jc w:val="center"/>
              <w:rPr>
                <w:rFonts w:eastAsia="Times New Roman"/>
                <w:color w:val="auto"/>
                <w:sz w:val="21"/>
                <w:szCs w:val="21"/>
              </w:rPr>
            </w:pPr>
            <w:r>
              <w:rPr>
                <w:color w:val="auto"/>
                <w:sz w:val="21"/>
              </w:rPr>
              <w:t>831-003-01</w:t>
            </w:r>
          </w:p>
        </w:tc>
        <w:tc>
          <w:tcPr>
            <w:tcW w:w="467" w:type="pct"/>
            <w:tcBorders>
              <w:tl2br w:val="nil"/>
              <w:tr2bl w:val="nil"/>
            </w:tcBorders>
            <w:vAlign w:val="center"/>
          </w:tcPr>
          <w:p>
            <w:pPr>
              <w:pStyle w:val="42"/>
              <w:adjustRightInd/>
              <w:snapToGrid/>
              <w:spacing w:line="240" w:lineRule="auto"/>
              <w:ind w:firstLine="0" w:firstLineChars="0"/>
              <w:jc w:val="center"/>
              <w:rPr>
                <w:color w:val="auto"/>
                <w:sz w:val="21"/>
                <w:szCs w:val="21"/>
              </w:rPr>
            </w:pPr>
            <w:r>
              <w:rPr>
                <w:rFonts w:hint="eastAsia"/>
                <w:color w:val="auto"/>
                <w:sz w:val="21"/>
              </w:rPr>
              <w:t>9.6</w:t>
            </w:r>
          </w:p>
        </w:tc>
        <w:tc>
          <w:tcPr>
            <w:tcW w:w="545" w:type="pct"/>
            <w:tcBorders>
              <w:tl2br w:val="nil"/>
              <w:tr2bl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color w:val="auto"/>
                <w:sz w:val="21"/>
                <w:szCs w:val="21"/>
              </w:rPr>
              <w:t>养殖</w:t>
            </w:r>
          </w:p>
        </w:tc>
        <w:tc>
          <w:tcPr>
            <w:tcW w:w="390" w:type="pct"/>
            <w:tcBorders>
              <w:tl2br w:val="nil"/>
              <w:tr2bl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color w:val="auto"/>
                <w:sz w:val="21"/>
                <w:szCs w:val="21"/>
              </w:rPr>
              <w:t>固态</w:t>
            </w:r>
          </w:p>
        </w:tc>
        <w:tc>
          <w:tcPr>
            <w:tcW w:w="410" w:type="pct"/>
            <w:tcBorders>
              <w:tl2br w:val="nil"/>
              <w:tr2bl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color w:val="auto"/>
                <w:sz w:val="21"/>
                <w:szCs w:val="21"/>
              </w:rPr>
              <w:t>动物尸体</w:t>
            </w:r>
          </w:p>
        </w:tc>
        <w:tc>
          <w:tcPr>
            <w:tcW w:w="393" w:type="pct"/>
            <w:tcBorders>
              <w:tl2br w:val="nil"/>
              <w:tr2bl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color w:val="auto"/>
                <w:sz w:val="21"/>
                <w:szCs w:val="21"/>
              </w:rPr>
              <w:t>感染</w:t>
            </w:r>
            <w:r>
              <w:rPr>
                <w:rFonts w:ascii="宋体" w:hAnsi="宋体" w:cs="宋体"/>
                <w:color w:val="auto"/>
                <w:w w:val="99"/>
                <w:sz w:val="21"/>
                <w:szCs w:val="21"/>
              </w:rPr>
              <w:t xml:space="preserve"> </w:t>
            </w:r>
            <w:r>
              <w:rPr>
                <w:rFonts w:ascii="宋体" w:hAnsi="宋体" w:cs="宋体"/>
                <w:color w:val="auto"/>
                <w:sz w:val="21"/>
                <w:szCs w:val="21"/>
              </w:rPr>
              <w:t>病菌</w:t>
            </w:r>
          </w:p>
        </w:tc>
        <w:tc>
          <w:tcPr>
            <w:tcW w:w="285" w:type="pct"/>
            <w:tcBorders>
              <w:tl2br w:val="nil"/>
              <w:tr2bl w:val="nil"/>
            </w:tcBorders>
            <w:vAlign w:val="center"/>
          </w:tcPr>
          <w:p>
            <w:pPr>
              <w:pStyle w:val="42"/>
              <w:adjustRightInd/>
              <w:snapToGrid/>
              <w:spacing w:line="240" w:lineRule="auto"/>
              <w:ind w:firstLine="0" w:firstLineChars="0"/>
              <w:jc w:val="center"/>
              <w:rPr>
                <w:rFonts w:eastAsia="Times New Roman"/>
                <w:color w:val="auto"/>
                <w:sz w:val="21"/>
                <w:szCs w:val="21"/>
              </w:rPr>
            </w:pPr>
            <w:r>
              <w:rPr>
                <w:color w:val="auto"/>
                <w:sz w:val="21"/>
              </w:rPr>
              <w:t>1d</w:t>
            </w:r>
          </w:p>
        </w:tc>
        <w:tc>
          <w:tcPr>
            <w:tcW w:w="390" w:type="pct"/>
            <w:tcBorders>
              <w:tl2br w:val="nil"/>
              <w:tr2bl w:val="nil"/>
            </w:tcBorders>
            <w:vAlign w:val="center"/>
          </w:tcPr>
          <w:p>
            <w:pPr>
              <w:pStyle w:val="42"/>
              <w:adjustRightInd/>
              <w:snapToGrid/>
              <w:spacing w:line="240" w:lineRule="auto"/>
              <w:ind w:firstLine="0" w:firstLineChars="0"/>
              <w:jc w:val="center"/>
              <w:rPr>
                <w:rFonts w:eastAsia="Times New Roman"/>
                <w:color w:val="auto"/>
                <w:sz w:val="21"/>
                <w:szCs w:val="21"/>
              </w:rPr>
            </w:pPr>
            <w:r>
              <w:rPr>
                <w:color w:val="auto"/>
                <w:sz w:val="21"/>
              </w:rPr>
              <w:t>In</w:t>
            </w:r>
          </w:p>
        </w:tc>
        <w:tc>
          <w:tcPr>
            <w:tcW w:w="576" w:type="pct"/>
            <w:tcBorders>
              <w:tl2br w:val="nil"/>
              <w:tr2bl w:val="nil"/>
            </w:tcBorders>
            <w:vAlign w:val="center"/>
          </w:tcPr>
          <w:p>
            <w:pPr>
              <w:pStyle w:val="42"/>
              <w:adjustRightInd/>
              <w:snapToGrid/>
              <w:spacing w:line="240" w:lineRule="auto"/>
              <w:ind w:firstLine="0" w:firstLineChars="0"/>
              <w:jc w:val="center"/>
              <w:rPr>
                <w:rFonts w:ascii="宋体" w:hAnsi="宋体" w:cs="宋体"/>
                <w:color w:val="auto"/>
                <w:spacing w:val="-13"/>
                <w:sz w:val="21"/>
                <w:szCs w:val="21"/>
              </w:rPr>
            </w:pPr>
            <w:r>
              <w:rPr>
                <w:rFonts w:ascii="宋体" w:hAnsi="宋体" w:cs="宋体"/>
                <w:color w:val="auto"/>
                <w:spacing w:val="-13"/>
                <w:sz w:val="21"/>
                <w:szCs w:val="21"/>
              </w:rPr>
              <w:t>经高温无</w:t>
            </w:r>
          </w:p>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color w:val="auto"/>
                <w:spacing w:val="-13"/>
                <w:sz w:val="21"/>
                <w:szCs w:val="21"/>
              </w:rPr>
              <w:t>害化处理</w:t>
            </w:r>
          </w:p>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color w:val="auto"/>
                <w:spacing w:val="-13"/>
                <w:sz w:val="21"/>
                <w:szCs w:val="21"/>
              </w:rPr>
              <w:t>后作为有机肥</w:t>
            </w:r>
            <w:r>
              <w:rPr>
                <w:rFonts w:hint="eastAsia" w:ascii="宋体" w:hAnsi="宋体" w:cs="宋体"/>
                <w:color w:val="auto"/>
                <w:spacing w:val="-13"/>
                <w:sz w:val="21"/>
                <w:szCs w:val="21"/>
              </w:rPr>
              <w:t>基料</w:t>
            </w:r>
          </w:p>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color w:val="auto"/>
                <w:spacing w:val="-8"/>
                <w:sz w:val="21"/>
                <w:szCs w:val="21"/>
              </w:rPr>
              <w:t>外售</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361" w:hRule="exact"/>
        </w:trPr>
        <w:tc>
          <w:tcPr>
            <w:tcW w:w="450" w:type="pct"/>
            <w:tcBorders>
              <w:tl2br w:val="nil"/>
              <w:tr2bl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hint="eastAsia" w:ascii="宋体" w:hAnsi="宋体" w:cs="宋体"/>
                <w:color w:val="auto"/>
                <w:sz w:val="21"/>
                <w:szCs w:val="21"/>
              </w:rPr>
              <w:t>废导热油</w:t>
            </w:r>
          </w:p>
        </w:tc>
        <w:tc>
          <w:tcPr>
            <w:tcW w:w="437" w:type="pct"/>
            <w:tcBorders>
              <w:tl2br w:val="nil"/>
              <w:tr2bl w:val="nil"/>
            </w:tcBorders>
            <w:vAlign w:val="center"/>
          </w:tcPr>
          <w:p>
            <w:pPr>
              <w:pStyle w:val="42"/>
              <w:adjustRightInd/>
              <w:snapToGrid/>
              <w:spacing w:line="240" w:lineRule="auto"/>
              <w:ind w:firstLine="0" w:firstLineChars="0"/>
              <w:jc w:val="center"/>
              <w:rPr>
                <w:color w:val="auto"/>
                <w:sz w:val="21"/>
              </w:rPr>
            </w:pPr>
            <w:r>
              <w:rPr>
                <w:rFonts w:hint="eastAsia"/>
                <w:color w:val="auto"/>
                <w:sz w:val="21"/>
              </w:rPr>
              <w:t>HW08</w:t>
            </w:r>
          </w:p>
        </w:tc>
        <w:tc>
          <w:tcPr>
            <w:tcW w:w="652" w:type="pct"/>
            <w:tcBorders>
              <w:tl2br w:val="nil"/>
              <w:tr2bl w:val="nil"/>
            </w:tcBorders>
            <w:vAlign w:val="center"/>
          </w:tcPr>
          <w:p>
            <w:pPr>
              <w:pStyle w:val="42"/>
              <w:adjustRightInd/>
              <w:snapToGrid/>
              <w:spacing w:line="240" w:lineRule="auto"/>
              <w:ind w:firstLine="0" w:firstLineChars="0"/>
              <w:jc w:val="center"/>
              <w:rPr>
                <w:color w:val="auto"/>
                <w:sz w:val="21"/>
              </w:rPr>
            </w:pPr>
            <w:r>
              <w:rPr>
                <w:color w:val="auto"/>
                <w:sz w:val="21"/>
              </w:rPr>
              <w:t>900</w:t>
            </w:r>
            <w:r>
              <w:rPr>
                <w:rFonts w:hint="eastAsia"/>
                <w:color w:val="auto"/>
                <w:sz w:val="21"/>
              </w:rPr>
              <w:t>-</w:t>
            </w:r>
            <w:r>
              <w:rPr>
                <w:color w:val="auto"/>
                <w:sz w:val="21"/>
              </w:rPr>
              <w:t>249</w:t>
            </w:r>
            <w:r>
              <w:rPr>
                <w:rFonts w:hint="eastAsia"/>
                <w:color w:val="auto"/>
                <w:sz w:val="21"/>
              </w:rPr>
              <w:t>-</w:t>
            </w:r>
            <w:r>
              <w:rPr>
                <w:color w:val="auto"/>
                <w:sz w:val="21"/>
              </w:rPr>
              <w:t>08</w:t>
            </w:r>
          </w:p>
        </w:tc>
        <w:tc>
          <w:tcPr>
            <w:tcW w:w="467" w:type="pct"/>
            <w:tcBorders>
              <w:tl2br w:val="nil"/>
              <w:tr2bl w:val="nil"/>
            </w:tcBorders>
            <w:vAlign w:val="center"/>
          </w:tcPr>
          <w:p>
            <w:pPr>
              <w:pStyle w:val="42"/>
              <w:adjustRightInd/>
              <w:snapToGrid/>
              <w:spacing w:line="240" w:lineRule="auto"/>
              <w:ind w:firstLine="0" w:firstLineChars="0"/>
              <w:jc w:val="center"/>
              <w:rPr>
                <w:color w:val="auto"/>
                <w:sz w:val="21"/>
              </w:rPr>
            </w:pPr>
            <w:r>
              <w:rPr>
                <w:rFonts w:hint="eastAsia"/>
                <w:color w:val="auto"/>
                <w:sz w:val="21"/>
              </w:rPr>
              <w:t>0.125</w:t>
            </w:r>
          </w:p>
        </w:tc>
        <w:tc>
          <w:tcPr>
            <w:tcW w:w="545" w:type="pct"/>
            <w:tcBorders>
              <w:tl2br w:val="nil"/>
              <w:tr2bl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hint="eastAsia" w:ascii="宋体" w:hAnsi="宋体" w:cs="宋体"/>
                <w:color w:val="auto"/>
                <w:sz w:val="21"/>
                <w:szCs w:val="21"/>
              </w:rPr>
              <w:t>无害化处理机</w:t>
            </w:r>
          </w:p>
        </w:tc>
        <w:tc>
          <w:tcPr>
            <w:tcW w:w="390" w:type="pct"/>
            <w:tcBorders>
              <w:tl2br w:val="nil"/>
              <w:tr2bl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hint="eastAsia" w:ascii="宋体" w:hAnsi="宋体" w:cs="宋体"/>
                <w:color w:val="auto"/>
                <w:sz w:val="21"/>
                <w:szCs w:val="21"/>
              </w:rPr>
              <w:t>液态</w:t>
            </w:r>
          </w:p>
        </w:tc>
        <w:tc>
          <w:tcPr>
            <w:tcW w:w="410" w:type="pct"/>
            <w:tcBorders>
              <w:tl2br w:val="nil"/>
              <w:tr2bl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hint="eastAsia" w:ascii="宋体" w:hAnsi="宋体" w:cs="宋体"/>
                <w:color w:val="auto"/>
                <w:sz w:val="21"/>
                <w:szCs w:val="21"/>
              </w:rPr>
              <w:t>矿物油</w:t>
            </w:r>
          </w:p>
        </w:tc>
        <w:tc>
          <w:tcPr>
            <w:tcW w:w="393" w:type="pct"/>
            <w:tcBorders>
              <w:tl2br w:val="nil"/>
              <w:tr2bl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hint="eastAsia" w:ascii="宋体" w:hAnsi="宋体" w:cs="宋体"/>
                <w:color w:val="auto"/>
                <w:sz w:val="21"/>
                <w:szCs w:val="21"/>
              </w:rPr>
              <w:t>矿物油</w:t>
            </w:r>
          </w:p>
        </w:tc>
        <w:tc>
          <w:tcPr>
            <w:tcW w:w="285" w:type="pct"/>
            <w:tcBorders>
              <w:tl2br w:val="nil"/>
              <w:tr2bl w:val="nil"/>
            </w:tcBorders>
            <w:vAlign w:val="center"/>
          </w:tcPr>
          <w:p>
            <w:pPr>
              <w:pStyle w:val="42"/>
              <w:adjustRightInd/>
              <w:snapToGrid/>
              <w:spacing w:line="240" w:lineRule="auto"/>
              <w:ind w:firstLine="0" w:firstLineChars="0"/>
              <w:jc w:val="center"/>
              <w:rPr>
                <w:color w:val="auto"/>
                <w:sz w:val="21"/>
              </w:rPr>
            </w:pPr>
            <w:r>
              <w:rPr>
                <w:rFonts w:hint="eastAsia"/>
                <w:color w:val="auto"/>
                <w:sz w:val="21"/>
              </w:rPr>
              <w:t>2年</w:t>
            </w:r>
          </w:p>
        </w:tc>
        <w:tc>
          <w:tcPr>
            <w:tcW w:w="390" w:type="pct"/>
            <w:tcBorders>
              <w:tl2br w:val="nil"/>
              <w:tr2bl w:val="nil"/>
            </w:tcBorders>
            <w:vAlign w:val="center"/>
          </w:tcPr>
          <w:p>
            <w:pPr>
              <w:pStyle w:val="42"/>
              <w:adjustRightInd/>
              <w:snapToGrid/>
              <w:spacing w:line="240" w:lineRule="auto"/>
              <w:ind w:firstLine="0" w:firstLineChars="0"/>
              <w:jc w:val="center"/>
              <w:rPr>
                <w:color w:val="auto"/>
                <w:sz w:val="21"/>
              </w:rPr>
            </w:pPr>
            <w:r>
              <w:rPr>
                <w:rFonts w:hint="eastAsia"/>
                <w:color w:val="auto"/>
                <w:sz w:val="21"/>
              </w:rPr>
              <w:t>T，I</w:t>
            </w:r>
          </w:p>
        </w:tc>
        <w:tc>
          <w:tcPr>
            <w:tcW w:w="576" w:type="pct"/>
            <w:tcBorders>
              <w:tl2br w:val="nil"/>
              <w:tr2bl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color w:val="auto"/>
                <w:sz w:val="21"/>
                <w:szCs w:val="21"/>
              </w:rPr>
              <w:t>定期委托</w:t>
            </w:r>
          </w:p>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color w:val="auto"/>
                <w:sz w:val="21"/>
                <w:szCs w:val="21"/>
              </w:rPr>
              <w:t>有资质的</w:t>
            </w:r>
          </w:p>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color w:val="auto"/>
                <w:sz w:val="21"/>
                <w:szCs w:val="21"/>
              </w:rPr>
              <w:t>单位安全</w:t>
            </w:r>
          </w:p>
          <w:p>
            <w:pPr>
              <w:pStyle w:val="42"/>
              <w:adjustRightInd/>
              <w:snapToGrid/>
              <w:spacing w:line="240" w:lineRule="auto"/>
              <w:ind w:firstLine="0" w:firstLineChars="0"/>
              <w:jc w:val="center"/>
              <w:rPr>
                <w:rFonts w:ascii="宋体" w:hAnsi="宋体" w:cs="宋体"/>
                <w:color w:val="auto"/>
                <w:spacing w:val="-8"/>
                <w:sz w:val="21"/>
                <w:szCs w:val="21"/>
              </w:rPr>
            </w:pPr>
            <w:r>
              <w:rPr>
                <w:rFonts w:ascii="宋体" w:hAnsi="宋体" w:cs="宋体"/>
                <w:color w:val="auto"/>
                <w:sz w:val="21"/>
                <w:szCs w:val="21"/>
              </w:rPr>
              <w:t>处置</w:t>
            </w:r>
          </w:p>
        </w:tc>
      </w:tr>
    </w:tbl>
    <w:p>
      <w:pPr>
        <w:tabs>
          <w:tab w:val="left" w:pos="2737"/>
        </w:tabs>
        <w:spacing w:before="85"/>
        <w:ind w:left="548" w:right="212" w:firstLine="964" w:firstLineChars="400"/>
        <w:jc w:val="left"/>
        <w:rPr>
          <w:rFonts w:ascii="宋体" w:hAnsi="宋体" w:cs="宋体"/>
          <w:b/>
          <w:bCs/>
          <w:color w:val="auto"/>
        </w:rPr>
      </w:pPr>
      <w:r>
        <w:rPr>
          <w:rFonts w:ascii="宋体" w:hAnsi="宋体" w:cs="宋体"/>
          <w:b/>
          <w:bCs/>
          <w:color w:val="auto"/>
        </w:rPr>
        <w:t>表</w:t>
      </w:r>
      <w:r>
        <w:rPr>
          <w:rFonts w:ascii="宋体" w:hAnsi="宋体" w:cs="宋体"/>
          <w:b/>
          <w:bCs/>
          <w:color w:val="auto"/>
          <w:spacing w:val="-53"/>
        </w:rPr>
        <w:t xml:space="preserve"> </w:t>
      </w:r>
      <w:r>
        <w:rPr>
          <w:rFonts w:eastAsia="Times New Roman"/>
          <w:b/>
          <w:bCs/>
          <w:color w:val="auto"/>
        </w:rPr>
        <w:t>6.2-8</w:t>
      </w:r>
      <w:r>
        <w:rPr>
          <w:rFonts w:eastAsia="Times New Roman"/>
          <w:b/>
          <w:bCs/>
          <w:color w:val="auto"/>
        </w:rPr>
        <w:tab/>
      </w:r>
      <w:r>
        <w:rPr>
          <w:rFonts w:ascii="宋体" w:hAnsi="宋体" w:cs="宋体"/>
          <w:b/>
          <w:bCs/>
          <w:color w:val="auto"/>
        </w:rPr>
        <w:t>建设项目危险废物贮存场所（设施）基本情况一览表</w:t>
      </w:r>
    </w:p>
    <w:tbl>
      <w:tblPr>
        <w:tblStyle w:val="27"/>
        <w:tblW w:w="4997" w:type="pct"/>
        <w:tblInd w:w="0" w:type="dxa"/>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1242"/>
        <w:gridCol w:w="1138"/>
        <w:gridCol w:w="995"/>
        <w:gridCol w:w="1427"/>
        <w:gridCol w:w="771"/>
        <w:gridCol w:w="790"/>
        <w:gridCol w:w="1043"/>
        <w:gridCol w:w="744"/>
        <w:gridCol w:w="803"/>
      </w:tblGrid>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761" w:hRule="exact"/>
        </w:trPr>
        <w:tc>
          <w:tcPr>
            <w:tcW w:w="693" w:type="pct"/>
            <w:tcBorders>
              <w:tl2br w:val="nil"/>
              <w:tr2bl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b/>
                <w:bCs/>
                <w:color w:val="auto"/>
                <w:sz w:val="21"/>
                <w:szCs w:val="21"/>
              </w:rPr>
              <w:t>贮存场所名称</w:t>
            </w:r>
          </w:p>
        </w:tc>
        <w:tc>
          <w:tcPr>
            <w:tcW w:w="635" w:type="pct"/>
            <w:tcBorders>
              <w:tl2br w:val="nil"/>
              <w:tr2bl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b/>
                <w:bCs/>
                <w:color w:val="auto"/>
                <w:sz w:val="21"/>
                <w:szCs w:val="21"/>
              </w:rPr>
              <w:t>危险废物名称</w:t>
            </w:r>
          </w:p>
        </w:tc>
        <w:tc>
          <w:tcPr>
            <w:tcW w:w="555" w:type="pct"/>
            <w:tcBorders>
              <w:tl2br w:val="nil"/>
              <w:tr2bl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b/>
                <w:bCs/>
                <w:color w:val="auto"/>
                <w:sz w:val="21"/>
                <w:szCs w:val="21"/>
              </w:rPr>
              <w:t>危险废物类别</w:t>
            </w:r>
          </w:p>
        </w:tc>
        <w:tc>
          <w:tcPr>
            <w:tcW w:w="796" w:type="pct"/>
            <w:tcBorders>
              <w:tl2br w:val="nil"/>
              <w:tr2bl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b/>
                <w:bCs/>
                <w:color w:val="auto"/>
                <w:sz w:val="21"/>
                <w:szCs w:val="21"/>
              </w:rPr>
              <w:t>危险废物代</w:t>
            </w:r>
            <w:r>
              <w:rPr>
                <w:rFonts w:ascii="宋体" w:hAnsi="宋体" w:cs="宋体"/>
                <w:b/>
                <w:bCs/>
                <w:color w:val="auto"/>
                <w:w w:val="99"/>
                <w:sz w:val="21"/>
                <w:szCs w:val="21"/>
              </w:rPr>
              <w:t xml:space="preserve"> </w:t>
            </w:r>
            <w:r>
              <w:rPr>
                <w:rFonts w:ascii="宋体" w:hAnsi="宋体" w:cs="宋体"/>
                <w:b/>
                <w:bCs/>
                <w:color w:val="auto"/>
                <w:sz w:val="21"/>
                <w:szCs w:val="21"/>
              </w:rPr>
              <w:t>码</w:t>
            </w:r>
          </w:p>
        </w:tc>
        <w:tc>
          <w:tcPr>
            <w:tcW w:w="430" w:type="pct"/>
            <w:tcBorders>
              <w:tl2br w:val="nil"/>
              <w:tr2bl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b/>
                <w:bCs/>
                <w:color w:val="auto"/>
                <w:sz w:val="21"/>
                <w:szCs w:val="21"/>
              </w:rPr>
              <w:t>位置</w:t>
            </w:r>
          </w:p>
        </w:tc>
        <w:tc>
          <w:tcPr>
            <w:tcW w:w="441" w:type="pct"/>
            <w:tcBorders>
              <w:tl2br w:val="nil"/>
              <w:tr2bl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b/>
                <w:bCs/>
                <w:color w:val="auto"/>
                <w:sz w:val="21"/>
                <w:szCs w:val="21"/>
              </w:rPr>
              <w:t>占地面积</w:t>
            </w:r>
          </w:p>
        </w:tc>
        <w:tc>
          <w:tcPr>
            <w:tcW w:w="582" w:type="pct"/>
            <w:tcBorders>
              <w:tl2br w:val="nil"/>
              <w:tr2bl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b/>
                <w:bCs/>
                <w:color w:val="auto"/>
                <w:sz w:val="21"/>
                <w:szCs w:val="21"/>
              </w:rPr>
              <w:t>贮存</w:t>
            </w:r>
            <w:r>
              <w:rPr>
                <w:rFonts w:ascii="宋体" w:hAnsi="宋体" w:cs="宋体"/>
                <w:b/>
                <w:bCs/>
                <w:color w:val="auto"/>
                <w:w w:val="99"/>
                <w:sz w:val="21"/>
                <w:szCs w:val="21"/>
              </w:rPr>
              <w:t xml:space="preserve"> </w:t>
            </w:r>
            <w:r>
              <w:rPr>
                <w:rFonts w:ascii="宋体" w:hAnsi="宋体" w:cs="宋体"/>
                <w:b/>
                <w:bCs/>
                <w:color w:val="auto"/>
                <w:sz w:val="21"/>
                <w:szCs w:val="21"/>
              </w:rPr>
              <w:t>方式</w:t>
            </w:r>
          </w:p>
        </w:tc>
        <w:tc>
          <w:tcPr>
            <w:tcW w:w="415" w:type="pct"/>
            <w:tcBorders>
              <w:tl2br w:val="nil"/>
              <w:tr2bl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b/>
                <w:bCs/>
                <w:color w:val="auto"/>
                <w:sz w:val="21"/>
                <w:szCs w:val="21"/>
              </w:rPr>
              <w:t>贮存</w:t>
            </w:r>
            <w:r>
              <w:rPr>
                <w:rFonts w:ascii="宋体" w:hAnsi="宋体" w:cs="宋体"/>
                <w:b/>
                <w:bCs/>
                <w:color w:val="auto"/>
                <w:w w:val="99"/>
                <w:sz w:val="21"/>
                <w:szCs w:val="21"/>
              </w:rPr>
              <w:t xml:space="preserve"> </w:t>
            </w:r>
            <w:r>
              <w:rPr>
                <w:rFonts w:ascii="宋体" w:hAnsi="宋体" w:cs="宋体"/>
                <w:b/>
                <w:bCs/>
                <w:color w:val="auto"/>
                <w:sz w:val="21"/>
                <w:szCs w:val="21"/>
              </w:rPr>
              <w:t>能力</w:t>
            </w:r>
          </w:p>
        </w:tc>
        <w:tc>
          <w:tcPr>
            <w:tcW w:w="448" w:type="pct"/>
            <w:tcBorders>
              <w:tl2br w:val="nil"/>
              <w:tr2bl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b/>
                <w:bCs/>
                <w:color w:val="auto"/>
                <w:sz w:val="21"/>
                <w:szCs w:val="21"/>
              </w:rPr>
              <w:t>贮存周期</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685" w:hRule="exact"/>
        </w:trPr>
        <w:tc>
          <w:tcPr>
            <w:tcW w:w="693" w:type="pct"/>
            <w:tcBorders>
              <w:tl2br w:val="nil"/>
              <w:tr2bl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hint="eastAsia" w:ascii="宋体" w:hAnsi="宋体" w:cs="宋体"/>
                <w:color w:val="auto"/>
                <w:sz w:val="21"/>
                <w:szCs w:val="21"/>
              </w:rPr>
              <w:t>危废暂存间</w:t>
            </w:r>
          </w:p>
        </w:tc>
        <w:tc>
          <w:tcPr>
            <w:tcW w:w="635" w:type="pct"/>
            <w:tcBorders>
              <w:tl2br w:val="nil"/>
              <w:tr2bl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color w:val="auto"/>
                <w:sz w:val="21"/>
                <w:szCs w:val="21"/>
              </w:rPr>
              <w:t>医疗废物</w:t>
            </w:r>
          </w:p>
        </w:tc>
        <w:tc>
          <w:tcPr>
            <w:tcW w:w="555" w:type="pct"/>
            <w:tcBorders>
              <w:tl2br w:val="nil"/>
              <w:tr2bl w:val="nil"/>
            </w:tcBorders>
            <w:vAlign w:val="center"/>
          </w:tcPr>
          <w:p>
            <w:pPr>
              <w:pStyle w:val="42"/>
              <w:adjustRightInd/>
              <w:snapToGrid/>
              <w:spacing w:line="240" w:lineRule="auto"/>
              <w:ind w:firstLine="0" w:firstLineChars="0"/>
              <w:jc w:val="center"/>
              <w:rPr>
                <w:rFonts w:eastAsia="Times New Roman"/>
                <w:color w:val="auto"/>
                <w:sz w:val="21"/>
                <w:szCs w:val="21"/>
              </w:rPr>
            </w:pPr>
            <w:r>
              <w:rPr>
                <w:color w:val="auto"/>
                <w:sz w:val="21"/>
              </w:rPr>
              <w:t>HW01</w:t>
            </w:r>
          </w:p>
        </w:tc>
        <w:tc>
          <w:tcPr>
            <w:tcW w:w="796" w:type="pct"/>
            <w:tcBorders>
              <w:tl2br w:val="nil"/>
              <w:tr2bl w:val="nil"/>
            </w:tcBorders>
            <w:vAlign w:val="center"/>
          </w:tcPr>
          <w:p>
            <w:pPr>
              <w:pStyle w:val="42"/>
              <w:adjustRightInd/>
              <w:snapToGrid/>
              <w:spacing w:line="240" w:lineRule="auto"/>
              <w:ind w:firstLine="0" w:firstLineChars="0"/>
              <w:jc w:val="center"/>
              <w:rPr>
                <w:rFonts w:eastAsia="Times New Roman"/>
                <w:color w:val="auto"/>
                <w:sz w:val="21"/>
                <w:szCs w:val="21"/>
              </w:rPr>
            </w:pPr>
            <w:r>
              <w:rPr>
                <w:color w:val="auto"/>
                <w:sz w:val="21"/>
              </w:rPr>
              <w:t>831-002-01</w:t>
            </w:r>
          </w:p>
        </w:tc>
        <w:tc>
          <w:tcPr>
            <w:tcW w:w="430" w:type="pct"/>
            <w:tcBorders>
              <w:tl2br w:val="nil"/>
              <w:tr2bl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hint="eastAsia" w:ascii="宋体" w:hAnsi="宋体" w:cs="宋体"/>
                <w:color w:val="auto"/>
                <w:sz w:val="21"/>
                <w:szCs w:val="21"/>
              </w:rPr>
              <w:t>厂区</w:t>
            </w:r>
            <w:r>
              <w:rPr>
                <w:rFonts w:hint="eastAsia" w:ascii="宋体" w:hAnsi="宋体" w:cs="宋体"/>
                <w:color w:val="auto"/>
                <w:w w:val="99"/>
                <w:sz w:val="21"/>
                <w:szCs w:val="21"/>
              </w:rPr>
              <w:t>东</w:t>
            </w:r>
            <w:r>
              <w:rPr>
                <w:rFonts w:ascii="宋体" w:hAnsi="宋体" w:cs="宋体"/>
                <w:color w:val="auto"/>
                <w:sz w:val="21"/>
                <w:szCs w:val="21"/>
              </w:rPr>
              <w:t>侧</w:t>
            </w:r>
          </w:p>
        </w:tc>
        <w:tc>
          <w:tcPr>
            <w:tcW w:w="441" w:type="pct"/>
            <w:tcBorders>
              <w:tl2br w:val="nil"/>
              <w:tr2bl w:val="nil"/>
            </w:tcBorders>
            <w:vAlign w:val="center"/>
          </w:tcPr>
          <w:p>
            <w:pPr>
              <w:pStyle w:val="42"/>
              <w:adjustRightInd/>
              <w:snapToGrid/>
              <w:spacing w:line="240" w:lineRule="auto"/>
              <w:ind w:firstLine="0" w:firstLineChars="0"/>
              <w:jc w:val="center"/>
              <w:rPr>
                <w:rFonts w:eastAsia="Times New Roman"/>
                <w:color w:val="auto"/>
                <w:sz w:val="13"/>
                <w:szCs w:val="13"/>
              </w:rPr>
            </w:pPr>
            <w:r>
              <w:rPr>
                <w:rFonts w:hint="eastAsia"/>
                <w:color w:val="auto"/>
                <w:sz w:val="21"/>
              </w:rPr>
              <w:t>5</w:t>
            </w:r>
            <w:r>
              <w:rPr>
                <w:color w:val="auto"/>
                <w:sz w:val="21"/>
              </w:rPr>
              <w:t>m</w:t>
            </w:r>
            <w:r>
              <w:rPr>
                <w:color w:val="auto"/>
                <w:position w:val="7"/>
                <w:sz w:val="13"/>
              </w:rPr>
              <w:t>2</w:t>
            </w:r>
          </w:p>
        </w:tc>
        <w:tc>
          <w:tcPr>
            <w:tcW w:w="582" w:type="pct"/>
            <w:tcBorders>
              <w:tl2br w:val="nil"/>
              <w:tr2bl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color w:val="auto"/>
                <w:sz w:val="21"/>
                <w:szCs w:val="21"/>
              </w:rPr>
              <w:t>收集后存放</w:t>
            </w:r>
          </w:p>
        </w:tc>
        <w:tc>
          <w:tcPr>
            <w:tcW w:w="415" w:type="pct"/>
            <w:tcBorders>
              <w:tl2br w:val="nil"/>
              <w:tr2bl w:val="nil"/>
            </w:tcBorders>
            <w:vAlign w:val="center"/>
          </w:tcPr>
          <w:p>
            <w:pPr>
              <w:pStyle w:val="42"/>
              <w:adjustRightInd/>
              <w:snapToGrid/>
              <w:spacing w:line="240" w:lineRule="auto"/>
              <w:ind w:firstLine="0" w:firstLineChars="0"/>
              <w:jc w:val="center"/>
              <w:rPr>
                <w:rFonts w:eastAsia="Times New Roman"/>
                <w:color w:val="auto"/>
                <w:sz w:val="21"/>
                <w:szCs w:val="21"/>
              </w:rPr>
            </w:pPr>
            <w:r>
              <w:rPr>
                <w:color w:val="auto"/>
                <w:sz w:val="21"/>
              </w:rPr>
              <w:t>0.5t</w:t>
            </w:r>
          </w:p>
        </w:tc>
        <w:tc>
          <w:tcPr>
            <w:tcW w:w="448" w:type="pct"/>
            <w:tcBorders>
              <w:tl2br w:val="nil"/>
              <w:tr2bl w:val="nil"/>
            </w:tcBorders>
            <w:vAlign w:val="center"/>
          </w:tcPr>
          <w:p>
            <w:pPr>
              <w:pStyle w:val="42"/>
              <w:adjustRightInd/>
              <w:snapToGrid/>
              <w:spacing w:line="240" w:lineRule="auto"/>
              <w:ind w:firstLine="0" w:firstLineChars="0"/>
              <w:jc w:val="center"/>
              <w:rPr>
                <w:rFonts w:eastAsia="Times New Roman"/>
                <w:color w:val="auto"/>
                <w:sz w:val="21"/>
                <w:szCs w:val="21"/>
              </w:rPr>
            </w:pPr>
            <w:r>
              <w:rPr>
                <w:color w:val="auto"/>
                <w:sz w:val="21"/>
              </w:rPr>
              <w:t>0.5a</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682" w:hRule="exact"/>
        </w:trPr>
        <w:tc>
          <w:tcPr>
            <w:tcW w:w="693" w:type="pct"/>
            <w:tcBorders>
              <w:tl2br w:val="nil"/>
              <w:tr2bl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color w:val="auto"/>
                <w:sz w:val="21"/>
                <w:szCs w:val="21"/>
              </w:rPr>
              <w:t>病死猪暂存间</w:t>
            </w:r>
          </w:p>
        </w:tc>
        <w:tc>
          <w:tcPr>
            <w:tcW w:w="635" w:type="pct"/>
            <w:tcBorders>
              <w:tl2br w:val="nil"/>
              <w:tr2bl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color w:val="auto"/>
                <w:sz w:val="21"/>
                <w:szCs w:val="21"/>
              </w:rPr>
              <w:t>病死猪</w:t>
            </w:r>
          </w:p>
        </w:tc>
        <w:tc>
          <w:tcPr>
            <w:tcW w:w="555" w:type="pct"/>
            <w:tcBorders>
              <w:tl2br w:val="nil"/>
              <w:tr2bl w:val="nil"/>
            </w:tcBorders>
            <w:vAlign w:val="center"/>
          </w:tcPr>
          <w:p>
            <w:pPr>
              <w:pStyle w:val="42"/>
              <w:adjustRightInd/>
              <w:snapToGrid/>
              <w:spacing w:line="240" w:lineRule="auto"/>
              <w:ind w:firstLine="0" w:firstLineChars="0"/>
              <w:jc w:val="center"/>
              <w:rPr>
                <w:rFonts w:eastAsia="Times New Roman"/>
                <w:color w:val="auto"/>
                <w:sz w:val="21"/>
                <w:szCs w:val="21"/>
              </w:rPr>
            </w:pPr>
            <w:r>
              <w:rPr>
                <w:color w:val="auto"/>
                <w:sz w:val="21"/>
              </w:rPr>
              <w:t>HW01</w:t>
            </w:r>
          </w:p>
        </w:tc>
        <w:tc>
          <w:tcPr>
            <w:tcW w:w="796" w:type="pct"/>
            <w:tcBorders>
              <w:tl2br w:val="nil"/>
              <w:tr2bl w:val="nil"/>
            </w:tcBorders>
            <w:vAlign w:val="center"/>
          </w:tcPr>
          <w:p>
            <w:pPr>
              <w:pStyle w:val="42"/>
              <w:adjustRightInd/>
              <w:snapToGrid/>
              <w:spacing w:line="240" w:lineRule="auto"/>
              <w:ind w:firstLine="0" w:firstLineChars="0"/>
              <w:jc w:val="center"/>
              <w:rPr>
                <w:rFonts w:eastAsia="Times New Roman"/>
                <w:color w:val="auto"/>
                <w:sz w:val="21"/>
                <w:szCs w:val="21"/>
              </w:rPr>
            </w:pPr>
            <w:r>
              <w:rPr>
                <w:color w:val="auto"/>
                <w:sz w:val="21"/>
              </w:rPr>
              <w:t>831-003-01</w:t>
            </w:r>
          </w:p>
        </w:tc>
        <w:tc>
          <w:tcPr>
            <w:tcW w:w="430" w:type="pct"/>
            <w:tcBorders>
              <w:tl2br w:val="nil"/>
              <w:tr2bl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hint="eastAsia" w:ascii="宋体" w:hAnsi="宋体" w:cs="宋体"/>
                <w:color w:val="auto"/>
                <w:sz w:val="21"/>
                <w:szCs w:val="21"/>
              </w:rPr>
              <w:t>厂区</w:t>
            </w:r>
          </w:p>
          <w:p>
            <w:pPr>
              <w:pStyle w:val="42"/>
              <w:adjustRightInd/>
              <w:snapToGrid/>
              <w:spacing w:line="240" w:lineRule="auto"/>
              <w:ind w:firstLine="0" w:firstLineChars="0"/>
              <w:jc w:val="center"/>
              <w:rPr>
                <w:rFonts w:ascii="宋体" w:hAnsi="宋体" w:cs="宋体"/>
                <w:color w:val="auto"/>
                <w:sz w:val="21"/>
                <w:szCs w:val="21"/>
              </w:rPr>
            </w:pPr>
            <w:r>
              <w:rPr>
                <w:rFonts w:hint="eastAsia" w:ascii="宋体" w:hAnsi="宋体" w:cs="宋体"/>
                <w:color w:val="auto"/>
                <w:sz w:val="21"/>
                <w:szCs w:val="21"/>
              </w:rPr>
              <w:t>东</w:t>
            </w:r>
            <w:r>
              <w:rPr>
                <w:rFonts w:ascii="宋体" w:hAnsi="宋体" w:cs="宋体"/>
                <w:color w:val="auto"/>
                <w:sz w:val="21"/>
                <w:szCs w:val="21"/>
              </w:rPr>
              <w:t>侧</w:t>
            </w:r>
          </w:p>
        </w:tc>
        <w:tc>
          <w:tcPr>
            <w:tcW w:w="441" w:type="pct"/>
            <w:tcBorders>
              <w:tl2br w:val="nil"/>
              <w:tr2bl w:val="nil"/>
            </w:tcBorders>
            <w:vAlign w:val="center"/>
          </w:tcPr>
          <w:p>
            <w:pPr>
              <w:pStyle w:val="42"/>
              <w:adjustRightInd/>
              <w:snapToGrid/>
              <w:spacing w:line="240" w:lineRule="auto"/>
              <w:ind w:firstLine="0" w:firstLineChars="0"/>
              <w:jc w:val="center"/>
              <w:rPr>
                <w:rFonts w:eastAsia="Times New Roman"/>
                <w:color w:val="auto"/>
                <w:sz w:val="13"/>
                <w:szCs w:val="13"/>
              </w:rPr>
            </w:pPr>
            <w:r>
              <w:rPr>
                <w:rFonts w:hint="eastAsia"/>
                <w:color w:val="auto"/>
                <w:sz w:val="21"/>
              </w:rPr>
              <w:t>15</w:t>
            </w:r>
            <w:r>
              <w:rPr>
                <w:color w:val="auto"/>
                <w:sz w:val="21"/>
              </w:rPr>
              <w:t>m</w:t>
            </w:r>
            <w:r>
              <w:rPr>
                <w:color w:val="auto"/>
                <w:position w:val="7"/>
                <w:sz w:val="13"/>
              </w:rPr>
              <w:t>2</w:t>
            </w:r>
          </w:p>
        </w:tc>
        <w:tc>
          <w:tcPr>
            <w:tcW w:w="582" w:type="pct"/>
            <w:tcBorders>
              <w:tl2br w:val="nil"/>
              <w:tr2bl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color w:val="auto"/>
                <w:sz w:val="21"/>
                <w:szCs w:val="21"/>
              </w:rPr>
              <w:t>直接存</w:t>
            </w:r>
          </w:p>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color w:val="auto"/>
                <w:w w:val="99"/>
                <w:sz w:val="21"/>
                <w:szCs w:val="21"/>
              </w:rPr>
              <w:t>放</w:t>
            </w:r>
          </w:p>
        </w:tc>
        <w:tc>
          <w:tcPr>
            <w:tcW w:w="415" w:type="pct"/>
            <w:tcBorders>
              <w:tl2br w:val="nil"/>
              <w:tr2bl w:val="nil"/>
            </w:tcBorders>
            <w:vAlign w:val="center"/>
          </w:tcPr>
          <w:p>
            <w:pPr>
              <w:pStyle w:val="42"/>
              <w:adjustRightInd/>
              <w:snapToGrid/>
              <w:spacing w:line="240" w:lineRule="auto"/>
              <w:ind w:firstLine="0" w:firstLineChars="0"/>
              <w:jc w:val="center"/>
              <w:rPr>
                <w:rFonts w:eastAsia="Times New Roman"/>
                <w:color w:val="auto"/>
                <w:sz w:val="21"/>
                <w:szCs w:val="21"/>
              </w:rPr>
            </w:pPr>
            <w:r>
              <w:rPr>
                <w:color w:val="auto"/>
                <w:sz w:val="21"/>
              </w:rPr>
              <w:t>1t</w:t>
            </w:r>
          </w:p>
        </w:tc>
        <w:tc>
          <w:tcPr>
            <w:tcW w:w="448" w:type="pct"/>
            <w:tcBorders>
              <w:tl2br w:val="nil"/>
              <w:tr2bl w:val="nil"/>
            </w:tcBorders>
            <w:vAlign w:val="center"/>
          </w:tcPr>
          <w:p>
            <w:pPr>
              <w:pStyle w:val="42"/>
              <w:adjustRightInd/>
              <w:snapToGrid/>
              <w:spacing w:line="240" w:lineRule="auto"/>
              <w:ind w:firstLine="0" w:firstLineChars="0"/>
              <w:jc w:val="center"/>
              <w:rPr>
                <w:rFonts w:eastAsia="Times New Roman"/>
                <w:color w:val="auto"/>
                <w:sz w:val="21"/>
                <w:szCs w:val="21"/>
              </w:rPr>
            </w:pPr>
            <w:r>
              <w:rPr>
                <w:color w:val="auto"/>
                <w:sz w:val="21"/>
              </w:rPr>
              <w:t>1d</w:t>
            </w:r>
          </w:p>
        </w:tc>
      </w:tr>
    </w:tbl>
    <w:p>
      <w:pPr>
        <w:ind w:firstLine="480"/>
        <w:rPr>
          <w:color w:val="auto"/>
        </w:rPr>
      </w:pPr>
      <w:r>
        <w:rPr>
          <w:color w:val="auto"/>
        </w:rPr>
        <w:t>在日常管理中，应设置专人加强对</w:t>
      </w:r>
      <w:r>
        <w:rPr>
          <w:rFonts w:hint="eastAsia"/>
          <w:color w:val="auto"/>
        </w:rPr>
        <w:t>危废暂存间</w:t>
      </w:r>
      <w:r>
        <w:rPr>
          <w:color w:val="auto"/>
        </w:rPr>
        <w:t>的管理，出现问题及时解决，避免形成二次污染，对工作人员应进行专业培训，熟知各项固废知识。</w:t>
      </w:r>
    </w:p>
    <w:p>
      <w:pPr>
        <w:ind w:firstLine="480"/>
        <w:rPr>
          <w:rFonts w:hAnsi="宋体"/>
          <w:color w:val="auto"/>
        </w:rPr>
      </w:pPr>
      <w:r>
        <w:rPr>
          <w:rFonts w:hint="eastAsia"/>
          <w:color w:val="auto"/>
        </w:rPr>
        <w:t>经采取上述措施，固体废物均得到合理处置，不会对环境造成二次污染，措施可行。</w:t>
      </w:r>
    </w:p>
    <w:p>
      <w:pPr>
        <w:pStyle w:val="6"/>
        <w:rPr>
          <w:color w:val="auto"/>
          <w:lang w:val="en-US"/>
        </w:rPr>
      </w:pPr>
      <w:r>
        <w:rPr>
          <w:color w:val="auto"/>
          <w:lang w:val="en-US"/>
        </w:rPr>
        <w:t>6.2.7 养殖场防疫及病死猪尸处理与处置</w:t>
      </w:r>
    </w:p>
    <w:p>
      <w:pPr>
        <w:tabs>
          <w:tab w:val="left" w:pos="5625"/>
        </w:tabs>
        <w:ind w:firstLine="480"/>
        <w:outlineLvl w:val="3"/>
        <w:rPr>
          <w:color w:val="auto"/>
        </w:rPr>
      </w:pPr>
      <w:r>
        <w:rPr>
          <w:color w:val="auto"/>
        </w:rPr>
        <w:t>6.2.7.1防疫管理及要求</w:t>
      </w:r>
    </w:p>
    <w:p>
      <w:pPr>
        <w:ind w:firstLine="480"/>
        <w:rPr>
          <w:color w:val="auto"/>
        </w:rPr>
      </w:pPr>
      <w:r>
        <w:rPr>
          <w:color w:val="auto"/>
        </w:rPr>
        <w:t>畜禽传染病是畜牧业的大敌，它制约了畜牧业的发展，还有一些人畜共患病和寄生虫病（如狂犬病、炭疽、结核、布氏杆菌病、猪囊尾蚴病、旋毛虫病）还会给人们健康带来威胁，因此控制疫病对于畜牧业生产和保护人民健康都具有重要的意义。国家颁布了《动物防疫法》、《家畜家禽防疫条例》等法律法规，规定了“预防为主”的畜禽防疫方针。</w:t>
      </w:r>
    </w:p>
    <w:p>
      <w:pPr>
        <w:ind w:firstLine="480"/>
        <w:rPr>
          <w:color w:val="auto"/>
        </w:rPr>
      </w:pPr>
      <w:r>
        <w:rPr>
          <w:color w:val="auto"/>
        </w:rPr>
        <w:t>（1）畜禽传染病及其传播途径</w:t>
      </w:r>
    </w:p>
    <w:p>
      <w:pPr>
        <w:ind w:firstLine="480"/>
        <w:rPr>
          <w:color w:val="auto"/>
        </w:rPr>
      </w:pPr>
      <w:r>
        <w:rPr>
          <w:color w:val="auto"/>
        </w:rPr>
        <w:t>引起动物传染病的病原体主要是细菌、病毒和寄生虫。病原体在患病动物体内生长繁殖，并不断向体外排除病原体，通过多种途径传给更多的易感动物，使疾病流行起来。传染源、传播途径和易感动物是传染病发生的三个基本条件，三者缺一传染病都不会发生。</w:t>
      </w:r>
    </w:p>
    <w:p>
      <w:pPr>
        <w:ind w:firstLine="480"/>
        <w:rPr>
          <w:color w:val="auto"/>
        </w:rPr>
      </w:pPr>
      <w:r>
        <w:rPr>
          <w:color w:val="auto"/>
        </w:rPr>
        <w:t>传播途径分为直接接触传染和间接传染。直接接触传染包括交配和啃咬等方式，最为典型的例子就是狂犬病。间接传染通过饲料、饮水、空气、土壤、中间宿主、饲养管理用具、昆虫、鼠类、畜禽及其他野生动物粪便等方式。</w:t>
      </w:r>
    </w:p>
    <w:p>
      <w:pPr>
        <w:ind w:firstLine="480"/>
        <w:rPr>
          <w:color w:val="auto"/>
        </w:rPr>
      </w:pPr>
      <w:r>
        <w:rPr>
          <w:color w:val="auto"/>
        </w:rPr>
        <w:t>病畜病禽排出的粪尿和尸体中含有病原菌会造成水污染引起传染病的传播和流行，不仅危害畜禽本身也危及人类。猪丹毒、副伤寒、马鼻疽、布鲁氏菌病、炭疽病、钩端螺旋体病和土拉菌病都是水传疾病，口蹄疫、鸡新城病也可以经胃肠道传播。</w:t>
      </w:r>
    </w:p>
    <w:p>
      <w:pPr>
        <w:ind w:firstLine="480"/>
        <w:rPr>
          <w:color w:val="auto"/>
        </w:rPr>
      </w:pPr>
      <w:r>
        <w:rPr>
          <w:color w:val="auto"/>
        </w:rPr>
        <w:t>（2）防疫卫生措施</w:t>
      </w:r>
    </w:p>
    <w:p>
      <w:pPr>
        <w:ind w:firstLine="480"/>
        <w:rPr>
          <w:color w:val="auto"/>
        </w:rPr>
      </w:pPr>
      <w:r>
        <w:rPr>
          <w:color w:val="auto"/>
        </w:rPr>
        <w:t>结合项目特点，评价要求采取如下措施以加强养殖区的环境管理和疾病传播的预防措施：</w:t>
      </w:r>
    </w:p>
    <w:p>
      <w:pPr>
        <w:ind w:firstLine="480"/>
        <w:rPr>
          <w:color w:val="auto"/>
        </w:rPr>
      </w:pPr>
      <w:r>
        <w:rPr>
          <w:color w:val="auto"/>
        </w:rPr>
        <w:fldChar w:fldCharType="begin"/>
      </w:r>
      <w:r>
        <w:rPr>
          <w:color w:val="auto"/>
        </w:rPr>
        <w:instrText xml:space="preserve"> = 1 \* GB3 </w:instrText>
      </w:r>
      <w:r>
        <w:rPr>
          <w:color w:val="auto"/>
        </w:rPr>
        <w:fldChar w:fldCharType="separate"/>
      </w:r>
      <w:r>
        <w:rPr>
          <w:rFonts w:hint="eastAsia"/>
          <w:color w:val="auto"/>
        </w:rPr>
        <w:t>①</w:t>
      </w:r>
      <w:r>
        <w:rPr>
          <w:color w:val="auto"/>
        </w:rPr>
        <w:fldChar w:fldCharType="end"/>
      </w:r>
      <w:r>
        <w:rPr>
          <w:color w:val="auto"/>
        </w:rPr>
        <w:t>严格</w:t>
      </w:r>
      <w:r>
        <w:rPr>
          <w:rFonts w:hint="eastAsia"/>
          <w:color w:val="auto"/>
        </w:rPr>
        <w:t>“</w:t>
      </w:r>
      <w:r>
        <w:rPr>
          <w:color w:val="auto"/>
        </w:rPr>
        <w:t>三区分离</w:t>
      </w:r>
      <w:r>
        <w:rPr>
          <w:rFonts w:hint="eastAsia"/>
          <w:color w:val="auto"/>
        </w:rPr>
        <w:t>”</w:t>
      </w:r>
      <w:r>
        <w:rPr>
          <w:color w:val="auto"/>
        </w:rPr>
        <w:t>制度，将办公区、养殖区和粪污处理处置区分离开来，防止交叉污染。</w:t>
      </w:r>
    </w:p>
    <w:p>
      <w:pPr>
        <w:ind w:firstLine="480"/>
        <w:rPr>
          <w:color w:val="auto"/>
        </w:rPr>
      </w:pPr>
      <w:r>
        <w:rPr>
          <w:color w:val="auto"/>
        </w:rPr>
        <w:fldChar w:fldCharType="begin"/>
      </w:r>
      <w:r>
        <w:rPr>
          <w:color w:val="auto"/>
        </w:rPr>
        <w:instrText xml:space="preserve"> = 2 \* GB3 </w:instrText>
      </w:r>
      <w:r>
        <w:rPr>
          <w:color w:val="auto"/>
        </w:rPr>
        <w:fldChar w:fldCharType="separate"/>
      </w:r>
      <w:r>
        <w:rPr>
          <w:rFonts w:hint="eastAsia"/>
          <w:color w:val="auto"/>
        </w:rPr>
        <w:t>②</w:t>
      </w:r>
      <w:r>
        <w:rPr>
          <w:color w:val="auto"/>
        </w:rPr>
        <w:fldChar w:fldCharType="end"/>
      </w:r>
      <w:r>
        <w:rPr>
          <w:rFonts w:hint="eastAsia"/>
          <w:color w:val="auto"/>
        </w:rPr>
        <w:t>育成</w:t>
      </w:r>
      <w:r>
        <w:rPr>
          <w:color w:val="auto"/>
        </w:rPr>
        <w:t>猪出场设置专门出猪台，避免购猪人员和车辆进入养殖区。养殖区设置净道和脏道，并能够保证物流畅通，净道主要运输饲料和由饲养员和兽医等通行；脏道主要作为粪污运输通道，为避免交叉污染，粪污通过必须避开养殖区进入粪污区，即在养殖区外设置专门通道用于粪污输送。</w:t>
      </w:r>
    </w:p>
    <w:p>
      <w:pPr>
        <w:ind w:firstLine="480"/>
        <w:rPr>
          <w:color w:val="auto"/>
        </w:rPr>
      </w:pPr>
      <w:r>
        <w:rPr>
          <w:color w:val="auto"/>
        </w:rPr>
        <w:fldChar w:fldCharType="begin"/>
      </w:r>
      <w:r>
        <w:rPr>
          <w:color w:val="auto"/>
        </w:rPr>
        <w:instrText xml:space="preserve"> = 3 \* GB3 </w:instrText>
      </w:r>
      <w:r>
        <w:rPr>
          <w:color w:val="auto"/>
        </w:rPr>
        <w:fldChar w:fldCharType="separate"/>
      </w:r>
      <w:r>
        <w:rPr>
          <w:rFonts w:hint="eastAsia"/>
          <w:color w:val="auto"/>
        </w:rPr>
        <w:t>③</w:t>
      </w:r>
      <w:r>
        <w:rPr>
          <w:color w:val="auto"/>
        </w:rPr>
        <w:fldChar w:fldCharType="end"/>
      </w:r>
      <w:r>
        <w:rPr>
          <w:color w:val="auto"/>
        </w:rPr>
        <w:t>进入养殖区各出入口必须设置消毒池，出入车辆必须经消毒池进行消毒处理，消毒池应设置门楼和防水堰，防止雨水大量进入导致消毒液外溢污染；主</w:t>
      </w:r>
      <w:r>
        <w:rPr>
          <w:rFonts w:hint="eastAsia"/>
          <w:color w:val="auto"/>
        </w:rPr>
        <w:t>厂区</w:t>
      </w:r>
      <w:r>
        <w:rPr>
          <w:color w:val="auto"/>
        </w:rPr>
        <w:t>门口设置</w:t>
      </w:r>
      <w:r>
        <w:rPr>
          <w:rFonts w:hint="eastAsia"/>
          <w:color w:val="auto"/>
        </w:rPr>
        <w:t>喷雾</w:t>
      </w:r>
      <w:r>
        <w:rPr>
          <w:color w:val="auto"/>
        </w:rPr>
        <w:t>消毒室，饲养员、兽医、管理员必须经消毒室进行消毒处理，消毒时间</w:t>
      </w:r>
      <w:r>
        <w:rPr>
          <w:rFonts w:hint="eastAsia"/>
          <w:color w:val="auto"/>
        </w:rPr>
        <w:t>2-</w:t>
      </w:r>
      <w:r>
        <w:rPr>
          <w:color w:val="auto"/>
        </w:rPr>
        <w:t>5分钟。</w:t>
      </w:r>
      <w:r>
        <w:rPr>
          <w:rFonts w:hint="eastAsia"/>
          <w:color w:val="auto"/>
        </w:rPr>
        <w:t>入场</w:t>
      </w:r>
      <w:r>
        <w:rPr>
          <w:color w:val="auto"/>
        </w:rPr>
        <w:t>外来人员</w:t>
      </w:r>
      <w:r>
        <w:rPr>
          <w:rFonts w:hint="eastAsia"/>
          <w:color w:val="auto"/>
        </w:rPr>
        <w:t>（其他养殖场或非本区生产人员）若要去养殖区，则需要隔离一周才能进去。项目</w:t>
      </w:r>
      <w:r>
        <w:rPr>
          <w:color w:val="auto"/>
        </w:rPr>
        <w:t>在养殖区设置饲养员休息室，尽量避免饲养员经常出入养殖区，减降病菌交叉污染的几率。</w:t>
      </w:r>
    </w:p>
    <w:p>
      <w:pPr>
        <w:ind w:firstLine="480"/>
        <w:rPr>
          <w:color w:val="auto"/>
        </w:rPr>
      </w:pPr>
      <w:r>
        <w:rPr>
          <w:color w:val="auto"/>
        </w:rPr>
        <w:fldChar w:fldCharType="begin"/>
      </w:r>
      <w:r>
        <w:rPr>
          <w:color w:val="auto"/>
        </w:rPr>
        <w:instrText xml:space="preserve"> = 4 \* GB3 </w:instrText>
      </w:r>
      <w:r>
        <w:rPr>
          <w:color w:val="auto"/>
        </w:rPr>
        <w:fldChar w:fldCharType="separate"/>
      </w:r>
      <w:r>
        <w:rPr>
          <w:rFonts w:hint="eastAsia"/>
          <w:color w:val="auto"/>
        </w:rPr>
        <w:t>④</w:t>
      </w:r>
      <w:r>
        <w:rPr>
          <w:color w:val="auto"/>
        </w:rPr>
        <w:fldChar w:fldCharType="end"/>
      </w:r>
      <w:r>
        <w:rPr>
          <w:color w:val="auto"/>
        </w:rPr>
        <w:t>设置专门兽医和外事专干，外事专干员应能够保证与农、畜、环保等部门的经常沟通与交流；兽医室应配备专门防疫设备和通信装置，以保证兽医能够及时掌握养殖行业疾病防治和传播最新信息，做到防患于未然。</w:t>
      </w:r>
    </w:p>
    <w:p>
      <w:pPr>
        <w:ind w:firstLine="480"/>
        <w:rPr>
          <w:color w:val="auto"/>
        </w:rPr>
      </w:pPr>
      <w:r>
        <w:rPr>
          <w:color w:val="auto"/>
        </w:rPr>
        <w:fldChar w:fldCharType="begin"/>
      </w:r>
      <w:r>
        <w:rPr>
          <w:color w:val="auto"/>
        </w:rPr>
        <w:instrText xml:space="preserve"> = 5 \* GB3 </w:instrText>
      </w:r>
      <w:r>
        <w:rPr>
          <w:color w:val="auto"/>
        </w:rPr>
        <w:fldChar w:fldCharType="separate"/>
      </w:r>
      <w:r>
        <w:rPr>
          <w:rFonts w:hint="eastAsia"/>
          <w:color w:val="auto"/>
        </w:rPr>
        <w:t>⑤</w:t>
      </w:r>
      <w:r>
        <w:rPr>
          <w:color w:val="auto"/>
        </w:rPr>
        <w:fldChar w:fldCharType="end"/>
      </w:r>
      <w:r>
        <w:rPr>
          <w:color w:val="auto"/>
        </w:rPr>
        <w:t>《畜禽养殖业污染防治技术规范》（HJ/T81-2001）规定，养殖场</w:t>
      </w:r>
      <w:r>
        <w:rPr>
          <w:rFonts w:hint="eastAsia"/>
          <w:color w:val="auto"/>
        </w:rPr>
        <w:t>厂区</w:t>
      </w:r>
      <w:r>
        <w:rPr>
          <w:color w:val="auto"/>
        </w:rPr>
        <w:t>、畜禽舍、器械等消毒应采用环境友好的消毒剂和消毒措施（包括紫外线、臭氧、双氧水等方法），防止产生氯代有机物及其它的二次污染物。</w:t>
      </w:r>
    </w:p>
    <w:p>
      <w:pPr>
        <w:ind w:firstLine="480"/>
        <w:rPr>
          <w:color w:val="auto"/>
        </w:rPr>
      </w:pPr>
      <w:r>
        <w:rPr>
          <w:color w:val="auto"/>
        </w:rPr>
        <w:t>企业经严格的畜禽规范化管理措施后，其疾病控制能力将大大提高，因此，评价认为，其出现重大疾病传播的可能性很小。</w:t>
      </w:r>
    </w:p>
    <w:p>
      <w:pPr>
        <w:tabs>
          <w:tab w:val="left" w:pos="5625"/>
        </w:tabs>
        <w:ind w:firstLine="480"/>
        <w:outlineLvl w:val="3"/>
        <w:rPr>
          <w:color w:val="auto"/>
        </w:rPr>
      </w:pPr>
      <w:r>
        <w:rPr>
          <w:color w:val="auto"/>
        </w:rPr>
        <w:t>6.2.</w:t>
      </w:r>
      <w:r>
        <w:rPr>
          <w:rFonts w:hint="eastAsia"/>
          <w:color w:val="auto"/>
        </w:rPr>
        <w:t>7</w:t>
      </w:r>
      <w:r>
        <w:rPr>
          <w:color w:val="auto"/>
        </w:rPr>
        <w:t>.2病死畜禽尸体的处理与处置</w:t>
      </w:r>
    </w:p>
    <w:p>
      <w:pPr>
        <w:ind w:firstLine="480"/>
        <w:rPr>
          <w:color w:val="auto"/>
        </w:rPr>
      </w:pPr>
      <w:r>
        <w:rPr>
          <w:color w:val="auto"/>
        </w:rPr>
        <w:t>《畜禽养殖业污染防治技术规范》（HJ/T81－2001）第9条规定：</w:t>
      </w:r>
    </w:p>
    <w:p>
      <w:pPr>
        <w:ind w:firstLine="480"/>
        <w:rPr>
          <w:color w:val="auto"/>
        </w:rPr>
      </w:pPr>
      <w:r>
        <w:rPr>
          <w:color w:val="auto"/>
        </w:rPr>
        <w:t>（1）病死畜禽尸体要及时处理，严禁随意丢弃，严禁出售或作为饲料再利用。</w:t>
      </w:r>
    </w:p>
    <w:p>
      <w:pPr>
        <w:ind w:firstLine="480"/>
        <w:rPr>
          <w:color w:val="auto"/>
        </w:rPr>
      </w:pPr>
      <w:r>
        <w:rPr>
          <w:color w:val="auto"/>
        </w:rPr>
        <w:t>（2）病死禽畜尸体处理应采用焚烧炉焚烧的方法，在养殖场比较集中的地区；应集中设置焚烧设施；同时焚烧产生的烟气应采取有效的净化措施，防止烟尘、一氧化碳、恶臭等对周围大气环境的污染。</w:t>
      </w:r>
    </w:p>
    <w:p>
      <w:pPr>
        <w:ind w:firstLine="480"/>
        <w:rPr>
          <w:color w:val="auto"/>
        </w:rPr>
      </w:pPr>
      <w:r>
        <w:rPr>
          <w:color w:val="auto"/>
        </w:rPr>
        <w:t>（3）不具备焚烧条件的养殖场应设置两个以上安全填埋井，填埋井应为混凝土结构，深度大于2m，直径1m，井口加盖密封。进行填埋时，在每次投入畜禽尸体后，应覆盖一层厚度大于10cm的熟石灰，井填满后，须用粘土填埋压实并封口。</w:t>
      </w:r>
    </w:p>
    <w:p>
      <w:pPr>
        <w:ind w:firstLine="480"/>
        <w:rPr>
          <w:color w:val="auto"/>
        </w:rPr>
      </w:pPr>
      <w:r>
        <w:rPr>
          <w:color w:val="auto"/>
        </w:rPr>
        <w:t>《畜禽规模养殖污染防治条例》第二十一条规定：染疫畜禽以及染疫畜禽排泄物、染疫畜禽产品、病死或者死因不明的畜禽尸体等病害畜禽养殖废弃物，应当按照有关法律、法规和国务院农牧主管部门的规定，进行深埋、化制、焚烧等无害化处理，不得随意处置。</w:t>
      </w:r>
    </w:p>
    <w:p>
      <w:pPr>
        <w:ind w:firstLine="480"/>
        <w:rPr>
          <w:color w:val="auto"/>
        </w:rPr>
      </w:pPr>
      <w:r>
        <w:rPr>
          <w:color w:val="auto"/>
        </w:rPr>
        <w:t>本项目病死猪产生量较小，综合考虑不宜设置焚烧炉，为了使病死猪达到灭害</w:t>
      </w:r>
      <w:r>
        <w:rPr>
          <w:color w:val="auto"/>
          <w:spacing w:val="-3"/>
        </w:rPr>
        <w:t>的处理，采用</w:t>
      </w:r>
      <w:r>
        <w:rPr>
          <w:rFonts w:hint="eastAsia"/>
          <w:color w:val="auto"/>
          <w:spacing w:val="-3"/>
          <w:lang w:eastAsia="zh-CN"/>
        </w:rPr>
        <w:t>高温化制</w:t>
      </w:r>
      <w:r>
        <w:rPr>
          <w:color w:val="auto"/>
          <w:spacing w:val="-3"/>
        </w:rPr>
        <w:t>机进行无害化处理，处理后的废物作为有机肥料原</w:t>
      </w:r>
      <w:r>
        <w:rPr>
          <w:color w:val="auto"/>
          <w:spacing w:val="-105"/>
        </w:rPr>
        <w:t xml:space="preserve"> </w:t>
      </w:r>
      <w:r>
        <w:rPr>
          <w:color w:val="auto"/>
        </w:rPr>
        <w:t>料进行外售，符合以上要求。</w:t>
      </w:r>
    </w:p>
    <w:p>
      <w:pPr>
        <w:pStyle w:val="11"/>
        <w:spacing w:before="38" w:line="367" w:lineRule="auto"/>
        <w:ind w:right="235" w:firstLine="468"/>
        <w:rPr>
          <w:color w:val="auto"/>
        </w:rPr>
      </w:pPr>
      <w:r>
        <w:rPr>
          <w:color w:val="auto"/>
          <w:spacing w:val="-3"/>
        </w:rPr>
        <w:t>评价要求企业在营运期，应积极落实病死猪的处置措施，以防止疾病和疫菌</w:t>
      </w:r>
      <w:r>
        <w:rPr>
          <w:color w:val="auto"/>
        </w:rPr>
        <w:t>传播。</w:t>
      </w:r>
    </w:p>
    <w:p>
      <w:pPr>
        <w:tabs>
          <w:tab w:val="left" w:pos="5625"/>
        </w:tabs>
        <w:ind w:firstLine="480"/>
        <w:outlineLvl w:val="3"/>
        <w:rPr>
          <w:color w:val="auto"/>
        </w:rPr>
      </w:pPr>
      <w:r>
        <w:rPr>
          <w:color w:val="auto"/>
        </w:rPr>
        <w:t>6.2.</w:t>
      </w:r>
      <w:r>
        <w:rPr>
          <w:rFonts w:hint="eastAsia"/>
          <w:color w:val="auto"/>
        </w:rPr>
        <w:t>7</w:t>
      </w:r>
      <w:r>
        <w:rPr>
          <w:color w:val="auto"/>
        </w:rPr>
        <w:t>.3医疗废物的处理与处置</w:t>
      </w:r>
    </w:p>
    <w:p>
      <w:pPr>
        <w:ind w:firstLine="480"/>
        <w:rPr>
          <w:color w:val="auto"/>
        </w:rPr>
      </w:pPr>
      <w:r>
        <w:rPr>
          <w:color w:val="auto"/>
        </w:rPr>
        <w:t>生猪在生长过程接种免疫或发病期接受治疗产生的少量医疗废物，定期交由有处理资质的单位进行处置。</w:t>
      </w:r>
    </w:p>
    <w:p>
      <w:pPr>
        <w:pStyle w:val="6"/>
        <w:rPr>
          <w:color w:val="auto"/>
          <w:lang w:val="en-US"/>
        </w:rPr>
      </w:pPr>
      <w:r>
        <w:rPr>
          <w:color w:val="auto"/>
          <w:lang w:val="en-US"/>
        </w:rPr>
        <w:t>6.2.</w:t>
      </w:r>
      <w:r>
        <w:rPr>
          <w:rFonts w:hint="eastAsia"/>
          <w:color w:val="auto"/>
          <w:lang w:val="en-US"/>
        </w:rPr>
        <w:t>8</w:t>
      </w:r>
      <w:r>
        <w:rPr>
          <w:color w:val="auto"/>
          <w:lang w:val="en-US"/>
        </w:rPr>
        <w:t>雨污分流、粪便及废水处置设施“三防”措施</w:t>
      </w:r>
    </w:p>
    <w:p>
      <w:pPr>
        <w:ind w:firstLine="480"/>
        <w:rPr>
          <w:color w:val="auto"/>
        </w:rPr>
      </w:pPr>
      <w:r>
        <w:rPr>
          <w:color w:val="auto"/>
        </w:rPr>
        <w:t>根据《畜禽养殖业污染防治技术规范》（HJ/T81－2001）规定：</w:t>
      </w:r>
    </w:p>
    <w:p>
      <w:pPr>
        <w:ind w:firstLine="480"/>
        <w:rPr>
          <w:color w:val="auto"/>
        </w:rPr>
      </w:pPr>
      <w:r>
        <w:rPr>
          <w:color w:val="auto"/>
        </w:rPr>
        <w:t>1、养殖场的排水系统应实行雨水和污水收集输送系统分离，在</w:t>
      </w:r>
      <w:r>
        <w:rPr>
          <w:rFonts w:hint="eastAsia"/>
          <w:color w:val="auto"/>
        </w:rPr>
        <w:t>厂区</w:t>
      </w:r>
      <w:r>
        <w:rPr>
          <w:color w:val="auto"/>
        </w:rPr>
        <w:t>内外设置的污水收集输送系统，不得采取明沟布设。</w:t>
      </w:r>
    </w:p>
    <w:p>
      <w:pPr>
        <w:ind w:firstLine="480"/>
        <w:rPr>
          <w:color w:val="auto"/>
        </w:rPr>
      </w:pPr>
      <w:r>
        <w:rPr>
          <w:color w:val="auto"/>
        </w:rPr>
        <w:t>2、贮存设施应采取有效的防渗处理工艺，防止畜禽粪便污染地下水。</w:t>
      </w:r>
    </w:p>
    <w:p>
      <w:pPr>
        <w:ind w:firstLine="480"/>
        <w:rPr>
          <w:color w:val="auto"/>
        </w:rPr>
      </w:pPr>
      <w:r>
        <w:rPr>
          <w:color w:val="auto"/>
        </w:rPr>
        <w:t>3、贮存设施应采取设置顶盖或围堰等防止降雨(水)进入的措施。</w:t>
      </w:r>
    </w:p>
    <w:p>
      <w:pPr>
        <w:ind w:firstLine="480"/>
        <w:rPr>
          <w:color w:val="auto"/>
        </w:rPr>
      </w:pPr>
      <w:r>
        <w:rPr>
          <w:color w:val="auto"/>
        </w:rPr>
        <w:t>因此，企业必须建设雨、污分流管网，雨水管网建设时，沟深约20～30cm即可。</w:t>
      </w:r>
    </w:p>
    <w:p>
      <w:pPr>
        <w:ind w:firstLine="480"/>
        <w:rPr>
          <w:color w:val="auto"/>
        </w:rPr>
      </w:pPr>
      <w:r>
        <w:rPr>
          <w:color w:val="auto"/>
        </w:rPr>
        <w:t>根据本项目特点，评价要求以下设施应具备</w:t>
      </w:r>
      <w:r>
        <w:rPr>
          <w:rFonts w:hint="eastAsia"/>
          <w:color w:val="auto"/>
        </w:rPr>
        <w:t>“</w:t>
      </w:r>
      <w:r>
        <w:rPr>
          <w:color w:val="auto"/>
        </w:rPr>
        <w:t>三防</w:t>
      </w:r>
      <w:r>
        <w:rPr>
          <w:rFonts w:hint="eastAsia"/>
          <w:color w:val="auto"/>
        </w:rPr>
        <w:t>”</w:t>
      </w:r>
      <w:r>
        <w:rPr>
          <w:color w:val="auto"/>
        </w:rPr>
        <w:t>措施：</w:t>
      </w:r>
    </w:p>
    <w:p>
      <w:pPr>
        <w:spacing w:after="93" w:afterLines="30"/>
        <w:ind w:firstLine="482"/>
        <w:jc w:val="left"/>
        <w:rPr>
          <w:b/>
          <w:color w:val="auto"/>
        </w:rPr>
      </w:pPr>
      <w:r>
        <w:rPr>
          <w:rFonts w:hint="eastAsia"/>
          <w:b/>
          <w:color w:val="auto"/>
        </w:rPr>
        <w:t xml:space="preserve">表6.2-7     </w:t>
      </w:r>
      <w:r>
        <w:rPr>
          <w:b/>
          <w:color w:val="auto"/>
        </w:rPr>
        <w:t>项目雨污分流、粪便及废水处置设施“三防”措施一览表</w:t>
      </w:r>
    </w:p>
    <w:tbl>
      <w:tblPr>
        <w:tblStyle w:val="27"/>
        <w:tblW w:w="0" w:type="auto"/>
        <w:jc w:val="center"/>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43"/>
        <w:gridCol w:w="1025"/>
        <w:gridCol w:w="4877"/>
        <w:gridCol w:w="2455"/>
      </w:tblGrid>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blHeader/>
          <w:jc w:val="center"/>
        </w:trPr>
        <w:tc>
          <w:tcPr>
            <w:tcW w:w="543"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序号</w:t>
            </w:r>
          </w:p>
        </w:tc>
        <w:tc>
          <w:tcPr>
            <w:tcW w:w="1025"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项目</w:t>
            </w:r>
          </w:p>
        </w:tc>
        <w:tc>
          <w:tcPr>
            <w:tcW w:w="4877"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保护措施</w:t>
            </w:r>
          </w:p>
        </w:tc>
        <w:tc>
          <w:tcPr>
            <w:tcW w:w="2455"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达到效果</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43"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1</w:t>
            </w:r>
          </w:p>
        </w:tc>
        <w:tc>
          <w:tcPr>
            <w:tcW w:w="1025"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配套消纳地施肥</w:t>
            </w:r>
          </w:p>
        </w:tc>
        <w:tc>
          <w:tcPr>
            <w:tcW w:w="4877"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rFonts w:hint="eastAsia"/>
                <w:color w:val="auto"/>
                <w:sz w:val="21"/>
                <w:szCs w:val="21"/>
              </w:rPr>
              <w:t>黑膜沼气池设计容积</w:t>
            </w:r>
            <w:r>
              <w:rPr>
                <w:color w:val="auto"/>
                <w:sz w:val="21"/>
                <w:szCs w:val="21"/>
              </w:rPr>
              <w:t>满足农闲期沼液产生量并采取防渗处理措施，合理控制施肥频次和施肥量</w:t>
            </w:r>
          </w:p>
        </w:tc>
        <w:tc>
          <w:tcPr>
            <w:tcW w:w="2455" w:type="dxa"/>
            <w:vMerge w:val="restart"/>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各反应池符合《规模化畜禽养殖场沼气工程设计规范》（NY/T1222）和《混凝土结构设计规范》（GB50010）的要求，具备“防渗、防雨、防溢”的三防措施；畜禽粪便的贮存相关要求，应具备防渗、防风、防雨的“三防”措施，雨污分流</w:t>
            </w:r>
            <w:r>
              <w:rPr>
                <w:rFonts w:hint="eastAsia"/>
                <w:color w:val="auto"/>
                <w:sz w:val="21"/>
                <w:szCs w:val="21"/>
              </w:rPr>
              <w:t>，</w:t>
            </w:r>
            <w:r>
              <w:rPr>
                <w:color w:val="auto"/>
                <w:sz w:val="21"/>
                <w:szCs w:val="21"/>
              </w:rPr>
              <w:t>满足《畜禽养殖业污染防治技术规范》（HJ/T81－2001）要求</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43"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2</w:t>
            </w:r>
          </w:p>
        </w:tc>
        <w:tc>
          <w:tcPr>
            <w:tcW w:w="1025"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污水处理系统</w:t>
            </w:r>
            <w:r>
              <w:rPr>
                <w:rFonts w:hint="eastAsia"/>
                <w:color w:val="auto"/>
                <w:sz w:val="21"/>
                <w:szCs w:val="21"/>
              </w:rPr>
              <w:t>（黑膜沼气池）</w:t>
            </w:r>
          </w:p>
        </w:tc>
        <w:tc>
          <w:tcPr>
            <w:tcW w:w="4877"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评价要求</w:t>
            </w:r>
            <w:r>
              <w:rPr>
                <w:rFonts w:hint="eastAsia"/>
                <w:color w:val="auto"/>
                <w:sz w:val="21"/>
                <w:szCs w:val="21"/>
              </w:rPr>
              <w:t>污水处理设施</w:t>
            </w:r>
            <w:r>
              <w:rPr>
                <w:color w:val="auto"/>
                <w:sz w:val="21"/>
                <w:szCs w:val="21"/>
              </w:rPr>
              <w:t>严格做好防渗措施</w:t>
            </w:r>
          </w:p>
        </w:tc>
        <w:tc>
          <w:tcPr>
            <w:tcW w:w="2455" w:type="dxa"/>
            <w:vMerge w:val="continue"/>
            <w:tcMar>
              <w:top w:w="57" w:type="dxa"/>
              <w:left w:w="85" w:type="dxa"/>
              <w:bottom w:w="57" w:type="dxa"/>
              <w:right w:w="85" w:type="dxa"/>
            </w:tcMar>
            <w:vAlign w:val="center"/>
          </w:tcPr>
          <w:p>
            <w:pPr>
              <w:spacing w:line="240" w:lineRule="auto"/>
              <w:ind w:firstLine="0" w:firstLineChars="0"/>
              <w:jc w:val="center"/>
              <w:rPr>
                <w:color w:val="auto"/>
                <w:sz w:val="21"/>
                <w:szCs w:val="21"/>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43"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3</w:t>
            </w:r>
          </w:p>
        </w:tc>
        <w:tc>
          <w:tcPr>
            <w:tcW w:w="1025"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rFonts w:hint="eastAsia"/>
                <w:color w:val="auto"/>
                <w:sz w:val="21"/>
                <w:szCs w:val="21"/>
              </w:rPr>
              <w:t>固粪处理区</w:t>
            </w:r>
          </w:p>
        </w:tc>
        <w:tc>
          <w:tcPr>
            <w:tcW w:w="4877"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地面进行硬化</w:t>
            </w:r>
            <w:r>
              <w:rPr>
                <w:rFonts w:hint="eastAsia"/>
                <w:color w:val="auto"/>
                <w:sz w:val="21"/>
                <w:szCs w:val="21"/>
              </w:rPr>
              <w:t>，封闭装置。</w:t>
            </w:r>
          </w:p>
        </w:tc>
        <w:tc>
          <w:tcPr>
            <w:tcW w:w="2455" w:type="dxa"/>
            <w:vMerge w:val="continue"/>
            <w:tcMar>
              <w:top w:w="57" w:type="dxa"/>
              <w:left w:w="85" w:type="dxa"/>
              <w:bottom w:w="57" w:type="dxa"/>
              <w:right w:w="85" w:type="dxa"/>
            </w:tcMar>
            <w:vAlign w:val="center"/>
          </w:tcPr>
          <w:p>
            <w:pPr>
              <w:spacing w:line="240" w:lineRule="auto"/>
              <w:ind w:firstLine="0" w:firstLineChars="0"/>
              <w:jc w:val="center"/>
              <w:rPr>
                <w:color w:val="auto"/>
                <w:sz w:val="21"/>
                <w:szCs w:val="21"/>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01" w:hRule="atLeast"/>
          <w:jc w:val="center"/>
        </w:trPr>
        <w:tc>
          <w:tcPr>
            <w:tcW w:w="543"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rFonts w:hint="eastAsia"/>
                <w:color w:val="auto"/>
                <w:sz w:val="21"/>
                <w:szCs w:val="21"/>
              </w:rPr>
              <w:t>4</w:t>
            </w:r>
          </w:p>
        </w:tc>
        <w:tc>
          <w:tcPr>
            <w:tcW w:w="1025"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rFonts w:hint="eastAsia"/>
                <w:color w:val="auto"/>
                <w:sz w:val="21"/>
                <w:szCs w:val="21"/>
              </w:rPr>
              <w:t>厂区</w:t>
            </w:r>
            <w:r>
              <w:rPr>
                <w:color w:val="auto"/>
                <w:sz w:val="21"/>
                <w:szCs w:val="21"/>
              </w:rPr>
              <w:t>雨、污管网</w:t>
            </w:r>
          </w:p>
        </w:tc>
        <w:tc>
          <w:tcPr>
            <w:tcW w:w="4877"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雨污分流</w:t>
            </w:r>
            <w:r>
              <w:rPr>
                <w:rFonts w:hint="eastAsia"/>
                <w:color w:val="auto"/>
                <w:sz w:val="21"/>
                <w:szCs w:val="21"/>
              </w:rPr>
              <w:t>，雨水明渠，宽30cm、深20cm，粪污输送管道</w:t>
            </w:r>
            <w:r>
              <w:rPr>
                <w:rFonts w:hint="eastAsia"/>
                <w:color w:val="auto"/>
                <w:sz w:val="21"/>
                <w:szCs w:val="21"/>
                <w:lang w:eastAsia="zh-CN"/>
              </w:rPr>
              <w:t>采用</w:t>
            </w:r>
            <w:r>
              <w:rPr>
                <w:rFonts w:hint="eastAsia"/>
                <w:color w:val="auto"/>
                <w:sz w:val="21"/>
                <w:szCs w:val="21"/>
              </w:rPr>
              <w:t>地埋pvc管材，严格</w:t>
            </w:r>
            <w:r>
              <w:rPr>
                <w:color w:val="auto"/>
                <w:sz w:val="21"/>
                <w:szCs w:val="21"/>
              </w:rPr>
              <w:t>按照畜禽养殖业污染防治技术规范要求进行建设</w:t>
            </w:r>
          </w:p>
        </w:tc>
        <w:tc>
          <w:tcPr>
            <w:tcW w:w="2455" w:type="dxa"/>
            <w:vMerge w:val="continue"/>
            <w:tcMar>
              <w:top w:w="57" w:type="dxa"/>
              <w:left w:w="85" w:type="dxa"/>
              <w:bottom w:w="57" w:type="dxa"/>
              <w:right w:w="85" w:type="dxa"/>
            </w:tcMar>
            <w:vAlign w:val="center"/>
          </w:tcPr>
          <w:p>
            <w:pPr>
              <w:spacing w:line="240" w:lineRule="auto"/>
              <w:ind w:firstLine="0" w:firstLineChars="0"/>
              <w:jc w:val="center"/>
              <w:rPr>
                <w:color w:val="auto"/>
                <w:sz w:val="21"/>
                <w:szCs w:val="21"/>
              </w:rPr>
            </w:pPr>
          </w:p>
        </w:tc>
      </w:tr>
    </w:tbl>
    <w:p>
      <w:pPr>
        <w:pStyle w:val="6"/>
        <w:rPr>
          <w:color w:val="auto"/>
          <w:lang w:val="en-US"/>
        </w:rPr>
      </w:pPr>
      <w:r>
        <w:rPr>
          <w:color w:val="auto"/>
          <w:lang w:val="en-US"/>
        </w:rPr>
        <w:t>6.2.</w:t>
      </w:r>
      <w:r>
        <w:rPr>
          <w:rFonts w:hint="eastAsia"/>
          <w:color w:val="auto"/>
          <w:lang w:val="en-US"/>
        </w:rPr>
        <w:t>9净道、污道建设环保措施</w:t>
      </w:r>
      <w:r>
        <w:rPr>
          <w:color w:val="auto"/>
          <w:lang w:val="en-US"/>
        </w:rPr>
        <w:tab/>
      </w:r>
    </w:p>
    <w:p>
      <w:pPr>
        <w:pStyle w:val="3"/>
        <w:ind w:firstLine="480" w:firstLineChars="200"/>
        <w:rPr>
          <w:color w:val="auto"/>
          <w:sz w:val="24"/>
          <w:szCs w:val="18"/>
        </w:rPr>
      </w:pPr>
      <w:r>
        <w:rPr>
          <w:rFonts w:hint="eastAsia"/>
          <w:color w:val="auto"/>
          <w:sz w:val="24"/>
          <w:szCs w:val="18"/>
        </w:rPr>
        <w:t>猪场净道是指专门用于运送饲料、健康生猪和其他安全生产物资，以及从事正常生产管理活动等所使用的专用通道，属于猪场的生物安全区或者相对洁净区。猪场污道是指专门用于运送粪污、病猪、死猪、其他不安全污染物物质及处置疫情等所使用的专用通道，属于猪场的生物非安全区或相对污染区。</w:t>
      </w:r>
    </w:p>
    <w:p>
      <w:pPr>
        <w:pStyle w:val="3"/>
        <w:ind w:firstLine="480" w:firstLineChars="200"/>
        <w:rPr>
          <w:color w:val="auto"/>
          <w:sz w:val="24"/>
          <w:szCs w:val="18"/>
        </w:rPr>
      </w:pPr>
      <w:r>
        <w:rPr>
          <w:rFonts w:hint="eastAsia"/>
          <w:color w:val="auto"/>
          <w:sz w:val="24"/>
          <w:szCs w:val="18"/>
        </w:rPr>
        <w:t>本项目净污道分别设置，相互独立，互不相通，尽量避免交叉；净道分级，将净道细分为两级，生产区内为一级，生产区外为二级，与一级净道相连的所有进出口及净道区主要建筑物的进出口均设置能满足需要的不同级别的消毒通道；净污道分别设置容易区分且反差明显的标识；生猪及物资的转运采用特制专用的运输工具，不再另设赶猪道。</w:t>
      </w:r>
    </w:p>
    <w:p>
      <w:pPr>
        <w:pStyle w:val="3"/>
        <w:ind w:firstLine="480" w:firstLineChars="200"/>
        <w:rPr>
          <w:color w:val="auto"/>
          <w:sz w:val="24"/>
          <w:szCs w:val="18"/>
        </w:rPr>
      </w:pPr>
      <w:r>
        <w:rPr>
          <w:rFonts w:hint="eastAsia"/>
          <w:color w:val="auto"/>
          <w:sz w:val="24"/>
          <w:szCs w:val="18"/>
        </w:rPr>
        <w:t>猪场净污道分设有利于猪场的生物安全，最大限度避免了猪场内部交叉污染；有利于猪场的管理，分区在管理上主次清楚，便于猪场资源的合理配置。</w:t>
      </w:r>
    </w:p>
    <w:p>
      <w:pPr>
        <w:pStyle w:val="6"/>
        <w:rPr>
          <w:color w:val="auto"/>
          <w:lang w:val="en-US"/>
        </w:rPr>
      </w:pPr>
      <w:r>
        <w:rPr>
          <w:color w:val="auto"/>
          <w:lang w:val="en-US"/>
        </w:rPr>
        <w:t>6.2.1</w:t>
      </w:r>
      <w:r>
        <w:rPr>
          <w:rFonts w:hint="eastAsia"/>
          <w:color w:val="auto"/>
          <w:lang w:val="en-US"/>
        </w:rPr>
        <w:t>0</w:t>
      </w:r>
      <w:r>
        <w:rPr>
          <w:color w:val="auto"/>
          <w:lang w:val="en-US"/>
        </w:rPr>
        <w:t>绿化</w:t>
      </w:r>
    </w:p>
    <w:p>
      <w:pPr>
        <w:tabs>
          <w:tab w:val="left" w:pos="5625"/>
        </w:tabs>
        <w:ind w:firstLine="480"/>
        <w:outlineLvl w:val="3"/>
        <w:rPr>
          <w:color w:val="auto"/>
        </w:rPr>
      </w:pPr>
      <w:r>
        <w:rPr>
          <w:color w:val="auto"/>
        </w:rPr>
        <w:t>6.2.1</w:t>
      </w:r>
      <w:r>
        <w:rPr>
          <w:rFonts w:hint="eastAsia"/>
          <w:color w:val="auto"/>
        </w:rPr>
        <w:t>0.</w:t>
      </w:r>
      <w:r>
        <w:rPr>
          <w:color w:val="auto"/>
        </w:rPr>
        <w:t>1原则要求</w:t>
      </w:r>
    </w:p>
    <w:p>
      <w:pPr>
        <w:ind w:firstLine="480"/>
        <w:rPr>
          <w:color w:val="auto"/>
        </w:rPr>
      </w:pPr>
      <w:r>
        <w:rPr>
          <w:color w:val="auto"/>
        </w:rPr>
        <w:t>（1）在规划设计前要对猪场的自然条件、生产性质、规模、污染状况等进行充分的调查。要从保护环境的观点出发，合理规划。合理地设置猪场饲养猪的类型、头数，从而优化猪场本身的生态条件。</w:t>
      </w:r>
    </w:p>
    <w:p>
      <w:pPr>
        <w:ind w:firstLine="480"/>
        <w:rPr>
          <w:color w:val="auto"/>
        </w:rPr>
      </w:pPr>
      <w:r>
        <w:rPr>
          <w:color w:val="auto"/>
        </w:rPr>
        <w:t>（2）猪场的绿化规划是总体规划的有机组成部分，要在猪场建设总规划的同时进行绿化规划。要本着统一安排、统一布局的原则进行，规划时既要有长远考虑，又要有近期安排，要与全场的建设协调一致。</w:t>
      </w:r>
    </w:p>
    <w:p>
      <w:pPr>
        <w:ind w:firstLine="480"/>
        <w:rPr>
          <w:color w:val="auto"/>
        </w:rPr>
      </w:pPr>
      <w:r>
        <w:rPr>
          <w:color w:val="auto"/>
        </w:rPr>
        <w:t>（3）绿化规划设计布局要合理，以保证安全生产。绿化时不能影响地下、地上管线和车间生产的采光。</w:t>
      </w:r>
    </w:p>
    <w:p>
      <w:pPr>
        <w:ind w:firstLine="480"/>
        <w:rPr>
          <w:color w:val="auto"/>
        </w:rPr>
      </w:pPr>
      <w:r>
        <w:rPr>
          <w:color w:val="auto"/>
        </w:rPr>
        <w:t>（4）在进行绿化苗木选择时要考虑各功能区特点、地形、土质特点、环境污染等情况。为了达到良好的绿化美化效果，树种的选择，除考虑其满足绿化设计功能、易生长、抗病害等因素外，还要考虑其具有较强的抗污染和净化空气的功能。在满足各项功能要求的前提下，还可适当结合猪场生产，种植一些经济植物，以充分合理地利用土地，提高整场的经济效益。</w:t>
      </w:r>
    </w:p>
    <w:p>
      <w:pPr>
        <w:tabs>
          <w:tab w:val="left" w:pos="5625"/>
        </w:tabs>
        <w:ind w:firstLine="480"/>
        <w:outlineLvl w:val="3"/>
        <w:rPr>
          <w:color w:val="auto"/>
        </w:rPr>
      </w:pPr>
      <w:r>
        <w:rPr>
          <w:color w:val="auto"/>
        </w:rPr>
        <w:t>6.2.1</w:t>
      </w:r>
      <w:r>
        <w:rPr>
          <w:rFonts w:hint="eastAsia"/>
          <w:color w:val="auto"/>
        </w:rPr>
        <w:t>0</w:t>
      </w:r>
      <w:r>
        <w:rPr>
          <w:color w:val="auto"/>
        </w:rPr>
        <w:t>.2绿化措施</w:t>
      </w:r>
    </w:p>
    <w:p>
      <w:pPr>
        <w:ind w:firstLine="480"/>
        <w:rPr>
          <w:color w:val="auto"/>
        </w:rPr>
      </w:pPr>
      <w:r>
        <w:rPr>
          <w:color w:val="auto"/>
        </w:rPr>
        <w:t>（</w:t>
      </w:r>
      <w:r>
        <w:rPr>
          <w:rFonts w:hint="eastAsia"/>
          <w:color w:val="auto"/>
        </w:rPr>
        <w:t>1</w:t>
      </w:r>
      <w:r>
        <w:rPr>
          <w:color w:val="auto"/>
        </w:rPr>
        <w:t>）</w:t>
      </w:r>
      <w:r>
        <w:rPr>
          <w:rFonts w:hint="eastAsia"/>
          <w:color w:val="auto"/>
        </w:rPr>
        <w:t>厂区</w:t>
      </w:r>
      <w:r>
        <w:rPr>
          <w:color w:val="auto"/>
        </w:rPr>
        <w:t>隔离带的设计：场内各区，如养殖区、生活区及行政管理区的四周，都应设置隔离林带，采用绿篱植物小叶杨树、松树、榆树、丁香、榆叶等，或以栽种刺笆为主。刺笆可选陈刺、黄刺梅、红玫瑰、野蔷薇、花椒等，以起到防疫、隔离、安全等作用。</w:t>
      </w:r>
    </w:p>
    <w:p>
      <w:pPr>
        <w:ind w:firstLine="480"/>
        <w:rPr>
          <w:color w:val="auto"/>
        </w:rPr>
      </w:pPr>
      <w:r>
        <w:rPr>
          <w:color w:val="auto"/>
        </w:rPr>
        <w:t>（</w:t>
      </w:r>
      <w:r>
        <w:rPr>
          <w:rFonts w:hint="eastAsia"/>
          <w:color w:val="auto"/>
        </w:rPr>
        <w:t>2</w:t>
      </w:r>
      <w:r>
        <w:rPr>
          <w:color w:val="auto"/>
        </w:rPr>
        <w:t>）</w:t>
      </w:r>
      <w:r>
        <w:rPr>
          <w:rFonts w:hint="eastAsia"/>
          <w:color w:val="auto"/>
        </w:rPr>
        <w:t>厂区</w:t>
      </w:r>
      <w:r>
        <w:rPr>
          <w:color w:val="auto"/>
        </w:rPr>
        <w:t>道路绿化：宜采用乔木为主，乔、灌木搭配种植。如选种塔柏、冬青、侧柏等四季常青树种，并配置小叶女贞组成绿化带。</w:t>
      </w:r>
    </w:p>
    <w:p>
      <w:pPr>
        <w:ind w:firstLine="480"/>
        <w:rPr>
          <w:color w:val="auto"/>
        </w:rPr>
      </w:pPr>
      <w:r>
        <w:rPr>
          <w:color w:val="auto"/>
        </w:rPr>
        <w:t>（</w:t>
      </w:r>
      <w:r>
        <w:rPr>
          <w:rFonts w:hint="eastAsia"/>
          <w:color w:val="auto"/>
        </w:rPr>
        <w:t>3</w:t>
      </w:r>
      <w:r>
        <w:rPr>
          <w:color w:val="auto"/>
        </w:rPr>
        <w:t>）对于养殖区内的猪舍，不宜在其四周密植成片的树林，而应多种植低矮的花卉或草坪，以利于通风，便于有害气体扩散。</w:t>
      </w:r>
    </w:p>
    <w:p>
      <w:pPr>
        <w:ind w:firstLine="480"/>
        <w:rPr>
          <w:color w:val="auto"/>
        </w:rPr>
      </w:pPr>
      <w:r>
        <w:rPr>
          <w:color w:val="auto"/>
        </w:rPr>
        <w:t>（</w:t>
      </w:r>
      <w:r>
        <w:rPr>
          <w:rFonts w:hint="eastAsia"/>
          <w:color w:val="auto"/>
        </w:rPr>
        <w:t>4</w:t>
      </w:r>
      <w:r>
        <w:rPr>
          <w:color w:val="auto"/>
        </w:rPr>
        <w:t>）行政管理区和生活区：该区是与外界社会接触和员工生活休息的主要区域。该区的环境绿化可以适当进行园林式的规划，提升企业的形象和优美员工的生活环境。为了丰富色彩，宜种植容易繁殖、栽培和管理的花卉灌木为主。</w:t>
      </w:r>
    </w:p>
    <w:p>
      <w:pPr>
        <w:pStyle w:val="5"/>
        <w:spacing w:before="0" w:after="0"/>
        <w:ind w:firstLine="0" w:firstLineChars="0"/>
        <w:rPr>
          <w:rFonts w:ascii="Times New Roman" w:hAnsi="Times New Roman"/>
          <w:color w:val="auto"/>
          <w:sz w:val="28"/>
          <w:szCs w:val="20"/>
        </w:rPr>
      </w:pPr>
      <w:bookmarkStart w:id="601" w:name="_Toc27872"/>
      <w:bookmarkStart w:id="602" w:name="_Toc441509139"/>
      <w:bookmarkStart w:id="603" w:name="_Toc409787338"/>
      <w:bookmarkStart w:id="604" w:name="_Toc485580431"/>
      <w:bookmarkStart w:id="605" w:name="_Toc413833480"/>
      <w:bookmarkStart w:id="606" w:name="_Toc18398"/>
      <w:r>
        <w:rPr>
          <w:rFonts w:ascii="Times New Roman" w:hAnsi="Times New Roman"/>
          <w:color w:val="auto"/>
          <w:sz w:val="28"/>
          <w:szCs w:val="20"/>
        </w:rPr>
        <w:t>6.</w:t>
      </w:r>
      <w:r>
        <w:rPr>
          <w:rFonts w:hint="eastAsia" w:ascii="Times New Roman" w:hAnsi="Times New Roman"/>
          <w:color w:val="auto"/>
          <w:sz w:val="28"/>
          <w:szCs w:val="20"/>
        </w:rPr>
        <w:t>3</w:t>
      </w:r>
      <w:r>
        <w:rPr>
          <w:rFonts w:ascii="Times New Roman" w:hAnsi="Times New Roman"/>
          <w:color w:val="auto"/>
          <w:sz w:val="28"/>
          <w:szCs w:val="20"/>
        </w:rPr>
        <w:t xml:space="preserve"> 污染防治环保投资估算</w:t>
      </w:r>
      <w:bookmarkEnd w:id="601"/>
      <w:bookmarkEnd w:id="602"/>
      <w:bookmarkEnd w:id="603"/>
      <w:bookmarkEnd w:id="604"/>
      <w:bookmarkEnd w:id="605"/>
      <w:bookmarkEnd w:id="606"/>
    </w:p>
    <w:p>
      <w:pPr>
        <w:ind w:firstLine="480"/>
        <w:rPr>
          <w:color w:val="auto"/>
          <w:kern w:val="0"/>
        </w:rPr>
      </w:pPr>
      <w:r>
        <w:rPr>
          <w:color w:val="auto"/>
          <w:kern w:val="0"/>
        </w:rPr>
        <w:t>项目污染防治措施投资包括运行期的污染防治措施的总投资，预计该项费用总投资为</w:t>
      </w:r>
      <w:r>
        <w:rPr>
          <w:rFonts w:hint="eastAsia"/>
          <w:color w:val="auto"/>
          <w:kern w:val="0"/>
        </w:rPr>
        <w:t>3</w:t>
      </w:r>
      <w:r>
        <w:rPr>
          <w:rFonts w:hint="eastAsia"/>
          <w:color w:val="auto"/>
          <w:kern w:val="0"/>
          <w:lang w:val="en-US" w:eastAsia="zh-CN"/>
        </w:rPr>
        <w:t>00.5</w:t>
      </w:r>
      <w:r>
        <w:rPr>
          <w:color w:val="auto"/>
          <w:kern w:val="0"/>
        </w:rPr>
        <w:t>万元，本项目总投资3442.89万元，环保投资占总投资的比例为</w:t>
      </w:r>
      <w:r>
        <w:rPr>
          <w:rFonts w:hint="eastAsia"/>
          <w:color w:val="auto"/>
          <w:kern w:val="0"/>
          <w:lang w:val="en-US" w:eastAsia="zh-CN"/>
        </w:rPr>
        <w:t>8.7</w:t>
      </w:r>
      <w:r>
        <w:rPr>
          <w:color w:val="auto"/>
          <w:kern w:val="0"/>
        </w:rPr>
        <w:t>%。具体见表</w:t>
      </w:r>
      <w:r>
        <w:rPr>
          <w:rFonts w:hint="eastAsia"/>
          <w:color w:val="auto"/>
          <w:kern w:val="0"/>
        </w:rPr>
        <w:t>6.3-1</w:t>
      </w:r>
      <w:r>
        <w:rPr>
          <w:color w:val="auto"/>
          <w:kern w:val="0"/>
        </w:rPr>
        <w:t>。</w:t>
      </w:r>
    </w:p>
    <w:p>
      <w:pPr>
        <w:ind w:firstLine="422"/>
        <w:jc w:val="center"/>
        <w:rPr>
          <w:b/>
          <w:color w:val="auto"/>
        </w:rPr>
      </w:pPr>
      <w:r>
        <w:rPr>
          <w:rFonts w:hint="eastAsia"/>
          <w:b/>
          <w:color w:val="auto"/>
          <w:sz w:val="21"/>
          <w:szCs w:val="21"/>
        </w:rPr>
        <w:t xml:space="preserve">表6.3-1         </w:t>
      </w:r>
      <w:r>
        <w:rPr>
          <w:b/>
          <w:color w:val="auto"/>
          <w:sz w:val="21"/>
          <w:szCs w:val="21"/>
        </w:rPr>
        <w:t>项目污染防治投资估算表</w:t>
      </w:r>
    </w:p>
    <w:tbl>
      <w:tblPr>
        <w:tblStyle w:val="27"/>
        <w:tblW w:w="4998" w:type="pct"/>
        <w:jc w:val="center"/>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589"/>
        <w:gridCol w:w="1707"/>
        <w:gridCol w:w="5773"/>
        <w:gridCol w:w="1055"/>
      </w:tblGrid>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7" w:hRule="exact"/>
          <w:tblHeader/>
          <w:jc w:val="center"/>
        </w:trPr>
        <w:tc>
          <w:tcPr>
            <w:tcW w:w="323" w:type="pct"/>
            <w:tcMar>
              <w:top w:w="57" w:type="dxa"/>
              <w:left w:w="85" w:type="dxa"/>
              <w:bottom w:w="57" w:type="dxa"/>
              <w:right w:w="85" w:type="dxa"/>
            </w:tcMar>
            <w:vAlign w:val="center"/>
          </w:tcPr>
          <w:p>
            <w:pPr>
              <w:spacing w:line="240" w:lineRule="auto"/>
              <w:ind w:firstLine="0" w:firstLineChars="0"/>
              <w:jc w:val="center"/>
              <w:rPr>
                <w:bCs/>
                <w:color w:val="auto"/>
                <w:sz w:val="21"/>
                <w:szCs w:val="21"/>
              </w:rPr>
            </w:pPr>
            <w:r>
              <w:rPr>
                <w:bCs/>
                <w:color w:val="auto"/>
                <w:sz w:val="21"/>
                <w:szCs w:val="21"/>
              </w:rPr>
              <w:t>项目</w:t>
            </w:r>
          </w:p>
        </w:tc>
        <w:tc>
          <w:tcPr>
            <w:tcW w:w="935" w:type="pct"/>
            <w:tcMar>
              <w:top w:w="57" w:type="dxa"/>
              <w:left w:w="85" w:type="dxa"/>
              <w:bottom w:w="57" w:type="dxa"/>
              <w:right w:w="85" w:type="dxa"/>
            </w:tcMar>
            <w:vAlign w:val="center"/>
          </w:tcPr>
          <w:p>
            <w:pPr>
              <w:spacing w:line="240" w:lineRule="auto"/>
              <w:ind w:firstLine="0" w:firstLineChars="0"/>
              <w:jc w:val="center"/>
              <w:rPr>
                <w:bCs/>
                <w:color w:val="auto"/>
                <w:sz w:val="21"/>
                <w:szCs w:val="21"/>
              </w:rPr>
            </w:pPr>
            <w:r>
              <w:rPr>
                <w:bCs/>
                <w:color w:val="auto"/>
                <w:sz w:val="21"/>
                <w:szCs w:val="21"/>
              </w:rPr>
              <w:t>类别</w:t>
            </w:r>
          </w:p>
        </w:tc>
        <w:tc>
          <w:tcPr>
            <w:tcW w:w="3163" w:type="pct"/>
            <w:tcMar>
              <w:top w:w="57" w:type="dxa"/>
              <w:left w:w="85" w:type="dxa"/>
              <w:bottom w:w="57" w:type="dxa"/>
              <w:right w:w="85" w:type="dxa"/>
            </w:tcMar>
            <w:vAlign w:val="center"/>
          </w:tcPr>
          <w:p>
            <w:pPr>
              <w:spacing w:line="240" w:lineRule="auto"/>
              <w:ind w:firstLine="0" w:firstLineChars="0"/>
              <w:jc w:val="center"/>
              <w:rPr>
                <w:bCs/>
                <w:color w:val="auto"/>
                <w:sz w:val="21"/>
                <w:szCs w:val="21"/>
              </w:rPr>
            </w:pPr>
            <w:r>
              <w:rPr>
                <w:bCs/>
                <w:color w:val="auto"/>
                <w:sz w:val="21"/>
                <w:szCs w:val="21"/>
              </w:rPr>
              <w:t>措施内容</w:t>
            </w:r>
          </w:p>
        </w:tc>
        <w:tc>
          <w:tcPr>
            <w:tcW w:w="578" w:type="pct"/>
            <w:tcMar>
              <w:top w:w="57" w:type="dxa"/>
              <w:left w:w="85" w:type="dxa"/>
              <w:bottom w:w="57" w:type="dxa"/>
              <w:right w:w="85" w:type="dxa"/>
            </w:tcMar>
            <w:vAlign w:val="center"/>
          </w:tcPr>
          <w:p>
            <w:pPr>
              <w:spacing w:line="240" w:lineRule="auto"/>
              <w:ind w:firstLine="0" w:firstLineChars="0"/>
              <w:jc w:val="center"/>
              <w:rPr>
                <w:bCs/>
                <w:color w:val="auto"/>
                <w:sz w:val="21"/>
                <w:szCs w:val="21"/>
              </w:rPr>
            </w:pPr>
            <w:r>
              <w:rPr>
                <w:bCs/>
                <w:color w:val="auto"/>
                <w:sz w:val="21"/>
                <w:szCs w:val="21"/>
              </w:rPr>
              <w:t>投资（万元）</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323" w:type="pct"/>
            <w:vMerge w:val="restart"/>
            <w:tcMar>
              <w:top w:w="57" w:type="dxa"/>
              <w:left w:w="85" w:type="dxa"/>
              <w:bottom w:w="57" w:type="dxa"/>
              <w:right w:w="85" w:type="dxa"/>
            </w:tcMar>
            <w:vAlign w:val="center"/>
          </w:tcPr>
          <w:p>
            <w:pPr>
              <w:spacing w:line="240" w:lineRule="auto"/>
              <w:ind w:firstLine="0" w:firstLineChars="0"/>
              <w:jc w:val="center"/>
              <w:rPr>
                <w:bCs/>
                <w:color w:val="auto"/>
                <w:sz w:val="21"/>
                <w:szCs w:val="21"/>
              </w:rPr>
            </w:pPr>
            <w:r>
              <w:rPr>
                <w:bCs/>
                <w:color w:val="auto"/>
                <w:sz w:val="21"/>
                <w:szCs w:val="21"/>
              </w:rPr>
              <w:t>废水</w:t>
            </w:r>
          </w:p>
        </w:tc>
        <w:tc>
          <w:tcPr>
            <w:tcW w:w="935" w:type="pct"/>
            <w:tcMar>
              <w:top w:w="57" w:type="dxa"/>
              <w:left w:w="85" w:type="dxa"/>
              <w:bottom w:w="57" w:type="dxa"/>
              <w:right w:w="85" w:type="dxa"/>
            </w:tcMar>
            <w:vAlign w:val="center"/>
          </w:tcPr>
          <w:p>
            <w:pPr>
              <w:spacing w:line="240" w:lineRule="auto"/>
              <w:ind w:firstLine="0" w:firstLineChars="0"/>
              <w:jc w:val="center"/>
              <w:rPr>
                <w:bCs/>
                <w:color w:val="auto"/>
                <w:sz w:val="21"/>
                <w:szCs w:val="21"/>
              </w:rPr>
            </w:pPr>
            <w:r>
              <w:rPr>
                <w:bCs/>
                <w:color w:val="auto"/>
                <w:sz w:val="21"/>
                <w:szCs w:val="21"/>
              </w:rPr>
              <w:t>生活污水</w:t>
            </w:r>
          </w:p>
        </w:tc>
        <w:tc>
          <w:tcPr>
            <w:tcW w:w="3163" w:type="pct"/>
            <w:vMerge w:val="restart"/>
            <w:tcMar>
              <w:top w:w="57" w:type="dxa"/>
              <w:left w:w="85" w:type="dxa"/>
              <w:bottom w:w="57" w:type="dxa"/>
              <w:right w:w="85" w:type="dxa"/>
            </w:tcMar>
            <w:vAlign w:val="center"/>
          </w:tcPr>
          <w:p>
            <w:pPr>
              <w:spacing w:line="240" w:lineRule="auto"/>
              <w:ind w:firstLine="0" w:firstLineChars="0"/>
              <w:jc w:val="center"/>
              <w:rPr>
                <w:bCs/>
                <w:color w:val="auto"/>
                <w:sz w:val="21"/>
                <w:szCs w:val="21"/>
              </w:rPr>
            </w:pPr>
            <w:r>
              <w:rPr>
                <w:color w:val="auto"/>
                <w:sz w:val="21"/>
                <w:szCs w:val="21"/>
              </w:rPr>
              <w:t>污水处理设施，工艺为“预处理+黑膜厌氧发酵”工艺；1套沼气干法脱硫装置</w:t>
            </w:r>
          </w:p>
        </w:tc>
        <w:tc>
          <w:tcPr>
            <w:tcW w:w="578" w:type="pct"/>
            <w:vMerge w:val="restart"/>
            <w:tcMar>
              <w:top w:w="57" w:type="dxa"/>
              <w:left w:w="85" w:type="dxa"/>
              <w:bottom w:w="57" w:type="dxa"/>
              <w:right w:w="85" w:type="dxa"/>
            </w:tcMar>
            <w:vAlign w:val="center"/>
          </w:tcPr>
          <w:p>
            <w:pPr>
              <w:spacing w:line="240" w:lineRule="auto"/>
              <w:ind w:firstLine="0" w:firstLineChars="0"/>
              <w:jc w:val="center"/>
              <w:rPr>
                <w:rFonts w:hint="default"/>
                <w:bCs/>
                <w:color w:val="auto"/>
                <w:sz w:val="21"/>
                <w:szCs w:val="21"/>
                <w:lang w:val="en-US"/>
              </w:rPr>
            </w:pPr>
            <w:r>
              <w:rPr>
                <w:rFonts w:hint="eastAsia"/>
                <w:bCs/>
                <w:color w:val="auto"/>
                <w:sz w:val="21"/>
                <w:szCs w:val="21"/>
                <w:lang w:val="en-US" w:eastAsia="zh-CN"/>
              </w:rPr>
              <w:t>150</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323" w:type="pct"/>
            <w:vMerge w:val="continue"/>
            <w:tcMar>
              <w:top w:w="57" w:type="dxa"/>
              <w:left w:w="85" w:type="dxa"/>
              <w:bottom w:w="57" w:type="dxa"/>
              <w:right w:w="85" w:type="dxa"/>
            </w:tcMar>
            <w:vAlign w:val="center"/>
          </w:tcPr>
          <w:p>
            <w:pPr>
              <w:spacing w:line="240" w:lineRule="auto"/>
              <w:ind w:firstLine="0" w:firstLineChars="0"/>
              <w:jc w:val="center"/>
              <w:rPr>
                <w:bCs/>
                <w:color w:val="auto"/>
                <w:sz w:val="21"/>
                <w:szCs w:val="21"/>
              </w:rPr>
            </w:pPr>
          </w:p>
        </w:tc>
        <w:tc>
          <w:tcPr>
            <w:tcW w:w="935" w:type="pct"/>
            <w:tcMar>
              <w:top w:w="57" w:type="dxa"/>
              <w:left w:w="85" w:type="dxa"/>
              <w:bottom w:w="57" w:type="dxa"/>
              <w:right w:w="85" w:type="dxa"/>
            </w:tcMar>
            <w:vAlign w:val="center"/>
          </w:tcPr>
          <w:p>
            <w:pPr>
              <w:spacing w:line="240" w:lineRule="auto"/>
              <w:ind w:firstLine="0" w:firstLineChars="0"/>
              <w:jc w:val="center"/>
              <w:rPr>
                <w:bCs/>
                <w:color w:val="auto"/>
                <w:sz w:val="21"/>
                <w:szCs w:val="21"/>
              </w:rPr>
            </w:pPr>
            <w:r>
              <w:rPr>
                <w:bCs/>
                <w:color w:val="auto"/>
                <w:sz w:val="21"/>
                <w:szCs w:val="21"/>
              </w:rPr>
              <w:t>养殖废水</w:t>
            </w:r>
          </w:p>
        </w:tc>
        <w:tc>
          <w:tcPr>
            <w:tcW w:w="3163" w:type="pct"/>
            <w:vMerge w:val="continue"/>
            <w:tcMar>
              <w:top w:w="57" w:type="dxa"/>
              <w:left w:w="85" w:type="dxa"/>
              <w:bottom w:w="57" w:type="dxa"/>
              <w:right w:w="85" w:type="dxa"/>
            </w:tcMar>
            <w:vAlign w:val="center"/>
          </w:tcPr>
          <w:p>
            <w:pPr>
              <w:spacing w:line="240" w:lineRule="auto"/>
              <w:ind w:firstLine="0" w:firstLineChars="0"/>
              <w:jc w:val="center"/>
              <w:rPr>
                <w:bCs/>
                <w:color w:val="auto"/>
                <w:sz w:val="21"/>
                <w:szCs w:val="21"/>
              </w:rPr>
            </w:pPr>
          </w:p>
        </w:tc>
        <w:tc>
          <w:tcPr>
            <w:tcW w:w="578" w:type="pct"/>
            <w:vMerge w:val="continue"/>
            <w:tcMar>
              <w:top w:w="57" w:type="dxa"/>
              <w:left w:w="85" w:type="dxa"/>
              <w:bottom w:w="57" w:type="dxa"/>
              <w:right w:w="85" w:type="dxa"/>
            </w:tcMar>
            <w:vAlign w:val="center"/>
          </w:tcPr>
          <w:p>
            <w:pPr>
              <w:spacing w:line="240" w:lineRule="auto"/>
              <w:ind w:firstLine="0" w:firstLineChars="0"/>
              <w:jc w:val="center"/>
              <w:rPr>
                <w:bCs/>
                <w:color w:val="auto"/>
                <w:sz w:val="21"/>
                <w:szCs w:val="21"/>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07" w:hRule="exact"/>
          <w:jc w:val="center"/>
        </w:trPr>
        <w:tc>
          <w:tcPr>
            <w:tcW w:w="323" w:type="pct"/>
            <w:vMerge w:val="restart"/>
            <w:tcMar>
              <w:top w:w="57" w:type="dxa"/>
              <w:left w:w="85" w:type="dxa"/>
              <w:bottom w:w="57" w:type="dxa"/>
              <w:right w:w="85" w:type="dxa"/>
            </w:tcMar>
            <w:vAlign w:val="center"/>
          </w:tcPr>
          <w:p>
            <w:pPr>
              <w:spacing w:line="240" w:lineRule="auto"/>
              <w:ind w:firstLine="0" w:firstLineChars="0"/>
              <w:jc w:val="center"/>
              <w:rPr>
                <w:bCs/>
                <w:color w:val="auto"/>
                <w:sz w:val="21"/>
                <w:szCs w:val="21"/>
              </w:rPr>
            </w:pPr>
            <w:r>
              <w:rPr>
                <w:bCs/>
                <w:color w:val="auto"/>
                <w:sz w:val="21"/>
                <w:szCs w:val="21"/>
              </w:rPr>
              <w:t>废气</w:t>
            </w:r>
          </w:p>
        </w:tc>
        <w:tc>
          <w:tcPr>
            <w:tcW w:w="935" w:type="pct"/>
            <w:tcMar>
              <w:top w:w="57" w:type="dxa"/>
              <w:left w:w="85" w:type="dxa"/>
              <w:bottom w:w="57" w:type="dxa"/>
              <w:right w:w="85" w:type="dxa"/>
            </w:tcMar>
            <w:vAlign w:val="center"/>
          </w:tcPr>
          <w:p>
            <w:pPr>
              <w:spacing w:line="240" w:lineRule="auto"/>
              <w:ind w:firstLine="0" w:firstLineChars="0"/>
              <w:jc w:val="center"/>
              <w:rPr>
                <w:bCs/>
                <w:color w:val="auto"/>
                <w:sz w:val="21"/>
                <w:szCs w:val="21"/>
              </w:rPr>
            </w:pPr>
            <w:r>
              <w:rPr>
                <w:bCs/>
                <w:color w:val="auto"/>
                <w:sz w:val="21"/>
                <w:szCs w:val="21"/>
              </w:rPr>
              <w:t>猪舍臭气</w:t>
            </w:r>
          </w:p>
        </w:tc>
        <w:tc>
          <w:tcPr>
            <w:tcW w:w="3163" w:type="pct"/>
            <w:tcMar>
              <w:top w:w="57" w:type="dxa"/>
              <w:left w:w="85" w:type="dxa"/>
              <w:bottom w:w="57" w:type="dxa"/>
              <w:right w:w="85" w:type="dxa"/>
            </w:tcMar>
            <w:vAlign w:val="center"/>
          </w:tcPr>
          <w:p>
            <w:pPr>
              <w:spacing w:line="240" w:lineRule="auto"/>
              <w:ind w:firstLine="0" w:firstLineChars="0"/>
              <w:jc w:val="center"/>
              <w:rPr>
                <w:bCs/>
                <w:color w:val="auto"/>
                <w:sz w:val="21"/>
                <w:szCs w:val="21"/>
              </w:rPr>
            </w:pPr>
            <w:r>
              <w:rPr>
                <w:bCs/>
                <w:color w:val="auto"/>
                <w:sz w:val="21"/>
                <w:szCs w:val="21"/>
              </w:rPr>
              <w:t>控制饲养密度，</w:t>
            </w:r>
            <w:r>
              <w:rPr>
                <w:rFonts w:hint="eastAsia"/>
                <w:bCs/>
                <w:color w:val="auto"/>
                <w:sz w:val="21"/>
                <w:szCs w:val="21"/>
              </w:rPr>
              <w:t>调整饲料配方</w:t>
            </w:r>
            <w:r>
              <w:rPr>
                <w:bCs/>
                <w:color w:val="auto"/>
                <w:sz w:val="21"/>
                <w:szCs w:val="21"/>
              </w:rPr>
              <w:t>、采用节水型饮水器、全漏缝地板并及时清粪</w:t>
            </w:r>
            <w:r>
              <w:rPr>
                <w:rFonts w:hint="eastAsia"/>
                <w:bCs/>
                <w:color w:val="auto"/>
                <w:sz w:val="21"/>
                <w:szCs w:val="21"/>
              </w:rPr>
              <w:t>、喷洒除臭剂、猪舍出风口设置风机，将臭气引至除臭棚处理，除臭棚墙内填充填料吸附，同时除臭棚顶部有喷淋水装置</w:t>
            </w:r>
          </w:p>
        </w:tc>
        <w:tc>
          <w:tcPr>
            <w:tcW w:w="578" w:type="pct"/>
            <w:tcMar>
              <w:top w:w="57" w:type="dxa"/>
              <w:left w:w="85" w:type="dxa"/>
              <w:bottom w:w="57" w:type="dxa"/>
              <w:right w:w="85" w:type="dxa"/>
            </w:tcMar>
            <w:vAlign w:val="center"/>
          </w:tcPr>
          <w:p>
            <w:pPr>
              <w:spacing w:line="240" w:lineRule="auto"/>
              <w:ind w:firstLine="0" w:firstLineChars="0"/>
              <w:jc w:val="center"/>
              <w:rPr>
                <w:bCs/>
                <w:color w:val="auto"/>
                <w:sz w:val="21"/>
                <w:szCs w:val="21"/>
              </w:rPr>
            </w:pPr>
            <w:r>
              <w:rPr>
                <w:rFonts w:hint="eastAsia"/>
                <w:bCs/>
                <w:color w:val="auto"/>
                <w:sz w:val="21"/>
                <w:szCs w:val="21"/>
                <w:lang w:val="en-US" w:eastAsia="zh-CN"/>
              </w:rPr>
              <w:t>3</w:t>
            </w:r>
            <w:r>
              <w:rPr>
                <w:rFonts w:hint="eastAsia"/>
                <w:bCs/>
                <w:color w:val="auto"/>
                <w:sz w:val="21"/>
                <w:szCs w:val="21"/>
              </w:rPr>
              <w:t>0</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223" w:hRule="exact"/>
          <w:jc w:val="center"/>
        </w:trPr>
        <w:tc>
          <w:tcPr>
            <w:tcW w:w="323" w:type="pct"/>
            <w:vMerge w:val="continue"/>
            <w:tcMar>
              <w:top w:w="57" w:type="dxa"/>
              <w:left w:w="85" w:type="dxa"/>
              <w:bottom w:w="57" w:type="dxa"/>
              <w:right w:w="85" w:type="dxa"/>
            </w:tcMar>
            <w:vAlign w:val="center"/>
          </w:tcPr>
          <w:p>
            <w:pPr>
              <w:spacing w:line="240" w:lineRule="auto"/>
              <w:ind w:firstLine="0" w:firstLineChars="0"/>
              <w:jc w:val="center"/>
              <w:rPr>
                <w:bCs/>
                <w:color w:val="auto"/>
                <w:sz w:val="21"/>
                <w:szCs w:val="21"/>
              </w:rPr>
            </w:pPr>
          </w:p>
        </w:tc>
        <w:tc>
          <w:tcPr>
            <w:tcW w:w="935" w:type="pct"/>
            <w:tcMar>
              <w:top w:w="57" w:type="dxa"/>
              <w:left w:w="85" w:type="dxa"/>
              <w:bottom w:w="57" w:type="dxa"/>
              <w:right w:w="85" w:type="dxa"/>
            </w:tcMar>
            <w:vAlign w:val="center"/>
          </w:tcPr>
          <w:p>
            <w:pPr>
              <w:spacing w:line="240" w:lineRule="auto"/>
              <w:ind w:firstLine="0" w:firstLineChars="0"/>
              <w:jc w:val="center"/>
              <w:rPr>
                <w:bCs/>
                <w:color w:val="auto"/>
                <w:sz w:val="21"/>
                <w:szCs w:val="21"/>
              </w:rPr>
            </w:pPr>
            <w:r>
              <w:rPr>
                <w:bCs/>
                <w:color w:val="auto"/>
                <w:sz w:val="21"/>
                <w:szCs w:val="21"/>
              </w:rPr>
              <w:t>污水处理站</w:t>
            </w:r>
          </w:p>
        </w:tc>
        <w:tc>
          <w:tcPr>
            <w:tcW w:w="3163" w:type="pct"/>
            <w:tcMar>
              <w:top w:w="57" w:type="dxa"/>
              <w:left w:w="85" w:type="dxa"/>
              <w:bottom w:w="57" w:type="dxa"/>
              <w:right w:w="85" w:type="dxa"/>
            </w:tcMar>
            <w:vAlign w:val="center"/>
          </w:tcPr>
          <w:p>
            <w:pPr>
              <w:spacing w:line="240" w:lineRule="auto"/>
              <w:ind w:firstLine="0" w:firstLineChars="0"/>
              <w:jc w:val="center"/>
              <w:rPr>
                <w:bCs/>
                <w:color w:val="auto"/>
                <w:sz w:val="21"/>
                <w:szCs w:val="21"/>
              </w:rPr>
            </w:pPr>
            <w:r>
              <w:rPr>
                <w:rFonts w:ascii="宋体" w:hAnsi="宋体" w:cs="宋体"/>
                <w:color w:val="auto"/>
                <w:sz w:val="21"/>
                <w:szCs w:val="21"/>
              </w:rPr>
              <w:t>黑膜沼气池密闭</w:t>
            </w:r>
            <w:r>
              <w:rPr>
                <w:rFonts w:hint="eastAsia" w:ascii="宋体" w:hAnsi="宋体" w:cs="宋体"/>
                <w:color w:val="auto"/>
                <w:sz w:val="21"/>
                <w:szCs w:val="21"/>
              </w:rPr>
              <w:t>，同时</w:t>
            </w:r>
            <w:r>
              <w:rPr>
                <w:bCs/>
                <w:color w:val="auto"/>
                <w:sz w:val="21"/>
                <w:szCs w:val="21"/>
              </w:rPr>
              <w:t>喷洒除臭剂（除臭剂的喷扫操作方式为人工喷洒，对操作人员强化培训，喷洒频率为：污水处理站运行前期连续喷洒3天每天喷洒一次，之后每隔5天喷洒一次），周边绿化</w:t>
            </w:r>
            <w:r>
              <w:rPr>
                <w:rFonts w:hint="eastAsia"/>
                <w:bCs/>
                <w:color w:val="auto"/>
                <w:sz w:val="21"/>
                <w:szCs w:val="21"/>
              </w:rPr>
              <w:t>、处理措施加盖或加罩</w:t>
            </w:r>
          </w:p>
        </w:tc>
        <w:tc>
          <w:tcPr>
            <w:tcW w:w="578" w:type="pct"/>
            <w:tcMar>
              <w:top w:w="57" w:type="dxa"/>
              <w:left w:w="85" w:type="dxa"/>
              <w:bottom w:w="57" w:type="dxa"/>
              <w:right w:w="85" w:type="dxa"/>
            </w:tcMar>
            <w:vAlign w:val="center"/>
          </w:tcPr>
          <w:p>
            <w:pPr>
              <w:spacing w:line="240" w:lineRule="auto"/>
              <w:ind w:firstLine="0" w:firstLineChars="0"/>
              <w:jc w:val="center"/>
              <w:rPr>
                <w:bCs/>
                <w:color w:val="auto"/>
                <w:sz w:val="21"/>
                <w:szCs w:val="21"/>
              </w:rPr>
            </w:pPr>
            <w:r>
              <w:rPr>
                <w:rFonts w:hint="eastAsia"/>
                <w:bCs/>
                <w:color w:val="auto"/>
                <w:sz w:val="21"/>
                <w:szCs w:val="21"/>
              </w:rPr>
              <w:t>7</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05" w:hRule="exact"/>
          <w:jc w:val="center"/>
        </w:trPr>
        <w:tc>
          <w:tcPr>
            <w:tcW w:w="323" w:type="pct"/>
            <w:vMerge w:val="continue"/>
            <w:tcMar>
              <w:top w:w="57" w:type="dxa"/>
              <w:left w:w="85" w:type="dxa"/>
              <w:bottom w:w="57" w:type="dxa"/>
              <w:right w:w="85" w:type="dxa"/>
            </w:tcMar>
            <w:vAlign w:val="center"/>
          </w:tcPr>
          <w:p>
            <w:pPr>
              <w:spacing w:line="240" w:lineRule="auto"/>
              <w:ind w:firstLine="0" w:firstLineChars="0"/>
              <w:jc w:val="center"/>
              <w:rPr>
                <w:bCs/>
                <w:color w:val="auto"/>
                <w:sz w:val="21"/>
                <w:szCs w:val="21"/>
              </w:rPr>
            </w:pPr>
          </w:p>
        </w:tc>
        <w:tc>
          <w:tcPr>
            <w:tcW w:w="935" w:type="pct"/>
            <w:tcMar>
              <w:top w:w="57" w:type="dxa"/>
              <w:left w:w="85" w:type="dxa"/>
              <w:bottom w:w="57" w:type="dxa"/>
              <w:right w:w="85" w:type="dxa"/>
            </w:tcMar>
            <w:vAlign w:val="center"/>
          </w:tcPr>
          <w:p>
            <w:pPr>
              <w:spacing w:line="240" w:lineRule="auto"/>
              <w:ind w:firstLine="0" w:firstLineChars="0"/>
              <w:jc w:val="center"/>
              <w:rPr>
                <w:bCs/>
                <w:color w:val="auto"/>
                <w:sz w:val="21"/>
                <w:szCs w:val="21"/>
              </w:rPr>
            </w:pPr>
            <w:r>
              <w:rPr>
                <w:rFonts w:hint="eastAsia"/>
                <w:color w:val="auto"/>
                <w:sz w:val="21"/>
                <w:szCs w:val="21"/>
              </w:rPr>
              <w:t>固粪处理区</w:t>
            </w:r>
          </w:p>
        </w:tc>
        <w:tc>
          <w:tcPr>
            <w:tcW w:w="3163" w:type="pct"/>
            <w:tcMar>
              <w:top w:w="57" w:type="dxa"/>
              <w:left w:w="85" w:type="dxa"/>
              <w:bottom w:w="57" w:type="dxa"/>
              <w:right w:w="85" w:type="dxa"/>
            </w:tcMar>
            <w:vAlign w:val="center"/>
          </w:tcPr>
          <w:p>
            <w:pPr>
              <w:spacing w:line="240" w:lineRule="auto"/>
              <w:ind w:firstLine="0" w:firstLineChars="0"/>
              <w:jc w:val="center"/>
              <w:rPr>
                <w:bCs/>
                <w:color w:val="auto"/>
                <w:sz w:val="21"/>
                <w:szCs w:val="21"/>
              </w:rPr>
            </w:pPr>
            <w:r>
              <w:rPr>
                <w:rFonts w:hint="eastAsia"/>
                <w:bCs/>
                <w:color w:val="auto"/>
                <w:sz w:val="21"/>
                <w:szCs w:val="21"/>
              </w:rPr>
              <w:t>设置风机，将臭气引至除臭棚处理，除臭棚墙内填充填料吸附，同时除臭棚顶部有喷淋水装置</w:t>
            </w:r>
          </w:p>
        </w:tc>
        <w:tc>
          <w:tcPr>
            <w:tcW w:w="578" w:type="pct"/>
            <w:tcMar>
              <w:top w:w="57" w:type="dxa"/>
              <w:left w:w="85" w:type="dxa"/>
              <w:bottom w:w="57" w:type="dxa"/>
              <w:right w:w="85" w:type="dxa"/>
            </w:tcMar>
            <w:vAlign w:val="center"/>
          </w:tcPr>
          <w:p>
            <w:pPr>
              <w:spacing w:line="240" w:lineRule="auto"/>
              <w:ind w:firstLine="0" w:firstLineChars="0"/>
              <w:jc w:val="center"/>
              <w:rPr>
                <w:bCs/>
                <w:color w:val="auto"/>
                <w:sz w:val="21"/>
                <w:szCs w:val="21"/>
              </w:rPr>
            </w:pPr>
            <w:r>
              <w:rPr>
                <w:rFonts w:hint="eastAsia"/>
                <w:bCs/>
                <w:color w:val="auto"/>
                <w:sz w:val="21"/>
                <w:szCs w:val="21"/>
              </w:rPr>
              <w:t>10</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04" w:hRule="exact"/>
          <w:jc w:val="center"/>
        </w:trPr>
        <w:tc>
          <w:tcPr>
            <w:tcW w:w="323" w:type="pct"/>
            <w:vMerge w:val="continue"/>
            <w:tcMar>
              <w:top w:w="57" w:type="dxa"/>
              <w:left w:w="85" w:type="dxa"/>
              <w:bottom w:w="57" w:type="dxa"/>
              <w:right w:w="85" w:type="dxa"/>
            </w:tcMar>
            <w:vAlign w:val="center"/>
          </w:tcPr>
          <w:p>
            <w:pPr>
              <w:spacing w:line="240" w:lineRule="auto"/>
              <w:ind w:firstLine="0" w:firstLineChars="0"/>
              <w:jc w:val="center"/>
              <w:rPr>
                <w:bCs/>
                <w:color w:val="auto"/>
                <w:sz w:val="21"/>
                <w:szCs w:val="21"/>
              </w:rPr>
            </w:pPr>
          </w:p>
        </w:tc>
        <w:tc>
          <w:tcPr>
            <w:tcW w:w="935" w:type="pct"/>
            <w:tcMar>
              <w:top w:w="57" w:type="dxa"/>
              <w:left w:w="85" w:type="dxa"/>
              <w:bottom w:w="57" w:type="dxa"/>
              <w:right w:w="85" w:type="dxa"/>
            </w:tcMar>
            <w:vAlign w:val="center"/>
          </w:tcPr>
          <w:p>
            <w:pPr>
              <w:pStyle w:val="42"/>
              <w:spacing w:line="240" w:lineRule="auto"/>
              <w:ind w:firstLine="0" w:firstLineChars="0"/>
              <w:jc w:val="center"/>
              <w:rPr>
                <w:bCs/>
                <w:color w:val="auto"/>
                <w:sz w:val="21"/>
                <w:szCs w:val="21"/>
              </w:rPr>
            </w:pPr>
            <w:r>
              <w:rPr>
                <w:rFonts w:hint="eastAsia"/>
                <w:bCs/>
                <w:color w:val="auto"/>
                <w:sz w:val="21"/>
                <w:szCs w:val="21"/>
              </w:rPr>
              <w:t>高温化制机</w:t>
            </w:r>
          </w:p>
        </w:tc>
        <w:tc>
          <w:tcPr>
            <w:tcW w:w="3163" w:type="pct"/>
            <w:tcMar>
              <w:top w:w="57" w:type="dxa"/>
              <w:left w:w="85" w:type="dxa"/>
              <w:bottom w:w="57" w:type="dxa"/>
              <w:right w:w="85" w:type="dxa"/>
            </w:tcMar>
          </w:tcPr>
          <w:p>
            <w:pPr>
              <w:pStyle w:val="42"/>
              <w:spacing w:line="240" w:lineRule="auto"/>
              <w:ind w:firstLine="0" w:firstLineChars="0"/>
              <w:jc w:val="center"/>
              <w:rPr>
                <w:bCs/>
                <w:color w:val="auto"/>
                <w:sz w:val="21"/>
                <w:szCs w:val="21"/>
              </w:rPr>
            </w:pPr>
            <w:r>
              <w:rPr>
                <w:rFonts w:hint="eastAsia"/>
                <w:bCs/>
                <w:color w:val="auto"/>
                <w:sz w:val="21"/>
                <w:szCs w:val="21"/>
              </w:rPr>
              <w:t>设置风机，将臭气引至除臭棚处理，除臭棚墙内填充填料吸附，同时除臭棚顶部有喷淋水装置</w:t>
            </w:r>
          </w:p>
        </w:tc>
        <w:tc>
          <w:tcPr>
            <w:tcW w:w="578" w:type="pct"/>
            <w:tcMar>
              <w:top w:w="57" w:type="dxa"/>
              <w:left w:w="85" w:type="dxa"/>
              <w:bottom w:w="57" w:type="dxa"/>
              <w:right w:w="85" w:type="dxa"/>
            </w:tcMar>
            <w:vAlign w:val="center"/>
          </w:tcPr>
          <w:p>
            <w:pPr>
              <w:spacing w:line="240" w:lineRule="auto"/>
              <w:ind w:firstLine="0" w:firstLineChars="0"/>
              <w:jc w:val="center"/>
              <w:rPr>
                <w:bCs/>
                <w:color w:val="auto"/>
                <w:sz w:val="21"/>
                <w:szCs w:val="21"/>
              </w:rPr>
            </w:pPr>
            <w:r>
              <w:rPr>
                <w:rFonts w:hint="eastAsia"/>
                <w:bCs/>
                <w:color w:val="auto"/>
                <w:sz w:val="21"/>
                <w:szCs w:val="21"/>
              </w:rPr>
              <w:t>10</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42" w:hRule="exact"/>
          <w:jc w:val="center"/>
        </w:trPr>
        <w:tc>
          <w:tcPr>
            <w:tcW w:w="323" w:type="pct"/>
            <w:vMerge w:val="continue"/>
            <w:tcMar>
              <w:top w:w="57" w:type="dxa"/>
              <w:left w:w="85" w:type="dxa"/>
              <w:bottom w:w="57" w:type="dxa"/>
              <w:right w:w="85" w:type="dxa"/>
            </w:tcMar>
            <w:vAlign w:val="center"/>
          </w:tcPr>
          <w:p>
            <w:pPr>
              <w:spacing w:line="240" w:lineRule="auto"/>
              <w:ind w:firstLine="0" w:firstLineChars="0"/>
              <w:jc w:val="center"/>
              <w:rPr>
                <w:bCs/>
                <w:color w:val="auto"/>
                <w:sz w:val="21"/>
                <w:szCs w:val="21"/>
              </w:rPr>
            </w:pPr>
          </w:p>
        </w:tc>
        <w:tc>
          <w:tcPr>
            <w:tcW w:w="935" w:type="pct"/>
            <w:tcMar>
              <w:top w:w="57" w:type="dxa"/>
              <w:left w:w="85" w:type="dxa"/>
              <w:bottom w:w="57" w:type="dxa"/>
              <w:right w:w="85" w:type="dxa"/>
            </w:tcMar>
            <w:vAlign w:val="center"/>
          </w:tcPr>
          <w:p>
            <w:pPr>
              <w:spacing w:line="240" w:lineRule="auto"/>
              <w:ind w:firstLine="0" w:firstLineChars="0"/>
              <w:jc w:val="center"/>
              <w:rPr>
                <w:bCs/>
                <w:color w:val="auto"/>
                <w:sz w:val="21"/>
                <w:szCs w:val="21"/>
              </w:rPr>
            </w:pPr>
            <w:r>
              <w:rPr>
                <w:bCs/>
                <w:color w:val="auto"/>
                <w:sz w:val="21"/>
                <w:szCs w:val="21"/>
              </w:rPr>
              <w:t>食堂油烟</w:t>
            </w:r>
          </w:p>
        </w:tc>
        <w:tc>
          <w:tcPr>
            <w:tcW w:w="3163" w:type="pct"/>
            <w:tcMar>
              <w:top w:w="57" w:type="dxa"/>
              <w:left w:w="85" w:type="dxa"/>
              <w:bottom w:w="57" w:type="dxa"/>
              <w:right w:w="85" w:type="dxa"/>
            </w:tcMar>
            <w:vAlign w:val="center"/>
          </w:tcPr>
          <w:p>
            <w:pPr>
              <w:spacing w:line="240" w:lineRule="auto"/>
              <w:ind w:firstLine="0" w:firstLineChars="0"/>
              <w:jc w:val="center"/>
              <w:rPr>
                <w:bCs/>
                <w:color w:val="auto"/>
                <w:sz w:val="21"/>
                <w:szCs w:val="21"/>
              </w:rPr>
            </w:pPr>
            <w:r>
              <w:rPr>
                <w:bCs/>
                <w:color w:val="auto"/>
                <w:kern w:val="0"/>
                <w:sz w:val="21"/>
                <w:szCs w:val="21"/>
              </w:rPr>
              <w:t>安装净化效率不低于</w:t>
            </w:r>
            <w:r>
              <w:rPr>
                <w:rFonts w:hint="eastAsia"/>
                <w:bCs/>
                <w:color w:val="auto"/>
                <w:kern w:val="0"/>
                <w:sz w:val="21"/>
                <w:szCs w:val="21"/>
              </w:rPr>
              <w:t>90</w:t>
            </w:r>
            <w:r>
              <w:rPr>
                <w:bCs/>
                <w:color w:val="auto"/>
                <w:kern w:val="0"/>
                <w:sz w:val="21"/>
                <w:szCs w:val="21"/>
              </w:rPr>
              <w:t>%的油烟净化装置一套，经高于本体建筑物的排气筒排放</w:t>
            </w:r>
          </w:p>
        </w:tc>
        <w:tc>
          <w:tcPr>
            <w:tcW w:w="578" w:type="pct"/>
            <w:tcMar>
              <w:top w:w="57" w:type="dxa"/>
              <w:left w:w="85" w:type="dxa"/>
              <w:bottom w:w="57" w:type="dxa"/>
              <w:right w:w="85" w:type="dxa"/>
            </w:tcMar>
            <w:vAlign w:val="center"/>
          </w:tcPr>
          <w:p>
            <w:pPr>
              <w:spacing w:line="240" w:lineRule="auto"/>
              <w:ind w:firstLine="0" w:firstLineChars="0"/>
              <w:jc w:val="center"/>
              <w:rPr>
                <w:bCs/>
                <w:color w:val="auto"/>
                <w:sz w:val="21"/>
                <w:szCs w:val="21"/>
              </w:rPr>
            </w:pPr>
            <w:r>
              <w:rPr>
                <w:rFonts w:hint="eastAsia"/>
                <w:bCs/>
                <w:color w:val="auto"/>
                <w:sz w:val="21"/>
                <w:szCs w:val="21"/>
              </w:rPr>
              <w:t>1.5</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58" w:hRule="exact"/>
          <w:jc w:val="center"/>
        </w:trPr>
        <w:tc>
          <w:tcPr>
            <w:tcW w:w="323" w:type="pct"/>
            <w:vMerge w:val="restart"/>
            <w:tcMar>
              <w:top w:w="57" w:type="dxa"/>
              <w:left w:w="85" w:type="dxa"/>
              <w:bottom w:w="57" w:type="dxa"/>
              <w:right w:w="85" w:type="dxa"/>
            </w:tcMar>
            <w:vAlign w:val="center"/>
          </w:tcPr>
          <w:p>
            <w:pPr>
              <w:spacing w:line="240" w:lineRule="auto"/>
              <w:ind w:firstLine="0" w:firstLineChars="0"/>
              <w:jc w:val="center"/>
              <w:rPr>
                <w:bCs/>
                <w:color w:val="auto"/>
                <w:sz w:val="21"/>
                <w:szCs w:val="21"/>
              </w:rPr>
            </w:pPr>
            <w:r>
              <w:rPr>
                <w:bCs/>
                <w:color w:val="auto"/>
                <w:sz w:val="21"/>
                <w:szCs w:val="21"/>
              </w:rPr>
              <w:t>固废</w:t>
            </w:r>
          </w:p>
        </w:tc>
        <w:tc>
          <w:tcPr>
            <w:tcW w:w="935" w:type="pct"/>
            <w:tcMar>
              <w:top w:w="57" w:type="dxa"/>
              <w:left w:w="85" w:type="dxa"/>
              <w:bottom w:w="57" w:type="dxa"/>
              <w:right w:w="85" w:type="dxa"/>
            </w:tcMar>
            <w:vAlign w:val="center"/>
          </w:tcPr>
          <w:p>
            <w:pPr>
              <w:widowControl/>
              <w:spacing w:line="240" w:lineRule="auto"/>
              <w:ind w:firstLine="0" w:firstLineChars="0"/>
              <w:jc w:val="center"/>
              <w:rPr>
                <w:bCs/>
                <w:color w:val="auto"/>
                <w:kern w:val="0"/>
                <w:sz w:val="21"/>
                <w:szCs w:val="21"/>
              </w:rPr>
            </w:pPr>
            <w:r>
              <w:rPr>
                <w:bCs/>
                <w:color w:val="auto"/>
                <w:kern w:val="0"/>
                <w:sz w:val="21"/>
                <w:szCs w:val="21"/>
              </w:rPr>
              <w:t>病死猪尸体</w:t>
            </w:r>
          </w:p>
        </w:tc>
        <w:tc>
          <w:tcPr>
            <w:tcW w:w="3163" w:type="pct"/>
            <w:tcMar>
              <w:top w:w="57" w:type="dxa"/>
              <w:left w:w="85" w:type="dxa"/>
              <w:bottom w:w="57" w:type="dxa"/>
              <w:right w:w="85" w:type="dxa"/>
            </w:tcMar>
            <w:vAlign w:val="center"/>
          </w:tcPr>
          <w:p>
            <w:pPr>
              <w:spacing w:line="240" w:lineRule="auto"/>
              <w:ind w:firstLine="0" w:firstLineChars="0"/>
              <w:jc w:val="center"/>
              <w:rPr>
                <w:bCs/>
                <w:color w:val="auto"/>
                <w:kern w:val="0"/>
                <w:sz w:val="21"/>
                <w:szCs w:val="21"/>
              </w:rPr>
            </w:pPr>
            <w:r>
              <w:rPr>
                <w:bCs/>
                <w:color w:val="auto"/>
                <w:kern w:val="0"/>
                <w:sz w:val="21"/>
                <w:szCs w:val="21"/>
              </w:rPr>
              <w:t>在厂区内无害化处理后，残渣作为有机肥原料外售</w:t>
            </w:r>
          </w:p>
        </w:tc>
        <w:tc>
          <w:tcPr>
            <w:tcW w:w="578" w:type="pct"/>
            <w:tcMar>
              <w:top w:w="57" w:type="dxa"/>
              <w:left w:w="85" w:type="dxa"/>
              <w:bottom w:w="57" w:type="dxa"/>
              <w:right w:w="85" w:type="dxa"/>
            </w:tcMar>
            <w:vAlign w:val="center"/>
          </w:tcPr>
          <w:p>
            <w:pPr>
              <w:spacing w:line="240" w:lineRule="auto"/>
              <w:ind w:firstLine="0" w:firstLineChars="0"/>
              <w:jc w:val="center"/>
              <w:rPr>
                <w:bCs/>
                <w:color w:val="auto"/>
                <w:sz w:val="21"/>
                <w:szCs w:val="21"/>
              </w:rPr>
            </w:pPr>
            <w:r>
              <w:rPr>
                <w:rFonts w:hint="eastAsia"/>
                <w:bCs/>
                <w:color w:val="auto"/>
                <w:sz w:val="21"/>
                <w:szCs w:val="21"/>
              </w:rPr>
              <w:t>4</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72" w:hRule="exact"/>
          <w:jc w:val="center"/>
        </w:trPr>
        <w:tc>
          <w:tcPr>
            <w:tcW w:w="323" w:type="pct"/>
            <w:vMerge w:val="continue"/>
            <w:tcMar>
              <w:top w:w="57" w:type="dxa"/>
              <w:left w:w="85" w:type="dxa"/>
              <w:bottom w:w="57" w:type="dxa"/>
              <w:right w:w="85" w:type="dxa"/>
            </w:tcMar>
            <w:vAlign w:val="center"/>
          </w:tcPr>
          <w:p>
            <w:pPr>
              <w:spacing w:line="240" w:lineRule="auto"/>
              <w:ind w:firstLine="0" w:firstLineChars="0"/>
              <w:jc w:val="center"/>
              <w:rPr>
                <w:bCs/>
                <w:color w:val="auto"/>
                <w:sz w:val="21"/>
                <w:szCs w:val="21"/>
              </w:rPr>
            </w:pPr>
          </w:p>
        </w:tc>
        <w:tc>
          <w:tcPr>
            <w:tcW w:w="935" w:type="pct"/>
            <w:tcMar>
              <w:top w:w="57" w:type="dxa"/>
              <w:left w:w="85" w:type="dxa"/>
              <w:bottom w:w="57" w:type="dxa"/>
              <w:right w:w="85" w:type="dxa"/>
            </w:tcMar>
            <w:vAlign w:val="center"/>
          </w:tcPr>
          <w:p>
            <w:pPr>
              <w:widowControl/>
              <w:spacing w:line="240" w:lineRule="auto"/>
              <w:ind w:firstLine="0" w:firstLineChars="0"/>
              <w:jc w:val="center"/>
              <w:rPr>
                <w:bCs/>
                <w:color w:val="auto"/>
                <w:kern w:val="0"/>
                <w:sz w:val="21"/>
                <w:szCs w:val="21"/>
              </w:rPr>
            </w:pPr>
            <w:r>
              <w:rPr>
                <w:bCs/>
                <w:color w:val="auto"/>
                <w:kern w:val="0"/>
                <w:sz w:val="21"/>
                <w:szCs w:val="21"/>
              </w:rPr>
              <w:t>疾病防疫产生的医疗废物</w:t>
            </w:r>
            <w:r>
              <w:rPr>
                <w:rFonts w:hint="eastAsia"/>
                <w:bCs/>
                <w:color w:val="auto"/>
                <w:kern w:val="0"/>
                <w:sz w:val="21"/>
                <w:szCs w:val="21"/>
              </w:rPr>
              <w:t>、废导热油</w:t>
            </w:r>
          </w:p>
        </w:tc>
        <w:tc>
          <w:tcPr>
            <w:tcW w:w="3163" w:type="pct"/>
            <w:tcMar>
              <w:top w:w="57" w:type="dxa"/>
              <w:left w:w="85" w:type="dxa"/>
              <w:bottom w:w="57" w:type="dxa"/>
              <w:right w:w="85" w:type="dxa"/>
            </w:tcMar>
            <w:vAlign w:val="center"/>
          </w:tcPr>
          <w:p>
            <w:pPr>
              <w:spacing w:line="240" w:lineRule="auto"/>
              <w:ind w:firstLine="0" w:firstLineChars="0"/>
              <w:jc w:val="center"/>
              <w:rPr>
                <w:bCs/>
                <w:color w:val="auto"/>
                <w:sz w:val="21"/>
                <w:szCs w:val="21"/>
              </w:rPr>
            </w:pPr>
            <w:r>
              <w:rPr>
                <w:rFonts w:hint="eastAsia"/>
                <w:bCs/>
                <w:color w:val="auto"/>
                <w:sz w:val="21"/>
                <w:szCs w:val="21"/>
              </w:rPr>
              <w:t>建设1个5m</w:t>
            </w:r>
            <w:r>
              <w:rPr>
                <w:rFonts w:hint="eastAsia"/>
                <w:bCs/>
                <w:color w:val="auto"/>
                <w:sz w:val="21"/>
                <w:szCs w:val="21"/>
                <w:vertAlign w:val="superscript"/>
              </w:rPr>
              <w:t>2</w:t>
            </w:r>
            <w:r>
              <w:rPr>
                <w:rFonts w:hint="eastAsia"/>
                <w:bCs/>
                <w:color w:val="auto"/>
                <w:sz w:val="21"/>
                <w:szCs w:val="21"/>
              </w:rPr>
              <w:t>危险废物暂存间</w:t>
            </w:r>
            <w:r>
              <w:rPr>
                <w:bCs/>
                <w:color w:val="auto"/>
                <w:sz w:val="21"/>
                <w:szCs w:val="21"/>
              </w:rPr>
              <w:t>，设置危废暂存标志，定期交由</w:t>
            </w:r>
            <w:r>
              <w:rPr>
                <w:rFonts w:hint="eastAsia"/>
                <w:color w:val="auto"/>
                <w:kern w:val="0"/>
                <w:sz w:val="21"/>
                <w:szCs w:val="21"/>
              </w:rPr>
              <w:t>有资质单位</w:t>
            </w:r>
            <w:r>
              <w:rPr>
                <w:color w:val="auto"/>
                <w:kern w:val="0"/>
                <w:sz w:val="21"/>
                <w:szCs w:val="21"/>
              </w:rPr>
              <w:t>处置</w:t>
            </w:r>
          </w:p>
        </w:tc>
        <w:tc>
          <w:tcPr>
            <w:tcW w:w="578" w:type="pct"/>
            <w:tcMar>
              <w:top w:w="57" w:type="dxa"/>
              <w:left w:w="85" w:type="dxa"/>
              <w:bottom w:w="57" w:type="dxa"/>
              <w:right w:w="85" w:type="dxa"/>
            </w:tcMar>
            <w:vAlign w:val="center"/>
          </w:tcPr>
          <w:p>
            <w:pPr>
              <w:spacing w:line="240" w:lineRule="auto"/>
              <w:ind w:firstLine="0" w:firstLineChars="0"/>
              <w:jc w:val="center"/>
              <w:rPr>
                <w:bCs/>
                <w:color w:val="auto"/>
                <w:sz w:val="21"/>
                <w:szCs w:val="21"/>
              </w:rPr>
            </w:pPr>
            <w:r>
              <w:rPr>
                <w:rFonts w:hint="eastAsia"/>
                <w:bCs/>
                <w:color w:val="auto"/>
                <w:sz w:val="21"/>
                <w:szCs w:val="21"/>
              </w:rPr>
              <w:t>2</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92" w:hRule="exact"/>
          <w:jc w:val="center"/>
        </w:trPr>
        <w:tc>
          <w:tcPr>
            <w:tcW w:w="323" w:type="pct"/>
            <w:vMerge w:val="continue"/>
            <w:tcMar>
              <w:top w:w="57" w:type="dxa"/>
              <w:left w:w="85" w:type="dxa"/>
              <w:bottom w:w="57" w:type="dxa"/>
              <w:right w:w="85" w:type="dxa"/>
            </w:tcMar>
            <w:vAlign w:val="center"/>
          </w:tcPr>
          <w:p>
            <w:pPr>
              <w:spacing w:line="240" w:lineRule="auto"/>
              <w:ind w:firstLine="0" w:firstLineChars="0"/>
              <w:jc w:val="center"/>
              <w:rPr>
                <w:bCs/>
                <w:color w:val="auto"/>
                <w:sz w:val="21"/>
                <w:szCs w:val="21"/>
              </w:rPr>
            </w:pPr>
          </w:p>
        </w:tc>
        <w:tc>
          <w:tcPr>
            <w:tcW w:w="935" w:type="pct"/>
            <w:tcMar>
              <w:top w:w="57" w:type="dxa"/>
              <w:left w:w="85" w:type="dxa"/>
              <w:bottom w:w="57" w:type="dxa"/>
              <w:right w:w="85" w:type="dxa"/>
            </w:tcMar>
            <w:vAlign w:val="center"/>
          </w:tcPr>
          <w:p>
            <w:pPr>
              <w:widowControl/>
              <w:spacing w:line="240" w:lineRule="auto"/>
              <w:ind w:firstLine="0" w:firstLineChars="0"/>
              <w:jc w:val="center"/>
              <w:rPr>
                <w:bCs/>
                <w:color w:val="auto"/>
                <w:kern w:val="0"/>
                <w:sz w:val="21"/>
                <w:szCs w:val="21"/>
              </w:rPr>
            </w:pPr>
            <w:r>
              <w:rPr>
                <w:bCs/>
                <w:color w:val="auto"/>
                <w:kern w:val="0"/>
                <w:sz w:val="21"/>
                <w:szCs w:val="21"/>
              </w:rPr>
              <w:t>废脱硫剂</w:t>
            </w:r>
          </w:p>
        </w:tc>
        <w:tc>
          <w:tcPr>
            <w:tcW w:w="3163" w:type="pct"/>
            <w:tcMar>
              <w:top w:w="57" w:type="dxa"/>
              <w:left w:w="85" w:type="dxa"/>
              <w:bottom w:w="57" w:type="dxa"/>
              <w:right w:w="85" w:type="dxa"/>
            </w:tcMar>
            <w:vAlign w:val="center"/>
          </w:tcPr>
          <w:p>
            <w:pPr>
              <w:spacing w:line="240" w:lineRule="auto"/>
              <w:ind w:firstLine="0" w:firstLineChars="0"/>
              <w:jc w:val="center"/>
              <w:rPr>
                <w:bCs/>
                <w:color w:val="auto"/>
                <w:sz w:val="21"/>
                <w:szCs w:val="21"/>
              </w:rPr>
            </w:pPr>
            <w:r>
              <w:rPr>
                <w:rFonts w:hint="eastAsia"/>
                <w:bCs/>
                <w:color w:val="auto"/>
                <w:sz w:val="21"/>
                <w:szCs w:val="21"/>
              </w:rPr>
              <w:t>由生产厂家回收</w:t>
            </w:r>
          </w:p>
        </w:tc>
        <w:tc>
          <w:tcPr>
            <w:tcW w:w="578" w:type="pct"/>
            <w:tcMar>
              <w:top w:w="57" w:type="dxa"/>
              <w:left w:w="85" w:type="dxa"/>
              <w:bottom w:w="57" w:type="dxa"/>
              <w:right w:w="85" w:type="dxa"/>
            </w:tcMar>
            <w:vAlign w:val="center"/>
          </w:tcPr>
          <w:p>
            <w:pPr>
              <w:spacing w:line="240" w:lineRule="auto"/>
              <w:ind w:firstLine="0" w:firstLineChars="0"/>
              <w:jc w:val="center"/>
              <w:rPr>
                <w:bCs/>
                <w:color w:val="auto"/>
                <w:sz w:val="21"/>
                <w:szCs w:val="21"/>
              </w:rPr>
            </w:pPr>
            <w:r>
              <w:rPr>
                <w:rFonts w:hint="eastAsia"/>
                <w:bCs/>
                <w:color w:val="auto"/>
                <w:sz w:val="21"/>
                <w:szCs w:val="21"/>
              </w:rPr>
              <w:t>1</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323" w:type="pct"/>
            <w:tcMar>
              <w:top w:w="57" w:type="dxa"/>
              <w:left w:w="85" w:type="dxa"/>
              <w:bottom w:w="57" w:type="dxa"/>
              <w:right w:w="85" w:type="dxa"/>
            </w:tcMar>
            <w:vAlign w:val="center"/>
          </w:tcPr>
          <w:p>
            <w:pPr>
              <w:spacing w:line="240" w:lineRule="auto"/>
              <w:ind w:firstLine="0" w:firstLineChars="0"/>
              <w:jc w:val="center"/>
              <w:rPr>
                <w:bCs/>
                <w:color w:val="auto"/>
                <w:sz w:val="21"/>
                <w:szCs w:val="21"/>
              </w:rPr>
            </w:pPr>
            <w:r>
              <w:rPr>
                <w:bCs/>
                <w:color w:val="auto"/>
                <w:sz w:val="21"/>
                <w:szCs w:val="21"/>
              </w:rPr>
              <w:t>噪声</w:t>
            </w:r>
          </w:p>
        </w:tc>
        <w:tc>
          <w:tcPr>
            <w:tcW w:w="935" w:type="pct"/>
            <w:tcMar>
              <w:top w:w="57" w:type="dxa"/>
              <w:left w:w="85" w:type="dxa"/>
              <w:bottom w:w="57" w:type="dxa"/>
              <w:right w:w="85" w:type="dxa"/>
            </w:tcMar>
            <w:vAlign w:val="center"/>
          </w:tcPr>
          <w:p>
            <w:pPr>
              <w:widowControl/>
              <w:spacing w:line="240" w:lineRule="auto"/>
              <w:ind w:firstLine="0" w:firstLineChars="0"/>
              <w:jc w:val="center"/>
              <w:rPr>
                <w:bCs/>
                <w:color w:val="auto"/>
                <w:kern w:val="0"/>
                <w:sz w:val="21"/>
                <w:szCs w:val="21"/>
              </w:rPr>
            </w:pPr>
            <w:r>
              <w:rPr>
                <w:bCs/>
                <w:color w:val="auto"/>
                <w:kern w:val="0"/>
                <w:sz w:val="21"/>
                <w:szCs w:val="21"/>
              </w:rPr>
              <w:t>设备噪声</w:t>
            </w:r>
          </w:p>
        </w:tc>
        <w:tc>
          <w:tcPr>
            <w:tcW w:w="3163" w:type="pct"/>
            <w:tcMar>
              <w:top w:w="57" w:type="dxa"/>
              <w:left w:w="85" w:type="dxa"/>
              <w:bottom w:w="57" w:type="dxa"/>
              <w:right w:w="85" w:type="dxa"/>
            </w:tcMar>
            <w:vAlign w:val="center"/>
          </w:tcPr>
          <w:p>
            <w:pPr>
              <w:widowControl/>
              <w:spacing w:line="240" w:lineRule="auto"/>
              <w:ind w:firstLine="0" w:firstLineChars="0"/>
              <w:jc w:val="center"/>
              <w:rPr>
                <w:bCs/>
                <w:color w:val="auto"/>
                <w:kern w:val="0"/>
                <w:sz w:val="21"/>
                <w:szCs w:val="21"/>
              </w:rPr>
            </w:pPr>
            <w:r>
              <w:rPr>
                <w:bCs/>
                <w:color w:val="auto"/>
                <w:kern w:val="0"/>
                <w:sz w:val="21"/>
                <w:szCs w:val="21"/>
              </w:rPr>
              <w:t>基础减振、隔声等措施</w:t>
            </w:r>
          </w:p>
        </w:tc>
        <w:tc>
          <w:tcPr>
            <w:tcW w:w="578" w:type="pct"/>
            <w:tcMar>
              <w:top w:w="57" w:type="dxa"/>
              <w:left w:w="85" w:type="dxa"/>
              <w:bottom w:w="57" w:type="dxa"/>
              <w:right w:w="85" w:type="dxa"/>
            </w:tcMar>
            <w:vAlign w:val="center"/>
          </w:tcPr>
          <w:p>
            <w:pPr>
              <w:spacing w:line="240" w:lineRule="auto"/>
              <w:ind w:firstLine="0" w:firstLineChars="0"/>
              <w:jc w:val="center"/>
              <w:rPr>
                <w:bCs/>
                <w:color w:val="auto"/>
                <w:sz w:val="21"/>
                <w:szCs w:val="21"/>
              </w:rPr>
            </w:pPr>
            <w:r>
              <w:rPr>
                <w:bCs/>
                <w:color w:val="auto"/>
                <w:sz w:val="21"/>
                <w:szCs w:val="21"/>
              </w:rPr>
              <w:t>20</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038" w:hRule="exact"/>
          <w:jc w:val="center"/>
        </w:trPr>
        <w:tc>
          <w:tcPr>
            <w:tcW w:w="323" w:type="pct"/>
            <w:vMerge w:val="restart"/>
            <w:tcMar>
              <w:top w:w="57" w:type="dxa"/>
              <w:left w:w="85" w:type="dxa"/>
              <w:bottom w:w="57" w:type="dxa"/>
              <w:right w:w="85" w:type="dxa"/>
            </w:tcMar>
            <w:vAlign w:val="center"/>
          </w:tcPr>
          <w:p>
            <w:pPr>
              <w:spacing w:line="240" w:lineRule="auto"/>
              <w:ind w:firstLine="0" w:firstLineChars="0"/>
              <w:jc w:val="center"/>
              <w:rPr>
                <w:bCs/>
                <w:color w:val="auto"/>
                <w:sz w:val="21"/>
                <w:szCs w:val="21"/>
              </w:rPr>
            </w:pPr>
            <w:r>
              <w:rPr>
                <w:bCs/>
                <w:color w:val="auto"/>
                <w:sz w:val="21"/>
                <w:szCs w:val="21"/>
              </w:rPr>
              <w:t>辅助工程</w:t>
            </w:r>
          </w:p>
        </w:tc>
        <w:tc>
          <w:tcPr>
            <w:tcW w:w="935" w:type="pct"/>
            <w:tcMar>
              <w:top w:w="57" w:type="dxa"/>
              <w:left w:w="85" w:type="dxa"/>
              <w:bottom w:w="57" w:type="dxa"/>
              <w:right w:w="85" w:type="dxa"/>
            </w:tcMar>
            <w:vAlign w:val="center"/>
          </w:tcPr>
          <w:p>
            <w:pPr>
              <w:widowControl/>
              <w:spacing w:line="240" w:lineRule="auto"/>
              <w:ind w:firstLine="0" w:firstLineChars="0"/>
              <w:jc w:val="center"/>
              <w:rPr>
                <w:bCs/>
                <w:color w:val="auto"/>
                <w:kern w:val="0"/>
                <w:sz w:val="21"/>
                <w:szCs w:val="21"/>
              </w:rPr>
            </w:pPr>
            <w:r>
              <w:rPr>
                <w:bCs/>
                <w:color w:val="auto"/>
                <w:kern w:val="0"/>
                <w:sz w:val="21"/>
                <w:szCs w:val="21"/>
              </w:rPr>
              <w:t>农田</w:t>
            </w:r>
          </w:p>
          <w:p>
            <w:pPr>
              <w:widowControl/>
              <w:spacing w:line="240" w:lineRule="auto"/>
              <w:ind w:firstLine="0" w:firstLineChars="0"/>
              <w:jc w:val="center"/>
              <w:rPr>
                <w:bCs/>
                <w:color w:val="auto"/>
                <w:kern w:val="0"/>
                <w:sz w:val="21"/>
                <w:szCs w:val="21"/>
              </w:rPr>
            </w:pPr>
            <w:r>
              <w:rPr>
                <w:bCs/>
                <w:color w:val="auto"/>
                <w:kern w:val="0"/>
                <w:sz w:val="21"/>
                <w:szCs w:val="21"/>
              </w:rPr>
              <w:t>沼液施肥系统</w:t>
            </w:r>
          </w:p>
        </w:tc>
        <w:tc>
          <w:tcPr>
            <w:tcW w:w="3163" w:type="pct"/>
            <w:tcMar>
              <w:top w:w="57" w:type="dxa"/>
              <w:left w:w="85" w:type="dxa"/>
              <w:bottom w:w="57" w:type="dxa"/>
              <w:right w:w="85" w:type="dxa"/>
            </w:tcMar>
            <w:vAlign w:val="center"/>
          </w:tcPr>
          <w:p>
            <w:pPr>
              <w:autoSpaceDE w:val="0"/>
              <w:autoSpaceDN w:val="0"/>
              <w:spacing w:line="240" w:lineRule="auto"/>
              <w:ind w:firstLine="0" w:firstLineChars="0"/>
              <w:jc w:val="center"/>
              <w:rPr>
                <w:bCs/>
                <w:color w:val="auto"/>
                <w:kern w:val="0"/>
                <w:sz w:val="21"/>
                <w:szCs w:val="21"/>
              </w:rPr>
            </w:pPr>
            <w:r>
              <w:rPr>
                <w:rFonts w:hint="eastAsia"/>
                <w:bCs/>
                <w:color w:val="auto"/>
                <w:kern w:val="0"/>
                <w:sz w:val="21"/>
                <w:szCs w:val="21"/>
              </w:rPr>
              <w:t>黑膜沼气池兼做沼液储存池</w:t>
            </w:r>
            <w:r>
              <w:rPr>
                <w:bCs/>
                <w:color w:val="auto"/>
                <w:kern w:val="0"/>
                <w:sz w:val="21"/>
                <w:szCs w:val="21"/>
              </w:rPr>
              <w:t>1个，容积</w:t>
            </w:r>
            <w:r>
              <w:rPr>
                <w:rFonts w:hint="eastAsia"/>
                <w:bCs/>
                <w:color w:val="auto"/>
                <w:sz w:val="21"/>
                <w:szCs w:val="21"/>
              </w:rPr>
              <w:t>17633</w:t>
            </w:r>
            <w:r>
              <w:rPr>
                <w:bCs/>
                <w:color w:val="auto"/>
                <w:kern w:val="0"/>
                <w:sz w:val="21"/>
                <w:szCs w:val="21"/>
              </w:rPr>
              <w:t>m</w:t>
            </w:r>
            <w:r>
              <w:rPr>
                <w:bCs/>
                <w:color w:val="auto"/>
                <w:kern w:val="0"/>
                <w:sz w:val="21"/>
                <w:szCs w:val="21"/>
                <w:vertAlign w:val="superscript"/>
              </w:rPr>
              <w:t>3</w:t>
            </w:r>
            <w:r>
              <w:rPr>
                <w:bCs/>
                <w:color w:val="auto"/>
                <w:kern w:val="0"/>
                <w:sz w:val="21"/>
                <w:szCs w:val="21"/>
              </w:rPr>
              <w:t>，做好防渗、防溢漏、防雨流入措施、周边设置防护栏等安全措施，避免农闲期无处消纳外排或外溢造成污染；沼液输送系统管网铺设</w:t>
            </w:r>
          </w:p>
        </w:tc>
        <w:tc>
          <w:tcPr>
            <w:tcW w:w="578" w:type="pct"/>
            <w:tcMar>
              <w:top w:w="57" w:type="dxa"/>
              <w:left w:w="85" w:type="dxa"/>
              <w:bottom w:w="57" w:type="dxa"/>
              <w:right w:w="85" w:type="dxa"/>
            </w:tcMar>
            <w:vAlign w:val="center"/>
          </w:tcPr>
          <w:p>
            <w:pPr>
              <w:spacing w:line="240" w:lineRule="auto"/>
              <w:ind w:firstLine="0" w:firstLineChars="0"/>
              <w:jc w:val="center"/>
              <w:rPr>
                <w:bCs/>
                <w:color w:val="auto"/>
                <w:sz w:val="21"/>
                <w:szCs w:val="21"/>
              </w:rPr>
            </w:pPr>
            <w:r>
              <w:rPr>
                <w:rFonts w:hint="eastAsia"/>
                <w:bCs/>
                <w:color w:val="auto"/>
                <w:sz w:val="21"/>
                <w:szCs w:val="21"/>
              </w:rPr>
              <w:t>50</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323" w:type="pct"/>
            <w:vMerge w:val="continue"/>
            <w:tcMar>
              <w:top w:w="57" w:type="dxa"/>
              <w:left w:w="85" w:type="dxa"/>
              <w:bottom w:w="57" w:type="dxa"/>
              <w:right w:w="85" w:type="dxa"/>
            </w:tcMar>
            <w:vAlign w:val="center"/>
          </w:tcPr>
          <w:p>
            <w:pPr>
              <w:spacing w:line="240" w:lineRule="auto"/>
              <w:ind w:firstLine="0" w:firstLineChars="0"/>
              <w:jc w:val="center"/>
              <w:rPr>
                <w:bCs/>
                <w:color w:val="auto"/>
                <w:sz w:val="21"/>
                <w:szCs w:val="21"/>
              </w:rPr>
            </w:pPr>
          </w:p>
        </w:tc>
        <w:tc>
          <w:tcPr>
            <w:tcW w:w="935" w:type="pct"/>
            <w:tcMar>
              <w:top w:w="57" w:type="dxa"/>
              <w:left w:w="85" w:type="dxa"/>
              <w:bottom w:w="57" w:type="dxa"/>
              <w:right w:w="85" w:type="dxa"/>
            </w:tcMar>
            <w:vAlign w:val="center"/>
          </w:tcPr>
          <w:p>
            <w:pPr>
              <w:widowControl/>
              <w:spacing w:line="240" w:lineRule="auto"/>
              <w:ind w:firstLine="0" w:firstLineChars="0"/>
              <w:jc w:val="center"/>
              <w:rPr>
                <w:bCs/>
                <w:color w:val="auto"/>
                <w:kern w:val="0"/>
                <w:sz w:val="21"/>
                <w:szCs w:val="21"/>
              </w:rPr>
            </w:pPr>
            <w:r>
              <w:rPr>
                <w:bCs/>
                <w:color w:val="auto"/>
                <w:kern w:val="0"/>
                <w:sz w:val="21"/>
                <w:szCs w:val="21"/>
              </w:rPr>
              <w:t>生态保护</w:t>
            </w:r>
          </w:p>
        </w:tc>
        <w:tc>
          <w:tcPr>
            <w:tcW w:w="3163" w:type="pct"/>
            <w:tcMar>
              <w:top w:w="57" w:type="dxa"/>
              <w:left w:w="85" w:type="dxa"/>
              <w:bottom w:w="57" w:type="dxa"/>
              <w:right w:w="85" w:type="dxa"/>
            </w:tcMar>
            <w:vAlign w:val="center"/>
          </w:tcPr>
          <w:p>
            <w:pPr>
              <w:autoSpaceDE w:val="0"/>
              <w:autoSpaceDN w:val="0"/>
              <w:spacing w:line="240" w:lineRule="auto"/>
              <w:ind w:firstLine="0" w:firstLineChars="0"/>
              <w:jc w:val="center"/>
              <w:rPr>
                <w:bCs/>
                <w:color w:val="auto"/>
                <w:kern w:val="0"/>
                <w:sz w:val="21"/>
                <w:szCs w:val="21"/>
              </w:rPr>
            </w:pPr>
            <w:r>
              <w:rPr>
                <w:bCs/>
                <w:color w:val="auto"/>
                <w:kern w:val="0"/>
                <w:sz w:val="21"/>
                <w:szCs w:val="21"/>
              </w:rPr>
              <w:t>加强</w:t>
            </w:r>
            <w:r>
              <w:rPr>
                <w:rFonts w:hint="eastAsia"/>
                <w:bCs/>
                <w:color w:val="auto"/>
                <w:kern w:val="0"/>
                <w:sz w:val="21"/>
                <w:szCs w:val="21"/>
              </w:rPr>
              <w:t>厂区</w:t>
            </w:r>
            <w:r>
              <w:rPr>
                <w:bCs/>
                <w:color w:val="auto"/>
                <w:kern w:val="0"/>
                <w:sz w:val="21"/>
                <w:szCs w:val="21"/>
              </w:rPr>
              <w:t>绿化</w:t>
            </w:r>
          </w:p>
        </w:tc>
        <w:tc>
          <w:tcPr>
            <w:tcW w:w="578" w:type="pct"/>
            <w:tcMar>
              <w:top w:w="57" w:type="dxa"/>
              <w:left w:w="85" w:type="dxa"/>
              <w:bottom w:w="57" w:type="dxa"/>
              <w:right w:w="85" w:type="dxa"/>
            </w:tcMar>
            <w:vAlign w:val="center"/>
          </w:tcPr>
          <w:p>
            <w:pPr>
              <w:spacing w:line="240" w:lineRule="auto"/>
              <w:ind w:firstLine="0" w:firstLineChars="0"/>
              <w:jc w:val="center"/>
              <w:rPr>
                <w:bCs/>
                <w:color w:val="auto"/>
                <w:sz w:val="21"/>
                <w:szCs w:val="21"/>
              </w:rPr>
            </w:pPr>
            <w:r>
              <w:rPr>
                <w:rFonts w:hint="eastAsia"/>
                <w:bCs/>
                <w:color w:val="auto"/>
                <w:sz w:val="21"/>
                <w:szCs w:val="21"/>
              </w:rPr>
              <w:t>15</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4421" w:type="pct"/>
            <w:gridSpan w:val="3"/>
            <w:tcMar>
              <w:top w:w="57" w:type="dxa"/>
              <w:left w:w="85" w:type="dxa"/>
              <w:bottom w:w="57" w:type="dxa"/>
              <w:right w:w="85" w:type="dxa"/>
            </w:tcMar>
            <w:vAlign w:val="center"/>
          </w:tcPr>
          <w:p>
            <w:pPr>
              <w:autoSpaceDE w:val="0"/>
              <w:autoSpaceDN w:val="0"/>
              <w:spacing w:line="240" w:lineRule="auto"/>
              <w:ind w:firstLine="0" w:firstLineChars="0"/>
              <w:jc w:val="center"/>
              <w:rPr>
                <w:bCs/>
                <w:color w:val="auto"/>
                <w:kern w:val="0"/>
                <w:sz w:val="21"/>
                <w:szCs w:val="21"/>
              </w:rPr>
            </w:pPr>
            <w:r>
              <w:rPr>
                <w:bCs/>
                <w:color w:val="auto"/>
                <w:kern w:val="0"/>
                <w:sz w:val="21"/>
                <w:szCs w:val="21"/>
              </w:rPr>
              <w:t>合  计</w:t>
            </w:r>
          </w:p>
        </w:tc>
        <w:tc>
          <w:tcPr>
            <w:tcW w:w="578" w:type="pct"/>
            <w:tcMar>
              <w:top w:w="57" w:type="dxa"/>
              <w:left w:w="85" w:type="dxa"/>
              <w:bottom w:w="57" w:type="dxa"/>
              <w:right w:w="85" w:type="dxa"/>
            </w:tcMar>
            <w:vAlign w:val="center"/>
          </w:tcPr>
          <w:p>
            <w:pPr>
              <w:spacing w:line="240" w:lineRule="auto"/>
              <w:ind w:firstLine="0" w:firstLineChars="0"/>
              <w:jc w:val="center"/>
              <w:rPr>
                <w:bCs/>
                <w:color w:val="auto"/>
                <w:sz w:val="21"/>
                <w:szCs w:val="21"/>
              </w:rPr>
            </w:pPr>
            <w:r>
              <w:rPr>
                <w:rFonts w:hint="eastAsia"/>
                <w:bCs/>
                <w:color w:val="auto"/>
                <w:sz w:val="21"/>
                <w:szCs w:val="21"/>
              </w:rPr>
              <w:t>3</w:t>
            </w:r>
            <w:r>
              <w:rPr>
                <w:rFonts w:hint="eastAsia"/>
                <w:bCs/>
                <w:color w:val="auto"/>
                <w:sz w:val="21"/>
                <w:szCs w:val="21"/>
                <w:lang w:val="en-US" w:eastAsia="zh-CN"/>
              </w:rPr>
              <w:t>00</w:t>
            </w:r>
            <w:r>
              <w:rPr>
                <w:rFonts w:hint="eastAsia"/>
                <w:bCs/>
                <w:color w:val="auto"/>
                <w:sz w:val="21"/>
                <w:szCs w:val="21"/>
              </w:rPr>
              <w:t>.5</w:t>
            </w:r>
          </w:p>
        </w:tc>
      </w:tr>
    </w:tbl>
    <w:p>
      <w:pPr>
        <w:ind w:firstLine="480"/>
        <w:rPr>
          <w:color w:val="auto"/>
        </w:rPr>
      </w:pPr>
    </w:p>
    <w:p>
      <w:pPr>
        <w:ind w:firstLine="480"/>
        <w:rPr>
          <w:color w:val="auto"/>
        </w:rPr>
      </w:pPr>
      <w:bookmarkStart w:id="607" w:name="_Toc290636876"/>
      <w:bookmarkStart w:id="608" w:name="_Toc278310264"/>
      <w:bookmarkStart w:id="609" w:name="_Toc336354265"/>
      <w:bookmarkStart w:id="610" w:name="_Toc290642963"/>
      <w:bookmarkStart w:id="611" w:name="_Toc342480464"/>
      <w:bookmarkStart w:id="612" w:name="_Toc290643183"/>
      <w:bookmarkStart w:id="613" w:name="_Toc290637536"/>
      <w:bookmarkStart w:id="614" w:name="_Toc339445797"/>
      <w:bookmarkStart w:id="615" w:name="_Toc275796961"/>
      <w:bookmarkStart w:id="616" w:name="_Toc275449072"/>
      <w:bookmarkStart w:id="617" w:name="_Toc290637316"/>
      <w:bookmarkStart w:id="618" w:name="_Toc275796798"/>
      <w:bookmarkStart w:id="619" w:name="_Toc275449703"/>
      <w:bookmarkStart w:id="620" w:name="_Toc299654972"/>
      <w:bookmarkStart w:id="621" w:name="_Toc286745534"/>
      <w:bookmarkStart w:id="622" w:name="_Toc290643403"/>
      <w:bookmarkStart w:id="623" w:name="_Toc485580479"/>
      <w:bookmarkStart w:id="624" w:name="_Toc413224221"/>
    </w:p>
    <w:p>
      <w:pPr>
        <w:ind w:firstLine="480"/>
        <w:rPr>
          <w:color w:val="auto"/>
        </w:rPr>
      </w:pPr>
    </w:p>
    <w:p>
      <w:pPr>
        <w:pStyle w:val="4"/>
        <w:ind w:firstLine="0" w:firstLineChars="0"/>
        <w:rPr>
          <w:color w:val="auto"/>
        </w:rPr>
        <w:sectPr>
          <w:headerReference r:id="rId22" w:type="first"/>
          <w:footerReference r:id="rId25" w:type="first"/>
          <w:headerReference r:id="rId20" w:type="default"/>
          <w:footerReference r:id="rId23" w:type="default"/>
          <w:headerReference r:id="rId21" w:type="even"/>
          <w:footerReference r:id="rId24" w:type="even"/>
          <w:pgSz w:w="11906" w:h="16838"/>
          <w:pgMar w:top="1440" w:right="1474" w:bottom="1440" w:left="1474" w:header="851" w:footer="992" w:gutter="0"/>
          <w:cols w:space="720" w:num="1"/>
          <w:docGrid w:type="lines" w:linePitch="312" w:charSpace="0"/>
        </w:sectPr>
      </w:pPr>
    </w:p>
    <w:p>
      <w:pPr>
        <w:pStyle w:val="4"/>
        <w:ind w:firstLine="0" w:firstLineChars="0"/>
        <w:rPr>
          <w:color w:val="auto"/>
        </w:rPr>
      </w:pPr>
      <w:bookmarkStart w:id="625" w:name="_Toc10207"/>
      <w:bookmarkStart w:id="626" w:name="_Toc29195"/>
      <w:r>
        <w:rPr>
          <w:rFonts w:hint="eastAsia"/>
          <w:color w:val="auto"/>
        </w:rPr>
        <w:t xml:space="preserve">第七章  </w:t>
      </w:r>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r>
        <w:rPr>
          <w:rFonts w:hint="eastAsia"/>
          <w:color w:val="auto"/>
        </w:rPr>
        <w:t>场址及总图布置可行性分析</w:t>
      </w:r>
      <w:bookmarkEnd w:id="623"/>
      <w:bookmarkEnd w:id="624"/>
      <w:bookmarkEnd w:id="625"/>
      <w:bookmarkEnd w:id="626"/>
    </w:p>
    <w:p>
      <w:pPr>
        <w:pStyle w:val="5"/>
        <w:spacing w:before="0" w:after="0"/>
        <w:ind w:firstLine="0" w:firstLineChars="0"/>
        <w:rPr>
          <w:rFonts w:ascii="Times New Roman" w:hAnsi="Times New Roman"/>
          <w:bCs w:val="0"/>
          <w:color w:val="auto"/>
          <w:sz w:val="28"/>
          <w:szCs w:val="28"/>
        </w:rPr>
      </w:pPr>
      <w:bookmarkStart w:id="627" w:name="_Toc30950"/>
      <w:bookmarkStart w:id="628" w:name="_Toc485580480"/>
      <w:bookmarkStart w:id="629" w:name="_Toc413224222"/>
      <w:bookmarkStart w:id="630" w:name="_Toc26799"/>
      <w:r>
        <w:rPr>
          <w:rFonts w:hint="eastAsia" w:ascii="Times New Roman" w:hAnsi="Times New Roman"/>
          <w:bCs w:val="0"/>
          <w:color w:val="auto"/>
          <w:sz w:val="28"/>
          <w:szCs w:val="28"/>
        </w:rPr>
        <w:t>7.1 无公害食品基地</w:t>
      </w:r>
      <w:r>
        <w:rPr>
          <w:rFonts w:ascii="Times New Roman" w:hAnsi="Times New Roman"/>
          <w:bCs w:val="0"/>
          <w:color w:val="auto"/>
          <w:sz w:val="28"/>
          <w:szCs w:val="28"/>
        </w:rPr>
        <w:t>建设环境保护措施</w:t>
      </w:r>
      <w:bookmarkEnd w:id="627"/>
      <w:bookmarkEnd w:id="628"/>
      <w:bookmarkEnd w:id="629"/>
      <w:bookmarkEnd w:id="630"/>
    </w:p>
    <w:p>
      <w:pPr>
        <w:pStyle w:val="50"/>
        <w:spacing w:line="360" w:lineRule="auto"/>
        <w:ind w:firstLine="480"/>
        <w:rPr>
          <w:color w:val="auto"/>
          <w:szCs w:val="28"/>
        </w:rPr>
      </w:pPr>
      <w:r>
        <w:rPr>
          <w:color w:val="auto"/>
          <w:szCs w:val="28"/>
        </w:rPr>
        <w:t>为了加强对</w:t>
      </w:r>
      <w:r>
        <w:rPr>
          <w:rFonts w:hint="eastAsia"/>
          <w:color w:val="auto"/>
          <w:szCs w:val="28"/>
        </w:rPr>
        <w:t>项目</w:t>
      </w:r>
      <w:r>
        <w:rPr>
          <w:color w:val="auto"/>
          <w:szCs w:val="28"/>
        </w:rPr>
        <w:t>无公害生产的管理，特制定了</w:t>
      </w:r>
      <w:r>
        <w:rPr>
          <w:rFonts w:hint="eastAsia"/>
          <w:color w:val="auto"/>
          <w:szCs w:val="28"/>
        </w:rPr>
        <w:t>如下</w:t>
      </w:r>
      <w:r>
        <w:rPr>
          <w:color w:val="auto"/>
          <w:szCs w:val="28"/>
        </w:rPr>
        <w:t>相应的保护措施：</w:t>
      </w:r>
    </w:p>
    <w:p>
      <w:pPr>
        <w:pStyle w:val="50"/>
        <w:spacing w:line="360" w:lineRule="auto"/>
        <w:ind w:firstLine="480"/>
        <w:rPr>
          <w:color w:val="auto"/>
          <w:szCs w:val="28"/>
        </w:rPr>
      </w:pPr>
      <w:r>
        <w:rPr>
          <w:color w:val="auto"/>
          <w:szCs w:val="28"/>
        </w:rPr>
        <w:t>1</w:t>
      </w:r>
      <w:r>
        <w:rPr>
          <w:rFonts w:hint="eastAsia"/>
          <w:color w:val="auto"/>
          <w:szCs w:val="28"/>
        </w:rPr>
        <w:t>、</w:t>
      </w:r>
      <w:r>
        <w:rPr>
          <w:color w:val="auto"/>
          <w:szCs w:val="28"/>
        </w:rPr>
        <w:t>保持养殖场生态环境良好，不受工业</w:t>
      </w:r>
      <w:r>
        <w:rPr>
          <w:rFonts w:hint="eastAsia"/>
          <w:color w:val="auto"/>
          <w:szCs w:val="28"/>
        </w:rPr>
        <w:t>“</w:t>
      </w:r>
      <w:r>
        <w:rPr>
          <w:color w:val="auto"/>
          <w:szCs w:val="28"/>
        </w:rPr>
        <w:t>三废</w:t>
      </w:r>
      <w:r>
        <w:rPr>
          <w:rFonts w:hint="eastAsia"/>
          <w:color w:val="auto"/>
          <w:szCs w:val="28"/>
        </w:rPr>
        <w:t>”</w:t>
      </w:r>
      <w:r>
        <w:rPr>
          <w:color w:val="auto"/>
          <w:szCs w:val="28"/>
        </w:rPr>
        <w:t>及农业、城镇生活、医疗废弃物的污染。</w:t>
      </w:r>
    </w:p>
    <w:p>
      <w:pPr>
        <w:pStyle w:val="50"/>
        <w:spacing w:line="360" w:lineRule="auto"/>
        <w:ind w:firstLine="480"/>
        <w:rPr>
          <w:color w:val="auto"/>
          <w:szCs w:val="28"/>
        </w:rPr>
      </w:pPr>
      <w:r>
        <w:rPr>
          <w:color w:val="auto"/>
          <w:szCs w:val="28"/>
        </w:rPr>
        <w:t>2</w:t>
      </w:r>
      <w:r>
        <w:rPr>
          <w:rFonts w:hint="eastAsia"/>
          <w:color w:val="auto"/>
          <w:szCs w:val="28"/>
        </w:rPr>
        <w:t>、厂区</w:t>
      </w:r>
      <w:r>
        <w:rPr>
          <w:color w:val="auto"/>
          <w:szCs w:val="28"/>
        </w:rPr>
        <w:t>进行合理布置，生活办公区与</w:t>
      </w:r>
      <w:r>
        <w:rPr>
          <w:rFonts w:hint="eastAsia"/>
          <w:color w:val="auto"/>
          <w:szCs w:val="28"/>
        </w:rPr>
        <w:t>厂区</w:t>
      </w:r>
      <w:r>
        <w:rPr>
          <w:color w:val="auto"/>
          <w:szCs w:val="28"/>
        </w:rPr>
        <w:t>严格分离开来，建立完善的消毒制度，进入</w:t>
      </w:r>
      <w:r>
        <w:rPr>
          <w:rFonts w:hint="eastAsia"/>
          <w:color w:val="auto"/>
          <w:szCs w:val="28"/>
        </w:rPr>
        <w:t>厂区</w:t>
      </w:r>
      <w:r>
        <w:rPr>
          <w:color w:val="auto"/>
          <w:szCs w:val="28"/>
        </w:rPr>
        <w:t>人员必须接受消毒措施，设立消毒池，避免外界人员和畜禽未经消毒进入养殖区。</w:t>
      </w:r>
    </w:p>
    <w:p>
      <w:pPr>
        <w:pStyle w:val="50"/>
        <w:spacing w:line="360" w:lineRule="auto"/>
        <w:ind w:firstLine="480"/>
        <w:rPr>
          <w:color w:val="auto"/>
          <w:szCs w:val="28"/>
        </w:rPr>
      </w:pPr>
      <w:r>
        <w:rPr>
          <w:color w:val="auto"/>
          <w:szCs w:val="28"/>
        </w:rPr>
        <w:t>3</w:t>
      </w:r>
      <w:r>
        <w:rPr>
          <w:rFonts w:hint="eastAsia"/>
          <w:color w:val="auto"/>
          <w:szCs w:val="28"/>
        </w:rPr>
        <w:t>、</w:t>
      </w:r>
      <w:r>
        <w:rPr>
          <w:color w:val="auto"/>
          <w:szCs w:val="28"/>
        </w:rPr>
        <w:t>加强</w:t>
      </w:r>
      <w:r>
        <w:rPr>
          <w:rFonts w:hint="eastAsia"/>
          <w:color w:val="auto"/>
          <w:szCs w:val="28"/>
        </w:rPr>
        <w:t>厂区</w:t>
      </w:r>
      <w:r>
        <w:rPr>
          <w:color w:val="auto"/>
          <w:szCs w:val="28"/>
        </w:rPr>
        <w:t>内及</w:t>
      </w:r>
      <w:r>
        <w:rPr>
          <w:rFonts w:hint="eastAsia"/>
          <w:color w:val="auto"/>
          <w:szCs w:val="28"/>
        </w:rPr>
        <w:t>厂区</w:t>
      </w:r>
      <w:r>
        <w:rPr>
          <w:color w:val="auto"/>
          <w:szCs w:val="28"/>
        </w:rPr>
        <w:t>周围绿化与美化，</w:t>
      </w:r>
      <w:r>
        <w:rPr>
          <w:rFonts w:hint="eastAsia"/>
          <w:color w:val="auto"/>
          <w:szCs w:val="28"/>
        </w:rPr>
        <w:t>厂区</w:t>
      </w:r>
      <w:r>
        <w:rPr>
          <w:color w:val="auto"/>
          <w:szCs w:val="28"/>
        </w:rPr>
        <w:t>周围适当建设绿化带，改善</w:t>
      </w:r>
      <w:r>
        <w:rPr>
          <w:rFonts w:hint="eastAsia"/>
          <w:color w:val="auto"/>
          <w:szCs w:val="28"/>
        </w:rPr>
        <w:t>厂区</w:t>
      </w:r>
      <w:r>
        <w:rPr>
          <w:color w:val="auto"/>
          <w:szCs w:val="28"/>
        </w:rPr>
        <w:t>局</w:t>
      </w:r>
      <w:r>
        <w:rPr>
          <w:rFonts w:hint="eastAsia"/>
          <w:color w:val="auto"/>
          <w:szCs w:val="28"/>
        </w:rPr>
        <w:t>部</w:t>
      </w:r>
      <w:r>
        <w:rPr>
          <w:color w:val="auto"/>
          <w:szCs w:val="28"/>
        </w:rPr>
        <w:t>环境空气质量；定期清理、冲洗</w:t>
      </w:r>
      <w:r>
        <w:rPr>
          <w:rFonts w:hint="eastAsia"/>
          <w:color w:val="auto"/>
          <w:szCs w:val="28"/>
        </w:rPr>
        <w:t>猪</w:t>
      </w:r>
      <w:r>
        <w:rPr>
          <w:color w:val="auto"/>
          <w:szCs w:val="28"/>
        </w:rPr>
        <w:t>舍，加强对</w:t>
      </w:r>
      <w:r>
        <w:rPr>
          <w:rFonts w:hint="eastAsia"/>
          <w:color w:val="auto"/>
          <w:szCs w:val="28"/>
        </w:rPr>
        <w:t>厂区</w:t>
      </w:r>
      <w:r>
        <w:rPr>
          <w:color w:val="auto"/>
          <w:szCs w:val="28"/>
        </w:rPr>
        <w:t>进行消毒，防止蝇、蛆滋生及病原体的传播与扩散。</w:t>
      </w:r>
    </w:p>
    <w:p>
      <w:pPr>
        <w:pStyle w:val="50"/>
        <w:spacing w:line="360" w:lineRule="auto"/>
        <w:ind w:firstLine="480"/>
        <w:rPr>
          <w:color w:val="auto"/>
          <w:szCs w:val="28"/>
        </w:rPr>
      </w:pPr>
      <w:r>
        <w:rPr>
          <w:color w:val="auto"/>
          <w:szCs w:val="28"/>
        </w:rPr>
        <w:t>4</w:t>
      </w:r>
      <w:r>
        <w:rPr>
          <w:rFonts w:hint="eastAsia"/>
          <w:color w:val="auto"/>
          <w:szCs w:val="28"/>
        </w:rPr>
        <w:t>、</w:t>
      </w:r>
      <w:r>
        <w:rPr>
          <w:color w:val="auto"/>
          <w:szCs w:val="28"/>
        </w:rPr>
        <w:t>加强畜禽废弃物管理，畜禽废弃物不能直接倒入环境中，应采取措施进行处理或综合利用，达到生产无害化，产出无害化。</w:t>
      </w:r>
    </w:p>
    <w:p>
      <w:pPr>
        <w:pStyle w:val="50"/>
        <w:spacing w:line="360" w:lineRule="auto"/>
        <w:ind w:firstLine="480"/>
        <w:rPr>
          <w:color w:val="auto"/>
          <w:szCs w:val="28"/>
        </w:rPr>
      </w:pPr>
      <w:r>
        <w:rPr>
          <w:color w:val="auto"/>
          <w:szCs w:val="28"/>
        </w:rPr>
        <w:t>5</w:t>
      </w:r>
      <w:r>
        <w:rPr>
          <w:rFonts w:hint="eastAsia"/>
          <w:color w:val="auto"/>
          <w:szCs w:val="28"/>
        </w:rPr>
        <w:t>、</w:t>
      </w:r>
      <w:r>
        <w:rPr>
          <w:color w:val="auto"/>
          <w:szCs w:val="28"/>
        </w:rPr>
        <w:t>加强防疫管理，药品管理做到规范、安全；做到不使用被污染、变质、生虫的饲料，不使用未经无害化处理的泔水及其他畜禽副产品。</w:t>
      </w:r>
    </w:p>
    <w:p>
      <w:pPr>
        <w:pStyle w:val="50"/>
        <w:spacing w:line="360" w:lineRule="auto"/>
        <w:ind w:firstLine="480"/>
        <w:rPr>
          <w:color w:val="auto"/>
          <w:szCs w:val="28"/>
        </w:rPr>
      </w:pPr>
      <w:r>
        <w:rPr>
          <w:color w:val="auto"/>
          <w:szCs w:val="28"/>
        </w:rPr>
        <w:t>6</w:t>
      </w:r>
      <w:r>
        <w:rPr>
          <w:rFonts w:hint="eastAsia"/>
          <w:color w:val="auto"/>
          <w:szCs w:val="28"/>
        </w:rPr>
        <w:t>、</w:t>
      </w:r>
      <w:r>
        <w:rPr>
          <w:color w:val="auto"/>
          <w:szCs w:val="28"/>
        </w:rPr>
        <w:t>养殖基地地下水环境质量、周边环境空气质量符合《农产品安全质量无公害畜禽肉产地环境要求》</w:t>
      </w:r>
      <w:r>
        <w:rPr>
          <w:rFonts w:hint="eastAsia"/>
          <w:color w:val="auto"/>
          <w:szCs w:val="28"/>
        </w:rPr>
        <w:t>（</w:t>
      </w:r>
      <w:r>
        <w:rPr>
          <w:color w:val="auto"/>
          <w:szCs w:val="28"/>
        </w:rPr>
        <w:t>GB/T18407.3</w:t>
      </w:r>
      <w:r>
        <w:rPr>
          <w:rFonts w:hint="eastAsia"/>
          <w:color w:val="auto"/>
          <w:szCs w:val="28"/>
        </w:rPr>
        <w:t>-</w:t>
      </w:r>
      <w:r>
        <w:rPr>
          <w:color w:val="auto"/>
          <w:szCs w:val="28"/>
        </w:rPr>
        <w:t>2001</w:t>
      </w:r>
      <w:r>
        <w:rPr>
          <w:rFonts w:hint="eastAsia"/>
          <w:color w:val="auto"/>
          <w:szCs w:val="28"/>
        </w:rPr>
        <w:t>）</w:t>
      </w:r>
      <w:r>
        <w:rPr>
          <w:color w:val="auto"/>
          <w:szCs w:val="28"/>
        </w:rPr>
        <w:t>，达到无害化质量指标要求。</w:t>
      </w:r>
    </w:p>
    <w:p>
      <w:pPr>
        <w:pStyle w:val="50"/>
        <w:spacing w:line="360" w:lineRule="auto"/>
        <w:ind w:firstLine="480"/>
        <w:rPr>
          <w:color w:val="auto"/>
          <w:szCs w:val="28"/>
        </w:rPr>
      </w:pPr>
      <w:r>
        <w:rPr>
          <w:rFonts w:hint="eastAsia"/>
          <w:color w:val="auto"/>
          <w:szCs w:val="28"/>
        </w:rPr>
        <w:t>项目位于农村地区，周边500m范围内无工业企业，所在区域环境质量较好；</w:t>
      </w:r>
      <w:r>
        <w:rPr>
          <w:color w:val="auto"/>
          <w:szCs w:val="28"/>
        </w:rPr>
        <w:t>在</w:t>
      </w:r>
      <w:r>
        <w:rPr>
          <w:rFonts w:hint="eastAsia"/>
          <w:color w:val="auto"/>
          <w:szCs w:val="28"/>
        </w:rPr>
        <w:t>厂区</w:t>
      </w:r>
      <w:r>
        <w:rPr>
          <w:color w:val="auto"/>
          <w:szCs w:val="28"/>
        </w:rPr>
        <w:t>布置上，实行养殖区、办公区与</w:t>
      </w:r>
      <w:r>
        <w:rPr>
          <w:rFonts w:hint="eastAsia"/>
          <w:color w:val="auto"/>
          <w:szCs w:val="28"/>
        </w:rPr>
        <w:t>粪污处理</w:t>
      </w:r>
      <w:r>
        <w:rPr>
          <w:color w:val="auto"/>
          <w:szCs w:val="28"/>
        </w:rPr>
        <w:t>区的三区分离，</w:t>
      </w:r>
      <w:r>
        <w:rPr>
          <w:rFonts w:hint="eastAsia"/>
          <w:color w:val="auto"/>
          <w:szCs w:val="28"/>
        </w:rPr>
        <w:t>入场应采取消毒管理要求；厂区空闲土地和厂界进行多层次多方位立体绿化，加强养殖管理、制定卫生免疫制度，做到科学施肥，保证</w:t>
      </w:r>
      <w:r>
        <w:rPr>
          <w:color w:val="auto"/>
          <w:szCs w:val="28"/>
        </w:rPr>
        <w:t>施用量不会超过土地承载能力的前提下，不会对地下水以及地表水和土壤造成污染。</w:t>
      </w:r>
      <w:r>
        <w:rPr>
          <w:rFonts w:hint="eastAsia"/>
          <w:color w:val="auto"/>
          <w:szCs w:val="28"/>
        </w:rPr>
        <w:t>经落实上述措施后，项目能够</w:t>
      </w:r>
      <w:r>
        <w:rPr>
          <w:color w:val="auto"/>
          <w:szCs w:val="28"/>
        </w:rPr>
        <w:t>建设</w:t>
      </w:r>
      <w:r>
        <w:rPr>
          <w:rFonts w:hint="eastAsia"/>
          <w:color w:val="auto"/>
          <w:szCs w:val="28"/>
        </w:rPr>
        <w:t>成为</w:t>
      </w:r>
      <w:r>
        <w:rPr>
          <w:color w:val="auto"/>
          <w:szCs w:val="28"/>
        </w:rPr>
        <w:t>无公害食品基地</w:t>
      </w:r>
      <w:r>
        <w:rPr>
          <w:rFonts w:hint="eastAsia"/>
          <w:color w:val="auto"/>
          <w:szCs w:val="28"/>
        </w:rPr>
        <w:t>。</w:t>
      </w:r>
    </w:p>
    <w:p>
      <w:pPr>
        <w:pStyle w:val="5"/>
        <w:spacing w:before="0" w:after="0"/>
        <w:ind w:firstLine="0" w:firstLineChars="0"/>
        <w:rPr>
          <w:rFonts w:ascii="Times New Roman" w:hAnsi="Times New Roman"/>
          <w:bCs w:val="0"/>
          <w:color w:val="auto"/>
          <w:sz w:val="28"/>
          <w:szCs w:val="28"/>
        </w:rPr>
      </w:pPr>
      <w:bookmarkStart w:id="631" w:name="_Toc23902"/>
      <w:bookmarkStart w:id="632" w:name="_Toc485580481"/>
      <w:bookmarkStart w:id="633" w:name="_Toc413224223"/>
      <w:bookmarkStart w:id="634" w:name="_Toc30025"/>
      <w:r>
        <w:rPr>
          <w:rFonts w:hint="eastAsia" w:ascii="Times New Roman" w:hAnsi="Times New Roman"/>
          <w:bCs w:val="0"/>
          <w:color w:val="auto"/>
          <w:sz w:val="28"/>
          <w:szCs w:val="28"/>
        </w:rPr>
        <w:t>7.2 场</w:t>
      </w:r>
      <w:r>
        <w:rPr>
          <w:rFonts w:ascii="Times New Roman" w:hAnsi="Times New Roman"/>
          <w:bCs w:val="0"/>
          <w:color w:val="auto"/>
          <w:sz w:val="28"/>
          <w:szCs w:val="28"/>
        </w:rPr>
        <w:t>址</w:t>
      </w:r>
      <w:r>
        <w:rPr>
          <w:rFonts w:hint="eastAsia" w:ascii="Times New Roman" w:hAnsi="Times New Roman"/>
          <w:bCs w:val="0"/>
          <w:color w:val="auto"/>
          <w:sz w:val="28"/>
          <w:szCs w:val="28"/>
        </w:rPr>
        <w:t>选择及厂区平面布置合理性</w:t>
      </w:r>
      <w:r>
        <w:rPr>
          <w:rFonts w:ascii="Times New Roman" w:hAnsi="Times New Roman"/>
          <w:bCs w:val="0"/>
          <w:color w:val="auto"/>
          <w:sz w:val="28"/>
          <w:szCs w:val="28"/>
        </w:rPr>
        <w:t>分析</w:t>
      </w:r>
      <w:bookmarkEnd w:id="631"/>
      <w:bookmarkEnd w:id="632"/>
      <w:bookmarkEnd w:id="633"/>
      <w:bookmarkEnd w:id="634"/>
    </w:p>
    <w:p>
      <w:pPr>
        <w:pStyle w:val="6"/>
        <w:rPr>
          <w:color w:val="auto"/>
          <w:lang w:val="en-US"/>
        </w:rPr>
      </w:pPr>
      <w:r>
        <w:rPr>
          <w:rFonts w:hint="eastAsia"/>
          <w:color w:val="auto"/>
          <w:lang w:val="en-US"/>
        </w:rPr>
        <w:t>7.2.1与《关于深化建设项目环境影响评价审批制度改革及优化建设项目“三同时”管理工作的实施细则（试行）》（濮环【2015】34 号）的相符性分析</w:t>
      </w:r>
    </w:p>
    <w:p>
      <w:pPr>
        <w:autoSpaceDE w:val="0"/>
        <w:autoSpaceDN w:val="0"/>
        <w:ind w:firstLine="480"/>
        <w:rPr>
          <w:color w:val="auto"/>
        </w:rPr>
      </w:pPr>
      <w:r>
        <w:rPr>
          <w:rFonts w:hint="eastAsia"/>
          <w:color w:val="auto"/>
        </w:rPr>
        <w:t>按照《河南省环境保护厅关于深化建设项目环境影响评价审批制度改革的实施细则》（豫环文〔2015〕33号）及《河南省环境环保厅关于进一步优化建设项目“三同时”管理工作的通知》（豫环〔2014〕207号）文件要求，濮阳市制定了《关于深化建设项目环境影响评价审批制度改革及优化建设项目“三同时”管理工作的实施细则（试行）》（以下简称《细则》）。本项目与《实施细则》对比情况详见表7.2-1。</w:t>
      </w:r>
    </w:p>
    <w:p>
      <w:pPr>
        <w:autoSpaceDE w:val="0"/>
        <w:autoSpaceDN w:val="0"/>
        <w:ind w:firstLine="480"/>
        <w:rPr>
          <w:b/>
          <w:bCs/>
          <w:color w:val="auto"/>
        </w:rPr>
      </w:pPr>
      <w:r>
        <w:rPr>
          <w:rFonts w:hint="eastAsia"/>
          <w:color w:val="auto"/>
        </w:rPr>
        <w:t xml:space="preserve">          </w:t>
      </w:r>
      <w:r>
        <w:rPr>
          <w:rFonts w:hint="eastAsia"/>
          <w:b/>
          <w:bCs/>
          <w:color w:val="auto"/>
        </w:rPr>
        <w:t xml:space="preserve">表7.2.1 </w:t>
      </w:r>
      <w:r>
        <w:rPr>
          <w:rFonts w:hint="eastAsia"/>
          <w:b/>
          <w:bCs/>
          <w:color w:val="auto"/>
          <w:szCs w:val="21"/>
        </w:rPr>
        <w:t>本项目与实施细则对比情况一览表</w:t>
      </w:r>
    </w:p>
    <w:tbl>
      <w:tblPr>
        <w:tblStyle w:val="28"/>
        <w:tblW w:w="8946"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8"/>
        <w:gridCol w:w="911"/>
        <w:gridCol w:w="1138"/>
        <w:gridCol w:w="3760"/>
        <w:gridCol w:w="1166"/>
        <w:gridCol w:w="125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718" w:type="dxa"/>
            <w:tcBorders>
              <w:tl2br w:val="nil"/>
              <w:tr2bl w:val="nil"/>
            </w:tcBorders>
            <w:vAlign w:val="center"/>
          </w:tcPr>
          <w:p>
            <w:pPr>
              <w:pStyle w:val="26"/>
              <w:adjustRightInd/>
              <w:snapToGrid/>
              <w:spacing w:after="0" w:line="240" w:lineRule="exact"/>
              <w:ind w:left="0" w:leftChars="0" w:firstLine="0" w:firstLineChars="0"/>
              <w:jc w:val="center"/>
              <w:rPr>
                <w:rFonts w:ascii="宋体" w:hAnsi="宋体" w:cs="宋体"/>
                <w:bCs/>
                <w:color w:val="auto"/>
                <w:sz w:val="21"/>
                <w:szCs w:val="21"/>
              </w:rPr>
            </w:pPr>
            <w:r>
              <w:rPr>
                <w:rFonts w:hint="eastAsia" w:ascii="宋体" w:hAnsi="宋体" w:cs="宋体"/>
                <w:bCs/>
                <w:color w:val="auto"/>
                <w:sz w:val="21"/>
                <w:szCs w:val="21"/>
              </w:rPr>
              <w:t>类别</w:t>
            </w:r>
          </w:p>
        </w:tc>
        <w:tc>
          <w:tcPr>
            <w:tcW w:w="5809" w:type="dxa"/>
            <w:gridSpan w:val="3"/>
            <w:tcBorders>
              <w:tl2br w:val="nil"/>
              <w:tr2bl w:val="nil"/>
            </w:tcBorders>
            <w:vAlign w:val="center"/>
          </w:tcPr>
          <w:p>
            <w:pPr>
              <w:pStyle w:val="26"/>
              <w:adjustRightInd/>
              <w:snapToGrid/>
              <w:spacing w:after="0" w:line="240" w:lineRule="exact"/>
              <w:ind w:left="0" w:leftChars="0" w:firstLine="0" w:firstLineChars="0"/>
              <w:jc w:val="center"/>
              <w:rPr>
                <w:rFonts w:ascii="宋体" w:hAnsi="宋体" w:cs="宋体"/>
                <w:bCs/>
                <w:color w:val="auto"/>
                <w:sz w:val="21"/>
                <w:szCs w:val="21"/>
              </w:rPr>
            </w:pPr>
            <w:r>
              <w:rPr>
                <w:rFonts w:hint="eastAsia" w:ascii="宋体" w:hAnsi="宋体" w:cs="宋体"/>
                <w:bCs/>
                <w:color w:val="auto"/>
                <w:sz w:val="21"/>
                <w:szCs w:val="21"/>
              </w:rPr>
              <w:t>实施细则中相关规定</w:t>
            </w:r>
          </w:p>
        </w:tc>
        <w:tc>
          <w:tcPr>
            <w:tcW w:w="1166" w:type="dxa"/>
            <w:tcBorders>
              <w:tl2br w:val="nil"/>
              <w:tr2bl w:val="nil"/>
            </w:tcBorders>
            <w:vAlign w:val="center"/>
          </w:tcPr>
          <w:p>
            <w:pPr>
              <w:pStyle w:val="26"/>
              <w:adjustRightInd/>
              <w:snapToGrid/>
              <w:spacing w:after="0" w:line="240" w:lineRule="exact"/>
              <w:ind w:left="0" w:leftChars="0" w:firstLine="0" w:firstLineChars="0"/>
              <w:jc w:val="center"/>
              <w:rPr>
                <w:rFonts w:ascii="宋体" w:hAnsi="宋体" w:cs="宋体"/>
                <w:bCs/>
                <w:color w:val="auto"/>
                <w:sz w:val="21"/>
                <w:szCs w:val="21"/>
              </w:rPr>
            </w:pPr>
            <w:r>
              <w:rPr>
                <w:rFonts w:hint="eastAsia" w:ascii="宋体" w:hAnsi="宋体" w:cs="宋体"/>
                <w:bCs/>
                <w:color w:val="auto"/>
                <w:sz w:val="21"/>
                <w:szCs w:val="21"/>
              </w:rPr>
              <w:t>对照情况</w:t>
            </w:r>
          </w:p>
        </w:tc>
        <w:tc>
          <w:tcPr>
            <w:tcW w:w="1253" w:type="dxa"/>
            <w:tcBorders>
              <w:tl2br w:val="nil"/>
              <w:tr2bl w:val="nil"/>
            </w:tcBorders>
            <w:vAlign w:val="center"/>
          </w:tcPr>
          <w:p>
            <w:pPr>
              <w:pStyle w:val="26"/>
              <w:adjustRightInd/>
              <w:snapToGrid/>
              <w:spacing w:after="0" w:line="240" w:lineRule="exact"/>
              <w:ind w:left="0" w:leftChars="0" w:firstLine="0" w:firstLineChars="0"/>
              <w:jc w:val="center"/>
              <w:rPr>
                <w:rFonts w:ascii="宋体" w:hAnsi="宋体" w:cs="宋体"/>
                <w:bCs/>
                <w:color w:val="auto"/>
                <w:sz w:val="21"/>
                <w:szCs w:val="21"/>
              </w:rPr>
            </w:pPr>
            <w:r>
              <w:rPr>
                <w:rFonts w:hint="eastAsia" w:ascii="宋体" w:hAnsi="宋体" w:cs="宋体"/>
                <w:bCs/>
                <w:color w:val="auto"/>
                <w:sz w:val="21"/>
                <w:szCs w:val="21"/>
              </w:rPr>
              <w:t>结论/备注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718" w:type="dxa"/>
            <w:vMerge w:val="restart"/>
            <w:tcBorders>
              <w:tl2br w:val="nil"/>
              <w:tr2bl w:val="nil"/>
            </w:tcBorders>
            <w:vAlign w:val="center"/>
          </w:tcPr>
          <w:p>
            <w:pPr>
              <w:pStyle w:val="26"/>
              <w:adjustRightInd/>
              <w:snapToGrid/>
              <w:spacing w:after="0" w:line="240" w:lineRule="exact"/>
              <w:ind w:left="0" w:leftChars="0" w:firstLine="0" w:firstLineChars="0"/>
              <w:jc w:val="center"/>
              <w:rPr>
                <w:rFonts w:ascii="宋体" w:hAnsi="宋体" w:cs="宋体"/>
                <w:bCs/>
                <w:color w:val="auto"/>
                <w:sz w:val="21"/>
                <w:szCs w:val="21"/>
              </w:rPr>
            </w:pPr>
            <w:r>
              <w:rPr>
                <w:rFonts w:hint="eastAsia" w:ascii="宋体" w:hAnsi="宋体" w:cs="宋体"/>
                <w:bCs/>
                <w:color w:val="auto"/>
                <w:sz w:val="21"/>
                <w:szCs w:val="21"/>
              </w:rPr>
              <w:t>主体功能区分区</w:t>
            </w:r>
          </w:p>
        </w:tc>
        <w:tc>
          <w:tcPr>
            <w:tcW w:w="911" w:type="dxa"/>
            <w:vMerge w:val="restart"/>
            <w:tcBorders>
              <w:tl2br w:val="nil"/>
              <w:tr2bl w:val="nil"/>
            </w:tcBorders>
            <w:vAlign w:val="center"/>
          </w:tcPr>
          <w:p>
            <w:pPr>
              <w:pStyle w:val="26"/>
              <w:adjustRightInd/>
              <w:snapToGrid/>
              <w:spacing w:after="0" w:line="240" w:lineRule="exact"/>
              <w:ind w:left="0" w:leftChars="0" w:firstLine="0" w:firstLineChars="0"/>
              <w:jc w:val="center"/>
              <w:rPr>
                <w:rFonts w:ascii="宋体" w:hAnsi="宋体" w:cs="宋体"/>
                <w:bCs/>
                <w:color w:val="auto"/>
                <w:sz w:val="21"/>
                <w:szCs w:val="21"/>
              </w:rPr>
            </w:pPr>
            <w:r>
              <w:rPr>
                <w:rFonts w:hint="eastAsia" w:ascii="宋体" w:hAnsi="宋体" w:cs="宋体"/>
                <w:bCs/>
                <w:color w:val="auto"/>
                <w:sz w:val="21"/>
                <w:szCs w:val="21"/>
              </w:rPr>
              <w:t>限制开发区域</w:t>
            </w:r>
          </w:p>
        </w:tc>
        <w:tc>
          <w:tcPr>
            <w:tcW w:w="1138" w:type="dxa"/>
            <w:tcBorders>
              <w:tl2br w:val="nil"/>
              <w:tr2bl w:val="nil"/>
            </w:tcBorders>
            <w:vAlign w:val="center"/>
          </w:tcPr>
          <w:p>
            <w:pPr>
              <w:pStyle w:val="26"/>
              <w:adjustRightInd/>
              <w:snapToGrid/>
              <w:spacing w:after="0" w:line="240" w:lineRule="exact"/>
              <w:ind w:left="0" w:leftChars="0" w:firstLine="0" w:firstLineChars="0"/>
              <w:jc w:val="center"/>
              <w:rPr>
                <w:rFonts w:ascii="宋体" w:hAnsi="宋体" w:cs="宋体"/>
                <w:bCs/>
                <w:color w:val="auto"/>
                <w:sz w:val="21"/>
                <w:szCs w:val="21"/>
              </w:rPr>
            </w:pPr>
            <w:r>
              <w:rPr>
                <w:rFonts w:hint="eastAsia" w:ascii="宋体" w:hAnsi="宋体" w:cs="宋体"/>
                <w:bCs/>
                <w:color w:val="auto"/>
                <w:sz w:val="21"/>
                <w:szCs w:val="21"/>
              </w:rPr>
              <w:t>农产品主产区</w:t>
            </w:r>
          </w:p>
        </w:tc>
        <w:tc>
          <w:tcPr>
            <w:tcW w:w="3760" w:type="dxa"/>
            <w:tcBorders>
              <w:tl2br w:val="nil"/>
              <w:tr2bl w:val="nil"/>
            </w:tcBorders>
            <w:vAlign w:val="center"/>
          </w:tcPr>
          <w:p>
            <w:pPr>
              <w:pStyle w:val="26"/>
              <w:adjustRightInd/>
              <w:snapToGrid/>
              <w:spacing w:after="0" w:line="240" w:lineRule="exact"/>
              <w:ind w:left="0" w:leftChars="0" w:firstLine="0" w:firstLineChars="0"/>
              <w:jc w:val="center"/>
              <w:rPr>
                <w:rFonts w:ascii="宋体" w:hAnsi="宋体" w:cs="宋体"/>
                <w:bCs/>
                <w:color w:val="auto"/>
                <w:sz w:val="21"/>
                <w:szCs w:val="21"/>
              </w:rPr>
            </w:pPr>
            <w:r>
              <w:rPr>
                <w:rFonts w:hint="eastAsia" w:ascii="宋体" w:hAnsi="宋体" w:cs="宋体"/>
                <w:bCs/>
                <w:color w:val="auto"/>
                <w:sz w:val="21"/>
                <w:szCs w:val="21"/>
              </w:rPr>
              <w:t>清丰县、南乐县、范县、台前县（除工业准入优先区、城市人居功能区及禁止开发区域以外范围））</w:t>
            </w:r>
          </w:p>
        </w:tc>
        <w:tc>
          <w:tcPr>
            <w:tcW w:w="1166" w:type="dxa"/>
            <w:vMerge w:val="restart"/>
            <w:tcBorders>
              <w:tl2br w:val="nil"/>
              <w:tr2bl w:val="nil"/>
            </w:tcBorders>
            <w:vAlign w:val="center"/>
          </w:tcPr>
          <w:p>
            <w:pPr>
              <w:pStyle w:val="26"/>
              <w:adjustRightInd/>
              <w:snapToGrid/>
              <w:spacing w:after="0" w:line="240" w:lineRule="exact"/>
              <w:ind w:left="0" w:leftChars="0" w:firstLine="0" w:firstLineChars="0"/>
              <w:jc w:val="center"/>
              <w:rPr>
                <w:rFonts w:ascii="宋体" w:hAnsi="宋体" w:cs="宋体"/>
                <w:bCs/>
                <w:color w:val="auto"/>
                <w:sz w:val="21"/>
                <w:szCs w:val="21"/>
              </w:rPr>
            </w:pPr>
            <w:r>
              <w:rPr>
                <w:rFonts w:hint="eastAsia" w:ascii="宋体" w:hAnsi="宋体" w:cs="宋体"/>
                <w:bCs/>
                <w:color w:val="auto"/>
                <w:sz w:val="21"/>
                <w:szCs w:val="21"/>
              </w:rPr>
              <w:t>本项目河南省濮阳市濮阳县五星乡于屯村东</w:t>
            </w:r>
          </w:p>
        </w:tc>
        <w:tc>
          <w:tcPr>
            <w:tcW w:w="1253" w:type="dxa"/>
            <w:tcBorders>
              <w:tl2br w:val="nil"/>
              <w:tr2bl w:val="nil"/>
            </w:tcBorders>
            <w:vAlign w:val="center"/>
          </w:tcPr>
          <w:p>
            <w:pPr>
              <w:pStyle w:val="26"/>
              <w:adjustRightInd/>
              <w:snapToGrid/>
              <w:spacing w:after="0" w:line="240" w:lineRule="exact"/>
              <w:ind w:left="0" w:leftChars="0" w:firstLine="0" w:firstLineChars="0"/>
              <w:jc w:val="left"/>
              <w:rPr>
                <w:rFonts w:ascii="宋体" w:hAnsi="宋体" w:cs="宋体"/>
                <w:bCs/>
                <w:color w:val="auto"/>
                <w:sz w:val="21"/>
                <w:szCs w:val="21"/>
              </w:rPr>
            </w:pPr>
            <w:r>
              <w:rPr>
                <w:rFonts w:hint="eastAsia" w:ascii="宋体" w:hAnsi="宋体" w:cs="宋体"/>
                <w:bCs/>
                <w:color w:val="auto"/>
                <w:sz w:val="21"/>
                <w:szCs w:val="21"/>
              </w:rPr>
              <w:t>项目选址属于农产品主产区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4" w:hRule="atLeast"/>
          <w:jc w:val="center"/>
        </w:trPr>
        <w:tc>
          <w:tcPr>
            <w:tcW w:w="718" w:type="dxa"/>
            <w:vMerge w:val="continue"/>
            <w:tcBorders>
              <w:tl2br w:val="nil"/>
              <w:tr2bl w:val="nil"/>
            </w:tcBorders>
            <w:vAlign w:val="center"/>
          </w:tcPr>
          <w:p>
            <w:pPr>
              <w:pStyle w:val="26"/>
              <w:adjustRightInd/>
              <w:snapToGrid/>
              <w:spacing w:after="0" w:line="240" w:lineRule="exact"/>
              <w:ind w:left="0" w:leftChars="0" w:firstLine="0" w:firstLineChars="0"/>
              <w:jc w:val="center"/>
              <w:rPr>
                <w:rFonts w:ascii="宋体" w:hAnsi="宋体" w:cs="宋体"/>
                <w:bCs/>
                <w:color w:val="auto"/>
                <w:sz w:val="21"/>
                <w:szCs w:val="21"/>
              </w:rPr>
            </w:pPr>
          </w:p>
        </w:tc>
        <w:tc>
          <w:tcPr>
            <w:tcW w:w="911" w:type="dxa"/>
            <w:vMerge w:val="continue"/>
            <w:tcBorders>
              <w:tl2br w:val="nil"/>
              <w:tr2bl w:val="nil"/>
            </w:tcBorders>
            <w:vAlign w:val="center"/>
          </w:tcPr>
          <w:p>
            <w:pPr>
              <w:pStyle w:val="26"/>
              <w:adjustRightInd/>
              <w:snapToGrid/>
              <w:spacing w:after="0" w:line="240" w:lineRule="exact"/>
              <w:ind w:left="0" w:leftChars="0" w:firstLine="0" w:firstLineChars="0"/>
              <w:jc w:val="center"/>
              <w:rPr>
                <w:rFonts w:ascii="宋体" w:hAnsi="宋体" w:cs="宋体"/>
                <w:bCs/>
                <w:color w:val="auto"/>
                <w:sz w:val="21"/>
                <w:szCs w:val="21"/>
              </w:rPr>
            </w:pPr>
          </w:p>
        </w:tc>
        <w:tc>
          <w:tcPr>
            <w:tcW w:w="1138" w:type="dxa"/>
            <w:tcBorders>
              <w:tl2br w:val="nil"/>
              <w:tr2bl w:val="nil"/>
            </w:tcBorders>
            <w:vAlign w:val="center"/>
          </w:tcPr>
          <w:p>
            <w:pPr>
              <w:pStyle w:val="26"/>
              <w:adjustRightInd/>
              <w:snapToGrid/>
              <w:spacing w:after="0" w:line="240" w:lineRule="exact"/>
              <w:ind w:left="0" w:leftChars="0" w:firstLine="0" w:firstLineChars="0"/>
              <w:jc w:val="center"/>
              <w:rPr>
                <w:rFonts w:ascii="宋体" w:hAnsi="宋体" w:cs="宋体"/>
                <w:bCs/>
                <w:color w:val="auto"/>
                <w:sz w:val="21"/>
                <w:szCs w:val="21"/>
              </w:rPr>
            </w:pPr>
            <w:r>
              <w:rPr>
                <w:rFonts w:hint="eastAsia" w:ascii="宋体" w:hAnsi="宋体" w:cs="宋体"/>
                <w:bCs/>
                <w:color w:val="auto"/>
                <w:sz w:val="21"/>
                <w:szCs w:val="21"/>
              </w:rPr>
              <w:t>重点生态功能区</w:t>
            </w:r>
          </w:p>
        </w:tc>
        <w:tc>
          <w:tcPr>
            <w:tcW w:w="3760" w:type="dxa"/>
            <w:tcBorders>
              <w:tl2br w:val="nil"/>
              <w:tr2bl w:val="nil"/>
            </w:tcBorders>
            <w:vAlign w:val="center"/>
          </w:tcPr>
          <w:p>
            <w:pPr>
              <w:pStyle w:val="26"/>
              <w:adjustRightInd/>
              <w:snapToGrid/>
              <w:spacing w:after="0" w:line="240" w:lineRule="exact"/>
              <w:ind w:left="0" w:leftChars="0" w:firstLine="0" w:firstLineChars="0"/>
              <w:jc w:val="center"/>
              <w:rPr>
                <w:rFonts w:ascii="宋体" w:hAnsi="宋体" w:cs="宋体"/>
                <w:bCs/>
                <w:color w:val="auto"/>
                <w:sz w:val="21"/>
                <w:szCs w:val="21"/>
              </w:rPr>
            </w:pPr>
            <w:r>
              <w:rPr>
                <w:rFonts w:hint="eastAsia" w:ascii="宋体" w:hAnsi="宋体" w:cs="宋体"/>
                <w:bCs/>
                <w:color w:val="auto"/>
                <w:sz w:val="21"/>
                <w:szCs w:val="21"/>
              </w:rPr>
              <w:t>开发区：胡村乡、王助乡、华龙区：孟轲乡、岳村乡；濮阳县：城关镇、子岸乡、五星集、渠村乡；清丰县：城关镇；南乐县：城关镇；范县：城关镇、辛庄、濮城镇、王楼乡；台前县：城关镇。</w:t>
            </w:r>
          </w:p>
        </w:tc>
        <w:tc>
          <w:tcPr>
            <w:tcW w:w="1166" w:type="dxa"/>
            <w:vMerge w:val="continue"/>
            <w:tcBorders>
              <w:tl2br w:val="nil"/>
              <w:tr2bl w:val="nil"/>
            </w:tcBorders>
            <w:vAlign w:val="center"/>
          </w:tcPr>
          <w:p>
            <w:pPr>
              <w:pStyle w:val="26"/>
              <w:adjustRightInd/>
              <w:snapToGrid/>
              <w:spacing w:after="0" w:line="240" w:lineRule="exact"/>
              <w:ind w:left="0" w:leftChars="0" w:firstLine="0" w:firstLineChars="0"/>
              <w:jc w:val="center"/>
              <w:rPr>
                <w:rFonts w:ascii="宋体" w:hAnsi="宋体" w:cs="宋体"/>
                <w:bCs/>
                <w:color w:val="auto"/>
                <w:sz w:val="21"/>
                <w:szCs w:val="21"/>
              </w:rPr>
            </w:pPr>
          </w:p>
        </w:tc>
        <w:tc>
          <w:tcPr>
            <w:tcW w:w="1253" w:type="dxa"/>
            <w:vMerge w:val="restart"/>
            <w:tcBorders>
              <w:tl2br w:val="nil"/>
              <w:tr2bl w:val="nil"/>
            </w:tcBorders>
            <w:vAlign w:val="center"/>
          </w:tcPr>
          <w:p>
            <w:pPr>
              <w:pStyle w:val="26"/>
              <w:adjustRightInd/>
              <w:snapToGrid/>
              <w:spacing w:after="0" w:line="240" w:lineRule="exact"/>
              <w:ind w:left="0" w:leftChars="0" w:firstLine="0" w:firstLineChars="0"/>
              <w:rPr>
                <w:rFonts w:ascii="宋体" w:hAnsi="宋体" w:cs="宋体"/>
                <w:bCs/>
                <w:color w:val="auto"/>
                <w:sz w:val="21"/>
                <w:szCs w:val="21"/>
              </w:rPr>
            </w:pPr>
            <w:r>
              <w:rPr>
                <w:rFonts w:hint="eastAsia" w:ascii="宋体" w:hAnsi="宋体" w:cs="宋体"/>
                <w:bCs/>
                <w:color w:val="auto"/>
                <w:sz w:val="21"/>
                <w:szCs w:val="21"/>
              </w:rPr>
              <w:t>项目选址属于重点开发区域</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3" w:hRule="atLeast"/>
          <w:jc w:val="center"/>
        </w:trPr>
        <w:tc>
          <w:tcPr>
            <w:tcW w:w="718" w:type="dxa"/>
            <w:vMerge w:val="continue"/>
            <w:tcBorders>
              <w:tl2br w:val="nil"/>
              <w:tr2bl w:val="nil"/>
            </w:tcBorders>
            <w:vAlign w:val="center"/>
          </w:tcPr>
          <w:p>
            <w:pPr>
              <w:pStyle w:val="26"/>
              <w:adjustRightInd/>
              <w:snapToGrid/>
              <w:spacing w:after="0" w:line="240" w:lineRule="exact"/>
              <w:ind w:left="0" w:leftChars="0" w:firstLine="0" w:firstLineChars="0"/>
              <w:jc w:val="center"/>
              <w:rPr>
                <w:rFonts w:ascii="宋体" w:hAnsi="宋体" w:cs="宋体"/>
                <w:bCs/>
                <w:color w:val="auto"/>
                <w:sz w:val="21"/>
                <w:szCs w:val="21"/>
              </w:rPr>
            </w:pPr>
          </w:p>
        </w:tc>
        <w:tc>
          <w:tcPr>
            <w:tcW w:w="2049" w:type="dxa"/>
            <w:gridSpan w:val="2"/>
            <w:tcBorders>
              <w:tl2br w:val="nil"/>
              <w:tr2bl w:val="nil"/>
            </w:tcBorders>
            <w:vAlign w:val="center"/>
          </w:tcPr>
          <w:p>
            <w:pPr>
              <w:pStyle w:val="26"/>
              <w:adjustRightInd/>
              <w:snapToGrid/>
              <w:spacing w:after="0" w:line="240" w:lineRule="exact"/>
              <w:ind w:left="0" w:leftChars="0" w:firstLine="0" w:firstLineChars="0"/>
              <w:jc w:val="center"/>
              <w:rPr>
                <w:rFonts w:ascii="宋体" w:hAnsi="宋体" w:cs="宋体"/>
                <w:bCs/>
                <w:color w:val="auto"/>
                <w:sz w:val="21"/>
                <w:szCs w:val="21"/>
              </w:rPr>
            </w:pPr>
            <w:r>
              <w:rPr>
                <w:rFonts w:hint="eastAsia" w:ascii="宋体" w:hAnsi="宋体" w:cs="宋体"/>
                <w:bCs/>
                <w:color w:val="auto"/>
                <w:sz w:val="21"/>
                <w:szCs w:val="21"/>
              </w:rPr>
              <w:t>重点开发区域</w:t>
            </w:r>
          </w:p>
        </w:tc>
        <w:tc>
          <w:tcPr>
            <w:tcW w:w="3760" w:type="dxa"/>
            <w:tcBorders>
              <w:tl2br w:val="nil"/>
              <w:tr2bl w:val="nil"/>
            </w:tcBorders>
            <w:vAlign w:val="center"/>
          </w:tcPr>
          <w:p>
            <w:pPr>
              <w:pStyle w:val="26"/>
              <w:numPr>
                <w:ilvl w:val="0"/>
                <w:numId w:val="7"/>
              </w:numPr>
              <w:adjustRightInd/>
              <w:snapToGrid/>
              <w:spacing w:after="0" w:line="240" w:lineRule="exact"/>
              <w:ind w:left="0" w:leftChars="0" w:firstLine="0" w:firstLineChars="0"/>
              <w:jc w:val="center"/>
              <w:rPr>
                <w:rFonts w:ascii="宋体" w:hAnsi="宋体" w:cs="宋体"/>
                <w:bCs/>
                <w:color w:val="auto"/>
                <w:sz w:val="21"/>
                <w:szCs w:val="21"/>
              </w:rPr>
            </w:pPr>
            <w:r>
              <w:rPr>
                <w:rFonts w:hint="eastAsia" w:ascii="宋体" w:hAnsi="宋体" w:cs="宋体"/>
                <w:bCs/>
                <w:color w:val="auto"/>
                <w:sz w:val="21"/>
                <w:szCs w:val="21"/>
              </w:rPr>
              <w:t>省辖市：郑州市（全部）、开封市</w:t>
            </w:r>
          </w:p>
          <w:p>
            <w:pPr>
              <w:pStyle w:val="26"/>
              <w:adjustRightInd/>
              <w:snapToGrid/>
              <w:spacing w:after="0" w:line="240" w:lineRule="exact"/>
              <w:ind w:left="0" w:leftChars="0" w:firstLine="0" w:firstLineChars="0"/>
              <w:rPr>
                <w:rFonts w:ascii="宋体" w:hAnsi="宋体" w:cs="宋体"/>
                <w:bCs/>
                <w:color w:val="auto"/>
                <w:sz w:val="21"/>
                <w:szCs w:val="21"/>
              </w:rPr>
            </w:pPr>
            <w:r>
              <w:rPr>
                <w:rFonts w:hint="eastAsia" w:ascii="宋体" w:hAnsi="宋体" w:cs="宋体"/>
                <w:bCs/>
                <w:color w:val="auto"/>
                <w:sz w:val="21"/>
                <w:szCs w:val="21"/>
              </w:rPr>
              <w:t>（开封市区、尉氏县）、洛阳市（洛阳市区、偃师市、伊川县、孟津县）、平顶山市（平顶山市区、宝丰县）、安阳市（安阳市区、安阳县）、鹤壁市</w:t>
            </w:r>
          </w:p>
          <w:p>
            <w:pPr>
              <w:pStyle w:val="26"/>
              <w:adjustRightInd/>
              <w:snapToGrid/>
              <w:spacing w:after="0" w:line="240" w:lineRule="exact"/>
              <w:ind w:left="0" w:leftChars="0" w:firstLine="0" w:firstLineChars="0"/>
              <w:jc w:val="center"/>
              <w:rPr>
                <w:rFonts w:ascii="宋体" w:hAnsi="宋体" w:cs="宋体"/>
                <w:bCs/>
                <w:color w:val="auto"/>
                <w:sz w:val="21"/>
                <w:szCs w:val="21"/>
              </w:rPr>
            </w:pPr>
            <w:r>
              <w:rPr>
                <w:rFonts w:hint="eastAsia" w:ascii="宋体" w:hAnsi="宋体" w:cs="宋体"/>
                <w:bCs/>
                <w:color w:val="auto"/>
                <w:sz w:val="21"/>
                <w:szCs w:val="21"/>
              </w:rPr>
              <w:t>（鹤壁市区）、新乡市（新乡市区(含平原城乡一体示范区)、新乡县、卫辉市）、焦作市（焦作市区、沁阳市、孟州市）、濮阳市（濮阳市区、濮阳县）、许昌市（许昌市区、长葛市、许昌县）、漯河市（漯河市区）、三门峡市（三门峡市区、义马市、陕县）、周口市（周口市区、项城市）、商丘市（商丘市区）、驻马店市（驻马店市区、遂平县）、南阳市（南阳市区、镇平县）、信阳市（信阳市平桥区）、济源市。2、省直管县（市）：汝州市、长垣县、永城市、固始县、兰考县、巩义市3、农产品主产区和重点生态功能区的县城关镇、少数建制镇镇区以及产业集聚区</w:t>
            </w:r>
          </w:p>
        </w:tc>
        <w:tc>
          <w:tcPr>
            <w:tcW w:w="1166" w:type="dxa"/>
            <w:vMerge w:val="continue"/>
            <w:tcBorders>
              <w:tl2br w:val="nil"/>
              <w:tr2bl w:val="nil"/>
            </w:tcBorders>
            <w:vAlign w:val="center"/>
          </w:tcPr>
          <w:p>
            <w:pPr>
              <w:pStyle w:val="26"/>
              <w:adjustRightInd/>
              <w:snapToGrid/>
              <w:spacing w:after="0" w:line="240" w:lineRule="exact"/>
              <w:ind w:left="0" w:leftChars="0" w:firstLine="0" w:firstLineChars="0"/>
              <w:jc w:val="center"/>
              <w:rPr>
                <w:rFonts w:ascii="宋体" w:hAnsi="宋体" w:cs="宋体"/>
                <w:bCs/>
                <w:color w:val="auto"/>
                <w:sz w:val="21"/>
                <w:szCs w:val="21"/>
              </w:rPr>
            </w:pPr>
          </w:p>
        </w:tc>
        <w:tc>
          <w:tcPr>
            <w:tcW w:w="1253" w:type="dxa"/>
            <w:vMerge w:val="continue"/>
            <w:tcBorders>
              <w:tl2br w:val="nil"/>
              <w:tr2bl w:val="nil"/>
            </w:tcBorders>
            <w:vAlign w:val="center"/>
          </w:tcPr>
          <w:p>
            <w:pPr>
              <w:pStyle w:val="26"/>
              <w:adjustRightInd/>
              <w:snapToGrid/>
              <w:spacing w:after="0" w:line="240" w:lineRule="exact"/>
              <w:ind w:left="0" w:leftChars="0" w:firstLine="0" w:firstLineChars="0"/>
              <w:rPr>
                <w:rFonts w:ascii="宋体" w:hAnsi="宋体" w:cs="宋体"/>
                <w:bCs/>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24" w:hRule="atLeast"/>
          <w:jc w:val="center"/>
        </w:trPr>
        <w:tc>
          <w:tcPr>
            <w:tcW w:w="718" w:type="dxa"/>
            <w:tcBorders>
              <w:tl2br w:val="nil"/>
              <w:tr2bl w:val="nil"/>
            </w:tcBorders>
            <w:vAlign w:val="center"/>
          </w:tcPr>
          <w:p>
            <w:pPr>
              <w:pStyle w:val="26"/>
              <w:adjustRightInd/>
              <w:snapToGrid/>
              <w:spacing w:after="0" w:line="240" w:lineRule="exact"/>
              <w:ind w:left="0" w:leftChars="0" w:firstLine="0" w:firstLineChars="0"/>
              <w:jc w:val="center"/>
              <w:rPr>
                <w:rFonts w:ascii="宋体" w:hAnsi="宋体" w:cs="宋体"/>
                <w:bCs/>
                <w:color w:val="auto"/>
                <w:sz w:val="21"/>
                <w:szCs w:val="21"/>
              </w:rPr>
            </w:pPr>
            <w:r>
              <w:rPr>
                <w:rFonts w:hint="eastAsia" w:ascii="宋体" w:hAnsi="宋体" w:cs="宋体"/>
                <w:bCs/>
                <w:color w:val="auto"/>
                <w:sz w:val="21"/>
                <w:szCs w:val="21"/>
              </w:rPr>
              <w:t>所属污染防控单元</w:t>
            </w:r>
          </w:p>
        </w:tc>
        <w:tc>
          <w:tcPr>
            <w:tcW w:w="5809" w:type="dxa"/>
            <w:gridSpan w:val="3"/>
            <w:tcBorders>
              <w:tl2br w:val="nil"/>
              <w:tr2bl w:val="nil"/>
            </w:tcBorders>
            <w:vAlign w:val="center"/>
          </w:tcPr>
          <w:p>
            <w:pPr>
              <w:pStyle w:val="26"/>
              <w:adjustRightInd/>
              <w:snapToGrid/>
              <w:spacing w:after="0" w:line="240" w:lineRule="exact"/>
              <w:ind w:left="0" w:leftChars="0" w:firstLine="0" w:firstLineChars="0"/>
              <w:jc w:val="center"/>
              <w:rPr>
                <w:rFonts w:ascii="宋体" w:hAnsi="宋体" w:cs="宋体"/>
                <w:bCs/>
                <w:color w:val="auto"/>
                <w:sz w:val="21"/>
                <w:szCs w:val="21"/>
              </w:rPr>
            </w:pPr>
            <w:r>
              <w:rPr>
                <w:rFonts w:hint="eastAsia" w:ascii="宋体" w:hAnsi="宋体" w:cs="宋体"/>
                <w:bCs/>
                <w:color w:val="auto"/>
                <w:sz w:val="21"/>
                <w:szCs w:val="21"/>
              </w:rPr>
              <w:t>水污染防治重点单元（华龙区、开发区、工业园区、市城乡一体化示范区、濮阳县、清丰县、南乐县、范县、台前县））、大气污染防治重点单元（濮阳市城市建成区（包括西部开发区、市城乡一体化示范区、华龙区、东部工业园区建成区部分）），各县县城建成区及其主导风向上方向10公里以内区域））、重金属污染防控单元（全市范围内）</w:t>
            </w:r>
          </w:p>
        </w:tc>
        <w:tc>
          <w:tcPr>
            <w:tcW w:w="1166" w:type="dxa"/>
            <w:tcBorders>
              <w:tl2br w:val="nil"/>
              <w:tr2bl w:val="nil"/>
            </w:tcBorders>
            <w:vAlign w:val="center"/>
          </w:tcPr>
          <w:p>
            <w:pPr>
              <w:pStyle w:val="26"/>
              <w:adjustRightInd/>
              <w:snapToGrid/>
              <w:spacing w:after="0" w:line="240" w:lineRule="exact"/>
              <w:ind w:left="0" w:leftChars="0" w:firstLine="0" w:firstLineChars="0"/>
              <w:jc w:val="center"/>
              <w:rPr>
                <w:rFonts w:ascii="宋体" w:hAnsi="宋体" w:cs="宋体"/>
                <w:bCs/>
                <w:color w:val="auto"/>
                <w:sz w:val="21"/>
                <w:szCs w:val="21"/>
              </w:rPr>
            </w:pPr>
            <w:r>
              <w:rPr>
                <w:rFonts w:hint="eastAsia" w:ascii="宋体" w:hAnsi="宋体" w:cs="宋体"/>
                <w:bCs/>
                <w:color w:val="auto"/>
                <w:sz w:val="21"/>
                <w:szCs w:val="21"/>
              </w:rPr>
              <w:t>项目选址在重点开发区域</w:t>
            </w:r>
          </w:p>
        </w:tc>
        <w:tc>
          <w:tcPr>
            <w:tcW w:w="1253" w:type="dxa"/>
            <w:tcBorders>
              <w:tl2br w:val="nil"/>
              <w:tr2bl w:val="nil"/>
            </w:tcBorders>
            <w:vAlign w:val="center"/>
          </w:tcPr>
          <w:p>
            <w:pPr>
              <w:pStyle w:val="26"/>
              <w:adjustRightInd/>
              <w:snapToGrid/>
              <w:spacing w:after="0" w:line="240" w:lineRule="exact"/>
              <w:ind w:left="0" w:leftChars="0" w:firstLine="0" w:firstLineChars="0"/>
              <w:rPr>
                <w:rFonts w:ascii="宋体" w:hAnsi="宋体" w:cs="宋体"/>
                <w:bCs/>
                <w:color w:val="auto"/>
                <w:sz w:val="21"/>
                <w:szCs w:val="21"/>
              </w:rPr>
            </w:pPr>
            <w:r>
              <w:rPr>
                <w:rFonts w:hint="eastAsia" w:ascii="宋体" w:hAnsi="宋体" w:cs="宋体"/>
                <w:bCs/>
                <w:color w:val="auto"/>
                <w:sz w:val="21"/>
                <w:szCs w:val="21"/>
              </w:rPr>
              <w:t>属于水污染防治重点单元、重金属污染防治</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91" w:hRule="atLeast"/>
          <w:jc w:val="center"/>
        </w:trPr>
        <w:tc>
          <w:tcPr>
            <w:tcW w:w="718" w:type="dxa"/>
            <w:tcBorders>
              <w:tl2br w:val="nil"/>
              <w:tr2bl w:val="nil"/>
            </w:tcBorders>
            <w:vAlign w:val="center"/>
          </w:tcPr>
          <w:p>
            <w:pPr>
              <w:pStyle w:val="26"/>
              <w:adjustRightInd/>
              <w:snapToGrid/>
              <w:spacing w:after="0" w:line="240" w:lineRule="exact"/>
              <w:ind w:left="0" w:leftChars="0" w:firstLine="0" w:firstLineChars="0"/>
              <w:jc w:val="center"/>
              <w:rPr>
                <w:rFonts w:ascii="宋体" w:hAnsi="宋体" w:cs="宋体"/>
                <w:bCs/>
                <w:color w:val="auto"/>
                <w:sz w:val="21"/>
                <w:szCs w:val="21"/>
              </w:rPr>
            </w:pPr>
            <w:r>
              <w:rPr>
                <w:rFonts w:hint="eastAsia" w:ascii="宋体" w:hAnsi="宋体" w:cs="宋体"/>
                <w:bCs/>
                <w:color w:val="auto"/>
                <w:sz w:val="21"/>
                <w:szCs w:val="21"/>
              </w:rPr>
              <w:t>农产品主产区环境准入政策</w:t>
            </w:r>
          </w:p>
        </w:tc>
        <w:tc>
          <w:tcPr>
            <w:tcW w:w="5809" w:type="dxa"/>
            <w:gridSpan w:val="3"/>
            <w:tcBorders>
              <w:tl2br w:val="nil"/>
              <w:tr2bl w:val="nil"/>
            </w:tcBorders>
            <w:vAlign w:val="center"/>
          </w:tcPr>
          <w:p>
            <w:pPr>
              <w:pStyle w:val="26"/>
              <w:adjustRightInd/>
              <w:snapToGrid/>
              <w:spacing w:after="0" w:line="240" w:lineRule="exact"/>
              <w:ind w:left="0" w:leftChars="0" w:firstLine="0" w:firstLineChars="0"/>
              <w:jc w:val="center"/>
              <w:rPr>
                <w:rFonts w:ascii="宋体" w:hAnsi="宋体" w:cs="宋体"/>
                <w:bCs/>
                <w:color w:val="auto"/>
                <w:sz w:val="21"/>
                <w:szCs w:val="21"/>
              </w:rPr>
            </w:pPr>
            <w:r>
              <w:rPr>
                <w:rFonts w:hint="eastAsia" w:ascii="宋体" w:hAnsi="宋体" w:cs="宋体"/>
                <w:bCs/>
                <w:color w:val="auto"/>
                <w:sz w:val="21"/>
                <w:szCs w:val="21"/>
              </w:rPr>
              <w:t>1、不予审批《工业项目分类清单》中三类工业的新建项目和涉及重金属、持久性有机污染物排放等目影响粮食生产安全的二类工业新建项目（矿产资源点状开发项目和符合我省重大产业布局的项目除外））。</w:t>
            </w:r>
          </w:p>
          <w:p>
            <w:pPr>
              <w:pStyle w:val="26"/>
              <w:adjustRightInd/>
              <w:snapToGrid/>
              <w:spacing w:after="0" w:line="240" w:lineRule="exact"/>
              <w:ind w:left="0" w:leftChars="0" w:firstLine="0" w:firstLineChars="0"/>
              <w:jc w:val="center"/>
              <w:rPr>
                <w:rFonts w:ascii="宋体" w:hAnsi="宋体" w:cs="宋体"/>
                <w:bCs/>
                <w:color w:val="auto"/>
                <w:sz w:val="21"/>
                <w:szCs w:val="21"/>
              </w:rPr>
            </w:pPr>
            <w:r>
              <w:rPr>
                <w:rFonts w:hint="eastAsia" w:ascii="宋体" w:hAnsi="宋体" w:cs="宋体"/>
                <w:bCs/>
                <w:color w:val="auto"/>
                <w:sz w:val="21"/>
                <w:szCs w:val="21"/>
              </w:rPr>
              <w:t>2、在属于《水污染防治重点单元》的区域内，不予审批屠宰、酿造、含发酵工艺的粮食加工等废水排放量大项目。</w:t>
            </w:r>
          </w:p>
        </w:tc>
        <w:tc>
          <w:tcPr>
            <w:tcW w:w="1166" w:type="dxa"/>
            <w:tcBorders>
              <w:tl2br w:val="nil"/>
              <w:tr2bl w:val="nil"/>
            </w:tcBorders>
            <w:vAlign w:val="center"/>
          </w:tcPr>
          <w:p>
            <w:pPr>
              <w:pStyle w:val="26"/>
              <w:adjustRightInd/>
              <w:snapToGrid/>
              <w:spacing w:after="0" w:line="240" w:lineRule="exact"/>
              <w:ind w:left="0" w:leftChars="0" w:firstLine="0" w:firstLineChars="0"/>
              <w:jc w:val="center"/>
              <w:rPr>
                <w:rFonts w:ascii="宋体" w:hAnsi="宋体" w:cs="宋体"/>
                <w:bCs/>
                <w:color w:val="auto"/>
                <w:sz w:val="21"/>
                <w:szCs w:val="21"/>
              </w:rPr>
            </w:pPr>
            <w:r>
              <w:rPr>
                <w:rFonts w:hint="eastAsia" w:ascii="宋体" w:hAnsi="宋体" w:cs="宋体"/>
                <w:bCs/>
                <w:color w:val="auto"/>
                <w:sz w:val="21"/>
                <w:szCs w:val="21"/>
              </w:rPr>
              <w:t>不属于</w:t>
            </w:r>
          </w:p>
        </w:tc>
        <w:tc>
          <w:tcPr>
            <w:tcW w:w="1253" w:type="dxa"/>
            <w:tcBorders>
              <w:tl2br w:val="nil"/>
              <w:tr2bl w:val="nil"/>
            </w:tcBorders>
            <w:vAlign w:val="center"/>
          </w:tcPr>
          <w:p>
            <w:pPr>
              <w:pStyle w:val="26"/>
              <w:adjustRightInd/>
              <w:snapToGrid/>
              <w:spacing w:after="0" w:line="240" w:lineRule="exact"/>
              <w:ind w:left="0" w:leftChars="0" w:firstLine="0" w:firstLineChars="0"/>
              <w:jc w:val="left"/>
              <w:rPr>
                <w:rFonts w:ascii="宋体" w:hAnsi="宋体" w:cs="宋体"/>
                <w:bCs/>
                <w:color w:val="auto"/>
                <w:sz w:val="21"/>
                <w:szCs w:val="21"/>
              </w:rPr>
            </w:pPr>
            <w:r>
              <w:rPr>
                <w:rFonts w:hint="eastAsia" w:ascii="宋体" w:hAnsi="宋体" w:cs="宋体"/>
                <w:bCs/>
                <w:color w:val="auto"/>
                <w:sz w:val="21"/>
                <w:szCs w:val="21"/>
              </w:rPr>
              <w:t>项目不属于农产品主产区不予审批项目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25" w:hRule="atLeast"/>
          <w:jc w:val="center"/>
        </w:trPr>
        <w:tc>
          <w:tcPr>
            <w:tcW w:w="718" w:type="dxa"/>
            <w:tcBorders>
              <w:tl2br w:val="nil"/>
              <w:tr2bl w:val="nil"/>
            </w:tcBorders>
            <w:vAlign w:val="center"/>
          </w:tcPr>
          <w:p>
            <w:pPr>
              <w:pStyle w:val="26"/>
              <w:adjustRightInd/>
              <w:snapToGrid/>
              <w:spacing w:after="0" w:line="240" w:lineRule="exact"/>
              <w:ind w:left="0" w:leftChars="0" w:firstLine="0" w:firstLineChars="0"/>
              <w:jc w:val="center"/>
              <w:rPr>
                <w:rFonts w:ascii="宋体" w:hAnsi="宋体" w:cs="宋体"/>
                <w:bCs/>
                <w:color w:val="auto"/>
                <w:sz w:val="21"/>
                <w:szCs w:val="21"/>
              </w:rPr>
            </w:pPr>
            <w:r>
              <w:rPr>
                <w:rFonts w:hint="eastAsia" w:ascii="宋体" w:hAnsi="宋体" w:cs="宋体"/>
                <w:bCs/>
                <w:color w:val="auto"/>
                <w:sz w:val="21"/>
                <w:szCs w:val="21"/>
              </w:rPr>
              <w:t>重点生态功能区环境准入政策</w:t>
            </w:r>
          </w:p>
        </w:tc>
        <w:tc>
          <w:tcPr>
            <w:tcW w:w="5809" w:type="dxa"/>
            <w:gridSpan w:val="3"/>
            <w:tcBorders>
              <w:tl2br w:val="nil"/>
              <w:tr2bl w:val="nil"/>
            </w:tcBorders>
            <w:vAlign w:val="center"/>
          </w:tcPr>
          <w:p>
            <w:pPr>
              <w:pStyle w:val="26"/>
              <w:adjustRightInd/>
              <w:snapToGrid/>
              <w:spacing w:after="0" w:line="240" w:lineRule="exact"/>
              <w:ind w:left="0" w:leftChars="0" w:firstLine="0" w:firstLineChars="0"/>
              <w:jc w:val="center"/>
              <w:rPr>
                <w:rFonts w:ascii="宋体" w:hAnsi="宋体" w:cs="宋体"/>
                <w:bCs/>
                <w:color w:val="auto"/>
                <w:sz w:val="21"/>
                <w:szCs w:val="21"/>
              </w:rPr>
            </w:pPr>
            <w:r>
              <w:rPr>
                <w:rFonts w:hint="eastAsia" w:ascii="宋体" w:hAnsi="宋体" w:cs="宋体"/>
                <w:bCs/>
                <w:color w:val="auto"/>
                <w:sz w:val="21"/>
                <w:szCs w:val="21"/>
              </w:rPr>
              <w:t>不予审批《工业项目分类清单》中二类、三类工业项目（矿产资源点状开发项目和符合我省重大产业布局的项目除外））。</w:t>
            </w:r>
          </w:p>
        </w:tc>
        <w:tc>
          <w:tcPr>
            <w:tcW w:w="1166" w:type="dxa"/>
            <w:tcBorders>
              <w:tl2br w:val="nil"/>
              <w:tr2bl w:val="nil"/>
            </w:tcBorders>
            <w:vAlign w:val="center"/>
          </w:tcPr>
          <w:p>
            <w:pPr>
              <w:pStyle w:val="26"/>
              <w:adjustRightInd/>
              <w:snapToGrid/>
              <w:spacing w:after="0" w:line="240" w:lineRule="exact"/>
              <w:ind w:left="0" w:leftChars="0" w:firstLine="0" w:firstLineChars="0"/>
              <w:jc w:val="center"/>
              <w:rPr>
                <w:rFonts w:ascii="宋体" w:hAnsi="宋体" w:cs="宋体"/>
                <w:bCs/>
                <w:color w:val="auto"/>
                <w:sz w:val="21"/>
                <w:szCs w:val="21"/>
              </w:rPr>
            </w:pPr>
            <w:r>
              <w:rPr>
                <w:rFonts w:hint="eastAsia" w:ascii="宋体" w:hAnsi="宋体" w:cs="宋体"/>
                <w:bCs/>
                <w:color w:val="auto"/>
                <w:sz w:val="21"/>
                <w:szCs w:val="21"/>
              </w:rPr>
              <w:t>不属于</w:t>
            </w:r>
          </w:p>
        </w:tc>
        <w:tc>
          <w:tcPr>
            <w:tcW w:w="1253" w:type="dxa"/>
            <w:tcBorders>
              <w:tl2br w:val="nil"/>
              <w:tr2bl w:val="nil"/>
            </w:tcBorders>
            <w:vAlign w:val="center"/>
          </w:tcPr>
          <w:p>
            <w:pPr>
              <w:pStyle w:val="26"/>
              <w:adjustRightInd/>
              <w:snapToGrid/>
              <w:spacing w:after="0" w:line="240" w:lineRule="exact"/>
              <w:ind w:left="0" w:leftChars="0" w:firstLine="0" w:firstLineChars="0"/>
              <w:rPr>
                <w:rFonts w:ascii="宋体" w:hAnsi="宋体" w:cs="宋体"/>
                <w:bCs/>
                <w:color w:val="auto"/>
                <w:sz w:val="21"/>
                <w:szCs w:val="21"/>
              </w:rPr>
            </w:pPr>
            <w:r>
              <w:rPr>
                <w:rFonts w:hint="eastAsia" w:ascii="宋体" w:hAnsi="宋体" w:cs="宋体"/>
                <w:bCs/>
                <w:color w:val="auto"/>
                <w:sz w:val="21"/>
                <w:szCs w:val="21"/>
              </w:rPr>
              <w:t>项目不属于重点生态功能区不予审批项目</w:t>
            </w:r>
          </w:p>
        </w:tc>
      </w:tr>
    </w:tbl>
    <w:p>
      <w:pPr>
        <w:autoSpaceDE w:val="0"/>
        <w:autoSpaceDN w:val="0"/>
        <w:ind w:firstLine="480"/>
        <w:rPr>
          <w:color w:val="auto"/>
        </w:rPr>
      </w:pPr>
      <w:r>
        <w:rPr>
          <w:rFonts w:hint="eastAsia"/>
          <w:color w:val="auto"/>
        </w:rPr>
        <w:t>由上表可知，项目选址位于农产品主产区，项目建设符合农产品主产区和重点生态功能区环境准入政策。</w:t>
      </w:r>
    </w:p>
    <w:p>
      <w:pPr>
        <w:pStyle w:val="6"/>
        <w:rPr>
          <w:color w:val="auto"/>
          <w:lang w:val="en-US"/>
        </w:rPr>
      </w:pPr>
      <w:r>
        <w:rPr>
          <w:rFonts w:hint="eastAsia"/>
          <w:color w:val="auto"/>
          <w:lang w:val="en-US"/>
        </w:rPr>
        <w:t>7.2.2 场址选择的基本要求</w:t>
      </w:r>
    </w:p>
    <w:p>
      <w:pPr>
        <w:spacing w:after="93" w:afterLines="30"/>
        <w:ind w:firstLine="480"/>
        <w:jc w:val="left"/>
        <w:rPr>
          <w:color w:val="auto"/>
        </w:rPr>
      </w:pPr>
      <w:r>
        <w:rPr>
          <w:rFonts w:hint="eastAsia"/>
          <w:color w:val="auto"/>
        </w:rPr>
        <w:t>场址选择的基本要求及本项目的相符性见表7.2-2。</w:t>
      </w:r>
    </w:p>
    <w:p>
      <w:pPr>
        <w:spacing w:after="93" w:afterLines="30"/>
        <w:ind w:firstLine="482"/>
        <w:jc w:val="left"/>
        <w:rPr>
          <w:b/>
          <w:color w:val="auto"/>
          <w:szCs w:val="21"/>
        </w:rPr>
      </w:pPr>
      <w:r>
        <w:rPr>
          <w:rFonts w:hint="eastAsia"/>
          <w:b/>
          <w:color w:val="auto"/>
          <w:szCs w:val="21"/>
        </w:rPr>
        <w:t>表7.2-2</w:t>
      </w:r>
      <w:r>
        <w:rPr>
          <w:b/>
          <w:color w:val="auto"/>
          <w:szCs w:val="21"/>
        </w:rPr>
        <w:t xml:space="preserve">              </w:t>
      </w:r>
      <w:r>
        <w:rPr>
          <w:rFonts w:hint="eastAsia"/>
          <w:b/>
          <w:color w:val="auto"/>
          <w:szCs w:val="21"/>
        </w:rPr>
        <w:t>场址选择的基本要求及本项目的相符性分析一览表</w:t>
      </w:r>
    </w:p>
    <w:tbl>
      <w:tblPr>
        <w:tblStyle w:val="28"/>
        <w:tblW w:w="9020"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66"/>
        <w:gridCol w:w="4088"/>
        <w:gridCol w:w="2300"/>
        <w:gridCol w:w="76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1866"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 xml:space="preserve">类 别  </w:t>
            </w:r>
          </w:p>
        </w:tc>
        <w:tc>
          <w:tcPr>
            <w:tcW w:w="4088"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相关要求</w:t>
            </w:r>
          </w:p>
        </w:tc>
        <w:tc>
          <w:tcPr>
            <w:tcW w:w="2300"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本项目基本情况</w:t>
            </w:r>
          </w:p>
        </w:tc>
        <w:tc>
          <w:tcPr>
            <w:tcW w:w="766"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相符性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84" w:hRule="atLeast"/>
          <w:jc w:val="center"/>
        </w:trPr>
        <w:tc>
          <w:tcPr>
            <w:tcW w:w="1866" w:type="dxa"/>
            <w:vMerge w:val="restart"/>
            <w:tcBorders>
              <w:tl2br w:val="nil"/>
              <w:tr2bl w:val="nil"/>
            </w:tcBorders>
            <w:vAlign w:val="center"/>
          </w:tcPr>
          <w:p>
            <w:pPr>
              <w:spacing w:line="240" w:lineRule="auto"/>
              <w:ind w:firstLine="0" w:firstLineChars="0"/>
              <w:jc w:val="center"/>
              <w:rPr>
                <w:color w:val="auto"/>
                <w:sz w:val="21"/>
                <w:szCs w:val="21"/>
              </w:rPr>
            </w:pPr>
            <w:r>
              <w:rPr>
                <w:color w:val="auto"/>
                <w:sz w:val="21"/>
                <w:szCs w:val="21"/>
              </w:rPr>
              <w:t>1、《畜禽养殖业污染防治技术规范》（HJ/T81-2001）</w:t>
            </w:r>
          </w:p>
        </w:tc>
        <w:tc>
          <w:tcPr>
            <w:tcW w:w="4088" w:type="dxa"/>
            <w:tcBorders>
              <w:tl2br w:val="nil"/>
              <w:tr2bl w:val="nil"/>
            </w:tcBorders>
            <w:vAlign w:val="center"/>
          </w:tcPr>
          <w:p>
            <w:pPr>
              <w:spacing w:line="240" w:lineRule="auto"/>
              <w:ind w:firstLine="0" w:firstLineChars="0"/>
              <w:rPr>
                <w:color w:val="auto"/>
                <w:sz w:val="21"/>
                <w:szCs w:val="21"/>
              </w:rPr>
            </w:pPr>
            <w:r>
              <w:rPr>
                <w:color w:val="auto"/>
                <w:sz w:val="21"/>
                <w:szCs w:val="21"/>
              </w:rPr>
              <w:t>集中饮用水水源保护区。</w:t>
            </w:r>
          </w:p>
          <w:p>
            <w:pPr>
              <w:spacing w:line="240" w:lineRule="auto"/>
              <w:ind w:firstLine="0" w:firstLineChars="0"/>
              <w:jc w:val="left"/>
              <w:rPr>
                <w:color w:val="auto"/>
                <w:sz w:val="21"/>
                <w:szCs w:val="21"/>
              </w:rPr>
            </w:pPr>
            <w:r>
              <w:rPr>
                <w:color w:val="auto"/>
                <w:sz w:val="21"/>
                <w:szCs w:val="21"/>
              </w:rPr>
              <w:t>1．生活饮用水水源保护区、风景名胜区、自然保护区的核心区及缓冲区500米范围内。</w:t>
            </w:r>
          </w:p>
          <w:p>
            <w:pPr>
              <w:spacing w:line="240" w:lineRule="auto"/>
              <w:ind w:firstLine="0" w:firstLineChars="0"/>
              <w:jc w:val="left"/>
              <w:rPr>
                <w:color w:val="auto"/>
                <w:sz w:val="21"/>
                <w:szCs w:val="21"/>
              </w:rPr>
            </w:pPr>
            <w:r>
              <w:rPr>
                <w:rFonts w:hint="eastAsia"/>
                <w:color w:val="auto"/>
                <w:sz w:val="21"/>
                <w:szCs w:val="21"/>
              </w:rPr>
              <w:t>2.城市和城镇居民区，包括文教科研区、医疗区、商业区、工业区、游览区等人口集中地区500米范围内。</w:t>
            </w:r>
          </w:p>
          <w:p>
            <w:pPr>
              <w:spacing w:line="240" w:lineRule="auto"/>
              <w:ind w:firstLine="0" w:firstLineChars="0"/>
              <w:rPr>
                <w:color w:val="auto"/>
                <w:sz w:val="21"/>
                <w:szCs w:val="21"/>
              </w:rPr>
            </w:pPr>
            <w:r>
              <w:rPr>
                <w:color w:val="auto"/>
                <w:sz w:val="21"/>
                <w:szCs w:val="21"/>
              </w:rPr>
              <w:t>3．法律、法规规定的其它禁养</w:t>
            </w:r>
          </w:p>
        </w:tc>
        <w:tc>
          <w:tcPr>
            <w:tcW w:w="2300"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本项目属于新建项目，不在规划的禁养区。本项目最近的敏感点为项目</w:t>
            </w:r>
            <w:r>
              <w:rPr>
                <w:rFonts w:hint="eastAsia"/>
                <w:color w:val="auto"/>
                <w:sz w:val="21"/>
                <w:szCs w:val="21"/>
              </w:rPr>
              <w:t>西北</w:t>
            </w:r>
            <w:r>
              <w:rPr>
                <w:color w:val="auto"/>
                <w:sz w:val="21"/>
                <w:szCs w:val="21"/>
              </w:rPr>
              <w:t>侧</w:t>
            </w:r>
            <w:r>
              <w:rPr>
                <w:rFonts w:hint="eastAsia"/>
                <w:color w:val="auto"/>
                <w:sz w:val="21"/>
                <w:szCs w:val="21"/>
              </w:rPr>
              <w:t>705</w:t>
            </w:r>
            <w:r>
              <w:rPr>
                <w:color w:val="auto"/>
                <w:sz w:val="21"/>
                <w:szCs w:val="21"/>
              </w:rPr>
              <w:t>m处</w:t>
            </w:r>
            <w:r>
              <w:rPr>
                <w:rFonts w:hint="eastAsia"/>
                <w:color w:val="auto"/>
                <w:sz w:val="21"/>
                <w:szCs w:val="21"/>
              </w:rPr>
              <w:t>七王庙村</w:t>
            </w:r>
            <w:r>
              <w:rPr>
                <w:color w:val="auto"/>
                <w:sz w:val="21"/>
                <w:szCs w:val="21"/>
              </w:rPr>
              <w:t>，因此场址不在规定的禁建区范围。</w:t>
            </w:r>
          </w:p>
        </w:tc>
        <w:tc>
          <w:tcPr>
            <w:tcW w:w="766"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相符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1866" w:type="dxa"/>
            <w:vMerge w:val="continue"/>
            <w:tcBorders>
              <w:tl2br w:val="nil"/>
              <w:tr2bl w:val="nil"/>
            </w:tcBorders>
            <w:vAlign w:val="center"/>
          </w:tcPr>
          <w:p>
            <w:pPr>
              <w:spacing w:line="240" w:lineRule="auto"/>
              <w:ind w:firstLine="0" w:firstLineChars="0"/>
              <w:jc w:val="center"/>
              <w:rPr>
                <w:color w:val="auto"/>
                <w:sz w:val="21"/>
                <w:szCs w:val="21"/>
              </w:rPr>
            </w:pPr>
          </w:p>
        </w:tc>
        <w:tc>
          <w:tcPr>
            <w:tcW w:w="4088" w:type="dxa"/>
            <w:tcBorders>
              <w:tl2br w:val="nil"/>
              <w:tr2bl w:val="nil"/>
            </w:tcBorders>
            <w:vAlign w:val="center"/>
          </w:tcPr>
          <w:p>
            <w:pPr>
              <w:spacing w:line="240" w:lineRule="auto"/>
              <w:ind w:firstLine="0" w:firstLineChars="0"/>
              <w:jc w:val="left"/>
              <w:rPr>
                <w:color w:val="auto"/>
                <w:sz w:val="21"/>
                <w:szCs w:val="21"/>
              </w:rPr>
            </w:pPr>
            <w:r>
              <w:rPr>
                <w:color w:val="auto"/>
                <w:sz w:val="21"/>
                <w:szCs w:val="21"/>
              </w:rPr>
              <w:t>畜禽粪便的贮存设施位置必须远离各类功能地表水体（距离不得小</w:t>
            </w:r>
            <w:r>
              <w:rPr>
                <w:rFonts w:hint="eastAsia"/>
                <w:color w:val="auto"/>
                <w:sz w:val="21"/>
                <w:szCs w:val="21"/>
              </w:rPr>
              <w:t>于</w:t>
            </w:r>
            <w:r>
              <w:rPr>
                <w:color w:val="auto"/>
                <w:sz w:val="21"/>
                <w:szCs w:val="21"/>
              </w:rPr>
              <w:t>400m），并应设在养殖场生产及生活管理区的常年主导风向的下风向或侧风向处。</w:t>
            </w:r>
          </w:p>
        </w:tc>
        <w:tc>
          <w:tcPr>
            <w:tcW w:w="2300"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粪污处理设施距离地表水体约为965m</w:t>
            </w:r>
          </w:p>
        </w:tc>
        <w:tc>
          <w:tcPr>
            <w:tcW w:w="766"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相符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55" w:hRule="atLeast"/>
          <w:jc w:val="center"/>
        </w:trPr>
        <w:tc>
          <w:tcPr>
            <w:tcW w:w="1866"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2、中华人民共和国畜牧法（第四十五号令）</w:t>
            </w:r>
          </w:p>
        </w:tc>
        <w:tc>
          <w:tcPr>
            <w:tcW w:w="4088" w:type="dxa"/>
            <w:tcBorders>
              <w:tl2br w:val="nil"/>
              <w:tr2bl w:val="nil"/>
            </w:tcBorders>
            <w:vAlign w:val="center"/>
          </w:tcPr>
          <w:p>
            <w:pPr>
              <w:spacing w:line="240" w:lineRule="auto"/>
              <w:ind w:firstLine="0" w:firstLineChars="0"/>
              <w:jc w:val="left"/>
              <w:rPr>
                <w:color w:val="auto"/>
                <w:sz w:val="21"/>
                <w:szCs w:val="21"/>
              </w:rPr>
            </w:pPr>
            <w:r>
              <w:rPr>
                <w:color w:val="auto"/>
                <w:sz w:val="21"/>
                <w:szCs w:val="21"/>
              </w:rPr>
              <w:t>禁止在下列区域内建设畜禽养殖场、养殖小区：</w:t>
            </w:r>
          </w:p>
          <w:p>
            <w:pPr>
              <w:spacing w:line="240" w:lineRule="auto"/>
              <w:ind w:firstLine="0" w:firstLineChars="0"/>
              <w:jc w:val="left"/>
              <w:rPr>
                <w:color w:val="auto"/>
                <w:sz w:val="21"/>
                <w:szCs w:val="21"/>
              </w:rPr>
            </w:pPr>
            <w:r>
              <w:rPr>
                <w:color w:val="auto"/>
                <w:sz w:val="21"/>
                <w:szCs w:val="21"/>
              </w:rPr>
              <w:t>1、生活饮用水的水源保护区，风景名胜区，以及自然保护区的核心区和缓冲区；</w:t>
            </w:r>
          </w:p>
          <w:p>
            <w:pPr>
              <w:spacing w:line="240" w:lineRule="auto"/>
              <w:ind w:firstLine="0" w:firstLineChars="0"/>
              <w:jc w:val="left"/>
              <w:rPr>
                <w:color w:val="auto"/>
                <w:sz w:val="21"/>
                <w:szCs w:val="21"/>
              </w:rPr>
            </w:pPr>
            <w:r>
              <w:rPr>
                <w:color w:val="auto"/>
                <w:sz w:val="21"/>
                <w:szCs w:val="21"/>
              </w:rPr>
              <w:t>2、城镇居民区、文化教育科学研究区等人口集中区域；</w:t>
            </w:r>
          </w:p>
          <w:p>
            <w:pPr>
              <w:spacing w:line="240" w:lineRule="auto"/>
              <w:ind w:firstLine="0" w:firstLineChars="0"/>
              <w:rPr>
                <w:color w:val="auto"/>
                <w:sz w:val="21"/>
                <w:szCs w:val="21"/>
              </w:rPr>
            </w:pPr>
            <w:r>
              <w:rPr>
                <w:color w:val="auto"/>
                <w:sz w:val="21"/>
                <w:szCs w:val="21"/>
              </w:rPr>
              <w:t>3、法律、法规规定的其他禁养区域。</w:t>
            </w:r>
          </w:p>
        </w:tc>
        <w:tc>
          <w:tcPr>
            <w:tcW w:w="2300" w:type="dxa"/>
            <w:tcBorders>
              <w:tl2br w:val="nil"/>
              <w:tr2bl w:val="nil"/>
            </w:tcBorders>
            <w:vAlign w:val="center"/>
          </w:tcPr>
          <w:p>
            <w:pPr>
              <w:spacing w:line="240" w:lineRule="auto"/>
              <w:ind w:firstLine="0" w:firstLineChars="0"/>
              <w:jc w:val="left"/>
              <w:rPr>
                <w:color w:val="auto"/>
                <w:sz w:val="21"/>
                <w:szCs w:val="21"/>
              </w:rPr>
            </w:pPr>
            <w:r>
              <w:rPr>
                <w:color w:val="auto"/>
                <w:sz w:val="21"/>
                <w:szCs w:val="21"/>
              </w:rPr>
              <w:t>1、本项目不在生活饮用水的水源保护区，风景名胜区，以及自然保护区的核心区和缓冲区；2、本项目不在城镇居民区、文化教育科学研究区等人口集中区域。3、本项目不在法律、法规规定的其他禁养区域</w:t>
            </w:r>
          </w:p>
        </w:tc>
        <w:tc>
          <w:tcPr>
            <w:tcW w:w="766"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相符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69" w:hRule="atLeast"/>
          <w:jc w:val="center"/>
        </w:trPr>
        <w:tc>
          <w:tcPr>
            <w:tcW w:w="1866"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3</w:t>
            </w:r>
            <w:r>
              <w:rPr>
                <w:color w:val="auto"/>
                <w:sz w:val="21"/>
                <w:szCs w:val="21"/>
              </w:rPr>
              <w:t>、《河南省人民政府办公厅关于印发河南省县级集中式饮用水水源保护区划的通知》豫政办（2013）107号</w:t>
            </w:r>
          </w:p>
        </w:tc>
        <w:tc>
          <w:tcPr>
            <w:tcW w:w="4088" w:type="dxa"/>
            <w:tcBorders>
              <w:tl2br w:val="nil"/>
              <w:tr2bl w:val="nil"/>
            </w:tcBorders>
            <w:vAlign w:val="center"/>
          </w:tcPr>
          <w:p>
            <w:pPr>
              <w:spacing w:line="240" w:lineRule="auto"/>
              <w:ind w:firstLine="0" w:firstLineChars="0"/>
              <w:jc w:val="left"/>
              <w:rPr>
                <w:color w:val="auto"/>
                <w:sz w:val="21"/>
                <w:szCs w:val="21"/>
              </w:rPr>
            </w:pPr>
            <w:r>
              <w:rPr>
                <w:color w:val="auto"/>
                <w:sz w:val="21"/>
                <w:szCs w:val="21"/>
              </w:rPr>
              <w:t>1.清丰县：清丰县八里庄地下水井群(共24眼井)。</w:t>
            </w:r>
          </w:p>
          <w:p>
            <w:pPr>
              <w:spacing w:line="240" w:lineRule="auto"/>
              <w:ind w:firstLine="0" w:firstLineChars="0"/>
              <w:jc w:val="left"/>
              <w:rPr>
                <w:color w:val="auto"/>
                <w:sz w:val="21"/>
                <w:szCs w:val="21"/>
              </w:rPr>
            </w:pPr>
            <w:r>
              <w:rPr>
                <w:color w:val="auto"/>
                <w:sz w:val="21"/>
                <w:szCs w:val="21"/>
              </w:rPr>
              <w:t>2.南乐县：南乐县自来水公司地下水井群(共13眼井)。</w:t>
            </w:r>
          </w:p>
          <w:p>
            <w:pPr>
              <w:spacing w:line="240" w:lineRule="auto"/>
              <w:ind w:firstLine="0" w:firstLineChars="0"/>
              <w:jc w:val="center"/>
              <w:rPr>
                <w:color w:val="auto"/>
                <w:sz w:val="21"/>
                <w:szCs w:val="21"/>
              </w:rPr>
            </w:pPr>
            <w:r>
              <w:rPr>
                <w:color w:val="auto"/>
                <w:sz w:val="21"/>
                <w:szCs w:val="21"/>
              </w:rPr>
              <w:t>3.范县：(1)范县新城区地下水井群(共8眼井)(2)范县老城区地下水井群(共2眼井)</w:t>
            </w:r>
          </w:p>
          <w:p>
            <w:pPr>
              <w:spacing w:line="240" w:lineRule="auto"/>
              <w:ind w:firstLine="0" w:firstLineChars="0"/>
              <w:jc w:val="left"/>
              <w:rPr>
                <w:color w:val="auto"/>
                <w:sz w:val="21"/>
                <w:szCs w:val="21"/>
              </w:rPr>
            </w:pPr>
            <w:r>
              <w:rPr>
                <w:color w:val="auto"/>
                <w:sz w:val="21"/>
                <w:szCs w:val="21"/>
              </w:rPr>
              <w:t>4.台前县：台前县马楼地下水井群(马楼乡黄河左岸</w:t>
            </w:r>
            <w:r>
              <w:rPr>
                <w:rFonts w:hint="eastAsia"/>
                <w:color w:val="auto"/>
                <w:sz w:val="21"/>
                <w:szCs w:val="21"/>
              </w:rPr>
              <w:t>，</w:t>
            </w:r>
            <w:r>
              <w:rPr>
                <w:color w:val="auto"/>
                <w:sz w:val="21"/>
                <w:szCs w:val="21"/>
              </w:rPr>
              <w:t>共16眼井)。</w:t>
            </w:r>
          </w:p>
        </w:tc>
        <w:tc>
          <w:tcPr>
            <w:tcW w:w="2300"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本项目位于</w:t>
            </w:r>
            <w:r>
              <w:rPr>
                <w:rFonts w:hint="eastAsia"/>
                <w:color w:val="auto"/>
                <w:sz w:val="21"/>
                <w:szCs w:val="21"/>
              </w:rPr>
              <w:t>濮阳市濮阳县五星乡于屯村东</w:t>
            </w:r>
            <w:r>
              <w:rPr>
                <w:color w:val="auto"/>
                <w:sz w:val="21"/>
                <w:szCs w:val="21"/>
              </w:rPr>
              <w:t>，濮阳县未设置县级</w:t>
            </w:r>
            <w:r>
              <w:rPr>
                <w:rFonts w:hint="eastAsia"/>
                <w:color w:val="auto"/>
                <w:sz w:val="21"/>
                <w:szCs w:val="21"/>
              </w:rPr>
              <w:t>集中式</w:t>
            </w:r>
            <w:r>
              <w:rPr>
                <w:color w:val="auto"/>
                <w:sz w:val="21"/>
                <w:szCs w:val="21"/>
              </w:rPr>
              <w:t>饮用水源保护区。</w:t>
            </w:r>
          </w:p>
        </w:tc>
        <w:tc>
          <w:tcPr>
            <w:tcW w:w="766"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相符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5" w:hRule="atLeast"/>
          <w:jc w:val="center"/>
        </w:trPr>
        <w:tc>
          <w:tcPr>
            <w:tcW w:w="1866"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4</w:t>
            </w:r>
            <w:r>
              <w:rPr>
                <w:color w:val="auto"/>
                <w:sz w:val="21"/>
                <w:szCs w:val="21"/>
              </w:rPr>
              <w:t>、《河南省人民政府办公厅关于印发河南省乡镇集中式饮用水水源保护区划的通知》[豫政办〔2016〕23号]</w:t>
            </w:r>
          </w:p>
        </w:tc>
        <w:tc>
          <w:tcPr>
            <w:tcW w:w="4088"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项目所在乡镇无地下水井群</w:t>
            </w:r>
          </w:p>
        </w:tc>
        <w:tc>
          <w:tcPr>
            <w:tcW w:w="2300"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本项目</w:t>
            </w:r>
            <w:r>
              <w:rPr>
                <w:rFonts w:hint="eastAsia"/>
                <w:color w:val="auto"/>
                <w:sz w:val="21"/>
                <w:szCs w:val="21"/>
              </w:rPr>
              <w:t>不在饮用水源保护区范围内</w:t>
            </w:r>
            <w:r>
              <w:rPr>
                <w:color w:val="auto"/>
                <w:sz w:val="21"/>
                <w:szCs w:val="21"/>
              </w:rPr>
              <w:t>。</w:t>
            </w:r>
          </w:p>
          <w:p>
            <w:pPr>
              <w:spacing w:line="240" w:lineRule="auto"/>
              <w:ind w:firstLine="0" w:firstLineChars="0"/>
              <w:rPr>
                <w:color w:val="auto"/>
                <w:sz w:val="21"/>
                <w:szCs w:val="21"/>
              </w:rPr>
            </w:pPr>
          </w:p>
        </w:tc>
        <w:tc>
          <w:tcPr>
            <w:tcW w:w="766"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相符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3" w:hRule="atLeast"/>
          <w:jc w:val="center"/>
        </w:trPr>
        <w:tc>
          <w:tcPr>
            <w:tcW w:w="1866"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5、</w:t>
            </w:r>
            <w:r>
              <w:rPr>
                <w:color w:val="auto"/>
                <w:sz w:val="21"/>
                <w:szCs w:val="21"/>
              </w:rPr>
              <w:t>河南省人民政府办公厅《关于印发河南省城市集中式饮用水源保护区划的通知》（豫政办[2007]125号）</w:t>
            </w:r>
            <w:r>
              <w:rPr>
                <w:rFonts w:hint="eastAsia"/>
                <w:color w:val="auto"/>
                <w:sz w:val="21"/>
                <w:szCs w:val="21"/>
              </w:rPr>
              <w:t>调整后</w:t>
            </w:r>
          </w:p>
        </w:tc>
        <w:tc>
          <w:tcPr>
            <w:tcW w:w="4088" w:type="dxa"/>
            <w:tcBorders>
              <w:tl2br w:val="nil"/>
              <w:tr2bl w:val="nil"/>
            </w:tcBorders>
            <w:vAlign w:val="center"/>
          </w:tcPr>
          <w:p>
            <w:pPr>
              <w:spacing w:line="360" w:lineRule="exact"/>
              <w:ind w:firstLine="420"/>
              <w:jc w:val="left"/>
              <w:rPr>
                <w:color w:val="auto"/>
                <w:sz w:val="21"/>
                <w:szCs w:val="21"/>
              </w:rPr>
            </w:pPr>
            <w:r>
              <w:rPr>
                <w:color w:val="auto"/>
                <w:sz w:val="21"/>
                <w:szCs w:val="21"/>
              </w:rPr>
              <w:t>根据实际调查，距本项目最近的水源地为</w:t>
            </w:r>
            <w:r>
              <w:rPr>
                <w:rFonts w:hint="eastAsia"/>
                <w:color w:val="auto"/>
                <w:sz w:val="21"/>
                <w:szCs w:val="21"/>
              </w:rPr>
              <w:t>李子园地下水井群（共23眼井）饮用水水源一级保护区：取水井外50米的区域。</w:t>
            </w:r>
          </w:p>
        </w:tc>
        <w:tc>
          <w:tcPr>
            <w:tcW w:w="2300" w:type="dxa"/>
            <w:tcBorders>
              <w:tl2br w:val="nil"/>
              <w:tr2bl w:val="nil"/>
            </w:tcBorders>
            <w:vAlign w:val="center"/>
          </w:tcPr>
          <w:p>
            <w:pPr>
              <w:spacing w:line="240" w:lineRule="auto"/>
              <w:ind w:firstLine="0" w:firstLineChars="0"/>
              <w:rPr>
                <w:color w:val="auto"/>
                <w:sz w:val="21"/>
                <w:szCs w:val="21"/>
              </w:rPr>
            </w:pPr>
            <w:r>
              <w:rPr>
                <w:color w:val="auto"/>
                <w:sz w:val="21"/>
                <w:szCs w:val="21"/>
              </w:rPr>
              <w:t>本项目位于</w:t>
            </w:r>
            <w:r>
              <w:rPr>
                <w:rFonts w:hint="eastAsia"/>
                <w:bCs/>
                <w:color w:val="auto"/>
                <w:sz w:val="21"/>
                <w:szCs w:val="21"/>
              </w:rPr>
              <w:t>濮阳市濮阳县五星乡于屯村东</w:t>
            </w:r>
            <w:r>
              <w:rPr>
                <w:rFonts w:hint="eastAsia"/>
                <w:color w:val="auto"/>
                <w:sz w:val="21"/>
                <w:szCs w:val="21"/>
              </w:rPr>
              <w:t>，不在李子园地下水井群</w:t>
            </w:r>
            <w:r>
              <w:rPr>
                <w:color w:val="auto"/>
                <w:sz w:val="21"/>
                <w:szCs w:val="21"/>
              </w:rPr>
              <w:t>一级保护区、二级保护区</w:t>
            </w:r>
            <w:r>
              <w:rPr>
                <w:rFonts w:hint="eastAsia"/>
                <w:color w:val="auto"/>
                <w:sz w:val="21"/>
                <w:szCs w:val="21"/>
              </w:rPr>
              <w:t>、准保护区</w:t>
            </w:r>
            <w:r>
              <w:rPr>
                <w:color w:val="auto"/>
                <w:sz w:val="21"/>
                <w:szCs w:val="21"/>
              </w:rPr>
              <w:t>内。</w:t>
            </w:r>
          </w:p>
        </w:tc>
        <w:tc>
          <w:tcPr>
            <w:tcW w:w="766" w:type="dxa"/>
            <w:tcBorders>
              <w:tl2br w:val="nil"/>
              <w:tr2bl w:val="nil"/>
            </w:tcBorders>
            <w:vAlign w:val="center"/>
          </w:tcPr>
          <w:p>
            <w:pPr>
              <w:spacing w:line="240" w:lineRule="auto"/>
              <w:ind w:firstLine="0" w:firstLineChars="0"/>
              <w:jc w:val="center"/>
              <w:rPr>
                <w:color w:val="auto"/>
                <w:sz w:val="21"/>
                <w:szCs w:val="21"/>
              </w:rPr>
            </w:pPr>
          </w:p>
        </w:tc>
      </w:tr>
    </w:tbl>
    <w:p>
      <w:pPr>
        <w:ind w:firstLine="480"/>
        <w:rPr>
          <w:color w:val="auto"/>
          <w:kern w:val="0"/>
          <w:szCs w:val="28"/>
        </w:rPr>
      </w:pPr>
      <w:r>
        <w:rPr>
          <w:rFonts w:hint="eastAsia"/>
          <w:color w:val="auto"/>
          <w:kern w:val="0"/>
          <w:szCs w:val="28"/>
        </w:rPr>
        <w:t>建议项目在建设过程严格按照与</w:t>
      </w:r>
      <w:r>
        <w:rPr>
          <w:color w:val="auto"/>
          <w:kern w:val="0"/>
          <w:szCs w:val="28"/>
        </w:rPr>
        <w:t>敏感点</w:t>
      </w:r>
      <w:r>
        <w:rPr>
          <w:rFonts w:hint="eastAsia"/>
          <w:color w:val="auto"/>
          <w:kern w:val="0"/>
          <w:szCs w:val="28"/>
        </w:rPr>
        <w:t>5</w:t>
      </w:r>
      <w:r>
        <w:rPr>
          <w:color w:val="auto"/>
          <w:kern w:val="0"/>
          <w:szCs w:val="28"/>
        </w:rPr>
        <w:t>00m</w:t>
      </w:r>
      <w:r>
        <w:rPr>
          <w:rFonts w:hint="eastAsia"/>
          <w:color w:val="auto"/>
          <w:kern w:val="0"/>
          <w:szCs w:val="28"/>
        </w:rPr>
        <w:t>防护</w:t>
      </w:r>
      <w:r>
        <w:rPr>
          <w:color w:val="auto"/>
          <w:kern w:val="0"/>
          <w:szCs w:val="28"/>
        </w:rPr>
        <w:t>距离</w:t>
      </w:r>
      <w:r>
        <w:rPr>
          <w:rFonts w:hint="eastAsia"/>
          <w:color w:val="auto"/>
          <w:kern w:val="0"/>
          <w:szCs w:val="28"/>
        </w:rPr>
        <w:t>进行建设；濮阳县五星乡人民政府应按照不在养殖场四周500m范围内建设居民点、学校、医院等环境敏感点的进行管理，确保测定边界范围内不再建设新的敏感点。</w:t>
      </w:r>
    </w:p>
    <w:p>
      <w:pPr>
        <w:pStyle w:val="6"/>
        <w:rPr>
          <w:color w:val="auto"/>
          <w:lang w:val="en-US"/>
        </w:rPr>
      </w:pPr>
      <w:r>
        <w:rPr>
          <w:rFonts w:hint="eastAsia"/>
          <w:color w:val="auto"/>
          <w:lang w:val="en-US"/>
        </w:rPr>
        <w:t>7.2.3 场址</w:t>
      </w:r>
      <w:r>
        <w:rPr>
          <w:color w:val="auto"/>
          <w:lang w:val="en-US"/>
        </w:rPr>
        <w:t>可行性分析</w:t>
      </w:r>
    </w:p>
    <w:p>
      <w:pPr>
        <w:ind w:firstLine="480"/>
        <w:rPr>
          <w:color w:val="auto"/>
          <w:kern w:val="0"/>
          <w:szCs w:val="28"/>
        </w:rPr>
      </w:pPr>
      <w:r>
        <w:rPr>
          <w:rFonts w:hint="eastAsia"/>
          <w:color w:val="auto"/>
          <w:kern w:val="0"/>
          <w:szCs w:val="28"/>
        </w:rPr>
        <w:t>根据本工程场址区域环境保护有关要求、工程特点、预测结果等方面内容，对场址可行性进行分析，详细情况见表</w:t>
      </w:r>
      <w:r>
        <w:rPr>
          <w:color w:val="auto"/>
          <w:kern w:val="0"/>
          <w:szCs w:val="28"/>
        </w:rPr>
        <w:t>7</w:t>
      </w:r>
      <w:r>
        <w:rPr>
          <w:rFonts w:hint="eastAsia"/>
          <w:color w:val="auto"/>
          <w:kern w:val="0"/>
          <w:szCs w:val="28"/>
        </w:rPr>
        <w:t>.2-3。</w:t>
      </w:r>
    </w:p>
    <w:p>
      <w:pPr>
        <w:spacing w:after="93" w:afterLines="30" w:line="500" w:lineRule="exact"/>
        <w:ind w:firstLine="482"/>
        <w:jc w:val="center"/>
        <w:rPr>
          <w:b/>
          <w:color w:val="auto"/>
          <w:szCs w:val="21"/>
        </w:rPr>
      </w:pPr>
      <w:r>
        <w:rPr>
          <w:rFonts w:hint="eastAsia"/>
          <w:b/>
          <w:color w:val="auto"/>
          <w:szCs w:val="21"/>
        </w:rPr>
        <w:t xml:space="preserve">表7.2-3     </w:t>
      </w:r>
      <w:r>
        <w:rPr>
          <w:b/>
          <w:color w:val="auto"/>
          <w:szCs w:val="21"/>
        </w:rPr>
        <w:t xml:space="preserve">   </w:t>
      </w:r>
      <w:r>
        <w:rPr>
          <w:rFonts w:hint="eastAsia"/>
          <w:b/>
          <w:color w:val="auto"/>
          <w:szCs w:val="21"/>
        </w:rPr>
        <w:t>场址可行性分析</w:t>
      </w:r>
    </w:p>
    <w:tbl>
      <w:tblPr>
        <w:tblStyle w:val="27"/>
        <w:tblW w:w="9240"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38"/>
        <w:gridCol w:w="1637"/>
        <w:gridCol w:w="696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38" w:type="dxa"/>
            <w:tcMar>
              <w:top w:w="45" w:type="dxa"/>
              <w:left w:w="57" w:type="dxa"/>
              <w:bottom w:w="45" w:type="dxa"/>
              <w:right w:w="57" w:type="dxa"/>
            </w:tcMar>
            <w:vAlign w:val="center"/>
          </w:tcPr>
          <w:p>
            <w:pPr>
              <w:spacing w:line="240" w:lineRule="auto"/>
              <w:ind w:firstLine="0" w:firstLineChars="0"/>
              <w:jc w:val="center"/>
              <w:rPr>
                <w:color w:val="auto"/>
                <w:sz w:val="21"/>
                <w:szCs w:val="21"/>
                <w:lang w:bidi="ar-BH"/>
              </w:rPr>
            </w:pPr>
            <w:r>
              <w:rPr>
                <w:rFonts w:hint="eastAsia"/>
                <w:color w:val="auto"/>
                <w:sz w:val="21"/>
                <w:szCs w:val="21"/>
                <w:lang w:bidi="ar-BH"/>
              </w:rPr>
              <w:t>序号</w:t>
            </w:r>
          </w:p>
        </w:tc>
        <w:tc>
          <w:tcPr>
            <w:tcW w:w="1637" w:type="dxa"/>
            <w:tcMar>
              <w:top w:w="45" w:type="dxa"/>
              <w:left w:w="57" w:type="dxa"/>
              <w:bottom w:w="45" w:type="dxa"/>
              <w:right w:w="57" w:type="dxa"/>
            </w:tcMar>
            <w:vAlign w:val="center"/>
          </w:tcPr>
          <w:p>
            <w:pPr>
              <w:spacing w:line="240" w:lineRule="auto"/>
              <w:ind w:firstLine="0" w:firstLineChars="0"/>
              <w:jc w:val="center"/>
              <w:rPr>
                <w:color w:val="auto"/>
                <w:sz w:val="21"/>
                <w:szCs w:val="21"/>
                <w:lang w:bidi="ar-BH"/>
              </w:rPr>
            </w:pPr>
            <w:r>
              <w:rPr>
                <w:rFonts w:hint="eastAsia"/>
                <w:color w:val="auto"/>
                <w:sz w:val="21"/>
                <w:szCs w:val="21"/>
                <w:lang w:bidi="ar-BH"/>
              </w:rPr>
              <w:t>项目</w:t>
            </w:r>
          </w:p>
        </w:tc>
        <w:tc>
          <w:tcPr>
            <w:tcW w:w="6965" w:type="dxa"/>
            <w:tcMar>
              <w:top w:w="45" w:type="dxa"/>
              <w:left w:w="57" w:type="dxa"/>
              <w:bottom w:w="45" w:type="dxa"/>
              <w:right w:w="57" w:type="dxa"/>
            </w:tcMar>
            <w:vAlign w:val="center"/>
          </w:tcPr>
          <w:p>
            <w:pPr>
              <w:spacing w:line="240" w:lineRule="auto"/>
              <w:ind w:firstLine="0" w:firstLineChars="0"/>
              <w:jc w:val="center"/>
              <w:rPr>
                <w:color w:val="auto"/>
                <w:sz w:val="21"/>
                <w:szCs w:val="21"/>
                <w:lang w:bidi="ar-BH"/>
              </w:rPr>
            </w:pPr>
            <w:r>
              <w:rPr>
                <w:rFonts w:hint="eastAsia"/>
                <w:color w:val="auto"/>
                <w:sz w:val="21"/>
                <w:szCs w:val="21"/>
                <w:lang w:bidi="ar-BH"/>
              </w:rPr>
              <w:t>内容</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tcMar>
              <w:top w:w="45" w:type="dxa"/>
              <w:left w:w="57" w:type="dxa"/>
              <w:bottom w:w="45" w:type="dxa"/>
              <w:right w:w="57" w:type="dxa"/>
            </w:tcMar>
            <w:vAlign w:val="center"/>
          </w:tcPr>
          <w:p>
            <w:pPr>
              <w:spacing w:line="240" w:lineRule="auto"/>
              <w:ind w:firstLine="0" w:firstLineChars="0"/>
              <w:jc w:val="center"/>
              <w:rPr>
                <w:color w:val="auto"/>
                <w:sz w:val="21"/>
                <w:szCs w:val="21"/>
                <w:lang w:bidi="ar-BH"/>
              </w:rPr>
            </w:pPr>
            <w:r>
              <w:rPr>
                <w:color w:val="auto"/>
                <w:sz w:val="21"/>
                <w:szCs w:val="21"/>
                <w:lang w:bidi="ar-BH"/>
              </w:rPr>
              <w:t>1</w:t>
            </w:r>
          </w:p>
        </w:tc>
        <w:tc>
          <w:tcPr>
            <w:tcW w:w="1637" w:type="dxa"/>
            <w:tcMar>
              <w:top w:w="45" w:type="dxa"/>
              <w:left w:w="57" w:type="dxa"/>
              <w:bottom w:w="45" w:type="dxa"/>
              <w:right w:w="57" w:type="dxa"/>
            </w:tcMar>
            <w:vAlign w:val="center"/>
          </w:tcPr>
          <w:p>
            <w:pPr>
              <w:spacing w:line="240" w:lineRule="auto"/>
              <w:ind w:firstLine="0" w:firstLineChars="0"/>
              <w:jc w:val="center"/>
              <w:rPr>
                <w:color w:val="auto"/>
                <w:sz w:val="21"/>
                <w:szCs w:val="21"/>
                <w:lang w:bidi="ar-BH"/>
              </w:rPr>
            </w:pPr>
            <w:r>
              <w:rPr>
                <w:rFonts w:hint="eastAsia"/>
                <w:color w:val="auto"/>
                <w:sz w:val="21"/>
                <w:szCs w:val="21"/>
                <w:lang w:bidi="ar-BH"/>
              </w:rPr>
              <w:t>场址</w:t>
            </w:r>
          </w:p>
        </w:tc>
        <w:tc>
          <w:tcPr>
            <w:tcW w:w="6965" w:type="dxa"/>
            <w:tcMar>
              <w:top w:w="45" w:type="dxa"/>
              <w:left w:w="57" w:type="dxa"/>
              <w:bottom w:w="45" w:type="dxa"/>
              <w:right w:w="57" w:type="dxa"/>
            </w:tcMar>
            <w:vAlign w:val="center"/>
          </w:tcPr>
          <w:p>
            <w:pPr>
              <w:spacing w:line="240" w:lineRule="auto"/>
              <w:ind w:firstLine="0" w:firstLineChars="0"/>
              <w:jc w:val="center"/>
              <w:rPr>
                <w:color w:val="auto"/>
                <w:sz w:val="21"/>
                <w:szCs w:val="21"/>
                <w:lang w:bidi="ar-BH"/>
              </w:rPr>
            </w:pPr>
            <w:r>
              <w:rPr>
                <w:rFonts w:hint="eastAsia"/>
                <w:color w:val="auto"/>
                <w:sz w:val="21"/>
                <w:szCs w:val="21"/>
              </w:rPr>
              <w:t>位于濮阳县五星乡于屯村，</w:t>
            </w:r>
            <w:r>
              <w:rPr>
                <w:rFonts w:hint="eastAsia" w:ascii="宋体" w:hAnsi="宋体"/>
                <w:color w:val="auto"/>
                <w:sz w:val="21"/>
                <w:szCs w:val="21"/>
              </w:rPr>
              <w:t>厂区周围非城市、城镇居民集中区，场址不在濮阳县城市总体规划范围内。</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tcMar>
              <w:top w:w="45" w:type="dxa"/>
              <w:left w:w="57" w:type="dxa"/>
              <w:bottom w:w="45" w:type="dxa"/>
              <w:right w:w="57" w:type="dxa"/>
            </w:tcMar>
            <w:vAlign w:val="center"/>
          </w:tcPr>
          <w:p>
            <w:pPr>
              <w:spacing w:line="240" w:lineRule="auto"/>
              <w:ind w:firstLine="0" w:firstLineChars="0"/>
              <w:jc w:val="center"/>
              <w:rPr>
                <w:color w:val="auto"/>
                <w:sz w:val="21"/>
                <w:szCs w:val="21"/>
                <w:lang w:bidi="ar-BH"/>
              </w:rPr>
            </w:pPr>
            <w:r>
              <w:rPr>
                <w:color w:val="auto"/>
                <w:sz w:val="21"/>
                <w:szCs w:val="21"/>
                <w:lang w:bidi="ar-BH"/>
              </w:rPr>
              <w:t>2</w:t>
            </w:r>
          </w:p>
        </w:tc>
        <w:tc>
          <w:tcPr>
            <w:tcW w:w="1637" w:type="dxa"/>
            <w:tcMar>
              <w:top w:w="45" w:type="dxa"/>
              <w:left w:w="57" w:type="dxa"/>
              <w:bottom w:w="45" w:type="dxa"/>
              <w:right w:w="57" w:type="dxa"/>
            </w:tcMar>
            <w:vAlign w:val="center"/>
          </w:tcPr>
          <w:p>
            <w:pPr>
              <w:spacing w:line="240" w:lineRule="auto"/>
              <w:ind w:firstLine="0" w:firstLineChars="0"/>
              <w:jc w:val="center"/>
              <w:rPr>
                <w:color w:val="auto"/>
                <w:sz w:val="21"/>
                <w:szCs w:val="21"/>
                <w:lang w:bidi="ar-BH"/>
              </w:rPr>
            </w:pPr>
            <w:r>
              <w:rPr>
                <w:rFonts w:hint="eastAsia"/>
                <w:color w:val="auto"/>
                <w:sz w:val="21"/>
                <w:szCs w:val="21"/>
                <w:lang w:bidi="ar-BH"/>
              </w:rPr>
              <w:t>占地类型</w:t>
            </w:r>
          </w:p>
        </w:tc>
        <w:tc>
          <w:tcPr>
            <w:tcW w:w="6965" w:type="dxa"/>
            <w:tcMar>
              <w:top w:w="45" w:type="dxa"/>
              <w:left w:w="57" w:type="dxa"/>
              <w:bottom w:w="45" w:type="dxa"/>
              <w:right w:w="57" w:type="dxa"/>
            </w:tcMar>
            <w:vAlign w:val="center"/>
          </w:tcPr>
          <w:p>
            <w:pPr>
              <w:spacing w:line="240" w:lineRule="auto"/>
              <w:ind w:firstLine="0" w:firstLineChars="0"/>
              <w:jc w:val="center"/>
              <w:rPr>
                <w:color w:val="auto"/>
                <w:sz w:val="21"/>
                <w:szCs w:val="21"/>
                <w:lang w:bidi="ar-BH"/>
              </w:rPr>
            </w:pPr>
            <w:r>
              <w:rPr>
                <w:rFonts w:hint="eastAsia"/>
                <w:color w:val="auto"/>
                <w:sz w:val="21"/>
                <w:szCs w:val="21"/>
              </w:rPr>
              <w:t>本项目</w:t>
            </w:r>
            <w:r>
              <w:rPr>
                <w:color w:val="auto"/>
                <w:sz w:val="21"/>
                <w:szCs w:val="21"/>
              </w:rPr>
              <w:t>占地性质为</w:t>
            </w:r>
            <w:r>
              <w:rPr>
                <w:rFonts w:hint="eastAsia"/>
                <w:color w:val="auto"/>
                <w:sz w:val="21"/>
                <w:szCs w:val="21"/>
              </w:rPr>
              <w:t>一般耕地</w:t>
            </w:r>
            <w:r>
              <w:rPr>
                <w:color w:val="auto"/>
                <w:sz w:val="21"/>
                <w:szCs w:val="21"/>
              </w:rPr>
              <w:t>，</w:t>
            </w:r>
            <w:r>
              <w:rPr>
                <w:rFonts w:hint="eastAsia"/>
                <w:color w:val="auto"/>
                <w:sz w:val="21"/>
                <w:szCs w:val="21"/>
              </w:rPr>
              <w:t>项目占地70.068</w:t>
            </w:r>
            <w:r>
              <w:rPr>
                <w:color w:val="auto"/>
                <w:sz w:val="21"/>
                <w:szCs w:val="21"/>
              </w:rPr>
              <w:t>亩</w:t>
            </w:r>
            <w:r>
              <w:rPr>
                <w:rFonts w:hint="eastAsia"/>
                <w:color w:val="auto"/>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tcMar>
              <w:top w:w="45" w:type="dxa"/>
              <w:left w:w="57" w:type="dxa"/>
              <w:bottom w:w="45" w:type="dxa"/>
              <w:right w:w="57" w:type="dxa"/>
            </w:tcMar>
            <w:vAlign w:val="center"/>
          </w:tcPr>
          <w:p>
            <w:pPr>
              <w:spacing w:line="240" w:lineRule="auto"/>
              <w:ind w:firstLine="0" w:firstLineChars="0"/>
              <w:jc w:val="center"/>
              <w:rPr>
                <w:color w:val="auto"/>
                <w:sz w:val="21"/>
                <w:szCs w:val="21"/>
              </w:rPr>
            </w:pPr>
            <w:r>
              <w:rPr>
                <w:rFonts w:hint="eastAsia"/>
                <w:color w:val="auto"/>
                <w:sz w:val="21"/>
                <w:szCs w:val="21"/>
              </w:rPr>
              <w:t>3</w:t>
            </w:r>
          </w:p>
        </w:tc>
        <w:tc>
          <w:tcPr>
            <w:tcW w:w="1637" w:type="dxa"/>
            <w:tcMar>
              <w:top w:w="45" w:type="dxa"/>
              <w:left w:w="57" w:type="dxa"/>
              <w:bottom w:w="45" w:type="dxa"/>
              <w:right w:w="57" w:type="dxa"/>
            </w:tcMar>
            <w:vAlign w:val="center"/>
          </w:tcPr>
          <w:p>
            <w:pPr>
              <w:spacing w:line="240" w:lineRule="auto"/>
              <w:ind w:firstLine="0" w:firstLineChars="0"/>
              <w:jc w:val="center"/>
              <w:rPr>
                <w:color w:val="auto"/>
                <w:sz w:val="21"/>
                <w:szCs w:val="21"/>
              </w:rPr>
            </w:pPr>
            <w:r>
              <w:rPr>
                <w:rFonts w:hint="eastAsia"/>
                <w:color w:val="auto"/>
                <w:sz w:val="21"/>
                <w:szCs w:val="21"/>
                <w:lang w:bidi="ar-BH"/>
              </w:rPr>
              <w:t>周围敏感点及设防距离</w:t>
            </w:r>
          </w:p>
        </w:tc>
        <w:tc>
          <w:tcPr>
            <w:tcW w:w="6965" w:type="dxa"/>
            <w:tcMar>
              <w:top w:w="45" w:type="dxa"/>
              <w:left w:w="57" w:type="dxa"/>
              <w:bottom w:w="45" w:type="dxa"/>
              <w:right w:w="57" w:type="dxa"/>
            </w:tcMar>
            <w:vAlign w:val="center"/>
          </w:tcPr>
          <w:p>
            <w:pPr>
              <w:spacing w:line="240" w:lineRule="auto"/>
              <w:ind w:firstLine="0" w:firstLineChars="0"/>
              <w:jc w:val="center"/>
              <w:rPr>
                <w:snapToGrid w:val="0"/>
                <w:color w:val="auto"/>
                <w:kern w:val="0"/>
                <w:sz w:val="21"/>
                <w:szCs w:val="21"/>
              </w:rPr>
            </w:pPr>
            <w:r>
              <w:rPr>
                <w:rFonts w:hint="eastAsia"/>
                <w:color w:val="auto"/>
                <w:sz w:val="21"/>
                <w:szCs w:val="21"/>
              </w:rPr>
              <w:t>根据预测分析，项目卫生防护距离为5</w:t>
            </w:r>
            <w:r>
              <w:rPr>
                <w:color w:val="auto"/>
                <w:sz w:val="21"/>
                <w:szCs w:val="21"/>
              </w:rPr>
              <w:t>00m</w:t>
            </w:r>
            <w:r>
              <w:rPr>
                <w:rFonts w:hint="eastAsia"/>
                <w:color w:val="auto"/>
                <w:sz w:val="21"/>
                <w:szCs w:val="21"/>
              </w:rPr>
              <w:t>，评价设置</w:t>
            </w:r>
            <w:r>
              <w:rPr>
                <w:color w:val="auto"/>
                <w:sz w:val="21"/>
                <w:szCs w:val="21"/>
              </w:rPr>
              <w:t>500m</w:t>
            </w:r>
            <w:r>
              <w:rPr>
                <w:rFonts w:hint="eastAsia"/>
                <w:color w:val="auto"/>
                <w:sz w:val="21"/>
                <w:szCs w:val="21"/>
              </w:rPr>
              <w:t>防护距离（距养殖区），本项目养殖区距离最近的敏感点为项目705m处七王庙村，满足环保要求。</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tcMar>
              <w:top w:w="45" w:type="dxa"/>
              <w:left w:w="57" w:type="dxa"/>
              <w:bottom w:w="45" w:type="dxa"/>
              <w:right w:w="57" w:type="dxa"/>
            </w:tcMar>
            <w:vAlign w:val="center"/>
          </w:tcPr>
          <w:p>
            <w:pPr>
              <w:spacing w:line="240" w:lineRule="auto"/>
              <w:ind w:firstLine="0" w:firstLineChars="0"/>
              <w:jc w:val="center"/>
              <w:rPr>
                <w:color w:val="auto"/>
                <w:sz w:val="21"/>
                <w:szCs w:val="21"/>
              </w:rPr>
            </w:pPr>
            <w:r>
              <w:rPr>
                <w:rFonts w:hint="eastAsia"/>
                <w:color w:val="auto"/>
                <w:sz w:val="21"/>
                <w:szCs w:val="21"/>
              </w:rPr>
              <w:t>4</w:t>
            </w:r>
          </w:p>
        </w:tc>
        <w:tc>
          <w:tcPr>
            <w:tcW w:w="1637" w:type="dxa"/>
            <w:tcMar>
              <w:top w:w="45" w:type="dxa"/>
              <w:left w:w="57" w:type="dxa"/>
              <w:bottom w:w="45" w:type="dxa"/>
              <w:right w:w="57" w:type="dxa"/>
            </w:tcMar>
            <w:vAlign w:val="center"/>
          </w:tcPr>
          <w:p>
            <w:pPr>
              <w:spacing w:line="240" w:lineRule="auto"/>
              <w:ind w:firstLine="0" w:firstLineChars="0"/>
              <w:jc w:val="center"/>
              <w:rPr>
                <w:color w:val="auto"/>
                <w:sz w:val="21"/>
                <w:szCs w:val="21"/>
                <w:lang w:bidi="ar-BH"/>
              </w:rPr>
            </w:pPr>
            <w:r>
              <w:rPr>
                <w:rFonts w:hint="eastAsia"/>
                <w:color w:val="auto"/>
                <w:sz w:val="21"/>
                <w:szCs w:val="21"/>
                <w:lang w:bidi="ar-BH"/>
              </w:rPr>
              <w:t>沼液消纳能力分析</w:t>
            </w:r>
          </w:p>
        </w:tc>
        <w:tc>
          <w:tcPr>
            <w:tcW w:w="6965" w:type="dxa"/>
            <w:tcMar>
              <w:top w:w="45" w:type="dxa"/>
              <w:left w:w="57" w:type="dxa"/>
              <w:bottom w:w="45" w:type="dxa"/>
              <w:right w:w="57" w:type="dxa"/>
            </w:tcMar>
            <w:vAlign w:val="center"/>
          </w:tcPr>
          <w:p>
            <w:pPr>
              <w:spacing w:line="240" w:lineRule="auto"/>
              <w:ind w:firstLine="0" w:firstLineChars="0"/>
              <w:jc w:val="center"/>
              <w:rPr>
                <w:color w:val="auto"/>
                <w:sz w:val="21"/>
                <w:szCs w:val="21"/>
              </w:rPr>
            </w:pPr>
            <w:r>
              <w:rPr>
                <w:rFonts w:hint="eastAsia"/>
                <w:color w:val="auto"/>
                <w:sz w:val="21"/>
                <w:szCs w:val="21"/>
              </w:rPr>
              <w:t>牧原公司</w:t>
            </w:r>
            <w:r>
              <w:rPr>
                <w:color w:val="auto"/>
                <w:sz w:val="21"/>
                <w:szCs w:val="21"/>
              </w:rPr>
              <w:t>与</w:t>
            </w:r>
            <w:r>
              <w:rPr>
                <w:rFonts w:hint="eastAsia"/>
                <w:color w:val="auto"/>
                <w:sz w:val="21"/>
                <w:szCs w:val="21"/>
              </w:rPr>
              <w:t>周围村庄</w:t>
            </w:r>
            <w:r>
              <w:rPr>
                <w:color w:val="auto"/>
                <w:sz w:val="21"/>
                <w:szCs w:val="21"/>
              </w:rPr>
              <w:t>签订协议，利用</w:t>
            </w:r>
            <w:r>
              <w:rPr>
                <w:rFonts w:hint="eastAsia"/>
                <w:color w:val="auto"/>
                <w:sz w:val="21"/>
                <w:szCs w:val="21"/>
              </w:rPr>
              <w:t>周围村庄</w:t>
            </w:r>
            <w:r>
              <w:rPr>
                <w:color w:val="auto"/>
                <w:sz w:val="21"/>
                <w:szCs w:val="21"/>
              </w:rPr>
              <w:t>农田，消纳项目产生的沼液。</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tcMar>
              <w:top w:w="45" w:type="dxa"/>
              <w:left w:w="57" w:type="dxa"/>
              <w:bottom w:w="45" w:type="dxa"/>
              <w:right w:w="57" w:type="dxa"/>
            </w:tcMar>
            <w:vAlign w:val="center"/>
          </w:tcPr>
          <w:p>
            <w:pPr>
              <w:spacing w:line="240" w:lineRule="auto"/>
              <w:ind w:firstLine="0" w:firstLineChars="0"/>
              <w:jc w:val="center"/>
              <w:rPr>
                <w:color w:val="auto"/>
                <w:sz w:val="21"/>
                <w:szCs w:val="21"/>
                <w:lang w:bidi="ar-BH"/>
              </w:rPr>
            </w:pPr>
            <w:r>
              <w:rPr>
                <w:rFonts w:hint="eastAsia"/>
                <w:color w:val="auto"/>
                <w:sz w:val="21"/>
                <w:szCs w:val="21"/>
                <w:lang w:bidi="ar-BH"/>
              </w:rPr>
              <w:t>5</w:t>
            </w:r>
          </w:p>
        </w:tc>
        <w:tc>
          <w:tcPr>
            <w:tcW w:w="1637" w:type="dxa"/>
            <w:tcMar>
              <w:top w:w="45" w:type="dxa"/>
              <w:left w:w="57" w:type="dxa"/>
              <w:bottom w:w="45" w:type="dxa"/>
              <w:right w:w="57" w:type="dxa"/>
            </w:tcMar>
            <w:vAlign w:val="center"/>
          </w:tcPr>
          <w:p>
            <w:pPr>
              <w:spacing w:line="240" w:lineRule="auto"/>
              <w:ind w:firstLine="0" w:firstLineChars="0"/>
              <w:jc w:val="center"/>
              <w:rPr>
                <w:color w:val="auto"/>
                <w:sz w:val="21"/>
                <w:szCs w:val="21"/>
                <w:lang w:bidi="ar-BH"/>
              </w:rPr>
            </w:pPr>
            <w:r>
              <w:rPr>
                <w:rFonts w:hint="eastAsia"/>
                <w:color w:val="auto"/>
                <w:sz w:val="21"/>
                <w:szCs w:val="21"/>
                <w:lang w:bidi="ar-BH"/>
              </w:rPr>
              <w:t>区域地表水体</w:t>
            </w:r>
          </w:p>
        </w:tc>
        <w:tc>
          <w:tcPr>
            <w:tcW w:w="6965" w:type="dxa"/>
            <w:tcMar>
              <w:top w:w="45" w:type="dxa"/>
              <w:left w:w="57" w:type="dxa"/>
              <w:bottom w:w="45" w:type="dxa"/>
              <w:right w:w="57" w:type="dxa"/>
            </w:tcMar>
            <w:vAlign w:val="center"/>
          </w:tcPr>
          <w:p>
            <w:pPr>
              <w:pStyle w:val="23"/>
              <w:spacing w:line="240" w:lineRule="auto"/>
              <w:ind w:firstLine="0" w:firstLineChars="0"/>
              <w:jc w:val="center"/>
              <w:rPr>
                <w:color w:val="auto"/>
                <w:sz w:val="21"/>
                <w:szCs w:val="21"/>
              </w:rPr>
            </w:pPr>
            <w:r>
              <w:rPr>
                <w:rFonts w:hint="eastAsia"/>
                <w:color w:val="auto"/>
                <w:sz w:val="21"/>
                <w:szCs w:val="21"/>
              </w:rPr>
              <w:t>项目养殖场粪便贮存场所距区域地表水体约965m，满足</w:t>
            </w:r>
            <w:r>
              <w:rPr>
                <w:color w:val="auto"/>
                <w:sz w:val="21"/>
                <w:szCs w:val="21"/>
              </w:rPr>
              <w:t>《畜禽养殖业污染防治技术规范》</w:t>
            </w:r>
            <w:r>
              <w:rPr>
                <w:rFonts w:hint="eastAsia"/>
                <w:color w:val="auto"/>
                <w:sz w:val="21"/>
                <w:szCs w:val="21"/>
              </w:rPr>
              <w:t>（</w:t>
            </w:r>
            <w:r>
              <w:rPr>
                <w:color w:val="auto"/>
                <w:sz w:val="21"/>
                <w:szCs w:val="21"/>
              </w:rPr>
              <w:t>HJ/T81</w:t>
            </w:r>
            <w:r>
              <w:rPr>
                <w:rFonts w:hint="eastAsia"/>
                <w:color w:val="auto"/>
                <w:sz w:val="21"/>
                <w:szCs w:val="21"/>
              </w:rPr>
              <w:t>—</w:t>
            </w:r>
            <w:r>
              <w:rPr>
                <w:color w:val="auto"/>
                <w:sz w:val="21"/>
                <w:szCs w:val="21"/>
              </w:rPr>
              <w:t>2001</w:t>
            </w:r>
            <w:r>
              <w:rPr>
                <w:rFonts w:hint="eastAsia"/>
                <w:color w:val="auto"/>
                <w:sz w:val="21"/>
                <w:szCs w:val="21"/>
              </w:rPr>
              <w:t>）规定中</w:t>
            </w:r>
            <w:r>
              <w:rPr>
                <w:color w:val="auto"/>
                <w:sz w:val="21"/>
                <w:szCs w:val="21"/>
              </w:rPr>
              <w:t>畜禽粪便</w:t>
            </w:r>
            <w:r>
              <w:rPr>
                <w:rFonts w:hint="eastAsia"/>
                <w:color w:val="auto"/>
                <w:sz w:val="21"/>
                <w:szCs w:val="21"/>
              </w:rPr>
              <w:t>贮</w:t>
            </w:r>
            <w:r>
              <w:rPr>
                <w:color w:val="auto"/>
                <w:sz w:val="21"/>
                <w:szCs w:val="21"/>
              </w:rPr>
              <w:t>存场距离地表水体不得小于400m</w:t>
            </w:r>
            <w:r>
              <w:rPr>
                <w:rFonts w:hint="eastAsia"/>
                <w:color w:val="auto"/>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tcMar>
              <w:top w:w="45" w:type="dxa"/>
              <w:left w:w="57" w:type="dxa"/>
              <w:bottom w:w="45" w:type="dxa"/>
              <w:right w:w="57" w:type="dxa"/>
            </w:tcMar>
            <w:vAlign w:val="center"/>
          </w:tcPr>
          <w:p>
            <w:pPr>
              <w:spacing w:line="240" w:lineRule="auto"/>
              <w:ind w:firstLine="0" w:firstLineChars="0"/>
              <w:jc w:val="center"/>
              <w:rPr>
                <w:color w:val="auto"/>
                <w:sz w:val="21"/>
                <w:szCs w:val="21"/>
                <w:lang w:bidi="ar-BH"/>
              </w:rPr>
            </w:pPr>
            <w:r>
              <w:rPr>
                <w:rFonts w:hint="eastAsia"/>
                <w:color w:val="auto"/>
                <w:sz w:val="21"/>
                <w:szCs w:val="21"/>
                <w:lang w:bidi="ar-BH"/>
              </w:rPr>
              <w:t>6</w:t>
            </w:r>
          </w:p>
        </w:tc>
        <w:tc>
          <w:tcPr>
            <w:tcW w:w="1637" w:type="dxa"/>
            <w:tcMar>
              <w:top w:w="45" w:type="dxa"/>
              <w:left w:w="57" w:type="dxa"/>
              <w:bottom w:w="45" w:type="dxa"/>
              <w:right w:w="57" w:type="dxa"/>
            </w:tcMar>
            <w:vAlign w:val="center"/>
          </w:tcPr>
          <w:p>
            <w:pPr>
              <w:spacing w:line="240" w:lineRule="auto"/>
              <w:ind w:firstLine="0" w:firstLineChars="0"/>
              <w:jc w:val="center"/>
              <w:rPr>
                <w:color w:val="auto"/>
                <w:sz w:val="21"/>
                <w:szCs w:val="21"/>
                <w:lang w:bidi="ar-BH"/>
              </w:rPr>
            </w:pPr>
            <w:r>
              <w:rPr>
                <w:rFonts w:hint="eastAsia"/>
                <w:color w:val="auto"/>
                <w:sz w:val="21"/>
                <w:szCs w:val="21"/>
                <w:lang w:bidi="ar-BH"/>
              </w:rPr>
              <w:t>气候、气象</w:t>
            </w:r>
          </w:p>
        </w:tc>
        <w:tc>
          <w:tcPr>
            <w:tcW w:w="6965" w:type="dxa"/>
            <w:tcMar>
              <w:top w:w="45" w:type="dxa"/>
              <w:left w:w="57" w:type="dxa"/>
              <w:bottom w:w="45" w:type="dxa"/>
              <w:right w:w="57" w:type="dxa"/>
            </w:tcMar>
            <w:vAlign w:val="center"/>
          </w:tcPr>
          <w:p>
            <w:pPr>
              <w:spacing w:line="240" w:lineRule="auto"/>
              <w:ind w:firstLine="0" w:firstLineChars="0"/>
              <w:jc w:val="center"/>
              <w:rPr>
                <w:color w:val="auto"/>
                <w:sz w:val="21"/>
                <w:szCs w:val="21"/>
              </w:rPr>
            </w:pPr>
            <w:r>
              <w:rPr>
                <w:rFonts w:hint="eastAsia"/>
                <w:color w:val="auto"/>
                <w:sz w:val="21"/>
                <w:szCs w:val="21"/>
              </w:rPr>
              <w:t>场址</w:t>
            </w:r>
            <w:r>
              <w:rPr>
                <w:color w:val="auto"/>
                <w:sz w:val="21"/>
                <w:szCs w:val="21"/>
              </w:rPr>
              <w:t>所处</w:t>
            </w:r>
            <w:r>
              <w:rPr>
                <w:rFonts w:hint="eastAsia"/>
                <w:color w:val="auto"/>
                <w:sz w:val="21"/>
                <w:szCs w:val="21"/>
              </w:rPr>
              <w:t>区域</w:t>
            </w:r>
            <w:r>
              <w:rPr>
                <w:color w:val="auto"/>
                <w:sz w:val="21"/>
                <w:szCs w:val="21"/>
              </w:rPr>
              <w:t>地势平坦，气候温暖，四季分明，且地质条件良好。</w:t>
            </w:r>
            <w:r>
              <w:rPr>
                <w:rFonts w:hint="eastAsia"/>
                <w:color w:val="auto"/>
                <w:sz w:val="21"/>
                <w:szCs w:val="21"/>
              </w:rPr>
              <w:t>该区域全年主导风向为南风</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tcMar>
              <w:top w:w="45" w:type="dxa"/>
              <w:left w:w="57" w:type="dxa"/>
              <w:bottom w:w="45" w:type="dxa"/>
              <w:right w:w="57" w:type="dxa"/>
            </w:tcMar>
            <w:vAlign w:val="center"/>
          </w:tcPr>
          <w:p>
            <w:pPr>
              <w:spacing w:line="240" w:lineRule="auto"/>
              <w:ind w:firstLine="0" w:firstLineChars="0"/>
              <w:jc w:val="center"/>
              <w:rPr>
                <w:color w:val="auto"/>
                <w:sz w:val="21"/>
                <w:szCs w:val="21"/>
                <w:lang w:bidi="ar-BH"/>
              </w:rPr>
            </w:pPr>
            <w:r>
              <w:rPr>
                <w:rFonts w:hint="eastAsia"/>
                <w:color w:val="auto"/>
                <w:sz w:val="21"/>
                <w:szCs w:val="21"/>
                <w:lang w:bidi="ar-BH"/>
              </w:rPr>
              <w:t>7</w:t>
            </w:r>
          </w:p>
        </w:tc>
        <w:tc>
          <w:tcPr>
            <w:tcW w:w="1637" w:type="dxa"/>
            <w:tcMar>
              <w:top w:w="45" w:type="dxa"/>
              <w:left w:w="57" w:type="dxa"/>
              <w:bottom w:w="45" w:type="dxa"/>
              <w:right w:w="57" w:type="dxa"/>
            </w:tcMar>
            <w:vAlign w:val="center"/>
          </w:tcPr>
          <w:p>
            <w:pPr>
              <w:spacing w:line="240" w:lineRule="auto"/>
              <w:ind w:firstLine="0" w:firstLineChars="0"/>
              <w:jc w:val="center"/>
              <w:rPr>
                <w:color w:val="auto"/>
                <w:sz w:val="21"/>
                <w:szCs w:val="21"/>
                <w:lang w:bidi="ar-BH"/>
              </w:rPr>
            </w:pPr>
            <w:r>
              <w:rPr>
                <w:rFonts w:hint="eastAsia"/>
                <w:color w:val="auto"/>
                <w:sz w:val="21"/>
                <w:szCs w:val="21"/>
                <w:lang w:bidi="ar-BH"/>
              </w:rPr>
              <w:t>环境影响预测</w:t>
            </w:r>
          </w:p>
        </w:tc>
        <w:tc>
          <w:tcPr>
            <w:tcW w:w="6965" w:type="dxa"/>
            <w:tcMar>
              <w:top w:w="45" w:type="dxa"/>
              <w:left w:w="57" w:type="dxa"/>
              <w:bottom w:w="45" w:type="dxa"/>
              <w:right w:w="57" w:type="dxa"/>
            </w:tcMar>
            <w:vAlign w:val="center"/>
          </w:tcPr>
          <w:p>
            <w:pPr>
              <w:spacing w:line="240" w:lineRule="auto"/>
              <w:ind w:firstLine="0" w:firstLineChars="0"/>
              <w:jc w:val="center"/>
              <w:rPr>
                <w:color w:val="auto"/>
                <w:sz w:val="21"/>
                <w:szCs w:val="21"/>
              </w:rPr>
            </w:pPr>
            <w:r>
              <w:rPr>
                <w:color w:val="auto"/>
                <w:sz w:val="21"/>
                <w:szCs w:val="21"/>
              </w:rPr>
              <w:t>项目</w:t>
            </w:r>
            <w:r>
              <w:rPr>
                <w:rFonts w:hint="eastAsia"/>
                <w:color w:val="auto"/>
                <w:sz w:val="21"/>
                <w:szCs w:val="21"/>
              </w:rPr>
              <w:t>运营期厂界恶臭排放浓度及厂界噪声均实现达标排放；在落实环评建议的前提下，</w:t>
            </w:r>
            <w:r>
              <w:rPr>
                <w:color w:val="auto"/>
                <w:sz w:val="21"/>
                <w:szCs w:val="21"/>
              </w:rPr>
              <w:t>对</w:t>
            </w:r>
            <w:r>
              <w:rPr>
                <w:rFonts w:hint="eastAsia"/>
                <w:color w:val="auto"/>
                <w:sz w:val="21"/>
                <w:szCs w:val="21"/>
              </w:rPr>
              <w:t>地下水的</w:t>
            </w:r>
            <w:r>
              <w:rPr>
                <w:color w:val="auto"/>
                <w:sz w:val="21"/>
                <w:szCs w:val="21"/>
              </w:rPr>
              <w:t>影响</w:t>
            </w:r>
            <w:r>
              <w:rPr>
                <w:rFonts w:hint="eastAsia"/>
                <w:color w:val="auto"/>
                <w:sz w:val="21"/>
                <w:szCs w:val="21"/>
              </w:rPr>
              <w:t>将降至最低</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tcMar>
              <w:top w:w="45" w:type="dxa"/>
              <w:left w:w="57" w:type="dxa"/>
              <w:bottom w:w="45" w:type="dxa"/>
              <w:right w:w="57" w:type="dxa"/>
            </w:tcMar>
            <w:vAlign w:val="center"/>
          </w:tcPr>
          <w:p>
            <w:pPr>
              <w:spacing w:line="240" w:lineRule="auto"/>
              <w:ind w:firstLine="0" w:firstLineChars="0"/>
              <w:jc w:val="center"/>
              <w:rPr>
                <w:color w:val="auto"/>
                <w:sz w:val="21"/>
                <w:szCs w:val="21"/>
                <w:lang w:bidi="ar-BH"/>
              </w:rPr>
            </w:pPr>
            <w:r>
              <w:rPr>
                <w:rFonts w:hint="eastAsia"/>
                <w:color w:val="auto"/>
                <w:sz w:val="21"/>
                <w:szCs w:val="21"/>
                <w:lang w:bidi="ar-BH"/>
              </w:rPr>
              <w:t>8</w:t>
            </w:r>
          </w:p>
        </w:tc>
        <w:tc>
          <w:tcPr>
            <w:tcW w:w="1637" w:type="dxa"/>
            <w:tcMar>
              <w:top w:w="45" w:type="dxa"/>
              <w:left w:w="57" w:type="dxa"/>
              <w:bottom w:w="45" w:type="dxa"/>
              <w:right w:w="57" w:type="dxa"/>
            </w:tcMar>
            <w:vAlign w:val="center"/>
          </w:tcPr>
          <w:p>
            <w:pPr>
              <w:spacing w:line="240" w:lineRule="auto"/>
              <w:ind w:firstLine="0" w:firstLineChars="0"/>
              <w:jc w:val="center"/>
              <w:rPr>
                <w:color w:val="auto"/>
                <w:sz w:val="21"/>
                <w:szCs w:val="21"/>
                <w:lang w:bidi="ar-BH"/>
              </w:rPr>
            </w:pPr>
            <w:r>
              <w:rPr>
                <w:rFonts w:hint="eastAsia"/>
                <w:color w:val="auto"/>
                <w:sz w:val="21"/>
                <w:szCs w:val="21"/>
                <w:lang w:bidi="ar-BH"/>
              </w:rPr>
              <w:t>环境风险防范</w:t>
            </w:r>
          </w:p>
        </w:tc>
        <w:tc>
          <w:tcPr>
            <w:tcW w:w="6965" w:type="dxa"/>
            <w:tcMar>
              <w:top w:w="45" w:type="dxa"/>
              <w:left w:w="57" w:type="dxa"/>
              <w:bottom w:w="45" w:type="dxa"/>
              <w:right w:w="57" w:type="dxa"/>
            </w:tcMar>
            <w:vAlign w:val="center"/>
          </w:tcPr>
          <w:p>
            <w:pPr>
              <w:spacing w:line="240" w:lineRule="auto"/>
              <w:ind w:firstLine="0" w:firstLineChars="0"/>
              <w:jc w:val="center"/>
              <w:rPr>
                <w:color w:val="auto"/>
                <w:sz w:val="21"/>
                <w:szCs w:val="21"/>
              </w:rPr>
            </w:pPr>
            <w:r>
              <w:rPr>
                <w:rFonts w:hint="eastAsia"/>
                <w:color w:val="auto"/>
                <w:sz w:val="21"/>
                <w:szCs w:val="21"/>
              </w:rPr>
              <w:t>企业在认真落实评价提出的各项防范措施后，可将项目风险发生的概率降至最低</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tcMar>
              <w:top w:w="45" w:type="dxa"/>
              <w:left w:w="57" w:type="dxa"/>
              <w:bottom w:w="45" w:type="dxa"/>
              <w:right w:w="57" w:type="dxa"/>
            </w:tcMar>
            <w:vAlign w:val="center"/>
          </w:tcPr>
          <w:p>
            <w:pPr>
              <w:spacing w:line="240" w:lineRule="auto"/>
              <w:ind w:firstLine="0" w:firstLineChars="0"/>
              <w:jc w:val="center"/>
              <w:rPr>
                <w:color w:val="auto"/>
                <w:sz w:val="21"/>
                <w:szCs w:val="21"/>
                <w:lang w:bidi="ar-BH"/>
              </w:rPr>
            </w:pPr>
            <w:r>
              <w:rPr>
                <w:rFonts w:hint="eastAsia"/>
                <w:color w:val="auto"/>
                <w:sz w:val="21"/>
                <w:szCs w:val="21"/>
                <w:lang w:bidi="ar-BH"/>
              </w:rPr>
              <w:t>9</w:t>
            </w:r>
          </w:p>
        </w:tc>
        <w:tc>
          <w:tcPr>
            <w:tcW w:w="1637" w:type="dxa"/>
            <w:tcMar>
              <w:top w:w="45" w:type="dxa"/>
              <w:left w:w="57" w:type="dxa"/>
              <w:bottom w:w="45" w:type="dxa"/>
              <w:right w:w="57" w:type="dxa"/>
            </w:tcMar>
            <w:vAlign w:val="center"/>
          </w:tcPr>
          <w:p>
            <w:pPr>
              <w:spacing w:line="240" w:lineRule="auto"/>
              <w:ind w:firstLine="0" w:firstLineChars="0"/>
              <w:jc w:val="center"/>
              <w:rPr>
                <w:color w:val="auto"/>
                <w:sz w:val="21"/>
                <w:szCs w:val="21"/>
                <w:lang w:bidi="ar-BH"/>
              </w:rPr>
            </w:pPr>
            <w:r>
              <w:rPr>
                <w:rFonts w:hint="eastAsia"/>
                <w:color w:val="auto"/>
                <w:sz w:val="21"/>
                <w:szCs w:val="21"/>
                <w:lang w:bidi="ar-BH"/>
              </w:rPr>
              <w:t>公众参与意见</w:t>
            </w:r>
          </w:p>
        </w:tc>
        <w:tc>
          <w:tcPr>
            <w:tcW w:w="6965" w:type="dxa"/>
            <w:tcMar>
              <w:top w:w="45" w:type="dxa"/>
              <w:left w:w="57" w:type="dxa"/>
              <w:bottom w:w="45" w:type="dxa"/>
              <w:right w:w="57" w:type="dxa"/>
            </w:tcMar>
            <w:vAlign w:val="center"/>
          </w:tcPr>
          <w:p>
            <w:pPr>
              <w:spacing w:line="240" w:lineRule="auto"/>
              <w:ind w:firstLine="0" w:firstLineChars="0"/>
              <w:jc w:val="center"/>
              <w:rPr>
                <w:color w:val="auto"/>
                <w:sz w:val="21"/>
                <w:szCs w:val="21"/>
              </w:rPr>
            </w:pPr>
            <w:r>
              <w:rPr>
                <w:rFonts w:hint="eastAsia"/>
                <w:color w:val="auto"/>
                <w:sz w:val="21"/>
                <w:szCs w:val="21"/>
              </w:rPr>
              <w:t>公众参与对象对项目建设无反对意见，并希望建设单位严格按照评价要求做好污染防治工作</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tcMar>
              <w:top w:w="45" w:type="dxa"/>
              <w:left w:w="57" w:type="dxa"/>
              <w:bottom w:w="45" w:type="dxa"/>
              <w:right w:w="57" w:type="dxa"/>
            </w:tcMar>
            <w:vAlign w:val="center"/>
          </w:tcPr>
          <w:p>
            <w:pPr>
              <w:spacing w:line="240" w:lineRule="auto"/>
              <w:ind w:firstLine="0" w:firstLineChars="0"/>
              <w:jc w:val="center"/>
              <w:rPr>
                <w:color w:val="auto"/>
                <w:sz w:val="21"/>
                <w:szCs w:val="21"/>
                <w:lang w:bidi="ar-BH"/>
              </w:rPr>
            </w:pPr>
            <w:r>
              <w:rPr>
                <w:rFonts w:hint="eastAsia"/>
                <w:color w:val="auto"/>
                <w:sz w:val="21"/>
                <w:szCs w:val="21"/>
                <w:lang w:bidi="ar-BH"/>
              </w:rPr>
              <w:t>10</w:t>
            </w:r>
          </w:p>
        </w:tc>
        <w:tc>
          <w:tcPr>
            <w:tcW w:w="1637" w:type="dxa"/>
            <w:tcMar>
              <w:top w:w="45" w:type="dxa"/>
              <w:left w:w="57" w:type="dxa"/>
              <w:bottom w:w="45" w:type="dxa"/>
              <w:right w:w="57" w:type="dxa"/>
            </w:tcMar>
            <w:vAlign w:val="center"/>
          </w:tcPr>
          <w:p>
            <w:pPr>
              <w:spacing w:line="240" w:lineRule="auto"/>
              <w:ind w:firstLine="0" w:firstLineChars="0"/>
              <w:jc w:val="center"/>
              <w:rPr>
                <w:color w:val="auto"/>
                <w:sz w:val="21"/>
                <w:szCs w:val="21"/>
                <w:lang w:bidi="ar-BH"/>
              </w:rPr>
            </w:pPr>
            <w:r>
              <w:rPr>
                <w:rFonts w:hint="eastAsia"/>
                <w:color w:val="auto"/>
                <w:sz w:val="21"/>
                <w:szCs w:val="21"/>
                <w:lang w:bidi="ar-BH"/>
              </w:rPr>
              <w:t>清洁生产水平</w:t>
            </w:r>
          </w:p>
        </w:tc>
        <w:tc>
          <w:tcPr>
            <w:tcW w:w="6965" w:type="dxa"/>
            <w:tcMar>
              <w:top w:w="45" w:type="dxa"/>
              <w:left w:w="57" w:type="dxa"/>
              <w:bottom w:w="45" w:type="dxa"/>
              <w:right w:w="57" w:type="dxa"/>
            </w:tcMar>
            <w:vAlign w:val="center"/>
          </w:tcPr>
          <w:p>
            <w:pPr>
              <w:spacing w:line="240" w:lineRule="auto"/>
              <w:ind w:firstLine="0" w:firstLineChars="0"/>
              <w:jc w:val="center"/>
              <w:rPr>
                <w:color w:val="auto"/>
                <w:sz w:val="21"/>
                <w:szCs w:val="21"/>
              </w:rPr>
            </w:pPr>
            <w:r>
              <w:rPr>
                <w:rFonts w:hint="eastAsia"/>
                <w:color w:val="auto"/>
                <w:sz w:val="21"/>
                <w:szCs w:val="21"/>
              </w:rPr>
              <w:t>清洁生产达到国内先进水平</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tcMar>
              <w:top w:w="45" w:type="dxa"/>
              <w:left w:w="57" w:type="dxa"/>
              <w:bottom w:w="45" w:type="dxa"/>
              <w:right w:w="57" w:type="dxa"/>
            </w:tcMar>
            <w:vAlign w:val="center"/>
          </w:tcPr>
          <w:p>
            <w:pPr>
              <w:spacing w:line="240" w:lineRule="auto"/>
              <w:ind w:firstLine="0" w:firstLineChars="0"/>
              <w:jc w:val="center"/>
              <w:rPr>
                <w:color w:val="auto"/>
                <w:sz w:val="21"/>
                <w:szCs w:val="21"/>
                <w:lang w:bidi="ar-BH"/>
              </w:rPr>
            </w:pPr>
            <w:r>
              <w:rPr>
                <w:rFonts w:hint="eastAsia"/>
                <w:color w:val="auto"/>
                <w:sz w:val="21"/>
                <w:szCs w:val="21"/>
                <w:lang w:bidi="ar-BH"/>
              </w:rPr>
              <w:t>11</w:t>
            </w:r>
          </w:p>
        </w:tc>
        <w:tc>
          <w:tcPr>
            <w:tcW w:w="1637" w:type="dxa"/>
            <w:tcMar>
              <w:top w:w="45" w:type="dxa"/>
              <w:left w:w="57" w:type="dxa"/>
              <w:bottom w:w="45" w:type="dxa"/>
              <w:right w:w="57" w:type="dxa"/>
            </w:tcMar>
            <w:vAlign w:val="center"/>
          </w:tcPr>
          <w:p>
            <w:pPr>
              <w:spacing w:line="240" w:lineRule="auto"/>
              <w:ind w:firstLine="0" w:firstLineChars="0"/>
              <w:jc w:val="center"/>
              <w:rPr>
                <w:color w:val="auto"/>
                <w:sz w:val="21"/>
                <w:szCs w:val="21"/>
                <w:lang w:bidi="ar-BH"/>
              </w:rPr>
            </w:pPr>
            <w:r>
              <w:rPr>
                <w:rFonts w:hint="eastAsia"/>
                <w:color w:val="auto"/>
                <w:sz w:val="21"/>
                <w:szCs w:val="21"/>
                <w:lang w:bidi="ar-BH"/>
              </w:rPr>
              <w:t>政府及管理部门意见</w:t>
            </w:r>
          </w:p>
        </w:tc>
        <w:tc>
          <w:tcPr>
            <w:tcW w:w="6965" w:type="dxa"/>
            <w:tcMar>
              <w:top w:w="45" w:type="dxa"/>
              <w:left w:w="57" w:type="dxa"/>
              <w:bottom w:w="45" w:type="dxa"/>
              <w:right w:w="57" w:type="dxa"/>
            </w:tcMar>
            <w:vAlign w:val="center"/>
          </w:tcPr>
          <w:p>
            <w:pPr>
              <w:spacing w:line="240" w:lineRule="auto"/>
              <w:ind w:firstLine="0" w:firstLineChars="0"/>
              <w:jc w:val="center"/>
              <w:rPr>
                <w:color w:val="auto"/>
                <w:sz w:val="21"/>
                <w:szCs w:val="21"/>
              </w:rPr>
            </w:pPr>
            <w:r>
              <w:rPr>
                <w:rFonts w:hint="eastAsia"/>
                <w:color w:val="auto"/>
                <w:sz w:val="21"/>
                <w:szCs w:val="21"/>
              </w:rPr>
              <w:t>对项目持支持态度，同意本项目在此地建设</w:t>
            </w:r>
          </w:p>
        </w:tc>
      </w:tr>
    </w:tbl>
    <w:p>
      <w:pPr>
        <w:ind w:firstLine="480"/>
        <w:rPr>
          <w:color w:val="auto"/>
          <w:kern w:val="0"/>
          <w:szCs w:val="28"/>
        </w:rPr>
      </w:pPr>
      <w:r>
        <w:rPr>
          <w:rFonts w:hint="eastAsia"/>
          <w:color w:val="auto"/>
          <w:kern w:val="0"/>
          <w:szCs w:val="28"/>
        </w:rPr>
        <w:t>综上，从区域、气候、气象特征、场址周围现状情况、工程污染控制、公众参与等方面分析，项目选址可行。</w:t>
      </w:r>
    </w:p>
    <w:p>
      <w:pPr>
        <w:pStyle w:val="6"/>
        <w:rPr>
          <w:color w:val="auto"/>
          <w:lang w:val="en-US"/>
        </w:rPr>
      </w:pPr>
      <w:r>
        <w:rPr>
          <w:rFonts w:hint="eastAsia"/>
          <w:color w:val="auto"/>
          <w:lang w:val="en-US"/>
        </w:rPr>
        <w:t>7.2.4 厂区</w:t>
      </w:r>
      <w:r>
        <w:rPr>
          <w:color w:val="auto"/>
          <w:lang w:val="en-US"/>
        </w:rPr>
        <w:t>平面布置可行性分析</w:t>
      </w:r>
    </w:p>
    <w:p>
      <w:pPr>
        <w:ind w:firstLine="480"/>
        <w:rPr>
          <w:color w:val="auto"/>
        </w:rPr>
      </w:pPr>
      <w:r>
        <w:rPr>
          <w:rFonts w:hint="eastAsia"/>
          <w:color w:val="auto"/>
        </w:rPr>
        <w:t>本项目厂区根据功能分区主要分为养殖区、办公区、生活区、</w:t>
      </w:r>
      <w:r>
        <w:rPr>
          <w:rFonts w:hint="eastAsia"/>
          <w:bCs/>
          <w:color w:val="auto"/>
        </w:rPr>
        <w:t>黑膜沼气池</w:t>
      </w:r>
      <w:r>
        <w:rPr>
          <w:rFonts w:hint="eastAsia"/>
          <w:color w:val="auto"/>
        </w:rPr>
        <w:t>、固粪处理区、无害化处理区。</w:t>
      </w:r>
    </w:p>
    <w:p>
      <w:pPr>
        <w:ind w:firstLine="480"/>
        <w:rPr>
          <w:color w:val="auto"/>
        </w:rPr>
      </w:pPr>
      <w:r>
        <w:rPr>
          <w:rFonts w:hint="eastAsia"/>
          <w:color w:val="auto"/>
        </w:rPr>
        <w:t>根据企业设计，本项目养殖场在厂区布局上，实行养殖区、办公区与粪污处理区的三区分离，根据项目平面布置，本项目养殖区主要位于厂区东部，配套办公生活区位于厂区西侧，配套污水处理设施位于厂区东部。濮阳县</w:t>
      </w:r>
      <w:r>
        <w:rPr>
          <w:color w:val="auto"/>
        </w:rPr>
        <w:t>201</w:t>
      </w:r>
      <w:r>
        <w:rPr>
          <w:rFonts w:hint="eastAsia"/>
          <w:color w:val="auto"/>
        </w:rPr>
        <w:t>9年内主导风向为南风。办公生活区位于养殖区的侧风向、粪污治理区侧风向，办公区和养殖区、粪污治理区之间有实体围墙</w:t>
      </w:r>
      <w:r>
        <w:rPr>
          <w:color w:val="auto"/>
        </w:rPr>
        <w:t>及</w:t>
      </w:r>
      <w:r>
        <w:rPr>
          <w:rFonts w:hint="eastAsia"/>
          <w:color w:val="auto"/>
        </w:rPr>
        <w:t>绿化带相隔，可最大程度减轻对厂区内部的影响。且为了</w:t>
      </w:r>
      <w:r>
        <w:rPr>
          <w:color w:val="auto"/>
        </w:rPr>
        <w:t>最大限度对</w:t>
      </w:r>
      <w:r>
        <w:rPr>
          <w:rFonts w:hint="eastAsia"/>
          <w:color w:val="auto"/>
        </w:rPr>
        <w:t>贺庄村</w:t>
      </w:r>
      <w:r>
        <w:rPr>
          <w:color w:val="auto"/>
        </w:rPr>
        <w:t>的影响，粪污治理区规划在</w:t>
      </w:r>
      <w:r>
        <w:rPr>
          <w:rFonts w:hint="eastAsia"/>
          <w:color w:val="auto"/>
        </w:rPr>
        <w:t>东区</w:t>
      </w:r>
      <w:r>
        <w:rPr>
          <w:color w:val="auto"/>
        </w:rPr>
        <w:t>。</w:t>
      </w:r>
    </w:p>
    <w:p>
      <w:pPr>
        <w:ind w:firstLine="480"/>
        <w:rPr>
          <w:color w:val="auto"/>
        </w:rPr>
      </w:pPr>
      <w:r>
        <w:rPr>
          <w:rFonts w:hint="eastAsia"/>
          <w:color w:val="auto"/>
        </w:rPr>
        <w:t>根据厂区现状布置情况，评价认为项目场址平面布置可行，同时，要求建设时应严格按照《畜禽养殖业污染防治技术规范》（HJ/T81—2001）要求进行布置。</w:t>
      </w:r>
    </w:p>
    <w:p>
      <w:pPr>
        <w:ind w:firstLine="480"/>
        <w:rPr>
          <w:color w:val="auto"/>
        </w:rPr>
      </w:pPr>
      <w:r>
        <w:rPr>
          <w:rFonts w:hint="eastAsia"/>
          <w:color w:val="auto"/>
        </w:rPr>
        <w:t>评价建议企业在建设过程中，对厂区空闲土地和厂界进行多层次多方位立体绿化，如在猪舍之间及粪污处理区加强绿化，减轻工程恶臭污染物排放对区域环境的影响，并逐步完善和优化厂区平面布置。</w:t>
      </w:r>
    </w:p>
    <w:p>
      <w:pPr>
        <w:ind w:firstLine="480"/>
        <w:rPr>
          <w:color w:val="auto"/>
        </w:rPr>
        <w:sectPr>
          <w:headerReference r:id="rId26" w:type="default"/>
          <w:pgSz w:w="11906" w:h="16838"/>
          <w:pgMar w:top="1440" w:right="1474" w:bottom="1440" w:left="1474" w:header="851" w:footer="992" w:gutter="0"/>
          <w:cols w:space="720" w:num="1"/>
          <w:docGrid w:type="lines" w:linePitch="312" w:charSpace="0"/>
        </w:sectPr>
      </w:pPr>
      <w:r>
        <w:rPr>
          <w:color w:val="auto"/>
        </w:rPr>
        <w:br w:type="page"/>
      </w:r>
    </w:p>
    <w:p>
      <w:pPr>
        <w:pStyle w:val="26"/>
        <w:ind w:left="480" w:firstLine="480"/>
        <w:rPr>
          <w:color w:val="auto"/>
        </w:rPr>
      </w:pPr>
    </w:p>
    <w:p>
      <w:pPr>
        <w:pStyle w:val="4"/>
        <w:spacing w:before="240"/>
        <w:ind w:firstLine="0" w:firstLineChars="0"/>
        <w:rPr>
          <w:color w:val="auto"/>
        </w:rPr>
      </w:pPr>
      <w:bookmarkStart w:id="635" w:name="_Toc13599"/>
      <w:bookmarkStart w:id="636" w:name="_Toc295121729"/>
      <w:bookmarkStart w:id="637" w:name="_Toc26937"/>
      <w:bookmarkStart w:id="638" w:name="_Toc329183288"/>
      <w:bookmarkStart w:id="639" w:name="_Toc123023641"/>
      <w:bookmarkStart w:id="640" w:name="_Toc476922040"/>
      <w:bookmarkStart w:id="641" w:name="_Toc47432597"/>
      <w:bookmarkStart w:id="642" w:name="_Toc47432549"/>
      <w:bookmarkStart w:id="643" w:name="_Toc485580550"/>
      <w:bookmarkStart w:id="644" w:name="_Toc476923133"/>
      <w:bookmarkStart w:id="645" w:name="_Toc366760457"/>
      <w:r>
        <w:rPr>
          <w:rFonts w:hint="eastAsia"/>
          <w:color w:val="auto"/>
        </w:rPr>
        <w:t>第八章  环境经济损益分析</w:t>
      </w:r>
      <w:bookmarkEnd w:id="635"/>
      <w:bookmarkEnd w:id="636"/>
      <w:bookmarkEnd w:id="637"/>
      <w:bookmarkEnd w:id="638"/>
      <w:bookmarkEnd w:id="639"/>
      <w:bookmarkEnd w:id="640"/>
      <w:bookmarkEnd w:id="641"/>
      <w:bookmarkEnd w:id="642"/>
      <w:bookmarkEnd w:id="643"/>
      <w:bookmarkEnd w:id="644"/>
      <w:bookmarkEnd w:id="645"/>
    </w:p>
    <w:p>
      <w:pPr>
        <w:pStyle w:val="11"/>
        <w:spacing w:line="381" w:lineRule="auto"/>
        <w:ind w:right="112" w:firstLine="492"/>
        <w:jc w:val="left"/>
        <w:rPr>
          <w:color w:val="auto"/>
        </w:rPr>
      </w:pPr>
      <w:bookmarkStart w:id="646" w:name="_Toc47432550"/>
      <w:bookmarkStart w:id="647" w:name="_Toc47432598"/>
      <w:bookmarkStart w:id="648" w:name="_Toc123023642"/>
      <w:r>
        <w:rPr>
          <w:color w:val="auto"/>
          <w:spacing w:val="3"/>
        </w:rPr>
        <w:t>环境影响经济损益分析的主要任务是衡量项目的环保投资所能收到的环境</w:t>
      </w:r>
      <w:r>
        <w:rPr>
          <w:color w:val="auto"/>
        </w:rPr>
        <w:t>效益和经济效益；建设项目应力争达到社会效益、环境效益、经济效益的统一，这样才能符合可持续发展的要求，实现经济的持续发展和环境质量的不断改善。</w:t>
      </w:r>
      <w:r>
        <w:rPr>
          <w:color w:val="auto"/>
          <w:spacing w:val="3"/>
        </w:rPr>
        <w:t>项目属于畜牧养殖行业，它的建设在一定程度上会给周围环境带来一些负面影</w:t>
      </w:r>
      <w:r>
        <w:rPr>
          <w:color w:val="auto"/>
          <w:spacing w:val="-97"/>
        </w:rPr>
        <w:t xml:space="preserve"> </w:t>
      </w:r>
      <w:r>
        <w:rPr>
          <w:color w:val="auto"/>
          <w:spacing w:val="-3"/>
        </w:rPr>
        <w:t>响，因此有必要进行经济效益、社会效益、环境效益的综合分析，使项目的建设</w:t>
      </w:r>
      <w:r>
        <w:rPr>
          <w:color w:val="auto"/>
          <w:spacing w:val="-105"/>
        </w:rPr>
        <w:t xml:space="preserve"> </w:t>
      </w:r>
      <w:r>
        <w:rPr>
          <w:color w:val="auto"/>
          <w:spacing w:val="-3"/>
        </w:rPr>
        <w:t>论证更加充分可靠，工程的设计和实施更加完善，以实现社会的良性发展、经济</w:t>
      </w:r>
      <w:r>
        <w:rPr>
          <w:color w:val="auto"/>
          <w:spacing w:val="-105"/>
        </w:rPr>
        <w:t xml:space="preserve"> </w:t>
      </w:r>
      <w:r>
        <w:rPr>
          <w:color w:val="auto"/>
        </w:rPr>
        <w:t>的持续增长和环境质量的保持与改善。</w:t>
      </w:r>
    </w:p>
    <w:p>
      <w:pPr>
        <w:pStyle w:val="5"/>
        <w:numPr>
          <w:ilvl w:val="1"/>
          <w:numId w:val="0"/>
        </w:numPr>
        <w:tabs>
          <w:tab w:val="left" w:pos="105"/>
        </w:tabs>
        <w:spacing w:before="0" w:after="0"/>
        <w:textAlignment w:val="baseline"/>
        <w:rPr>
          <w:color w:val="auto"/>
          <w:sz w:val="24"/>
          <w:szCs w:val="24"/>
        </w:rPr>
      </w:pPr>
      <w:bookmarkStart w:id="649" w:name="_Toc329183289"/>
      <w:bookmarkStart w:id="650" w:name="_Toc476922041"/>
      <w:bookmarkStart w:id="651" w:name="_Toc476923134"/>
      <w:bookmarkStart w:id="652" w:name="_Toc366760458"/>
      <w:bookmarkStart w:id="653" w:name="_Toc295121730"/>
      <w:bookmarkStart w:id="654" w:name="_Toc24353"/>
      <w:bookmarkStart w:id="655" w:name="_Toc6675"/>
      <w:bookmarkStart w:id="656" w:name="_Toc485580551"/>
      <w:r>
        <w:rPr>
          <w:rFonts w:hint="eastAsia"/>
          <w:color w:val="auto"/>
          <w:sz w:val="24"/>
          <w:szCs w:val="24"/>
        </w:rPr>
        <w:t>8.1</w:t>
      </w:r>
      <w:bookmarkEnd w:id="649"/>
      <w:bookmarkEnd w:id="650"/>
      <w:bookmarkEnd w:id="651"/>
      <w:bookmarkEnd w:id="652"/>
      <w:bookmarkEnd w:id="653"/>
      <w:r>
        <w:rPr>
          <w:rFonts w:hint="eastAsia"/>
          <w:color w:val="auto"/>
          <w:sz w:val="24"/>
          <w:szCs w:val="24"/>
        </w:rPr>
        <w:t>环保投资估算</w:t>
      </w:r>
      <w:bookmarkEnd w:id="654"/>
      <w:bookmarkEnd w:id="655"/>
      <w:bookmarkEnd w:id="656"/>
    </w:p>
    <w:p>
      <w:pPr>
        <w:pStyle w:val="3"/>
        <w:numPr>
          <w:ilvl w:val="0"/>
          <w:numId w:val="0"/>
        </w:numPr>
        <w:ind w:firstLine="480" w:firstLineChars="200"/>
        <w:rPr>
          <w:rFonts w:hAnsi="宋体"/>
          <w:color w:val="auto"/>
          <w:sz w:val="24"/>
          <w:szCs w:val="22"/>
        </w:rPr>
      </w:pPr>
      <w:r>
        <w:rPr>
          <w:rFonts w:hAnsi="宋体"/>
          <w:color w:val="auto"/>
          <w:sz w:val="24"/>
          <w:szCs w:val="22"/>
        </w:rPr>
        <w:t>工程</w:t>
      </w:r>
      <w:r>
        <w:rPr>
          <w:rFonts w:hint="eastAsia" w:hAnsi="宋体"/>
          <w:color w:val="auto"/>
          <w:sz w:val="24"/>
          <w:szCs w:val="22"/>
        </w:rPr>
        <w:t>环保投资</w:t>
      </w:r>
      <w:r>
        <w:rPr>
          <w:rFonts w:hAnsi="宋体"/>
          <w:color w:val="auto"/>
          <w:sz w:val="24"/>
          <w:szCs w:val="22"/>
        </w:rPr>
        <w:t>包括运行期的污染防治措施的总投资，预计该项费用总投资为</w:t>
      </w:r>
      <w:r>
        <w:rPr>
          <w:rFonts w:hint="eastAsia" w:hAnsi="宋体"/>
          <w:color w:val="auto"/>
          <w:sz w:val="24"/>
          <w:szCs w:val="22"/>
        </w:rPr>
        <w:t>3</w:t>
      </w:r>
      <w:r>
        <w:rPr>
          <w:rFonts w:hint="eastAsia" w:hAnsi="宋体"/>
          <w:color w:val="auto"/>
          <w:sz w:val="24"/>
          <w:szCs w:val="22"/>
          <w:lang w:val="en-US" w:eastAsia="zh-CN"/>
        </w:rPr>
        <w:t>00.5</w:t>
      </w:r>
      <w:r>
        <w:rPr>
          <w:rFonts w:hAnsi="宋体"/>
          <w:color w:val="auto"/>
          <w:sz w:val="24"/>
          <w:szCs w:val="22"/>
        </w:rPr>
        <w:t>万元，占总投资的比例为</w:t>
      </w:r>
      <w:r>
        <w:rPr>
          <w:rFonts w:hint="eastAsia" w:hAnsi="宋体"/>
          <w:color w:val="auto"/>
          <w:sz w:val="24"/>
          <w:szCs w:val="22"/>
          <w:lang w:val="en-US" w:eastAsia="zh-CN"/>
        </w:rPr>
        <w:t>8.7</w:t>
      </w:r>
      <w:r>
        <w:rPr>
          <w:rFonts w:hint="eastAsia" w:hAnsi="宋体"/>
          <w:color w:val="auto"/>
          <w:sz w:val="24"/>
          <w:szCs w:val="22"/>
        </w:rPr>
        <w:t>%</w:t>
      </w:r>
      <w:r>
        <w:rPr>
          <w:rFonts w:hAnsi="宋体"/>
          <w:color w:val="auto"/>
          <w:sz w:val="24"/>
          <w:szCs w:val="22"/>
        </w:rPr>
        <w:t>。具体见</w:t>
      </w:r>
      <w:r>
        <w:rPr>
          <w:rFonts w:hint="eastAsia" w:hAnsi="宋体"/>
          <w:color w:val="auto"/>
          <w:sz w:val="24"/>
          <w:szCs w:val="22"/>
        </w:rPr>
        <w:t>项目污染防治投资估算表。</w:t>
      </w:r>
    </w:p>
    <w:p>
      <w:pPr>
        <w:pStyle w:val="5"/>
        <w:numPr>
          <w:ilvl w:val="1"/>
          <w:numId w:val="0"/>
        </w:numPr>
        <w:tabs>
          <w:tab w:val="left" w:pos="105"/>
        </w:tabs>
        <w:spacing w:before="0" w:after="0"/>
        <w:textAlignment w:val="baseline"/>
        <w:rPr>
          <w:color w:val="auto"/>
          <w:sz w:val="24"/>
          <w:szCs w:val="24"/>
        </w:rPr>
      </w:pPr>
      <w:bookmarkStart w:id="657" w:name="_Toc5436"/>
      <w:bookmarkStart w:id="658" w:name="_Toc485580552"/>
      <w:bookmarkStart w:id="659" w:name="_Toc413830281"/>
      <w:bookmarkStart w:id="660" w:name="_Toc18874"/>
      <w:bookmarkStart w:id="661" w:name="_Toc438749972"/>
      <w:r>
        <w:rPr>
          <w:rFonts w:hint="eastAsia"/>
          <w:color w:val="auto"/>
          <w:sz w:val="24"/>
          <w:szCs w:val="24"/>
        </w:rPr>
        <w:t>8</w:t>
      </w:r>
      <w:r>
        <w:rPr>
          <w:color w:val="auto"/>
          <w:sz w:val="24"/>
          <w:szCs w:val="24"/>
        </w:rPr>
        <w:t>.</w:t>
      </w:r>
      <w:r>
        <w:rPr>
          <w:rFonts w:hint="eastAsia"/>
          <w:color w:val="auto"/>
          <w:sz w:val="24"/>
          <w:szCs w:val="24"/>
        </w:rPr>
        <w:t>2 环境影响</w:t>
      </w:r>
      <w:r>
        <w:rPr>
          <w:color w:val="auto"/>
          <w:sz w:val="24"/>
          <w:szCs w:val="24"/>
        </w:rPr>
        <w:t>经济</w:t>
      </w:r>
      <w:r>
        <w:rPr>
          <w:rFonts w:hint="eastAsia"/>
          <w:color w:val="auto"/>
          <w:sz w:val="24"/>
          <w:szCs w:val="24"/>
        </w:rPr>
        <w:t>损</w:t>
      </w:r>
      <w:r>
        <w:rPr>
          <w:color w:val="auto"/>
          <w:sz w:val="24"/>
          <w:szCs w:val="24"/>
        </w:rPr>
        <w:t>益分析</w:t>
      </w:r>
      <w:bookmarkEnd w:id="657"/>
      <w:bookmarkEnd w:id="658"/>
      <w:bookmarkEnd w:id="659"/>
      <w:bookmarkEnd w:id="660"/>
      <w:bookmarkEnd w:id="661"/>
    </w:p>
    <w:p>
      <w:pPr>
        <w:keepNext/>
        <w:keepLines/>
        <w:ind w:firstLine="480"/>
        <w:outlineLvl w:val="2"/>
        <w:rPr>
          <w:rFonts w:eastAsia="黑体"/>
          <w:bCs/>
          <w:color w:val="auto"/>
        </w:rPr>
      </w:pPr>
      <w:r>
        <w:rPr>
          <w:rFonts w:eastAsia="黑体"/>
          <w:bCs/>
          <w:color w:val="auto"/>
        </w:rPr>
        <w:t xml:space="preserve">8.2.1 </w:t>
      </w:r>
      <w:r>
        <w:rPr>
          <w:rFonts w:hAnsi="黑体" w:eastAsia="黑体"/>
          <w:bCs/>
          <w:color w:val="auto"/>
        </w:rPr>
        <w:t>噪声影响经济损失</w:t>
      </w:r>
    </w:p>
    <w:p>
      <w:pPr>
        <w:pStyle w:val="3"/>
        <w:numPr>
          <w:ilvl w:val="0"/>
          <w:numId w:val="0"/>
        </w:numPr>
        <w:ind w:firstLine="480" w:firstLineChars="200"/>
        <w:rPr>
          <w:rFonts w:hAnsi="宋体"/>
          <w:color w:val="auto"/>
          <w:sz w:val="24"/>
          <w:szCs w:val="24"/>
        </w:rPr>
      </w:pPr>
      <w:r>
        <w:rPr>
          <w:rFonts w:hAnsi="宋体"/>
          <w:color w:val="auto"/>
          <w:sz w:val="24"/>
          <w:szCs w:val="24"/>
        </w:rPr>
        <w:t>有关噪声影响的人群调查以及流行病学研究发现，在我国，生活在70dB（A）以上</w:t>
      </w:r>
      <w:r>
        <w:rPr>
          <w:rFonts w:hint="eastAsia" w:hAnsi="宋体"/>
          <w:color w:val="auto"/>
          <w:sz w:val="24"/>
          <w:szCs w:val="24"/>
        </w:rPr>
        <w:t>环境中</w:t>
      </w:r>
      <w:r>
        <w:rPr>
          <w:rFonts w:hAnsi="宋体"/>
          <w:color w:val="auto"/>
          <w:sz w:val="24"/>
          <w:szCs w:val="24"/>
        </w:rPr>
        <w:t>居民的人均医疗费用比70dB（A）以下的同类地方高；噪声级在70dB（A）以上</w:t>
      </w:r>
      <w:r>
        <w:rPr>
          <w:rFonts w:hint="eastAsia" w:hAnsi="宋体"/>
          <w:color w:val="auto"/>
          <w:sz w:val="24"/>
          <w:szCs w:val="24"/>
        </w:rPr>
        <w:t>环境</w:t>
      </w:r>
      <w:r>
        <w:rPr>
          <w:rFonts w:hAnsi="宋体"/>
          <w:color w:val="auto"/>
          <w:sz w:val="24"/>
          <w:szCs w:val="24"/>
        </w:rPr>
        <w:t>的居民有66.7%睡眠受到干扰，而睡眠受到干扰的职工会表现出生产效率有所下降。根据前面的噪声预测结果，在采取降噪措施前，本项目昼</w:t>
      </w:r>
      <w:r>
        <w:rPr>
          <w:rFonts w:hint="eastAsia" w:hAnsi="宋体"/>
          <w:color w:val="auto"/>
          <w:sz w:val="24"/>
          <w:szCs w:val="24"/>
        </w:rPr>
        <w:t>夜</w:t>
      </w:r>
      <w:r>
        <w:rPr>
          <w:rFonts w:hAnsi="宋体"/>
          <w:color w:val="auto"/>
          <w:sz w:val="24"/>
          <w:szCs w:val="24"/>
        </w:rPr>
        <w:t>间噪声值均未达到70dB（A），因此本项目的建设不会引起噪声影响经济损失。</w:t>
      </w:r>
    </w:p>
    <w:p>
      <w:pPr>
        <w:keepNext/>
        <w:keepLines/>
        <w:ind w:firstLine="480"/>
        <w:outlineLvl w:val="2"/>
        <w:rPr>
          <w:rFonts w:eastAsia="黑体"/>
          <w:bCs/>
          <w:color w:val="auto"/>
        </w:rPr>
      </w:pPr>
      <w:r>
        <w:rPr>
          <w:rFonts w:hint="eastAsia" w:eastAsia="黑体"/>
          <w:bCs/>
          <w:color w:val="auto"/>
        </w:rPr>
        <w:t>8.2.2</w:t>
      </w:r>
      <w:r>
        <w:rPr>
          <w:rFonts w:eastAsia="黑体"/>
          <w:bCs/>
          <w:color w:val="auto"/>
        </w:rPr>
        <w:t xml:space="preserve"> </w:t>
      </w:r>
      <w:r>
        <w:rPr>
          <w:rFonts w:hint="eastAsia" w:eastAsia="黑体"/>
          <w:bCs/>
          <w:color w:val="auto"/>
        </w:rPr>
        <w:t>环境空气影响经济损失</w:t>
      </w:r>
    </w:p>
    <w:p>
      <w:pPr>
        <w:pStyle w:val="3"/>
        <w:numPr>
          <w:ilvl w:val="0"/>
          <w:numId w:val="0"/>
        </w:numPr>
        <w:ind w:firstLine="480" w:firstLineChars="200"/>
        <w:rPr>
          <w:rFonts w:hAnsi="宋体"/>
          <w:color w:val="auto"/>
          <w:sz w:val="24"/>
          <w:szCs w:val="24"/>
        </w:rPr>
      </w:pPr>
      <w:r>
        <w:rPr>
          <w:rFonts w:hAnsi="宋体"/>
          <w:color w:val="auto"/>
          <w:sz w:val="24"/>
          <w:szCs w:val="24"/>
        </w:rPr>
        <w:t>营运期项目的环境空气影响主要表现在</w:t>
      </w:r>
      <w:r>
        <w:rPr>
          <w:rFonts w:hint="eastAsia" w:hAnsi="宋体"/>
          <w:color w:val="auto"/>
          <w:sz w:val="24"/>
          <w:szCs w:val="24"/>
        </w:rPr>
        <w:t>厂区</w:t>
      </w:r>
      <w:r>
        <w:rPr>
          <w:rFonts w:hAnsi="宋体"/>
          <w:color w:val="auto"/>
          <w:sz w:val="24"/>
          <w:szCs w:val="24"/>
        </w:rPr>
        <w:t>产生的恶臭气体使周围居民的空气环境质量有所下降，有可能对居民健康产生一定的影响。但是目前尚无环境空气影响经济损失的定量计算方法，环境空气影响造成的损失还难以直接用货币衡量，因此，以下将对环境空气影响损失进行定性分析。</w:t>
      </w:r>
    </w:p>
    <w:p>
      <w:pPr>
        <w:pStyle w:val="3"/>
        <w:numPr>
          <w:ilvl w:val="0"/>
          <w:numId w:val="0"/>
        </w:numPr>
        <w:ind w:firstLine="480" w:firstLineChars="200"/>
        <w:rPr>
          <w:rFonts w:hAnsi="宋体"/>
          <w:bCs/>
          <w:color w:val="auto"/>
          <w:sz w:val="24"/>
          <w:szCs w:val="24"/>
        </w:rPr>
      </w:pPr>
      <w:r>
        <w:rPr>
          <w:rFonts w:hAnsi="宋体"/>
          <w:bCs/>
          <w:color w:val="auto"/>
          <w:sz w:val="24"/>
          <w:szCs w:val="24"/>
        </w:rPr>
        <w:t>恶臭的成分十分复杂，因家畜的种类、清粪方式、日粮组成、粪便和污水处理等不同而异，有机成分是硫醇类、胺类、吲哚、挥发性有机酸、酚类、醛类、酮类、醇类以及含氮杂环化合物等，无机成分主要是NH</w:t>
      </w:r>
      <w:r>
        <w:rPr>
          <w:rFonts w:hAnsi="宋体"/>
          <w:bCs/>
          <w:color w:val="auto"/>
          <w:sz w:val="24"/>
          <w:szCs w:val="24"/>
          <w:vertAlign w:val="subscript"/>
        </w:rPr>
        <w:t>3</w:t>
      </w:r>
      <w:r>
        <w:rPr>
          <w:rFonts w:hAnsi="宋体"/>
          <w:bCs/>
          <w:color w:val="auto"/>
          <w:sz w:val="24"/>
          <w:szCs w:val="24"/>
        </w:rPr>
        <w:t>和H</w:t>
      </w:r>
      <w:r>
        <w:rPr>
          <w:rFonts w:hAnsi="宋体"/>
          <w:bCs/>
          <w:color w:val="auto"/>
          <w:sz w:val="24"/>
          <w:szCs w:val="24"/>
          <w:vertAlign w:val="subscript"/>
        </w:rPr>
        <w:t>2</w:t>
      </w:r>
      <w:r>
        <w:rPr>
          <w:rFonts w:hAnsi="宋体"/>
          <w:bCs/>
          <w:color w:val="auto"/>
          <w:sz w:val="24"/>
          <w:szCs w:val="24"/>
        </w:rPr>
        <w:t>S。</w:t>
      </w:r>
    </w:p>
    <w:p>
      <w:pPr>
        <w:pStyle w:val="3"/>
        <w:numPr>
          <w:ilvl w:val="0"/>
          <w:numId w:val="0"/>
        </w:numPr>
        <w:ind w:firstLine="480" w:firstLineChars="200"/>
        <w:rPr>
          <w:rFonts w:hAnsi="宋体"/>
          <w:color w:val="auto"/>
          <w:sz w:val="24"/>
          <w:szCs w:val="24"/>
        </w:rPr>
      </w:pPr>
      <w:r>
        <w:rPr>
          <w:rFonts w:hAnsi="宋体"/>
          <w:color w:val="auto"/>
          <w:sz w:val="24"/>
          <w:szCs w:val="24"/>
        </w:rPr>
        <w:t>本项目建设后，猪舍养殖、粪污处理等过程会产生恶臭气体，通过注意</w:t>
      </w:r>
      <w:r>
        <w:rPr>
          <w:rFonts w:hint="eastAsia" w:hAnsi="宋体"/>
          <w:color w:val="auto"/>
          <w:sz w:val="24"/>
          <w:szCs w:val="24"/>
        </w:rPr>
        <w:t>厂区</w:t>
      </w:r>
      <w:r>
        <w:rPr>
          <w:rFonts w:hAnsi="宋体"/>
          <w:color w:val="auto"/>
          <w:sz w:val="24"/>
          <w:szCs w:val="24"/>
        </w:rPr>
        <w:t>卫生、及时冲洗、添加除臭剂等措施可最大限制的减少恶臭气体的排放，另外利用</w:t>
      </w:r>
      <w:r>
        <w:rPr>
          <w:rFonts w:hint="eastAsia" w:hAnsi="宋体"/>
          <w:color w:val="auto"/>
          <w:sz w:val="24"/>
          <w:szCs w:val="24"/>
        </w:rPr>
        <w:t>厂区</w:t>
      </w:r>
      <w:r>
        <w:rPr>
          <w:rFonts w:hAnsi="宋体"/>
          <w:color w:val="auto"/>
          <w:sz w:val="24"/>
          <w:szCs w:val="24"/>
        </w:rPr>
        <w:t>内绿化植物及</w:t>
      </w:r>
      <w:r>
        <w:rPr>
          <w:rFonts w:hint="eastAsia" w:hAnsi="宋体"/>
          <w:color w:val="auto"/>
          <w:sz w:val="24"/>
          <w:szCs w:val="24"/>
        </w:rPr>
        <w:t>厂区</w:t>
      </w:r>
      <w:r>
        <w:rPr>
          <w:rFonts w:hAnsi="宋体"/>
          <w:color w:val="auto"/>
          <w:sz w:val="24"/>
          <w:szCs w:val="24"/>
        </w:rPr>
        <w:t>外大面积的农田吸收，</w:t>
      </w:r>
      <w:r>
        <w:rPr>
          <w:rFonts w:hint="eastAsia" w:hAnsi="宋体"/>
          <w:color w:val="auto"/>
          <w:sz w:val="24"/>
          <w:szCs w:val="24"/>
        </w:rPr>
        <w:t>对周围环境的影响可降至最低，且本项目周围500m范围内无环境敏感点，因此，项目营运期间产生的恶臭对周围环境影响不大。</w:t>
      </w:r>
    </w:p>
    <w:p>
      <w:pPr>
        <w:keepNext/>
        <w:keepLines/>
        <w:ind w:firstLine="480"/>
        <w:outlineLvl w:val="2"/>
        <w:rPr>
          <w:rFonts w:eastAsia="黑体"/>
          <w:bCs/>
          <w:color w:val="auto"/>
        </w:rPr>
      </w:pPr>
      <w:r>
        <w:rPr>
          <w:rFonts w:hint="eastAsia" w:eastAsia="黑体"/>
          <w:bCs/>
          <w:color w:val="auto"/>
        </w:rPr>
        <w:t>8.2.3</w:t>
      </w:r>
      <w:r>
        <w:rPr>
          <w:rFonts w:eastAsia="黑体"/>
          <w:bCs/>
          <w:color w:val="auto"/>
        </w:rPr>
        <w:t xml:space="preserve"> </w:t>
      </w:r>
      <w:r>
        <w:rPr>
          <w:rFonts w:hint="eastAsia" w:eastAsia="黑体"/>
          <w:bCs/>
          <w:color w:val="auto"/>
        </w:rPr>
        <w:t>水环境影响经济损失</w:t>
      </w:r>
    </w:p>
    <w:p>
      <w:pPr>
        <w:pStyle w:val="3"/>
        <w:numPr>
          <w:ilvl w:val="0"/>
          <w:numId w:val="0"/>
        </w:numPr>
        <w:ind w:firstLine="480" w:firstLineChars="200"/>
        <w:rPr>
          <w:rFonts w:hAnsi="宋体"/>
          <w:color w:val="auto"/>
          <w:sz w:val="24"/>
          <w:szCs w:val="24"/>
        </w:rPr>
      </w:pPr>
      <w:r>
        <w:rPr>
          <w:rFonts w:hAnsi="宋体"/>
          <w:color w:val="auto"/>
          <w:sz w:val="24"/>
          <w:szCs w:val="24"/>
        </w:rPr>
        <w:t>营运期本项目产生的污水主要是</w:t>
      </w:r>
      <w:r>
        <w:rPr>
          <w:rFonts w:hint="eastAsia" w:hAnsi="宋体"/>
          <w:color w:val="auto"/>
          <w:sz w:val="24"/>
          <w:szCs w:val="24"/>
        </w:rPr>
        <w:t>养殖废水和居民生活污水，全部通过管道输入污水处理站统一处理，之后作为农肥灌溉周边农田，不外排，因此</w:t>
      </w:r>
      <w:r>
        <w:rPr>
          <w:rFonts w:hAnsi="宋体"/>
          <w:color w:val="auto"/>
          <w:sz w:val="24"/>
          <w:szCs w:val="24"/>
        </w:rPr>
        <w:t>对环境的影响非常有限。在此，不再估算水污染造成的经济损失。</w:t>
      </w:r>
    </w:p>
    <w:p>
      <w:pPr>
        <w:keepNext/>
        <w:keepLines/>
        <w:ind w:firstLine="480"/>
        <w:outlineLvl w:val="2"/>
        <w:rPr>
          <w:rFonts w:eastAsia="黑体"/>
          <w:bCs/>
          <w:color w:val="auto"/>
        </w:rPr>
      </w:pPr>
      <w:r>
        <w:rPr>
          <w:rFonts w:eastAsia="黑体"/>
          <w:bCs/>
          <w:color w:val="auto"/>
        </w:rPr>
        <w:t xml:space="preserve">8.2.4 </w:t>
      </w:r>
      <w:r>
        <w:rPr>
          <w:rFonts w:hAnsi="黑体" w:eastAsia="黑体"/>
          <w:bCs/>
          <w:color w:val="auto"/>
        </w:rPr>
        <w:t>生态环境影响经济损失</w:t>
      </w:r>
    </w:p>
    <w:p>
      <w:pPr>
        <w:pStyle w:val="3"/>
        <w:numPr>
          <w:ilvl w:val="0"/>
          <w:numId w:val="0"/>
        </w:numPr>
        <w:ind w:firstLine="480" w:firstLineChars="200"/>
        <w:rPr>
          <w:rFonts w:hAnsi="宋体"/>
          <w:color w:val="auto"/>
          <w:sz w:val="24"/>
          <w:szCs w:val="24"/>
        </w:rPr>
      </w:pPr>
      <w:r>
        <w:rPr>
          <w:rFonts w:hAnsi="宋体"/>
          <w:color w:val="auto"/>
          <w:sz w:val="24"/>
          <w:szCs w:val="24"/>
        </w:rPr>
        <w:t>本项目</w:t>
      </w:r>
      <w:r>
        <w:rPr>
          <w:rFonts w:hint="eastAsia" w:hAnsi="宋体"/>
          <w:color w:val="auto"/>
          <w:sz w:val="24"/>
          <w:szCs w:val="24"/>
        </w:rPr>
        <w:t>的建设将破坏现有农田生态系统，铲除厂区现有植被，使得现有植被的经济能力消失，但</w:t>
      </w:r>
      <w:r>
        <w:rPr>
          <w:rFonts w:hAnsi="宋体"/>
          <w:color w:val="auto"/>
          <w:sz w:val="24"/>
          <w:szCs w:val="24"/>
        </w:rPr>
        <w:t>是</w:t>
      </w:r>
      <w:r>
        <w:rPr>
          <w:rFonts w:hint="eastAsia" w:hAnsi="宋体"/>
          <w:color w:val="auto"/>
          <w:sz w:val="24"/>
          <w:szCs w:val="24"/>
        </w:rPr>
        <w:t>项目建成后，新的系统会产生更好的经济效益，对原有生态环境的经济损失做出补偿。</w:t>
      </w:r>
    </w:p>
    <w:p>
      <w:pPr>
        <w:pStyle w:val="5"/>
        <w:numPr>
          <w:ilvl w:val="1"/>
          <w:numId w:val="0"/>
        </w:numPr>
        <w:tabs>
          <w:tab w:val="left" w:pos="105"/>
        </w:tabs>
        <w:spacing w:before="0" w:after="0"/>
        <w:textAlignment w:val="baseline"/>
        <w:rPr>
          <w:color w:val="auto"/>
          <w:sz w:val="24"/>
          <w:szCs w:val="24"/>
        </w:rPr>
      </w:pPr>
      <w:bookmarkStart w:id="662" w:name="_Toc476923135"/>
      <w:bookmarkStart w:id="663" w:name="_Toc30166"/>
      <w:bookmarkStart w:id="664" w:name="_Toc17525"/>
      <w:bookmarkStart w:id="665" w:name="_Toc329183290"/>
      <w:bookmarkStart w:id="666" w:name="_Toc485580553"/>
      <w:bookmarkStart w:id="667" w:name="_Toc366760459"/>
      <w:bookmarkStart w:id="668" w:name="_Toc476922042"/>
      <w:bookmarkStart w:id="669" w:name="_Toc295121731"/>
      <w:r>
        <w:rPr>
          <w:rFonts w:hint="eastAsia"/>
          <w:color w:val="auto"/>
          <w:sz w:val="24"/>
          <w:szCs w:val="24"/>
        </w:rPr>
        <w:t>8.3 项目经济效益</w:t>
      </w:r>
      <w:bookmarkEnd w:id="646"/>
      <w:bookmarkEnd w:id="647"/>
      <w:bookmarkEnd w:id="648"/>
      <w:r>
        <w:rPr>
          <w:rFonts w:hint="eastAsia"/>
          <w:color w:val="auto"/>
          <w:sz w:val="24"/>
          <w:szCs w:val="24"/>
        </w:rPr>
        <w:t>分析</w:t>
      </w:r>
      <w:bookmarkEnd w:id="662"/>
      <w:bookmarkEnd w:id="663"/>
      <w:bookmarkEnd w:id="664"/>
      <w:bookmarkEnd w:id="665"/>
      <w:bookmarkEnd w:id="666"/>
      <w:bookmarkEnd w:id="667"/>
      <w:bookmarkEnd w:id="668"/>
      <w:bookmarkEnd w:id="669"/>
    </w:p>
    <w:p>
      <w:pPr>
        <w:keepNext/>
        <w:keepLines/>
        <w:ind w:firstLine="480"/>
        <w:outlineLvl w:val="2"/>
        <w:rPr>
          <w:rFonts w:eastAsia="黑体"/>
          <w:bCs/>
          <w:color w:val="auto"/>
        </w:rPr>
      </w:pPr>
      <w:r>
        <w:rPr>
          <w:rFonts w:hint="eastAsia" w:eastAsia="黑体"/>
          <w:bCs/>
          <w:color w:val="auto"/>
        </w:rPr>
        <w:t>8.3.1本项目经济技术指标</w:t>
      </w:r>
    </w:p>
    <w:p>
      <w:pPr>
        <w:pStyle w:val="11"/>
        <w:spacing w:after="0"/>
        <w:ind w:firstLine="480"/>
        <w:jc w:val="left"/>
        <w:rPr>
          <w:color w:val="auto"/>
        </w:rPr>
      </w:pPr>
      <w:r>
        <w:rPr>
          <w:color w:val="auto"/>
        </w:rPr>
        <w:t>本项目为</w:t>
      </w:r>
      <w:r>
        <w:rPr>
          <w:rFonts w:hint="eastAsia"/>
          <w:color w:val="auto"/>
        </w:rPr>
        <w:t>育肥猪</w:t>
      </w:r>
      <w:r>
        <w:rPr>
          <w:color w:val="auto"/>
        </w:rPr>
        <w:t>项目，总投资为</w:t>
      </w:r>
      <w:r>
        <w:rPr>
          <w:rFonts w:hint="eastAsia"/>
          <w:color w:val="auto"/>
        </w:rPr>
        <w:t>3442.89</w:t>
      </w:r>
      <w:r>
        <w:rPr>
          <w:color w:val="auto"/>
        </w:rPr>
        <w:t>万元，包括猪舍、污染治理工程及辅助生产设施等。项目主要技术经济指标表见表</w:t>
      </w:r>
      <w:r>
        <w:rPr>
          <w:color w:val="auto"/>
          <w:spacing w:val="-61"/>
        </w:rPr>
        <w:t xml:space="preserve"> </w:t>
      </w:r>
      <w:r>
        <w:rPr>
          <w:rFonts w:eastAsia="Times New Roman"/>
          <w:color w:val="auto"/>
        </w:rPr>
        <w:t>8.3-1</w:t>
      </w:r>
      <w:r>
        <w:rPr>
          <w:color w:val="auto"/>
        </w:rPr>
        <w:t>。</w:t>
      </w:r>
    </w:p>
    <w:p>
      <w:pPr>
        <w:ind w:firstLine="422"/>
        <w:jc w:val="center"/>
        <w:rPr>
          <w:b/>
          <w:color w:val="auto"/>
          <w:sz w:val="21"/>
          <w:szCs w:val="21"/>
        </w:rPr>
      </w:pPr>
      <w:r>
        <w:rPr>
          <w:rFonts w:hint="eastAsia"/>
          <w:b/>
          <w:color w:val="auto"/>
          <w:sz w:val="21"/>
          <w:szCs w:val="21"/>
        </w:rPr>
        <w:t>表8.3-1</w:t>
      </w:r>
      <w:r>
        <w:rPr>
          <w:b/>
          <w:color w:val="auto"/>
          <w:sz w:val="21"/>
          <w:szCs w:val="21"/>
        </w:rPr>
        <w:tab/>
      </w:r>
      <w:r>
        <w:rPr>
          <w:b/>
          <w:color w:val="auto"/>
          <w:sz w:val="21"/>
          <w:szCs w:val="21"/>
        </w:rPr>
        <w:tab/>
      </w:r>
      <w:r>
        <w:rPr>
          <w:b/>
          <w:color w:val="auto"/>
          <w:sz w:val="21"/>
          <w:szCs w:val="21"/>
        </w:rPr>
        <w:tab/>
      </w:r>
      <w:r>
        <w:rPr>
          <w:b/>
          <w:color w:val="auto"/>
          <w:sz w:val="21"/>
          <w:szCs w:val="21"/>
        </w:rPr>
        <w:tab/>
      </w:r>
      <w:r>
        <w:rPr>
          <w:rFonts w:hint="eastAsia"/>
          <w:b/>
          <w:color w:val="auto"/>
          <w:sz w:val="21"/>
          <w:szCs w:val="21"/>
        </w:rPr>
        <w:t xml:space="preserve">        项目综合指标表</w:t>
      </w:r>
    </w:p>
    <w:tbl>
      <w:tblPr>
        <w:tblStyle w:val="27"/>
        <w:tblW w:w="0" w:type="auto"/>
        <w:tblInd w:w="28" w:type="dxa"/>
        <w:tblBorders>
          <w:top w:val="single" w:color="auto" w:sz="4" w:space="0"/>
          <w:left w:val="none" w:color="auto" w:sz="0" w:space="0"/>
          <w:bottom w:val="single" w:color="auto" w:sz="6"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1135"/>
        <w:gridCol w:w="2459"/>
        <w:gridCol w:w="2648"/>
        <w:gridCol w:w="2459"/>
      </w:tblGrid>
      <w:tr>
        <w:tblPrEx>
          <w:tblBorders>
            <w:top w:val="single" w:color="auto" w:sz="4" w:space="0"/>
            <w:left w:val="none" w:color="auto" w:sz="0" w:space="0"/>
            <w:bottom w:val="single" w:color="auto" w:sz="6" w:space="0"/>
            <w:right w:val="none" w:color="auto" w:sz="0" w:space="0"/>
            <w:insideH w:val="single" w:color="auto" w:sz="6" w:space="0"/>
            <w:insideV w:val="single" w:color="auto" w:sz="6" w:space="0"/>
          </w:tblBorders>
          <w:tblCellMar>
            <w:top w:w="0" w:type="dxa"/>
            <w:left w:w="28" w:type="dxa"/>
            <w:bottom w:w="0" w:type="dxa"/>
            <w:right w:w="28" w:type="dxa"/>
          </w:tblCellMar>
        </w:tblPrEx>
        <w:tc>
          <w:tcPr>
            <w:tcW w:w="1135" w:type="dxa"/>
            <w:tcMar>
              <w:top w:w="57" w:type="dxa"/>
              <w:bottom w:w="57" w:type="dxa"/>
            </w:tcMar>
            <w:vAlign w:val="center"/>
          </w:tcPr>
          <w:p>
            <w:pPr>
              <w:pStyle w:val="35"/>
              <w:adjustRightInd/>
              <w:spacing w:line="240" w:lineRule="auto"/>
              <w:ind w:firstLine="420"/>
              <w:rPr>
                <w:color w:val="auto"/>
                <w:position w:val="-6"/>
                <w:sz w:val="21"/>
                <w:szCs w:val="21"/>
              </w:rPr>
            </w:pPr>
            <w:r>
              <w:rPr>
                <w:rFonts w:hint="eastAsia" w:hAnsi="宋体"/>
                <w:color w:val="auto"/>
                <w:position w:val="-6"/>
                <w:sz w:val="21"/>
                <w:szCs w:val="21"/>
              </w:rPr>
              <w:t>序号</w:t>
            </w:r>
          </w:p>
        </w:tc>
        <w:tc>
          <w:tcPr>
            <w:tcW w:w="2459" w:type="dxa"/>
            <w:tcMar>
              <w:top w:w="57" w:type="dxa"/>
              <w:bottom w:w="57" w:type="dxa"/>
            </w:tcMar>
            <w:vAlign w:val="center"/>
          </w:tcPr>
          <w:p>
            <w:pPr>
              <w:spacing w:line="240" w:lineRule="auto"/>
              <w:ind w:firstLine="420"/>
              <w:rPr>
                <w:color w:val="auto"/>
                <w:position w:val="-6"/>
                <w:sz w:val="21"/>
                <w:szCs w:val="21"/>
              </w:rPr>
            </w:pPr>
            <w:r>
              <w:rPr>
                <w:rFonts w:hint="eastAsia" w:hAnsi="宋体"/>
                <w:color w:val="auto"/>
                <w:position w:val="-6"/>
                <w:sz w:val="21"/>
                <w:szCs w:val="21"/>
              </w:rPr>
              <w:t>指标名称</w:t>
            </w:r>
          </w:p>
        </w:tc>
        <w:tc>
          <w:tcPr>
            <w:tcW w:w="2648" w:type="dxa"/>
            <w:tcMar>
              <w:top w:w="57" w:type="dxa"/>
              <w:bottom w:w="57" w:type="dxa"/>
            </w:tcMar>
            <w:vAlign w:val="center"/>
          </w:tcPr>
          <w:p>
            <w:pPr>
              <w:spacing w:line="240" w:lineRule="auto"/>
              <w:ind w:firstLine="420"/>
              <w:jc w:val="center"/>
              <w:rPr>
                <w:color w:val="auto"/>
                <w:position w:val="-6"/>
                <w:sz w:val="21"/>
                <w:szCs w:val="21"/>
              </w:rPr>
            </w:pPr>
            <w:r>
              <w:rPr>
                <w:rFonts w:hint="eastAsia" w:hAnsi="宋体"/>
                <w:color w:val="auto"/>
                <w:position w:val="-6"/>
                <w:sz w:val="21"/>
                <w:szCs w:val="21"/>
              </w:rPr>
              <w:t>单位</w:t>
            </w:r>
          </w:p>
        </w:tc>
        <w:tc>
          <w:tcPr>
            <w:tcW w:w="2459" w:type="dxa"/>
            <w:tcMar>
              <w:top w:w="57" w:type="dxa"/>
              <w:bottom w:w="57" w:type="dxa"/>
            </w:tcMar>
            <w:vAlign w:val="center"/>
          </w:tcPr>
          <w:p>
            <w:pPr>
              <w:spacing w:line="240" w:lineRule="auto"/>
              <w:ind w:firstLine="420"/>
              <w:jc w:val="center"/>
              <w:rPr>
                <w:color w:val="auto"/>
                <w:position w:val="-6"/>
                <w:sz w:val="21"/>
                <w:szCs w:val="21"/>
              </w:rPr>
            </w:pPr>
            <w:r>
              <w:rPr>
                <w:rFonts w:hint="eastAsia" w:hAnsi="宋体"/>
                <w:color w:val="auto"/>
                <w:position w:val="-6"/>
                <w:sz w:val="21"/>
                <w:szCs w:val="21"/>
              </w:rPr>
              <w:t>标准数值</w:t>
            </w:r>
          </w:p>
        </w:tc>
      </w:tr>
      <w:tr>
        <w:tblPrEx>
          <w:tblBorders>
            <w:top w:val="single" w:color="auto" w:sz="4" w:space="0"/>
            <w:left w:val="none" w:color="auto" w:sz="0" w:space="0"/>
            <w:bottom w:val="single" w:color="auto" w:sz="6" w:space="0"/>
            <w:right w:val="none" w:color="auto" w:sz="0" w:space="0"/>
            <w:insideH w:val="single" w:color="auto" w:sz="6" w:space="0"/>
            <w:insideV w:val="single" w:color="auto" w:sz="6" w:space="0"/>
          </w:tblBorders>
          <w:tblCellMar>
            <w:top w:w="0" w:type="dxa"/>
            <w:left w:w="28" w:type="dxa"/>
            <w:bottom w:w="0" w:type="dxa"/>
            <w:right w:w="28" w:type="dxa"/>
          </w:tblCellMar>
        </w:tblPrEx>
        <w:tc>
          <w:tcPr>
            <w:tcW w:w="1135" w:type="dxa"/>
            <w:tcMar>
              <w:top w:w="57" w:type="dxa"/>
              <w:bottom w:w="57" w:type="dxa"/>
            </w:tcMar>
            <w:vAlign w:val="center"/>
          </w:tcPr>
          <w:p>
            <w:pPr>
              <w:pStyle w:val="35"/>
              <w:adjustRightInd/>
              <w:spacing w:line="240" w:lineRule="auto"/>
              <w:ind w:firstLine="420"/>
              <w:rPr>
                <w:color w:val="auto"/>
                <w:position w:val="-6"/>
                <w:sz w:val="21"/>
                <w:szCs w:val="21"/>
              </w:rPr>
            </w:pPr>
            <w:r>
              <w:rPr>
                <w:rFonts w:hint="eastAsia"/>
                <w:color w:val="auto"/>
                <w:position w:val="-6"/>
                <w:sz w:val="21"/>
                <w:szCs w:val="21"/>
              </w:rPr>
              <w:t>1</w:t>
            </w:r>
          </w:p>
        </w:tc>
        <w:tc>
          <w:tcPr>
            <w:tcW w:w="2459" w:type="dxa"/>
            <w:tcMar>
              <w:top w:w="57" w:type="dxa"/>
              <w:bottom w:w="57" w:type="dxa"/>
            </w:tcMar>
            <w:vAlign w:val="center"/>
          </w:tcPr>
          <w:p>
            <w:pPr>
              <w:spacing w:line="240" w:lineRule="auto"/>
              <w:ind w:firstLine="420"/>
              <w:rPr>
                <w:color w:val="auto"/>
                <w:position w:val="-6"/>
                <w:sz w:val="21"/>
                <w:szCs w:val="21"/>
              </w:rPr>
            </w:pPr>
            <w:r>
              <w:rPr>
                <w:rFonts w:hint="eastAsia" w:hAnsi="宋体"/>
                <w:color w:val="auto"/>
                <w:position w:val="-6"/>
                <w:sz w:val="21"/>
                <w:szCs w:val="21"/>
              </w:rPr>
              <w:t>项目总投资</w:t>
            </w:r>
          </w:p>
        </w:tc>
        <w:tc>
          <w:tcPr>
            <w:tcW w:w="2648" w:type="dxa"/>
            <w:tcMar>
              <w:top w:w="57" w:type="dxa"/>
              <w:bottom w:w="57" w:type="dxa"/>
            </w:tcMar>
            <w:vAlign w:val="center"/>
          </w:tcPr>
          <w:p>
            <w:pPr>
              <w:spacing w:line="240" w:lineRule="auto"/>
              <w:ind w:firstLine="420"/>
              <w:jc w:val="center"/>
              <w:rPr>
                <w:color w:val="auto"/>
                <w:position w:val="-6"/>
                <w:sz w:val="21"/>
                <w:szCs w:val="21"/>
              </w:rPr>
            </w:pPr>
            <w:r>
              <w:rPr>
                <w:rFonts w:hint="eastAsia" w:hAnsi="宋体"/>
                <w:color w:val="auto"/>
                <w:position w:val="-6"/>
                <w:sz w:val="21"/>
                <w:szCs w:val="21"/>
              </w:rPr>
              <w:t>万元</w:t>
            </w:r>
          </w:p>
        </w:tc>
        <w:tc>
          <w:tcPr>
            <w:tcW w:w="2459" w:type="dxa"/>
            <w:tcMar>
              <w:top w:w="57" w:type="dxa"/>
              <w:bottom w:w="57" w:type="dxa"/>
            </w:tcMar>
            <w:vAlign w:val="center"/>
          </w:tcPr>
          <w:p>
            <w:pPr>
              <w:spacing w:line="240" w:lineRule="auto"/>
              <w:ind w:firstLine="420"/>
              <w:jc w:val="center"/>
              <w:rPr>
                <w:color w:val="auto"/>
                <w:position w:val="-6"/>
                <w:sz w:val="21"/>
                <w:szCs w:val="21"/>
              </w:rPr>
            </w:pPr>
            <w:r>
              <w:rPr>
                <w:rFonts w:hint="eastAsia"/>
                <w:iCs/>
                <w:color w:val="auto"/>
                <w:sz w:val="21"/>
                <w:szCs w:val="21"/>
              </w:rPr>
              <w:t>3442.89</w:t>
            </w:r>
          </w:p>
        </w:tc>
      </w:tr>
      <w:tr>
        <w:tblPrEx>
          <w:tblBorders>
            <w:top w:val="single" w:color="auto" w:sz="4" w:space="0"/>
            <w:left w:val="none" w:color="auto" w:sz="0" w:space="0"/>
            <w:bottom w:val="single" w:color="auto" w:sz="6" w:space="0"/>
            <w:right w:val="none" w:color="auto" w:sz="0" w:space="0"/>
            <w:insideH w:val="single" w:color="auto" w:sz="6" w:space="0"/>
            <w:insideV w:val="single" w:color="auto" w:sz="6" w:space="0"/>
          </w:tblBorders>
          <w:tblCellMar>
            <w:top w:w="0" w:type="dxa"/>
            <w:left w:w="28" w:type="dxa"/>
            <w:bottom w:w="0" w:type="dxa"/>
            <w:right w:w="28" w:type="dxa"/>
          </w:tblCellMar>
        </w:tblPrEx>
        <w:tc>
          <w:tcPr>
            <w:tcW w:w="1135" w:type="dxa"/>
            <w:tcMar>
              <w:top w:w="57" w:type="dxa"/>
              <w:bottom w:w="57" w:type="dxa"/>
            </w:tcMar>
            <w:vAlign w:val="center"/>
          </w:tcPr>
          <w:p>
            <w:pPr>
              <w:spacing w:line="240" w:lineRule="auto"/>
              <w:ind w:firstLine="420"/>
              <w:jc w:val="center"/>
              <w:rPr>
                <w:color w:val="auto"/>
                <w:position w:val="-6"/>
                <w:sz w:val="21"/>
                <w:szCs w:val="21"/>
              </w:rPr>
            </w:pPr>
            <w:r>
              <w:rPr>
                <w:rFonts w:hint="eastAsia"/>
                <w:color w:val="auto"/>
                <w:position w:val="-6"/>
                <w:sz w:val="21"/>
                <w:szCs w:val="21"/>
              </w:rPr>
              <w:t>2</w:t>
            </w:r>
          </w:p>
        </w:tc>
        <w:tc>
          <w:tcPr>
            <w:tcW w:w="2459" w:type="dxa"/>
            <w:tcMar>
              <w:top w:w="57" w:type="dxa"/>
              <w:bottom w:w="57" w:type="dxa"/>
            </w:tcMar>
            <w:vAlign w:val="center"/>
          </w:tcPr>
          <w:p>
            <w:pPr>
              <w:spacing w:line="240" w:lineRule="auto"/>
              <w:ind w:firstLine="420"/>
              <w:rPr>
                <w:color w:val="auto"/>
                <w:position w:val="-6"/>
                <w:sz w:val="21"/>
                <w:szCs w:val="21"/>
              </w:rPr>
            </w:pPr>
            <w:r>
              <w:rPr>
                <w:rFonts w:hint="eastAsia" w:hAnsi="宋体"/>
                <w:color w:val="auto"/>
                <w:position w:val="-6"/>
                <w:sz w:val="21"/>
                <w:szCs w:val="21"/>
              </w:rPr>
              <w:t>年均税后利润</w:t>
            </w:r>
          </w:p>
        </w:tc>
        <w:tc>
          <w:tcPr>
            <w:tcW w:w="2648" w:type="dxa"/>
            <w:tcMar>
              <w:top w:w="57" w:type="dxa"/>
              <w:bottom w:w="57" w:type="dxa"/>
            </w:tcMar>
            <w:vAlign w:val="center"/>
          </w:tcPr>
          <w:p>
            <w:pPr>
              <w:spacing w:line="240" w:lineRule="auto"/>
              <w:ind w:firstLine="420"/>
              <w:jc w:val="center"/>
              <w:rPr>
                <w:color w:val="auto"/>
                <w:position w:val="-6"/>
                <w:sz w:val="21"/>
                <w:szCs w:val="21"/>
              </w:rPr>
            </w:pPr>
            <w:r>
              <w:rPr>
                <w:rFonts w:hint="eastAsia" w:hAnsi="宋体"/>
                <w:color w:val="auto"/>
                <w:position w:val="-6"/>
                <w:sz w:val="21"/>
                <w:szCs w:val="21"/>
              </w:rPr>
              <w:t>万元</w:t>
            </w:r>
          </w:p>
        </w:tc>
        <w:tc>
          <w:tcPr>
            <w:tcW w:w="2459" w:type="dxa"/>
            <w:tcMar>
              <w:top w:w="57" w:type="dxa"/>
              <w:bottom w:w="57" w:type="dxa"/>
            </w:tcMar>
            <w:vAlign w:val="center"/>
          </w:tcPr>
          <w:p>
            <w:pPr>
              <w:spacing w:line="240" w:lineRule="auto"/>
              <w:ind w:firstLine="420"/>
              <w:jc w:val="center"/>
              <w:rPr>
                <w:color w:val="auto"/>
                <w:position w:val="-6"/>
                <w:sz w:val="21"/>
                <w:szCs w:val="21"/>
              </w:rPr>
            </w:pPr>
            <w:r>
              <w:rPr>
                <w:color w:val="auto"/>
                <w:position w:val="-6"/>
                <w:sz w:val="21"/>
                <w:szCs w:val="21"/>
              </w:rPr>
              <w:t xml:space="preserve">1341.89 </w:t>
            </w:r>
          </w:p>
        </w:tc>
      </w:tr>
      <w:tr>
        <w:tblPrEx>
          <w:tblBorders>
            <w:top w:val="single" w:color="auto" w:sz="4" w:space="0"/>
            <w:left w:val="none" w:color="auto" w:sz="0" w:space="0"/>
            <w:bottom w:val="single" w:color="auto" w:sz="6" w:space="0"/>
            <w:right w:val="none" w:color="auto" w:sz="0" w:space="0"/>
            <w:insideH w:val="single" w:color="auto" w:sz="6" w:space="0"/>
            <w:insideV w:val="single" w:color="auto" w:sz="6" w:space="0"/>
          </w:tblBorders>
          <w:tblCellMar>
            <w:top w:w="0" w:type="dxa"/>
            <w:left w:w="28" w:type="dxa"/>
            <w:bottom w:w="0" w:type="dxa"/>
            <w:right w:w="28" w:type="dxa"/>
          </w:tblCellMar>
        </w:tblPrEx>
        <w:tc>
          <w:tcPr>
            <w:tcW w:w="1135" w:type="dxa"/>
            <w:tcMar>
              <w:top w:w="57" w:type="dxa"/>
              <w:bottom w:w="57" w:type="dxa"/>
            </w:tcMar>
            <w:vAlign w:val="center"/>
          </w:tcPr>
          <w:p>
            <w:pPr>
              <w:spacing w:line="240" w:lineRule="auto"/>
              <w:ind w:firstLine="420"/>
              <w:jc w:val="center"/>
              <w:rPr>
                <w:color w:val="auto"/>
                <w:position w:val="-6"/>
                <w:sz w:val="21"/>
                <w:szCs w:val="21"/>
              </w:rPr>
            </w:pPr>
            <w:r>
              <w:rPr>
                <w:rFonts w:hint="eastAsia"/>
                <w:color w:val="auto"/>
                <w:position w:val="-6"/>
                <w:sz w:val="21"/>
                <w:szCs w:val="21"/>
              </w:rPr>
              <w:t>3</w:t>
            </w:r>
          </w:p>
        </w:tc>
        <w:tc>
          <w:tcPr>
            <w:tcW w:w="2459" w:type="dxa"/>
            <w:tcMar>
              <w:top w:w="57" w:type="dxa"/>
              <w:bottom w:w="57" w:type="dxa"/>
            </w:tcMar>
            <w:vAlign w:val="center"/>
          </w:tcPr>
          <w:p>
            <w:pPr>
              <w:spacing w:line="240" w:lineRule="auto"/>
              <w:ind w:firstLine="420"/>
              <w:rPr>
                <w:color w:val="auto"/>
                <w:position w:val="-6"/>
                <w:sz w:val="21"/>
                <w:szCs w:val="21"/>
              </w:rPr>
            </w:pPr>
            <w:r>
              <w:rPr>
                <w:rFonts w:hint="eastAsia" w:hAnsi="宋体"/>
                <w:color w:val="auto"/>
                <w:position w:val="-6"/>
                <w:sz w:val="21"/>
                <w:szCs w:val="21"/>
              </w:rPr>
              <w:t>投资回收期</w:t>
            </w:r>
          </w:p>
        </w:tc>
        <w:tc>
          <w:tcPr>
            <w:tcW w:w="2648" w:type="dxa"/>
            <w:tcMar>
              <w:top w:w="57" w:type="dxa"/>
              <w:bottom w:w="57" w:type="dxa"/>
            </w:tcMar>
            <w:vAlign w:val="center"/>
          </w:tcPr>
          <w:p>
            <w:pPr>
              <w:spacing w:line="240" w:lineRule="auto"/>
              <w:ind w:firstLine="420"/>
              <w:jc w:val="center"/>
              <w:rPr>
                <w:color w:val="auto"/>
                <w:position w:val="-6"/>
                <w:sz w:val="21"/>
                <w:szCs w:val="21"/>
              </w:rPr>
            </w:pPr>
            <w:r>
              <w:rPr>
                <w:rFonts w:hint="eastAsia" w:hAnsi="宋体"/>
                <w:color w:val="auto"/>
                <w:position w:val="-6"/>
                <w:sz w:val="21"/>
                <w:szCs w:val="21"/>
              </w:rPr>
              <w:t>年</w:t>
            </w:r>
          </w:p>
        </w:tc>
        <w:tc>
          <w:tcPr>
            <w:tcW w:w="2459" w:type="dxa"/>
            <w:tcMar>
              <w:top w:w="57" w:type="dxa"/>
              <w:bottom w:w="57" w:type="dxa"/>
            </w:tcMar>
            <w:vAlign w:val="center"/>
          </w:tcPr>
          <w:p>
            <w:pPr>
              <w:spacing w:line="240" w:lineRule="auto"/>
              <w:ind w:firstLine="420"/>
              <w:jc w:val="center"/>
              <w:rPr>
                <w:color w:val="auto"/>
                <w:position w:val="-6"/>
                <w:sz w:val="21"/>
                <w:szCs w:val="21"/>
              </w:rPr>
            </w:pPr>
            <w:r>
              <w:rPr>
                <w:rFonts w:hint="eastAsia"/>
                <w:color w:val="auto"/>
                <w:position w:val="-6"/>
                <w:sz w:val="21"/>
                <w:szCs w:val="21"/>
              </w:rPr>
              <w:t>4.75</w:t>
            </w:r>
            <w:r>
              <w:rPr>
                <w:rFonts w:hint="eastAsia" w:hAnsi="宋体"/>
                <w:color w:val="auto"/>
                <w:position w:val="-6"/>
                <w:sz w:val="21"/>
                <w:szCs w:val="21"/>
              </w:rPr>
              <w:t>（含建设期2年）</w:t>
            </w:r>
          </w:p>
        </w:tc>
      </w:tr>
    </w:tbl>
    <w:p>
      <w:pPr>
        <w:keepNext/>
        <w:keepLines/>
        <w:ind w:firstLine="480"/>
        <w:outlineLvl w:val="2"/>
        <w:rPr>
          <w:rFonts w:eastAsia="黑体"/>
          <w:bCs/>
          <w:color w:val="auto"/>
        </w:rPr>
      </w:pPr>
      <w:r>
        <w:rPr>
          <w:rFonts w:hint="eastAsia" w:eastAsia="黑体"/>
          <w:bCs/>
          <w:color w:val="auto"/>
        </w:rPr>
        <w:t>8.3.2环保措施运行费用</w:t>
      </w:r>
    </w:p>
    <w:p>
      <w:pPr>
        <w:ind w:firstLine="480"/>
        <w:rPr>
          <w:color w:val="auto"/>
        </w:rPr>
      </w:pPr>
      <w:r>
        <w:rPr>
          <w:rFonts w:hint="eastAsia"/>
          <w:color w:val="auto"/>
        </w:rPr>
        <w:t>环保设施运行费用主要包括：电费，环保人员工资及设备折旧、维护费用。</w:t>
      </w:r>
    </w:p>
    <w:p>
      <w:pPr>
        <w:spacing w:after="93" w:afterLines="30" w:line="500" w:lineRule="exact"/>
        <w:ind w:firstLine="422"/>
        <w:jc w:val="left"/>
        <w:rPr>
          <w:b/>
          <w:color w:val="auto"/>
          <w:sz w:val="21"/>
          <w:szCs w:val="21"/>
        </w:rPr>
      </w:pPr>
      <w:r>
        <w:rPr>
          <w:rFonts w:hint="eastAsia"/>
          <w:b/>
          <w:color w:val="auto"/>
          <w:sz w:val="21"/>
          <w:szCs w:val="21"/>
        </w:rPr>
        <w:t xml:space="preserve">表8.3-2       </w:t>
      </w:r>
      <w:r>
        <w:rPr>
          <w:b/>
          <w:color w:val="auto"/>
          <w:sz w:val="21"/>
          <w:szCs w:val="21"/>
        </w:rPr>
        <w:t xml:space="preserve">          </w:t>
      </w:r>
      <w:r>
        <w:rPr>
          <w:rFonts w:hint="eastAsia"/>
          <w:b/>
          <w:color w:val="auto"/>
          <w:sz w:val="21"/>
          <w:szCs w:val="21"/>
        </w:rPr>
        <w:t xml:space="preserve">  </w:t>
      </w:r>
      <w:r>
        <w:rPr>
          <w:b/>
          <w:color w:val="auto"/>
          <w:sz w:val="21"/>
          <w:szCs w:val="21"/>
        </w:rPr>
        <w:t xml:space="preserve"> </w:t>
      </w:r>
      <w:r>
        <w:rPr>
          <w:rFonts w:hint="eastAsia"/>
          <w:b/>
          <w:color w:val="auto"/>
          <w:sz w:val="21"/>
          <w:szCs w:val="21"/>
        </w:rPr>
        <w:t>本项目环保措施运行费用</w:t>
      </w:r>
    </w:p>
    <w:tbl>
      <w:tblPr>
        <w:tblStyle w:val="27"/>
        <w:tblW w:w="4998" w:type="pct"/>
        <w:tblInd w:w="0" w:type="dxa"/>
        <w:tblBorders>
          <w:top w:val="single" w:color="000000" w:sz="2" w:space="0"/>
          <w:left w:val="none" w:color="auto" w:sz="0" w:space="0"/>
          <w:bottom w:val="single" w:color="000000" w:sz="2" w:space="0"/>
          <w:right w:val="none" w:color="auto" w:sz="0" w:space="0"/>
          <w:insideH w:val="single" w:color="000000" w:sz="2" w:space="0"/>
          <w:insideV w:val="single" w:color="000000" w:sz="4" w:space="0"/>
        </w:tblBorders>
        <w:tblLayout w:type="autofit"/>
        <w:tblCellMar>
          <w:top w:w="0" w:type="dxa"/>
          <w:left w:w="0" w:type="dxa"/>
          <w:bottom w:w="0" w:type="dxa"/>
          <w:right w:w="0" w:type="dxa"/>
        </w:tblCellMar>
      </w:tblPr>
      <w:tblGrid>
        <w:gridCol w:w="2767"/>
        <w:gridCol w:w="3505"/>
        <w:gridCol w:w="2682"/>
      </w:tblGrid>
      <w:tr>
        <w:tblPrEx>
          <w:tblBorders>
            <w:top w:val="single" w:color="000000" w:sz="2" w:space="0"/>
            <w:left w:val="none" w:color="auto" w:sz="0" w:space="0"/>
            <w:bottom w:val="single" w:color="000000" w:sz="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403" w:hRule="exact"/>
        </w:trPr>
        <w:tc>
          <w:tcPr>
            <w:tcW w:w="1545" w:type="pct"/>
            <w:tcBorders>
              <w:tl2br w:val="nil"/>
              <w:tr2bl w:val="nil"/>
            </w:tcBorders>
            <w:vAlign w:val="center"/>
          </w:tcPr>
          <w:p>
            <w:pPr>
              <w:pStyle w:val="42"/>
              <w:adjustRightInd/>
              <w:snapToGrid/>
              <w:spacing w:line="240" w:lineRule="auto"/>
              <w:ind w:firstLine="420"/>
              <w:jc w:val="center"/>
              <w:rPr>
                <w:rFonts w:ascii="宋体" w:hAnsi="宋体" w:cs="宋体"/>
                <w:color w:val="auto"/>
                <w:sz w:val="21"/>
                <w:szCs w:val="21"/>
              </w:rPr>
            </w:pPr>
            <w:r>
              <w:rPr>
                <w:rFonts w:ascii="宋体" w:hAnsi="宋体" w:cs="宋体"/>
                <w:color w:val="auto"/>
                <w:sz w:val="21"/>
                <w:szCs w:val="21"/>
              </w:rPr>
              <w:t>项目</w:t>
            </w:r>
          </w:p>
        </w:tc>
        <w:tc>
          <w:tcPr>
            <w:tcW w:w="1956" w:type="pct"/>
            <w:tcBorders>
              <w:tl2br w:val="nil"/>
              <w:tr2bl w:val="nil"/>
            </w:tcBorders>
            <w:vAlign w:val="center"/>
          </w:tcPr>
          <w:p>
            <w:pPr>
              <w:pStyle w:val="42"/>
              <w:adjustRightInd/>
              <w:snapToGrid/>
              <w:spacing w:line="240" w:lineRule="auto"/>
              <w:ind w:firstLine="420"/>
              <w:jc w:val="center"/>
              <w:rPr>
                <w:rFonts w:ascii="宋体" w:hAnsi="宋体" w:cs="宋体"/>
                <w:color w:val="auto"/>
                <w:sz w:val="21"/>
                <w:szCs w:val="21"/>
              </w:rPr>
            </w:pPr>
            <w:r>
              <w:rPr>
                <w:rFonts w:ascii="宋体" w:hAnsi="宋体" w:cs="宋体"/>
                <w:color w:val="auto"/>
                <w:sz w:val="21"/>
                <w:szCs w:val="21"/>
              </w:rPr>
              <w:t>费用名称</w:t>
            </w:r>
          </w:p>
        </w:tc>
        <w:tc>
          <w:tcPr>
            <w:tcW w:w="1497" w:type="pct"/>
            <w:tcBorders>
              <w:tl2br w:val="nil"/>
              <w:tr2bl w:val="nil"/>
            </w:tcBorders>
            <w:vAlign w:val="center"/>
          </w:tcPr>
          <w:p>
            <w:pPr>
              <w:pStyle w:val="42"/>
              <w:adjustRightInd/>
              <w:snapToGrid/>
              <w:spacing w:line="240" w:lineRule="auto"/>
              <w:ind w:firstLine="420"/>
              <w:jc w:val="center"/>
              <w:rPr>
                <w:rFonts w:ascii="宋体" w:hAnsi="宋体" w:cs="宋体"/>
                <w:color w:val="auto"/>
                <w:sz w:val="21"/>
                <w:szCs w:val="21"/>
              </w:rPr>
            </w:pPr>
            <w:r>
              <w:rPr>
                <w:rFonts w:ascii="宋体" w:hAnsi="宋体" w:cs="宋体"/>
                <w:color w:val="auto"/>
                <w:sz w:val="21"/>
                <w:szCs w:val="21"/>
              </w:rPr>
              <w:t>费用金额（万元</w:t>
            </w:r>
            <w:r>
              <w:rPr>
                <w:rFonts w:eastAsia="Times New Roman"/>
                <w:color w:val="auto"/>
                <w:sz w:val="21"/>
                <w:szCs w:val="21"/>
              </w:rPr>
              <w:t>/</w:t>
            </w:r>
            <w:r>
              <w:rPr>
                <w:rFonts w:ascii="宋体" w:hAnsi="宋体" w:cs="宋体"/>
                <w:color w:val="auto"/>
                <w:sz w:val="21"/>
                <w:szCs w:val="21"/>
              </w:rPr>
              <w:t>年）</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406" w:hRule="exact"/>
        </w:trPr>
        <w:tc>
          <w:tcPr>
            <w:tcW w:w="1545" w:type="pct"/>
            <w:vMerge w:val="restart"/>
            <w:tcBorders>
              <w:tl2br w:val="nil"/>
              <w:tr2bl w:val="nil"/>
            </w:tcBorders>
            <w:vAlign w:val="center"/>
          </w:tcPr>
          <w:p>
            <w:pPr>
              <w:pStyle w:val="42"/>
              <w:adjustRightInd/>
              <w:snapToGrid/>
              <w:spacing w:line="240" w:lineRule="auto"/>
              <w:ind w:firstLine="420"/>
              <w:jc w:val="center"/>
              <w:rPr>
                <w:rFonts w:ascii="宋体" w:hAnsi="宋体" w:cs="宋体"/>
                <w:color w:val="auto"/>
                <w:sz w:val="21"/>
                <w:szCs w:val="21"/>
              </w:rPr>
            </w:pPr>
            <w:r>
              <w:rPr>
                <w:rFonts w:ascii="宋体" w:hAnsi="宋体" w:cs="宋体"/>
                <w:color w:val="auto"/>
                <w:sz w:val="21"/>
                <w:szCs w:val="21"/>
              </w:rPr>
              <w:t>黑膜沼气污水处理系统</w:t>
            </w:r>
          </w:p>
        </w:tc>
        <w:tc>
          <w:tcPr>
            <w:tcW w:w="1956" w:type="pct"/>
            <w:tcBorders>
              <w:tl2br w:val="nil"/>
              <w:tr2bl w:val="nil"/>
            </w:tcBorders>
            <w:vAlign w:val="center"/>
          </w:tcPr>
          <w:p>
            <w:pPr>
              <w:pStyle w:val="42"/>
              <w:adjustRightInd/>
              <w:snapToGrid/>
              <w:spacing w:line="240" w:lineRule="auto"/>
              <w:ind w:firstLine="420"/>
              <w:jc w:val="center"/>
              <w:rPr>
                <w:rFonts w:ascii="宋体" w:hAnsi="宋体" w:cs="宋体"/>
                <w:color w:val="auto"/>
                <w:sz w:val="21"/>
                <w:szCs w:val="21"/>
              </w:rPr>
            </w:pPr>
            <w:r>
              <w:rPr>
                <w:rFonts w:ascii="宋体" w:hAnsi="宋体" w:cs="宋体"/>
                <w:color w:val="auto"/>
                <w:sz w:val="21"/>
                <w:szCs w:val="21"/>
              </w:rPr>
              <w:t>电费</w:t>
            </w:r>
          </w:p>
        </w:tc>
        <w:tc>
          <w:tcPr>
            <w:tcW w:w="1497" w:type="pct"/>
            <w:tcBorders>
              <w:tl2br w:val="nil"/>
              <w:tr2bl w:val="nil"/>
            </w:tcBorders>
            <w:vAlign w:val="center"/>
          </w:tcPr>
          <w:p>
            <w:pPr>
              <w:pStyle w:val="42"/>
              <w:adjustRightInd/>
              <w:snapToGrid/>
              <w:spacing w:line="240" w:lineRule="auto"/>
              <w:ind w:firstLine="413"/>
              <w:jc w:val="center"/>
              <w:rPr>
                <w:rFonts w:eastAsia="Times New Roman"/>
                <w:color w:val="auto"/>
                <w:sz w:val="21"/>
                <w:szCs w:val="21"/>
              </w:rPr>
            </w:pPr>
            <w:r>
              <w:rPr>
                <w:color w:val="auto"/>
                <w:w w:val="99"/>
                <w:sz w:val="21"/>
              </w:rPr>
              <w:t>4</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406" w:hRule="exact"/>
        </w:trPr>
        <w:tc>
          <w:tcPr>
            <w:tcW w:w="1545" w:type="pct"/>
            <w:vMerge w:val="continue"/>
            <w:tcBorders>
              <w:tl2br w:val="nil"/>
              <w:tr2bl w:val="nil"/>
            </w:tcBorders>
            <w:vAlign w:val="center"/>
          </w:tcPr>
          <w:p>
            <w:pPr>
              <w:adjustRightInd/>
              <w:snapToGrid/>
              <w:spacing w:line="240" w:lineRule="auto"/>
              <w:ind w:firstLine="480"/>
              <w:jc w:val="center"/>
              <w:rPr>
                <w:color w:val="auto"/>
              </w:rPr>
            </w:pPr>
          </w:p>
        </w:tc>
        <w:tc>
          <w:tcPr>
            <w:tcW w:w="1956" w:type="pct"/>
            <w:tcBorders>
              <w:tl2br w:val="nil"/>
              <w:tr2bl w:val="nil"/>
            </w:tcBorders>
            <w:vAlign w:val="center"/>
          </w:tcPr>
          <w:p>
            <w:pPr>
              <w:pStyle w:val="42"/>
              <w:adjustRightInd/>
              <w:snapToGrid/>
              <w:spacing w:line="240" w:lineRule="auto"/>
              <w:ind w:firstLine="420"/>
              <w:jc w:val="center"/>
              <w:rPr>
                <w:rFonts w:ascii="宋体" w:hAnsi="宋体" w:cs="宋体"/>
                <w:color w:val="auto"/>
                <w:sz w:val="21"/>
                <w:szCs w:val="21"/>
              </w:rPr>
            </w:pPr>
            <w:r>
              <w:rPr>
                <w:rFonts w:ascii="宋体" w:hAnsi="宋体" w:cs="宋体"/>
                <w:color w:val="auto"/>
                <w:sz w:val="21"/>
                <w:szCs w:val="21"/>
              </w:rPr>
              <w:t>人工费</w:t>
            </w:r>
          </w:p>
        </w:tc>
        <w:tc>
          <w:tcPr>
            <w:tcW w:w="1497" w:type="pct"/>
            <w:tcBorders>
              <w:tl2br w:val="nil"/>
              <w:tr2bl w:val="nil"/>
            </w:tcBorders>
            <w:vAlign w:val="center"/>
          </w:tcPr>
          <w:p>
            <w:pPr>
              <w:pStyle w:val="42"/>
              <w:adjustRightInd/>
              <w:snapToGrid/>
              <w:spacing w:line="240" w:lineRule="auto"/>
              <w:ind w:firstLine="413"/>
              <w:jc w:val="center"/>
              <w:rPr>
                <w:rFonts w:eastAsia="Times New Roman"/>
                <w:color w:val="auto"/>
                <w:sz w:val="21"/>
                <w:szCs w:val="21"/>
              </w:rPr>
            </w:pPr>
            <w:r>
              <w:rPr>
                <w:color w:val="auto"/>
                <w:w w:val="99"/>
                <w:sz w:val="21"/>
              </w:rPr>
              <w:t>6</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406" w:hRule="exact"/>
        </w:trPr>
        <w:tc>
          <w:tcPr>
            <w:tcW w:w="1545" w:type="pct"/>
            <w:vMerge w:val="continue"/>
            <w:tcBorders>
              <w:tl2br w:val="nil"/>
              <w:tr2bl w:val="nil"/>
            </w:tcBorders>
            <w:vAlign w:val="center"/>
          </w:tcPr>
          <w:p>
            <w:pPr>
              <w:adjustRightInd/>
              <w:snapToGrid/>
              <w:spacing w:line="240" w:lineRule="auto"/>
              <w:ind w:firstLine="480"/>
              <w:jc w:val="center"/>
              <w:rPr>
                <w:color w:val="auto"/>
              </w:rPr>
            </w:pPr>
          </w:p>
        </w:tc>
        <w:tc>
          <w:tcPr>
            <w:tcW w:w="1956" w:type="pct"/>
            <w:tcBorders>
              <w:tl2br w:val="nil"/>
              <w:tr2bl w:val="nil"/>
            </w:tcBorders>
            <w:vAlign w:val="center"/>
          </w:tcPr>
          <w:p>
            <w:pPr>
              <w:pStyle w:val="42"/>
              <w:adjustRightInd/>
              <w:snapToGrid/>
              <w:spacing w:line="240" w:lineRule="auto"/>
              <w:ind w:firstLine="420"/>
              <w:jc w:val="center"/>
              <w:rPr>
                <w:rFonts w:ascii="宋体" w:hAnsi="宋体" w:cs="宋体"/>
                <w:color w:val="auto"/>
                <w:sz w:val="21"/>
                <w:szCs w:val="21"/>
              </w:rPr>
            </w:pPr>
            <w:r>
              <w:rPr>
                <w:rFonts w:ascii="宋体" w:hAnsi="宋体" w:cs="宋体"/>
                <w:color w:val="auto"/>
                <w:sz w:val="21"/>
                <w:szCs w:val="21"/>
              </w:rPr>
              <w:t>设备折旧及维修费用</w:t>
            </w:r>
          </w:p>
        </w:tc>
        <w:tc>
          <w:tcPr>
            <w:tcW w:w="1497" w:type="pct"/>
            <w:tcBorders>
              <w:tl2br w:val="nil"/>
              <w:tr2bl w:val="nil"/>
            </w:tcBorders>
            <w:vAlign w:val="center"/>
          </w:tcPr>
          <w:p>
            <w:pPr>
              <w:pStyle w:val="42"/>
              <w:adjustRightInd/>
              <w:snapToGrid/>
              <w:spacing w:line="240" w:lineRule="auto"/>
              <w:ind w:firstLine="413"/>
              <w:jc w:val="center"/>
              <w:rPr>
                <w:rFonts w:eastAsia="Times New Roman"/>
                <w:color w:val="auto"/>
                <w:sz w:val="21"/>
                <w:szCs w:val="21"/>
              </w:rPr>
            </w:pPr>
            <w:r>
              <w:rPr>
                <w:color w:val="auto"/>
                <w:w w:val="99"/>
                <w:sz w:val="21"/>
              </w:rPr>
              <w:t>6</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406" w:hRule="exact"/>
        </w:trPr>
        <w:tc>
          <w:tcPr>
            <w:tcW w:w="1545" w:type="pct"/>
            <w:vMerge w:val="restart"/>
            <w:tcBorders>
              <w:tl2br w:val="nil"/>
              <w:tr2bl w:val="nil"/>
            </w:tcBorders>
            <w:vAlign w:val="center"/>
          </w:tcPr>
          <w:p>
            <w:pPr>
              <w:pStyle w:val="42"/>
              <w:adjustRightInd/>
              <w:snapToGrid/>
              <w:spacing w:line="240" w:lineRule="auto"/>
              <w:ind w:firstLine="420"/>
              <w:jc w:val="center"/>
              <w:rPr>
                <w:rFonts w:ascii="宋体" w:hAnsi="宋体" w:cs="宋体"/>
                <w:color w:val="auto"/>
                <w:sz w:val="21"/>
                <w:szCs w:val="21"/>
              </w:rPr>
            </w:pPr>
            <w:r>
              <w:rPr>
                <w:rFonts w:ascii="宋体" w:hAnsi="宋体" w:cs="宋体"/>
                <w:color w:val="auto"/>
                <w:sz w:val="21"/>
                <w:szCs w:val="21"/>
              </w:rPr>
              <w:t>病死猪高温处理机环保措施</w:t>
            </w:r>
          </w:p>
        </w:tc>
        <w:tc>
          <w:tcPr>
            <w:tcW w:w="1956" w:type="pct"/>
            <w:tcBorders>
              <w:tl2br w:val="nil"/>
              <w:tr2bl w:val="nil"/>
            </w:tcBorders>
            <w:vAlign w:val="center"/>
          </w:tcPr>
          <w:p>
            <w:pPr>
              <w:pStyle w:val="42"/>
              <w:adjustRightInd/>
              <w:snapToGrid/>
              <w:spacing w:line="240" w:lineRule="auto"/>
              <w:ind w:firstLine="420"/>
              <w:jc w:val="center"/>
              <w:rPr>
                <w:rFonts w:ascii="宋体" w:hAnsi="宋体" w:cs="宋体"/>
                <w:color w:val="auto"/>
                <w:sz w:val="21"/>
                <w:szCs w:val="21"/>
              </w:rPr>
            </w:pPr>
            <w:r>
              <w:rPr>
                <w:rFonts w:ascii="宋体" w:hAnsi="宋体" w:cs="宋体"/>
                <w:color w:val="auto"/>
                <w:sz w:val="21"/>
                <w:szCs w:val="21"/>
              </w:rPr>
              <w:t>电费</w:t>
            </w:r>
          </w:p>
        </w:tc>
        <w:tc>
          <w:tcPr>
            <w:tcW w:w="1497" w:type="pct"/>
            <w:tcBorders>
              <w:tl2br w:val="nil"/>
              <w:tr2bl w:val="nil"/>
            </w:tcBorders>
            <w:vAlign w:val="center"/>
          </w:tcPr>
          <w:p>
            <w:pPr>
              <w:pStyle w:val="42"/>
              <w:adjustRightInd/>
              <w:snapToGrid/>
              <w:spacing w:line="240" w:lineRule="auto"/>
              <w:ind w:firstLine="413"/>
              <w:jc w:val="center"/>
              <w:rPr>
                <w:rFonts w:eastAsia="Times New Roman"/>
                <w:color w:val="auto"/>
                <w:sz w:val="21"/>
                <w:szCs w:val="21"/>
              </w:rPr>
            </w:pPr>
            <w:r>
              <w:rPr>
                <w:color w:val="auto"/>
                <w:w w:val="99"/>
                <w:sz w:val="21"/>
              </w:rPr>
              <w:t>1</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406" w:hRule="exact"/>
        </w:trPr>
        <w:tc>
          <w:tcPr>
            <w:tcW w:w="1545" w:type="pct"/>
            <w:vMerge w:val="continue"/>
            <w:tcBorders>
              <w:tl2br w:val="nil"/>
              <w:tr2bl w:val="nil"/>
            </w:tcBorders>
            <w:vAlign w:val="center"/>
          </w:tcPr>
          <w:p>
            <w:pPr>
              <w:adjustRightInd/>
              <w:snapToGrid/>
              <w:spacing w:line="240" w:lineRule="auto"/>
              <w:ind w:firstLine="480"/>
              <w:jc w:val="center"/>
              <w:rPr>
                <w:color w:val="auto"/>
              </w:rPr>
            </w:pPr>
          </w:p>
        </w:tc>
        <w:tc>
          <w:tcPr>
            <w:tcW w:w="1956" w:type="pct"/>
            <w:tcBorders>
              <w:tl2br w:val="nil"/>
              <w:tr2bl w:val="nil"/>
            </w:tcBorders>
            <w:vAlign w:val="center"/>
          </w:tcPr>
          <w:p>
            <w:pPr>
              <w:pStyle w:val="42"/>
              <w:adjustRightInd/>
              <w:snapToGrid/>
              <w:spacing w:line="240" w:lineRule="auto"/>
              <w:ind w:firstLine="420"/>
              <w:jc w:val="center"/>
              <w:rPr>
                <w:rFonts w:ascii="宋体" w:hAnsi="宋体" w:cs="宋体"/>
                <w:color w:val="auto"/>
                <w:sz w:val="21"/>
                <w:szCs w:val="21"/>
              </w:rPr>
            </w:pPr>
            <w:r>
              <w:rPr>
                <w:rFonts w:ascii="宋体" w:hAnsi="宋体" w:cs="宋体"/>
                <w:color w:val="auto"/>
                <w:sz w:val="21"/>
                <w:szCs w:val="21"/>
              </w:rPr>
              <w:t>设备折旧及维修费用</w:t>
            </w:r>
          </w:p>
        </w:tc>
        <w:tc>
          <w:tcPr>
            <w:tcW w:w="1497" w:type="pct"/>
            <w:tcBorders>
              <w:tl2br w:val="nil"/>
              <w:tr2bl w:val="nil"/>
            </w:tcBorders>
            <w:vAlign w:val="center"/>
          </w:tcPr>
          <w:p>
            <w:pPr>
              <w:pStyle w:val="42"/>
              <w:adjustRightInd/>
              <w:snapToGrid/>
              <w:spacing w:line="240" w:lineRule="auto"/>
              <w:ind w:firstLine="413"/>
              <w:jc w:val="center"/>
              <w:rPr>
                <w:rFonts w:eastAsia="Times New Roman"/>
                <w:color w:val="auto"/>
                <w:sz w:val="21"/>
                <w:szCs w:val="21"/>
              </w:rPr>
            </w:pPr>
            <w:r>
              <w:rPr>
                <w:color w:val="auto"/>
                <w:w w:val="99"/>
                <w:sz w:val="21"/>
              </w:rPr>
              <w:t>1</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48" w:hRule="exact"/>
        </w:trPr>
        <w:tc>
          <w:tcPr>
            <w:tcW w:w="3502" w:type="pct"/>
            <w:gridSpan w:val="2"/>
            <w:tcBorders>
              <w:tl2br w:val="nil"/>
              <w:tr2bl w:val="nil"/>
            </w:tcBorders>
            <w:vAlign w:val="center"/>
          </w:tcPr>
          <w:p>
            <w:pPr>
              <w:pStyle w:val="42"/>
              <w:tabs>
                <w:tab w:val="left" w:pos="424"/>
              </w:tabs>
              <w:adjustRightInd/>
              <w:snapToGrid/>
              <w:spacing w:line="240" w:lineRule="auto"/>
              <w:ind w:firstLine="397"/>
              <w:jc w:val="center"/>
              <w:rPr>
                <w:rFonts w:ascii="宋体" w:hAnsi="宋体" w:cs="宋体"/>
                <w:color w:val="auto"/>
                <w:sz w:val="21"/>
                <w:szCs w:val="21"/>
              </w:rPr>
            </w:pPr>
            <w:r>
              <w:rPr>
                <w:rFonts w:ascii="宋体" w:hAnsi="宋体" w:cs="宋体"/>
                <w:color w:val="auto"/>
                <w:w w:val="95"/>
                <w:sz w:val="21"/>
                <w:szCs w:val="21"/>
              </w:rPr>
              <w:t>总</w:t>
            </w:r>
            <w:r>
              <w:rPr>
                <w:rFonts w:ascii="宋体" w:hAnsi="宋体" w:cs="宋体"/>
                <w:color w:val="auto"/>
                <w:w w:val="95"/>
                <w:sz w:val="21"/>
                <w:szCs w:val="21"/>
              </w:rPr>
              <w:tab/>
            </w:r>
            <w:r>
              <w:rPr>
                <w:rFonts w:ascii="宋体" w:hAnsi="宋体" w:cs="宋体"/>
                <w:color w:val="auto"/>
                <w:sz w:val="21"/>
                <w:szCs w:val="21"/>
              </w:rPr>
              <w:t>计</w:t>
            </w:r>
          </w:p>
        </w:tc>
        <w:tc>
          <w:tcPr>
            <w:tcW w:w="1497" w:type="pct"/>
            <w:tcBorders>
              <w:tl2br w:val="nil"/>
              <w:tr2bl w:val="nil"/>
            </w:tcBorders>
            <w:vAlign w:val="center"/>
          </w:tcPr>
          <w:p>
            <w:pPr>
              <w:pStyle w:val="42"/>
              <w:adjustRightInd/>
              <w:snapToGrid/>
              <w:spacing w:line="240" w:lineRule="auto"/>
              <w:ind w:firstLine="420"/>
              <w:jc w:val="center"/>
              <w:rPr>
                <w:rFonts w:eastAsia="Times New Roman"/>
                <w:color w:val="auto"/>
                <w:sz w:val="21"/>
                <w:szCs w:val="21"/>
              </w:rPr>
            </w:pPr>
            <w:r>
              <w:rPr>
                <w:color w:val="auto"/>
                <w:sz w:val="21"/>
              </w:rPr>
              <w:t>20.5</w:t>
            </w:r>
          </w:p>
        </w:tc>
      </w:tr>
    </w:tbl>
    <w:p>
      <w:pPr>
        <w:pStyle w:val="11"/>
        <w:ind w:right="210" w:firstLine="496"/>
        <w:rPr>
          <w:color w:val="auto"/>
        </w:rPr>
      </w:pPr>
      <w:r>
        <w:rPr>
          <w:color w:val="auto"/>
          <w:spacing w:val="4"/>
        </w:rPr>
        <w:t>本项目各种环保措施年运行费用</w:t>
      </w:r>
      <w:r>
        <w:rPr>
          <w:rFonts w:eastAsia="Times New Roman"/>
          <w:color w:val="auto"/>
        </w:rPr>
        <w:t>20.5</w:t>
      </w:r>
      <w:r>
        <w:rPr>
          <w:color w:val="auto"/>
          <w:spacing w:val="4"/>
        </w:rPr>
        <w:t>万元，占年利润总额</w:t>
      </w:r>
      <w:r>
        <w:rPr>
          <w:rFonts w:hint="eastAsia"/>
          <w:color w:val="auto"/>
        </w:rPr>
        <w:t>1341.89</w:t>
      </w:r>
      <w:r>
        <w:rPr>
          <w:color w:val="auto"/>
          <w:spacing w:val="3"/>
        </w:rPr>
        <w:t>万元的</w:t>
      </w:r>
      <w:r>
        <w:rPr>
          <w:rFonts w:hint="eastAsia"/>
          <w:color w:val="auto"/>
          <w:spacing w:val="3"/>
        </w:rPr>
        <w:t>1.5</w:t>
      </w:r>
      <w:r>
        <w:rPr>
          <w:rFonts w:eastAsia="Times New Roman"/>
          <w:color w:val="auto"/>
        </w:rPr>
        <w:t>%</w:t>
      </w:r>
      <w:r>
        <w:rPr>
          <w:color w:val="auto"/>
        </w:rPr>
        <w:t>，运行费用较低，经济可行。</w:t>
      </w:r>
    </w:p>
    <w:p>
      <w:pPr>
        <w:keepNext/>
        <w:keepLines/>
        <w:ind w:firstLine="480"/>
        <w:outlineLvl w:val="2"/>
        <w:rPr>
          <w:rFonts w:eastAsia="黑体"/>
          <w:bCs/>
          <w:color w:val="auto"/>
        </w:rPr>
      </w:pPr>
      <w:r>
        <w:rPr>
          <w:rFonts w:hint="eastAsia" w:eastAsia="黑体"/>
          <w:bCs/>
          <w:color w:val="auto"/>
        </w:rPr>
        <w:t>8.3.3经济收益分析</w:t>
      </w:r>
    </w:p>
    <w:p>
      <w:pPr>
        <w:ind w:firstLine="480"/>
        <w:rPr>
          <w:color w:val="auto"/>
        </w:rPr>
      </w:pPr>
      <w:r>
        <w:rPr>
          <w:color w:val="auto"/>
        </w:rPr>
        <w:t>经济收益主要</w:t>
      </w:r>
      <w:r>
        <w:rPr>
          <w:rFonts w:hint="eastAsia"/>
          <w:color w:val="auto"/>
        </w:rPr>
        <w:t>为项目固废猪粪制作的有机肥</w:t>
      </w:r>
      <w:r>
        <w:rPr>
          <w:color w:val="auto"/>
        </w:rPr>
        <w:t>带来的收益。</w:t>
      </w:r>
      <w:r>
        <w:rPr>
          <w:rFonts w:hint="eastAsia"/>
          <w:color w:val="auto"/>
        </w:rPr>
        <w:t>本项目</w:t>
      </w:r>
      <w:r>
        <w:rPr>
          <w:color w:val="auto"/>
        </w:rPr>
        <w:t>经济收益估算见表8</w:t>
      </w:r>
      <w:r>
        <w:rPr>
          <w:rFonts w:hint="eastAsia"/>
          <w:color w:val="auto"/>
        </w:rPr>
        <w:t>.3</w:t>
      </w:r>
      <w:r>
        <w:rPr>
          <w:color w:val="auto"/>
        </w:rPr>
        <w:t>-3。</w:t>
      </w:r>
    </w:p>
    <w:p>
      <w:pPr>
        <w:spacing w:after="93" w:afterLines="30" w:line="500" w:lineRule="exact"/>
        <w:ind w:firstLine="422"/>
        <w:jc w:val="left"/>
        <w:rPr>
          <w:b/>
          <w:color w:val="auto"/>
          <w:sz w:val="21"/>
          <w:szCs w:val="21"/>
        </w:rPr>
      </w:pPr>
      <w:r>
        <w:rPr>
          <w:rFonts w:hint="eastAsia"/>
          <w:b/>
          <w:color w:val="auto"/>
          <w:sz w:val="21"/>
          <w:szCs w:val="21"/>
        </w:rPr>
        <w:t xml:space="preserve">表8.3-3   </w:t>
      </w:r>
      <w:r>
        <w:rPr>
          <w:b/>
          <w:color w:val="auto"/>
          <w:sz w:val="21"/>
          <w:szCs w:val="21"/>
        </w:rPr>
        <w:t xml:space="preserve">                     </w:t>
      </w:r>
      <w:r>
        <w:rPr>
          <w:rFonts w:hint="eastAsia"/>
          <w:b/>
          <w:color w:val="auto"/>
          <w:sz w:val="21"/>
          <w:szCs w:val="21"/>
        </w:rPr>
        <w:t>本项目</w:t>
      </w:r>
      <w:r>
        <w:rPr>
          <w:b/>
          <w:color w:val="auto"/>
          <w:sz w:val="21"/>
          <w:szCs w:val="21"/>
        </w:rPr>
        <w:t>经济收益估算</w:t>
      </w:r>
    </w:p>
    <w:tbl>
      <w:tblPr>
        <w:tblStyle w:val="27"/>
        <w:tblW w:w="0" w:type="auto"/>
        <w:jc w:val="center"/>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08"/>
        <w:gridCol w:w="2031"/>
        <w:gridCol w:w="2297"/>
        <w:gridCol w:w="4038"/>
      </w:tblGrid>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808" w:type="dxa"/>
            <w:tcMar>
              <w:top w:w="57" w:type="dxa"/>
              <w:bottom w:w="57" w:type="dxa"/>
            </w:tcMar>
            <w:vAlign w:val="center"/>
          </w:tcPr>
          <w:p>
            <w:pPr>
              <w:spacing w:line="240" w:lineRule="auto"/>
              <w:ind w:firstLine="0" w:firstLineChars="0"/>
              <w:jc w:val="center"/>
              <w:rPr>
                <w:color w:val="auto"/>
                <w:sz w:val="21"/>
                <w:szCs w:val="21"/>
              </w:rPr>
            </w:pPr>
            <w:r>
              <w:rPr>
                <w:color w:val="auto"/>
                <w:sz w:val="21"/>
                <w:szCs w:val="21"/>
              </w:rPr>
              <w:t>序号</w:t>
            </w:r>
          </w:p>
        </w:tc>
        <w:tc>
          <w:tcPr>
            <w:tcW w:w="2031" w:type="dxa"/>
            <w:tcMar>
              <w:top w:w="57" w:type="dxa"/>
              <w:bottom w:w="57" w:type="dxa"/>
            </w:tcMar>
            <w:vAlign w:val="center"/>
          </w:tcPr>
          <w:p>
            <w:pPr>
              <w:spacing w:line="240" w:lineRule="auto"/>
              <w:ind w:firstLine="0" w:firstLineChars="0"/>
              <w:jc w:val="center"/>
              <w:rPr>
                <w:color w:val="auto"/>
                <w:sz w:val="21"/>
                <w:szCs w:val="21"/>
              </w:rPr>
            </w:pPr>
            <w:r>
              <w:rPr>
                <w:color w:val="auto"/>
                <w:sz w:val="21"/>
                <w:szCs w:val="21"/>
              </w:rPr>
              <w:t>收益项目</w:t>
            </w:r>
          </w:p>
        </w:tc>
        <w:tc>
          <w:tcPr>
            <w:tcW w:w="2297" w:type="dxa"/>
            <w:tcMar>
              <w:top w:w="57" w:type="dxa"/>
              <w:bottom w:w="57" w:type="dxa"/>
            </w:tcMar>
            <w:vAlign w:val="center"/>
          </w:tcPr>
          <w:p>
            <w:pPr>
              <w:spacing w:line="240" w:lineRule="auto"/>
              <w:ind w:firstLine="0" w:firstLineChars="0"/>
              <w:jc w:val="center"/>
              <w:rPr>
                <w:color w:val="auto"/>
                <w:sz w:val="21"/>
                <w:szCs w:val="21"/>
              </w:rPr>
            </w:pPr>
            <w:r>
              <w:rPr>
                <w:color w:val="auto"/>
                <w:sz w:val="21"/>
                <w:szCs w:val="21"/>
              </w:rPr>
              <w:t>收益金额（万元/年）</w:t>
            </w:r>
          </w:p>
        </w:tc>
        <w:tc>
          <w:tcPr>
            <w:tcW w:w="4038" w:type="dxa"/>
            <w:tcMar>
              <w:top w:w="57" w:type="dxa"/>
              <w:bottom w:w="57" w:type="dxa"/>
            </w:tcMar>
            <w:vAlign w:val="center"/>
          </w:tcPr>
          <w:p>
            <w:pPr>
              <w:widowControl/>
              <w:spacing w:line="240" w:lineRule="auto"/>
              <w:ind w:firstLine="0" w:firstLineChars="0"/>
              <w:jc w:val="center"/>
              <w:rPr>
                <w:color w:val="auto"/>
                <w:sz w:val="21"/>
                <w:szCs w:val="21"/>
              </w:rPr>
            </w:pPr>
            <w:r>
              <w:rPr>
                <w:rFonts w:hint="eastAsia"/>
                <w:color w:val="auto"/>
                <w:sz w:val="21"/>
                <w:szCs w:val="21"/>
              </w:rPr>
              <w:t>备注</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808" w:type="dxa"/>
            <w:tcMar>
              <w:top w:w="57" w:type="dxa"/>
              <w:bottom w:w="57" w:type="dxa"/>
            </w:tcMar>
            <w:vAlign w:val="center"/>
          </w:tcPr>
          <w:p>
            <w:pPr>
              <w:spacing w:line="240" w:lineRule="auto"/>
              <w:ind w:firstLine="0" w:firstLineChars="0"/>
              <w:jc w:val="center"/>
              <w:rPr>
                <w:color w:val="auto"/>
                <w:sz w:val="21"/>
                <w:szCs w:val="21"/>
              </w:rPr>
            </w:pPr>
            <w:r>
              <w:rPr>
                <w:color w:val="auto"/>
                <w:sz w:val="21"/>
                <w:szCs w:val="21"/>
              </w:rPr>
              <w:t>1</w:t>
            </w:r>
          </w:p>
        </w:tc>
        <w:tc>
          <w:tcPr>
            <w:tcW w:w="2031" w:type="dxa"/>
            <w:tcMar>
              <w:top w:w="57" w:type="dxa"/>
              <w:bottom w:w="57" w:type="dxa"/>
            </w:tcMar>
            <w:vAlign w:val="center"/>
          </w:tcPr>
          <w:p>
            <w:pPr>
              <w:spacing w:line="240" w:lineRule="auto"/>
              <w:ind w:firstLine="0" w:firstLineChars="0"/>
              <w:jc w:val="center"/>
              <w:rPr>
                <w:color w:val="auto"/>
                <w:sz w:val="21"/>
                <w:szCs w:val="21"/>
              </w:rPr>
            </w:pPr>
            <w:r>
              <w:rPr>
                <w:rFonts w:hint="eastAsia"/>
                <w:color w:val="auto"/>
                <w:sz w:val="21"/>
                <w:szCs w:val="21"/>
              </w:rPr>
              <w:t>有机肥</w:t>
            </w:r>
          </w:p>
        </w:tc>
        <w:tc>
          <w:tcPr>
            <w:tcW w:w="2297" w:type="dxa"/>
            <w:tcMar>
              <w:top w:w="57" w:type="dxa"/>
              <w:bottom w:w="57" w:type="dxa"/>
            </w:tcMar>
            <w:vAlign w:val="center"/>
          </w:tcPr>
          <w:p>
            <w:pPr>
              <w:spacing w:line="240" w:lineRule="auto"/>
              <w:ind w:firstLine="0" w:firstLineChars="0"/>
              <w:jc w:val="center"/>
              <w:rPr>
                <w:color w:val="auto"/>
                <w:sz w:val="21"/>
                <w:szCs w:val="21"/>
              </w:rPr>
            </w:pPr>
            <w:r>
              <w:rPr>
                <w:rFonts w:hint="eastAsia"/>
                <w:color w:val="auto"/>
                <w:sz w:val="21"/>
                <w:szCs w:val="21"/>
              </w:rPr>
              <w:t>22.58</w:t>
            </w:r>
          </w:p>
        </w:tc>
        <w:tc>
          <w:tcPr>
            <w:tcW w:w="4038" w:type="dxa"/>
            <w:tcMar>
              <w:top w:w="57" w:type="dxa"/>
              <w:bottom w:w="57" w:type="dxa"/>
            </w:tcMar>
            <w:vAlign w:val="center"/>
          </w:tcPr>
          <w:p>
            <w:pPr>
              <w:spacing w:line="240" w:lineRule="auto"/>
              <w:ind w:firstLine="0" w:firstLineChars="0"/>
              <w:jc w:val="center"/>
              <w:rPr>
                <w:color w:val="auto"/>
                <w:sz w:val="21"/>
                <w:szCs w:val="21"/>
              </w:rPr>
            </w:pPr>
            <w:r>
              <w:rPr>
                <w:rFonts w:hint="eastAsia"/>
                <w:color w:val="auto"/>
                <w:sz w:val="21"/>
                <w:szCs w:val="21"/>
              </w:rPr>
              <w:t>有机肥基料：1368.75</w:t>
            </w:r>
            <w:r>
              <w:rPr>
                <w:color w:val="auto"/>
                <w:sz w:val="21"/>
                <w:szCs w:val="21"/>
              </w:rPr>
              <w:t>t/a</w:t>
            </w:r>
            <w:r>
              <w:rPr>
                <w:rFonts w:hint="eastAsia"/>
                <w:color w:val="auto"/>
                <w:sz w:val="21"/>
                <w:szCs w:val="21"/>
              </w:rPr>
              <w:t>，单价：600元/吨</w:t>
            </w:r>
          </w:p>
        </w:tc>
      </w:tr>
    </w:tbl>
    <w:p>
      <w:pPr>
        <w:ind w:firstLine="480"/>
        <w:rPr>
          <w:color w:val="auto"/>
        </w:rPr>
      </w:pPr>
      <w:r>
        <w:rPr>
          <w:color w:val="auto"/>
        </w:rPr>
        <w:t>由</w:t>
      </w:r>
      <w:r>
        <w:rPr>
          <w:rFonts w:hint="eastAsia"/>
          <w:color w:val="auto"/>
        </w:rPr>
        <w:t>上表</w:t>
      </w:r>
      <w:r>
        <w:rPr>
          <w:color w:val="auto"/>
        </w:rPr>
        <w:t>可以看出，该项目投资回收期较短，</w:t>
      </w:r>
      <w:r>
        <w:rPr>
          <w:rFonts w:hint="eastAsia"/>
          <w:color w:val="auto"/>
        </w:rPr>
        <w:t>投资利润率高，</w:t>
      </w:r>
      <w:r>
        <w:rPr>
          <w:color w:val="auto"/>
        </w:rPr>
        <w:t>具有较强的盈利能力，</w:t>
      </w:r>
      <w:r>
        <w:rPr>
          <w:rFonts w:hint="eastAsia"/>
          <w:color w:val="auto"/>
        </w:rPr>
        <w:t>同时，本项目动物粪便制作有机肥在减轻环境污染的同时，还可以获得一定的经济收益。因此，</w:t>
      </w:r>
      <w:r>
        <w:rPr>
          <w:color w:val="auto"/>
        </w:rPr>
        <w:t>从工程的经济效益分析，该项目可行。</w:t>
      </w:r>
    </w:p>
    <w:p>
      <w:pPr>
        <w:ind w:firstLine="480"/>
        <w:rPr>
          <w:color w:val="auto"/>
        </w:rPr>
      </w:pPr>
      <w:r>
        <w:rPr>
          <w:color w:val="auto"/>
        </w:rPr>
        <w:t>此外，本工程的建设具有产业链效益，能够带动一方经济的快速发展，并能促进饲料加工、种植业、养殖业等相关行业的发展。</w:t>
      </w:r>
    </w:p>
    <w:p>
      <w:pPr>
        <w:pStyle w:val="33"/>
        <w:spacing w:line="360" w:lineRule="auto"/>
        <w:jc w:val="both"/>
        <w:rPr>
          <w:b/>
          <w:bCs/>
          <w:color w:val="auto"/>
        </w:rPr>
      </w:pPr>
      <w:bookmarkStart w:id="670" w:name="_Toc438749974"/>
      <w:bookmarkStart w:id="671" w:name="_Toc413830283"/>
      <w:bookmarkStart w:id="672" w:name="_Toc31547"/>
      <w:bookmarkStart w:id="673" w:name="_Toc485580554"/>
      <w:bookmarkStart w:id="674" w:name="_Toc14434"/>
      <w:bookmarkStart w:id="675" w:name="_Toc286308085"/>
      <w:bookmarkStart w:id="676" w:name="_Toc336354264"/>
      <w:bookmarkStart w:id="677" w:name="_Toc357346916"/>
      <w:bookmarkStart w:id="678" w:name="_Toc339445714"/>
      <w:bookmarkStart w:id="679" w:name="_Toc354950815"/>
      <w:bookmarkStart w:id="680" w:name="_Toc286307806"/>
      <w:bookmarkStart w:id="681" w:name="_Toc342480457"/>
      <w:bookmarkStart w:id="682" w:name="_Toc133988265"/>
      <w:bookmarkStart w:id="683" w:name="_Toc358127985"/>
      <w:bookmarkStart w:id="684" w:name="_Toc225245050"/>
      <w:bookmarkStart w:id="685" w:name="_Toc342480456"/>
      <w:bookmarkStart w:id="686" w:name="_Toc357346915"/>
      <w:bookmarkStart w:id="687" w:name="_Toc336354263"/>
      <w:bookmarkStart w:id="688" w:name="_Toc354950814"/>
      <w:bookmarkStart w:id="689" w:name="_Toc339445713"/>
      <w:bookmarkStart w:id="690" w:name="_Toc358127984"/>
      <w:r>
        <w:rPr>
          <w:rFonts w:hint="eastAsia"/>
          <w:b/>
          <w:bCs/>
          <w:color w:val="auto"/>
        </w:rPr>
        <w:t>8</w:t>
      </w:r>
      <w:r>
        <w:rPr>
          <w:b/>
          <w:bCs/>
          <w:color w:val="auto"/>
        </w:rPr>
        <w:t>.</w:t>
      </w:r>
      <w:r>
        <w:rPr>
          <w:rFonts w:hint="eastAsia"/>
          <w:b/>
          <w:bCs/>
          <w:color w:val="auto"/>
        </w:rPr>
        <w:t>4</w:t>
      </w:r>
      <w:r>
        <w:rPr>
          <w:b/>
          <w:bCs/>
          <w:color w:val="auto"/>
        </w:rPr>
        <w:t xml:space="preserve"> </w:t>
      </w:r>
      <w:r>
        <w:rPr>
          <w:rFonts w:hint="eastAsia"/>
          <w:b/>
          <w:bCs/>
          <w:color w:val="auto"/>
        </w:rPr>
        <w:t>环境效益</w:t>
      </w:r>
      <w:r>
        <w:rPr>
          <w:b/>
          <w:bCs/>
          <w:color w:val="auto"/>
        </w:rPr>
        <w:t>分析</w:t>
      </w:r>
      <w:bookmarkEnd w:id="670"/>
      <w:bookmarkEnd w:id="671"/>
      <w:bookmarkEnd w:id="672"/>
      <w:bookmarkEnd w:id="673"/>
      <w:bookmarkEnd w:id="674"/>
    </w:p>
    <w:p>
      <w:pPr>
        <w:ind w:firstLine="480"/>
        <w:rPr>
          <w:color w:val="auto"/>
        </w:rPr>
      </w:pPr>
      <w:r>
        <w:rPr>
          <w:color w:val="auto"/>
        </w:rPr>
        <w:t>该项目将畜禽的粪便综合利用，做到了废物利用，变废为宝，从根本上降低了污染源，大大减轻了对周边地区的环境压力。既美化了养殖</w:t>
      </w:r>
      <w:r>
        <w:rPr>
          <w:rFonts w:hint="eastAsia"/>
          <w:color w:val="auto"/>
        </w:rPr>
        <w:t>厂</w:t>
      </w:r>
      <w:r>
        <w:rPr>
          <w:color w:val="auto"/>
        </w:rPr>
        <w:t>的自然环境，消除了臭味，防止了蚊蝇孳生，又改善了周边地区的生态环境，有利于农业的可持续发展，促进项目</w:t>
      </w:r>
      <w:r>
        <w:rPr>
          <w:rFonts w:hint="eastAsia"/>
          <w:color w:val="auto"/>
        </w:rPr>
        <w:t>地</w:t>
      </w:r>
      <w:r>
        <w:rPr>
          <w:color w:val="auto"/>
        </w:rPr>
        <w:t>区水土资源的合理利用和生态环境的良性循环，使项目</w:t>
      </w:r>
      <w:r>
        <w:rPr>
          <w:rFonts w:hint="eastAsia"/>
          <w:color w:val="auto"/>
        </w:rPr>
        <w:t>地</w:t>
      </w:r>
      <w:r>
        <w:rPr>
          <w:color w:val="auto"/>
        </w:rPr>
        <w:t>区规划科学、布局合理，为项目</w:t>
      </w:r>
      <w:r>
        <w:rPr>
          <w:rFonts w:hint="eastAsia"/>
          <w:color w:val="auto"/>
        </w:rPr>
        <w:t>地</w:t>
      </w:r>
      <w:r>
        <w:rPr>
          <w:color w:val="auto"/>
        </w:rPr>
        <w:t>区无公害、有机农业生产和可持续发展提供了良好的物资基础。</w:t>
      </w:r>
    </w:p>
    <w:p>
      <w:pPr>
        <w:ind w:firstLine="480"/>
        <w:rPr>
          <w:color w:val="auto"/>
        </w:rPr>
      </w:pPr>
      <w:r>
        <w:rPr>
          <w:color w:val="auto"/>
        </w:rPr>
        <w:t>本项目环保总投资为</w:t>
      </w:r>
      <w:r>
        <w:rPr>
          <w:rFonts w:hint="eastAsia"/>
          <w:color w:val="auto"/>
        </w:rPr>
        <w:t>3</w:t>
      </w:r>
      <w:r>
        <w:rPr>
          <w:rFonts w:hint="eastAsia"/>
          <w:color w:val="auto"/>
          <w:lang w:val="en-US" w:eastAsia="zh-CN"/>
        </w:rPr>
        <w:t>00.5</w:t>
      </w:r>
      <w:r>
        <w:rPr>
          <w:color w:val="auto"/>
        </w:rPr>
        <w:t>万元，占工程总投资的</w:t>
      </w:r>
      <w:r>
        <w:rPr>
          <w:rFonts w:hint="eastAsia"/>
          <w:color w:val="auto"/>
          <w:lang w:val="en-US" w:eastAsia="zh-CN"/>
        </w:rPr>
        <w:t>8.7</w:t>
      </w:r>
      <w:r>
        <w:rPr>
          <w:color w:val="auto"/>
        </w:rPr>
        <w:t>%。通过各项污染防治措施的实施和清洁生产技术的落实，可做到</w:t>
      </w:r>
      <w:r>
        <w:rPr>
          <w:rFonts w:hint="eastAsia"/>
          <w:color w:val="auto"/>
        </w:rPr>
        <w:t>养殖区</w:t>
      </w:r>
      <w:r>
        <w:rPr>
          <w:color w:val="auto"/>
        </w:rPr>
        <w:t>废水最大程度的</w:t>
      </w:r>
      <w:r>
        <w:rPr>
          <w:rFonts w:hint="eastAsia"/>
          <w:color w:val="auto"/>
        </w:rPr>
        <w:t>综合</w:t>
      </w:r>
      <w:r>
        <w:rPr>
          <w:color w:val="auto"/>
        </w:rPr>
        <w:t>利用和固体废弃物的资源化利用，可取得良好的环境效益。项目环境效益分析见表</w:t>
      </w:r>
      <w:r>
        <w:rPr>
          <w:rFonts w:hint="eastAsia"/>
          <w:color w:val="auto"/>
        </w:rPr>
        <w:t>8.4-1</w:t>
      </w:r>
      <w:r>
        <w:rPr>
          <w:color w:val="auto"/>
        </w:rPr>
        <w:t>。</w:t>
      </w:r>
    </w:p>
    <w:p>
      <w:pPr>
        <w:spacing w:after="93" w:afterLines="30"/>
        <w:ind w:firstLine="482"/>
        <w:jc w:val="center"/>
        <w:rPr>
          <w:b/>
          <w:color w:val="auto"/>
        </w:rPr>
      </w:pPr>
      <w:r>
        <w:rPr>
          <w:rFonts w:hint="eastAsia"/>
          <w:b/>
          <w:color w:val="auto"/>
        </w:rPr>
        <w:t xml:space="preserve">表8.4-1    </w:t>
      </w:r>
      <w:r>
        <w:rPr>
          <w:b/>
          <w:color w:val="auto"/>
        </w:rPr>
        <w:t xml:space="preserve">                 项目环境效益分析表</w:t>
      </w:r>
    </w:p>
    <w:tbl>
      <w:tblPr>
        <w:tblStyle w:val="27"/>
        <w:tblW w:w="0" w:type="auto"/>
        <w:jc w:val="center"/>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52"/>
        <w:gridCol w:w="3681"/>
        <w:gridCol w:w="4795"/>
      </w:tblGrid>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652"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rFonts w:hAnsi="宋体"/>
                <w:color w:val="auto"/>
                <w:sz w:val="21"/>
                <w:szCs w:val="21"/>
              </w:rPr>
              <w:t>序号</w:t>
            </w:r>
          </w:p>
        </w:tc>
        <w:tc>
          <w:tcPr>
            <w:tcW w:w="3681"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rFonts w:hAnsi="宋体"/>
                <w:color w:val="auto"/>
                <w:sz w:val="21"/>
                <w:szCs w:val="21"/>
              </w:rPr>
              <w:t>项目</w:t>
            </w:r>
          </w:p>
        </w:tc>
        <w:tc>
          <w:tcPr>
            <w:tcW w:w="4795"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rFonts w:hAnsi="宋体"/>
                <w:color w:val="auto"/>
                <w:sz w:val="21"/>
                <w:szCs w:val="21"/>
              </w:rPr>
              <w:t>环境效益</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652"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1</w:t>
            </w:r>
          </w:p>
        </w:tc>
        <w:tc>
          <w:tcPr>
            <w:tcW w:w="3681"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rFonts w:hint="eastAsia"/>
                <w:color w:val="auto"/>
                <w:sz w:val="21"/>
                <w:szCs w:val="21"/>
              </w:rPr>
              <w:t>废水沼气化处理工程</w:t>
            </w:r>
          </w:p>
        </w:tc>
        <w:tc>
          <w:tcPr>
            <w:tcW w:w="4795"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rFonts w:hint="eastAsia"/>
                <w:color w:val="auto"/>
                <w:sz w:val="21"/>
                <w:szCs w:val="21"/>
              </w:rPr>
              <w:t>厌氧</w:t>
            </w:r>
            <w:r>
              <w:rPr>
                <w:color w:val="auto"/>
                <w:sz w:val="21"/>
                <w:szCs w:val="21"/>
              </w:rPr>
              <w:t>无害化处理后，</w:t>
            </w:r>
            <w:r>
              <w:rPr>
                <w:rFonts w:hint="eastAsia"/>
                <w:color w:val="auto"/>
                <w:sz w:val="21"/>
                <w:szCs w:val="21"/>
              </w:rPr>
              <w:t>黑膜沼气池暂存，定期清理后综合利用；沼气用于食堂燃料；沼渣用于制作固体有机肥</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652"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2</w:t>
            </w:r>
          </w:p>
        </w:tc>
        <w:tc>
          <w:tcPr>
            <w:tcW w:w="3681"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rFonts w:hint="eastAsia"/>
                <w:color w:val="auto"/>
                <w:sz w:val="21"/>
                <w:szCs w:val="21"/>
              </w:rPr>
              <w:t>猪粪、处理后的病死猪残渣综合利用</w:t>
            </w:r>
          </w:p>
        </w:tc>
        <w:tc>
          <w:tcPr>
            <w:tcW w:w="4795"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rFonts w:hint="eastAsia"/>
                <w:color w:val="auto"/>
                <w:sz w:val="21"/>
                <w:szCs w:val="21"/>
              </w:rPr>
              <w:t>制作有机肥基料</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652"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3</w:t>
            </w:r>
          </w:p>
        </w:tc>
        <w:tc>
          <w:tcPr>
            <w:tcW w:w="3681" w:type="dxa"/>
            <w:tcMar>
              <w:top w:w="57" w:type="dxa"/>
              <w:left w:w="85" w:type="dxa"/>
              <w:bottom w:w="57" w:type="dxa"/>
              <w:right w:w="85" w:type="dxa"/>
            </w:tcMar>
            <w:vAlign w:val="center"/>
          </w:tcPr>
          <w:p>
            <w:pPr>
              <w:pStyle w:val="3"/>
              <w:numPr>
                <w:ilvl w:val="0"/>
                <w:numId w:val="0"/>
              </w:numPr>
              <w:spacing w:line="240" w:lineRule="auto"/>
              <w:jc w:val="center"/>
              <w:rPr>
                <w:rFonts w:ascii="宋体" w:hAnsi="宋体"/>
                <w:color w:val="auto"/>
                <w:sz w:val="21"/>
                <w:szCs w:val="21"/>
              </w:rPr>
            </w:pPr>
            <w:r>
              <w:rPr>
                <w:rFonts w:hint="eastAsia" w:ascii="宋体" w:hAnsi="宋体"/>
                <w:color w:val="auto"/>
                <w:sz w:val="21"/>
                <w:szCs w:val="21"/>
              </w:rPr>
              <w:t>沼气回收利用</w:t>
            </w:r>
          </w:p>
        </w:tc>
        <w:tc>
          <w:tcPr>
            <w:tcW w:w="4795" w:type="dxa"/>
            <w:tcMar>
              <w:top w:w="57" w:type="dxa"/>
              <w:left w:w="85" w:type="dxa"/>
              <w:bottom w:w="57" w:type="dxa"/>
              <w:right w:w="85" w:type="dxa"/>
            </w:tcMar>
            <w:vAlign w:val="center"/>
          </w:tcPr>
          <w:p>
            <w:pPr>
              <w:pStyle w:val="3"/>
              <w:numPr>
                <w:ilvl w:val="0"/>
                <w:numId w:val="0"/>
              </w:numPr>
              <w:spacing w:line="240" w:lineRule="auto"/>
              <w:rPr>
                <w:rFonts w:ascii="宋体" w:hAnsi="宋体"/>
                <w:color w:val="auto"/>
                <w:sz w:val="21"/>
                <w:szCs w:val="21"/>
              </w:rPr>
            </w:pPr>
            <w:r>
              <w:rPr>
                <w:rFonts w:hint="eastAsia" w:ascii="宋体" w:hAnsi="宋体"/>
                <w:color w:val="auto"/>
                <w:sz w:val="21"/>
                <w:szCs w:val="21"/>
              </w:rPr>
              <w:t>减少废气排放，实现资源的回收利用</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652"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4</w:t>
            </w:r>
          </w:p>
        </w:tc>
        <w:tc>
          <w:tcPr>
            <w:tcW w:w="3681"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rFonts w:hint="eastAsia"/>
                <w:color w:val="auto"/>
                <w:sz w:val="21"/>
                <w:szCs w:val="21"/>
              </w:rPr>
              <w:t>废气处理</w:t>
            </w:r>
          </w:p>
        </w:tc>
        <w:tc>
          <w:tcPr>
            <w:tcW w:w="4795" w:type="dxa"/>
            <w:tcMar>
              <w:top w:w="57" w:type="dxa"/>
              <w:left w:w="85" w:type="dxa"/>
              <w:bottom w:w="57" w:type="dxa"/>
              <w:right w:w="85" w:type="dxa"/>
            </w:tcMar>
            <w:vAlign w:val="center"/>
          </w:tcPr>
          <w:p>
            <w:pPr>
              <w:spacing w:line="240" w:lineRule="auto"/>
              <w:ind w:firstLine="0" w:firstLineChars="0"/>
              <w:jc w:val="center"/>
              <w:rPr>
                <w:rFonts w:hAnsi="宋体"/>
                <w:color w:val="auto"/>
                <w:sz w:val="21"/>
                <w:szCs w:val="21"/>
              </w:rPr>
            </w:pPr>
            <w:r>
              <w:rPr>
                <w:rFonts w:hint="eastAsia" w:hAnsi="宋体"/>
                <w:color w:val="auto"/>
                <w:sz w:val="21"/>
                <w:szCs w:val="21"/>
              </w:rPr>
              <w:t>恶臭废气采用相关措施处理后，实现达标排放</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652"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rFonts w:hint="eastAsia"/>
                <w:color w:val="auto"/>
                <w:sz w:val="21"/>
                <w:szCs w:val="21"/>
              </w:rPr>
              <w:t>5</w:t>
            </w:r>
          </w:p>
        </w:tc>
        <w:tc>
          <w:tcPr>
            <w:tcW w:w="3681"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rFonts w:hint="eastAsia"/>
                <w:color w:val="auto"/>
                <w:sz w:val="21"/>
                <w:szCs w:val="21"/>
              </w:rPr>
              <w:t>噪声处理</w:t>
            </w:r>
          </w:p>
        </w:tc>
        <w:tc>
          <w:tcPr>
            <w:tcW w:w="4795" w:type="dxa"/>
            <w:tcMar>
              <w:top w:w="57" w:type="dxa"/>
              <w:left w:w="85" w:type="dxa"/>
              <w:bottom w:w="57" w:type="dxa"/>
              <w:right w:w="85" w:type="dxa"/>
            </w:tcMar>
            <w:vAlign w:val="center"/>
          </w:tcPr>
          <w:p>
            <w:pPr>
              <w:spacing w:line="240" w:lineRule="auto"/>
              <w:ind w:firstLine="0" w:firstLineChars="0"/>
              <w:jc w:val="center"/>
              <w:rPr>
                <w:rFonts w:hAnsi="宋体"/>
                <w:color w:val="auto"/>
                <w:sz w:val="21"/>
                <w:szCs w:val="21"/>
              </w:rPr>
            </w:pPr>
            <w:r>
              <w:rPr>
                <w:rFonts w:hint="eastAsia" w:hAnsi="宋体"/>
                <w:color w:val="auto"/>
                <w:sz w:val="21"/>
                <w:szCs w:val="21"/>
              </w:rPr>
              <w:t>采用设备基础减振及场房密闭隔声处理后，实现达标排放</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652"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rFonts w:hint="eastAsia"/>
                <w:color w:val="auto"/>
                <w:sz w:val="21"/>
                <w:szCs w:val="21"/>
              </w:rPr>
              <w:t>6</w:t>
            </w:r>
          </w:p>
        </w:tc>
        <w:tc>
          <w:tcPr>
            <w:tcW w:w="3681" w:type="dxa"/>
            <w:tcMar>
              <w:top w:w="57" w:type="dxa"/>
              <w:left w:w="85" w:type="dxa"/>
              <w:bottom w:w="57" w:type="dxa"/>
              <w:right w:w="85" w:type="dxa"/>
            </w:tcMar>
            <w:vAlign w:val="center"/>
          </w:tcPr>
          <w:p>
            <w:pPr>
              <w:spacing w:line="240" w:lineRule="auto"/>
              <w:ind w:firstLine="0" w:firstLineChars="0"/>
              <w:jc w:val="center"/>
              <w:rPr>
                <w:color w:val="auto"/>
                <w:sz w:val="21"/>
                <w:szCs w:val="21"/>
              </w:rPr>
            </w:pPr>
            <w:r>
              <w:rPr>
                <w:color w:val="auto"/>
                <w:sz w:val="21"/>
                <w:szCs w:val="21"/>
              </w:rPr>
              <w:t>雨污分流及“三防”措施</w:t>
            </w:r>
          </w:p>
        </w:tc>
        <w:tc>
          <w:tcPr>
            <w:tcW w:w="4795" w:type="dxa"/>
            <w:tcMar>
              <w:top w:w="57" w:type="dxa"/>
              <w:left w:w="85" w:type="dxa"/>
              <w:bottom w:w="57" w:type="dxa"/>
              <w:right w:w="85" w:type="dxa"/>
            </w:tcMar>
            <w:vAlign w:val="center"/>
          </w:tcPr>
          <w:p>
            <w:pPr>
              <w:spacing w:line="240" w:lineRule="auto"/>
              <w:ind w:firstLine="0" w:firstLineChars="0"/>
              <w:jc w:val="center"/>
              <w:rPr>
                <w:rFonts w:hAnsi="宋体"/>
                <w:color w:val="auto"/>
                <w:sz w:val="21"/>
                <w:szCs w:val="21"/>
              </w:rPr>
            </w:pPr>
            <w:r>
              <w:rPr>
                <w:rFonts w:hint="eastAsia" w:hAnsi="宋体"/>
                <w:color w:val="auto"/>
                <w:sz w:val="21"/>
                <w:szCs w:val="21"/>
              </w:rPr>
              <w:t>经过</w:t>
            </w:r>
            <w:r>
              <w:rPr>
                <w:color w:val="auto"/>
                <w:sz w:val="21"/>
                <w:szCs w:val="21"/>
              </w:rPr>
              <w:t>化防渗和设置围堰防溢处置</w:t>
            </w:r>
            <w:r>
              <w:rPr>
                <w:rFonts w:hint="eastAsia"/>
                <w:color w:val="auto"/>
                <w:sz w:val="21"/>
                <w:szCs w:val="21"/>
              </w:rPr>
              <w:t>等措施后，</w:t>
            </w:r>
            <w:r>
              <w:rPr>
                <w:color w:val="auto"/>
                <w:sz w:val="21"/>
                <w:szCs w:val="21"/>
              </w:rPr>
              <w:t>不</w:t>
            </w:r>
            <w:r>
              <w:rPr>
                <w:rFonts w:hint="eastAsia"/>
                <w:color w:val="auto"/>
                <w:sz w:val="21"/>
                <w:szCs w:val="21"/>
              </w:rPr>
              <w:t>会</w:t>
            </w:r>
            <w:r>
              <w:rPr>
                <w:color w:val="auto"/>
                <w:sz w:val="21"/>
                <w:szCs w:val="21"/>
              </w:rPr>
              <w:t>对地下水、地表水及土壤造成直接污染</w:t>
            </w:r>
          </w:p>
        </w:tc>
      </w:tr>
    </w:tbl>
    <w:p>
      <w:pPr>
        <w:ind w:firstLine="480"/>
        <w:rPr>
          <w:color w:val="auto"/>
        </w:rPr>
      </w:pPr>
      <w:r>
        <w:rPr>
          <w:rFonts w:hint="eastAsia"/>
          <w:color w:val="auto"/>
        </w:rPr>
        <w:t>由上表</w:t>
      </w:r>
      <w:r>
        <w:rPr>
          <w:color w:val="auto"/>
        </w:rPr>
        <w:t>可以看出，项目的环保投入减少了废水及固废等污染物的排放，合理地调整了生产过程中的相互关系，使一个生产过程中的排泄物（废弃物）转变为另一个生产过程的输入物（原料资源），从而实现农业生产的无废弃物过程（零排放目标），即废弃物资源化过程。从环境保护和资源利用的角度出发，走规模处理和综合利用的道路，不仅能够促进畜禽养殖业的进一步发展，而且具有较好的环境效益。</w:t>
      </w:r>
    </w:p>
    <w:p>
      <w:pPr>
        <w:pStyle w:val="33"/>
        <w:spacing w:line="360" w:lineRule="auto"/>
        <w:jc w:val="both"/>
        <w:rPr>
          <w:b/>
          <w:bCs/>
          <w:color w:val="auto"/>
        </w:rPr>
      </w:pPr>
      <w:bookmarkStart w:id="691" w:name="_Toc13631"/>
      <w:bookmarkStart w:id="692" w:name="_Toc413830284"/>
      <w:bookmarkStart w:id="693" w:name="_Toc23821"/>
      <w:bookmarkStart w:id="694" w:name="_Toc438749975"/>
      <w:bookmarkStart w:id="695" w:name="_Toc485580555"/>
      <w:r>
        <w:rPr>
          <w:rFonts w:hint="eastAsia"/>
          <w:b/>
          <w:bCs/>
          <w:color w:val="auto"/>
        </w:rPr>
        <w:t>8</w:t>
      </w:r>
      <w:r>
        <w:rPr>
          <w:b/>
          <w:bCs/>
          <w:color w:val="auto"/>
        </w:rPr>
        <w:t>.</w:t>
      </w:r>
      <w:r>
        <w:rPr>
          <w:rFonts w:hint="eastAsia"/>
          <w:b/>
          <w:bCs/>
          <w:color w:val="auto"/>
        </w:rPr>
        <w:t>5</w:t>
      </w:r>
      <w:r>
        <w:rPr>
          <w:b/>
          <w:bCs/>
          <w:color w:val="auto"/>
        </w:rPr>
        <w:t xml:space="preserve"> 社会</w:t>
      </w:r>
      <w:r>
        <w:rPr>
          <w:rFonts w:hint="eastAsia"/>
          <w:b/>
          <w:bCs/>
          <w:color w:val="auto"/>
        </w:rPr>
        <w:t>效益</w:t>
      </w:r>
      <w:r>
        <w:rPr>
          <w:b/>
          <w:bCs/>
          <w:color w:val="auto"/>
        </w:rPr>
        <w:t>分析</w:t>
      </w:r>
      <w:bookmarkEnd w:id="675"/>
      <w:bookmarkEnd w:id="676"/>
      <w:bookmarkEnd w:id="677"/>
      <w:bookmarkEnd w:id="678"/>
      <w:bookmarkEnd w:id="679"/>
      <w:bookmarkEnd w:id="680"/>
      <w:bookmarkEnd w:id="681"/>
      <w:bookmarkEnd w:id="682"/>
      <w:bookmarkEnd w:id="683"/>
      <w:bookmarkEnd w:id="684"/>
      <w:bookmarkEnd w:id="691"/>
      <w:bookmarkEnd w:id="692"/>
      <w:bookmarkEnd w:id="693"/>
      <w:bookmarkEnd w:id="694"/>
      <w:bookmarkEnd w:id="695"/>
    </w:p>
    <w:p>
      <w:pPr>
        <w:ind w:firstLine="480"/>
        <w:rPr>
          <w:color w:val="auto"/>
        </w:rPr>
      </w:pPr>
      <w:r>
        <w:rPr>
          <w:color w:val="auto"/>
        </w:rPr>
        <w:t>本项目的社会效益主要表现在以下几个方面：</w:t>
      </w:r>
    </w:p>
    <w:p>
      <w:pPr>
        <w:ind w:firstLine="480"/>
        <w:rPr>
          <w:color w:val="auto"/>
        </w:rPr>
      </w:pPr>
      <w:r>
        <w:rPr>
          <w:rFonts w:hint="eastAsia"/>
          <w:color w:val="auto"/>
        </w:rPr>
        <w:t>（1）</w:t>
      </w:r>
      <w:r>
        <w:rPr>
          <w:color w:val="auto"/>
        </w:rPr>
        <w:t>该项目的实施促进了养殖场的良性发展，增强了建设单位的市场竞争力。本项目利用养殖场</w:t>
      </w:r>
      <w:r>
        <w:rPr>
          <w:rFonts w:hint="eastAsia"/>
          <w:color w:val="auto"/>
        </w:rPr>
        <w:t>尿液</w:t>
      </w:r>
      <w:r>
        <w:rPr>
          <w:color w:val="auto"/>
        </w:rPr>
        <w:t>生成沼气</w:t>
      </w:r>
      <w:r>
        <w:rPr>
          <w:rFonts w:hint="eastAsia"/>
          <w:color w:val="auto"/>
        </w:rPr>
        <w:t>用于食堂燃料</w:t>
      </w:r>
      <w:r>
        <w:rPr>
          <w:color w:val="auto"/>
        </w:rPr>
        <w:t>，降低能源费用，实现以沼气生产</w:t>
      </w:r>
      <w:r>
        <w:rPr>
          <w:rFonts w:hint="eastAsia"/>
          <w:color w:val="auto"/>
        </w:rPr>
        <w:t>区</w:t>
      </w:r>
      <w:r>
        <w:rPr>
          <w:color w:val="auto"/>
        </w:rPr>
        <w:t>为核心的物流循环和能源自供系统。养殖场的废物得到资源化的利用，促进了项目单位循环经济和生态经济的良性发展。同时，项目单位具有一定的生猪销售市场，养殖场的污染治理，实现了清洁养殖，为生猪的良性</w:t>
      </w:r>
      <w:r>
        <w:rPr>
          <w:rFonts w:hint="eastAsia"/>
          <w:color w:val="auto"/>
        </w:rPr>
        <w:t>生长</w:t>
      </w:r>
      <w:r>
        <w:rPr>
          <w:color w:val="auto"/>
        </w:rPr>
        <w:t>创造了较好卫生环境，增强了市场竞争力。</w:t>
      </w:r>
    </w:p>
    <w:p>
      <w:pPr>
        <w:ind w:firstLine="480"/>
        <w:rPr>
          <w:color w:val="auto"/>
        </w:rPr>
      </w:pPr>
      <w:r>
        <w:rPr>
          <w:rFonts w:hint="eastAsia"/>
          <w:color w:val="auto"/>
        </w:rPr>
        <w:t>（2）</w:t>
      </w:r>
      <w:r>
        <w:rPr>
          <w:color w:val="auto"/>
        </w:rPr>
        <w:t>项目的清洁生产措施，很大程度上节约了资源和能源，起到了“节能、降耗、减污、增效”的作用，符合国家产业政策和环保治理要求。</w:t>
      </w:r>
    </w:p>
    <w:p>
      <w:pPr>
        <w:ind w:firstLine="480"/>
        <w:rPr>
          <w:color w:val="auto"/>
        </w:rPr>
      </w:pPr>
      <w:r>
        <w:rPr>
          <w:rFonts w:hint="eastAsia"/>
          <w:color w:val="auto"/>
        </w:rPr>
        <w:t>（3）</w:t>
      </w:r>
      <w:r>
        <w:rPr>
          <w:color w:val="auto"/>
        </w:rPr>
        <w:t>该项目未来的标准化、规模化建设将形成农村能源产业，由此所需的技术、管理队伍可就地吸纳农村剩余劳动力，有利于维护农村社会稳定</w:t>
      </w:r>
      <w:r>
        <w:rPr>
          <w:rFonts w:hint="eastAsia"/>
          <w:color w:val="auto"/>
        </w:rPr>
        <w:t>，</w:t>
      </w:r>
      <w:r>
        <w:rPr>
          <w:color w:val="auto"/>
        </w:rPr>
        <w:t>对提高人民生活水平起到积极作用。</w:t>
      </w:r>
    </w:p>
    <w:p>
      <w:pPr>
        <w:ind w:firstLine="480"/>
        <w:rPr>
          <w:color w:val="auto"/>
        </w:rPr>
      </w:pPr>
      <w:r>
        <w:rPr>
          <w:rFonts w:hint="eastAsia"/>
          <w:color w:val="auto"/>
        </w:rPr>
        <w:t>（4）项目的建设可拉动周边畜禽养殖业、肉制品加工业、饲料加工业等行业的快速发展，同时为周围种植业提供了大量优质有机肥，降低了化肥、农药在农产品生产中的使用量，为无公害农产品生产提供了有利条件，有利于促进周围农村产业结构调整。</w:t>
      </w:r>
    </w:p>
    <w:p>
      <w:pPr>
        <w:ind w:firstLine="480"/>
        <w:rPr>
          <w:color w:val="auto"/>
        </w:rPr>
      </w:pPr>
      <w:r>
        <w:rPr>
          <w:rFonts w:hint="eastAsia"/>
          <w:color w:val="auto"/>
        </w:rPr>
        <w:t>（5）</w:t>
      </w:r>
      <w:r>
        <w:rPr>
          <w:color w:val="auto"/>
        </w:rPr>
        <w:t>项目投产后，可增加当地财政收入，提高</w:t>
      </w:r>
      <w:r>
        <w:rPr>
          <w:rFonts w:hint="eastAsia"/>
          <w:color w:val="auto"/>
        </w:rPr>
        <w:t>当地</w:t>
      </w:r>
      <w:r>
        <w:rPr>
          <w:color w:val="auto"/>
        </w:rPr>
        <w:t>社会</w:t>
      </w:r>
      <w:r>
        <w:rPr>
          <w:rFonts w:hint="eastAsia"/>
          <w:color w:val="auto"/>
        </w:rPr>
        <w:t>经济</w:t>
      </w:r>
      <w:r>
        <w:rPr>
          <w:color w:val="auto"/>
        </w:rPr>
        <w:t>发展</w:t>
      </w:r>
      <w:r>
        <w:rPr>
          <w:rFonts w:hint="eastAsia"/>
          <w:color w:val="auto"/>
        </w:rPr>
        <w:t>水平，对区域社会稳定发挥了较强作用。</w:t>
      </w:r>
    </w:p>
    <w:bookmarkEnd w:id="685"/>
    <w:bookmarkEnd w:id="686"/>
    <w:bookmarkEnd w:id="687"/>
    <w:bookmarkEnd w:id="688"/>
    <w:bookmarkEnd w:id="689"/>
    <w:bookmarkEnd w:id="690"/>
    <w:p>
      <w:pPr>
        <w:pStyle w:val="33"/>
        <w:spacing w:line="360" w:lineRule="auto"/>
        <w:jc w:val="both"/>
        <w:rPr>
          <w:b/>
          <w:bCs/>
          <w:color w:val="auto"/>
        </w:rPr>
      </w:pPr>
      <w:bookmarkStart w:id="696" w:name="_Toc413830285"/>
      <w:bookmarkStart w:id="697" w:name="_Toc23654"/>
      <w:bookmarkStart w:id="698" w:name="_Toc438749976"/>
      <w:bookmarkStart w:id="699" w:name="_Toc29699"/>
      <w:bookmarkStart w:id="700" w:name="_Toc485580556"/>
      <w:r>
        <w:rPr>
          <w:rFonts w:hint="eastAsia"/>
          <w:b/>
          <w:bCs/>
          <w:color w:val="auto"/>
        </w:rPr>
        <w:t>8</w:t>
      </w:r>
      <w:r>
        <w:rPr>
          <w:b/>
          <w:bCs/>
          <w:color w:val="auto"/>
        </w:rPr>
        <w:t>.</w:t>
      </w:r>
      <w:r>
        <w:rPr>
          <w:rFonts w:hint="eastAsia"/>
          <w:b/>
          <w:bCs/>
          <w:color w:val="auto"/>
        </w:rPr>
        <w:t>6</w:t>
      </w:r>
      <w:r>
        <w:rPr>
          <w:b/>
          <w:bCs/>
          <w:color w:val="auto"/>
        </w:rPr>
        <w:t xml:space="preserve"> </w:t>
      </w:r>
      <w:r>
        <w:rPr>
          <w:rFonts w:hint="eastAsia"/>
          <w:b/>
          <w:bCs/>
          <w:color w:val="auto"/>
        </w:rPr>
        <w:t>生态效益分析</w:t>
      </w:r>
      <w:bookmarkEnd w:id="696"/>
      <w:bookmarkEnd w:id="697"/>
      <w:bookmarkEnd w:id="698"/>
      <w:bookmarkEnd w:id="699"/>
      <w:bookmarkEnd w:id="700"/>
    </w:p>
    <w:p>
      <w:pPr>
        <w:ind w:firstLine="480"/>
        <w:rPr>
          <w:color w:val="auto"/>
        </w:rPr>
      </w:pPr>
      <w:r>
        <w:rPr>
          <w:rFonts w:hint="eastAsia"/>
          <w:color w:val="auto"/>
        </w:rPr>
        <w:t>项目完成后，养殖场将建成以种植业为基础，养殖业为主体，沼气为纽带，促进物质能量良性循环的生态养殖场，明显改善区域内农业生态环境，有利农业可持续发展。</w:t>
      </w:r>
    </w:p>
    <w:p>
      <w:pPr>
        <w:ind w:firstLine="480"/>
        <w:rPr>
          <w:color w:val="auto"/>
        </w:rPr>
      </w:pPr>
      <w:r>
        <w:rPr>
          <w:rFonts w:hint="eastAsia"/>
          <w:color w:val="auto"/>
        </w:rPr>
        <w:t>猪粪生产有机农肥，沼液作为农肥综合利用，沼气是清洁能源，替代燃煤作燃料，可减少大气污染物排放。</w:t>
      </w:r>
    </w:p>
    <w:p>
      <w:pPr>
        <w:ind w:firstLine="480"/>
        <w:rPr>
          <w:color w:val="auto"/>
        </w:rPr>
      </w:pPr>
      <w:r>
        <w:rPr>
          <w:color w:val="auto"/>
        </w:rPr>
        <w:t>长期大量使用化肥，不仅导致土壤板结，土壤肥力下降，而且对环境和农作物产生污染</w:t>
      </w:r>
      <w:r>
        <w:rPr>
          <w:rFonts w:hint="eastAsia"/>
          <w:color w:val="auto"/>
        </w:rPr>
        <w:t>。项目投产后，提供优质有机肥料，可减少化肥、农药用量，改善土壤理化性状。同时利用沼液节约水资源的利用，沼液本身具有防治病虫害的作用，能提高作物品质，有利于农作物增产、增收，促进农作物增产、增收，有利生产无公害农产品，保障食品安全。</w:t>
      </w:r>
    </w:p>
    <w:p>
      <w:pPr>
        <w:pStyle w:val="33"/>
        <w:spacing w:line="360" w:lineRule="auto"/>
        <w:jc w:val="both"/>
        <w:rPr>
          <w:b/>
          <w:bCs/>
          <w:color w:val="auto"/>
        </w:rPr>
      </w:pPr>
      <w:bookmarkStart w:id="701" w:name="_Toc413830286"/>
      <w:bookmarkStart w:id="702" w:name="_Toc438749977"/>
      <w:bookmarkStart w:id="703" w:name="_Toc485580557"/>
      <w:bookmarkStart w:id="704" w:name="_Toc657"/>
      <w:bookmarkStart w:id="705" w:name="_Toc22186"/>
      <w:r>
        <w:rPr>
          <w:rFonts w:hint="eastAsia"/>
          <w:b/>
          <w:bCs/>
          <w:color w:val="auto"/>
        </w:rPr>
        <w:t>8</w:t>
      </w:r>
      <w:r>
        <w:rPr>
          <w:b/>
          <w:bCs/>
          <w:color w:val="auto"/>
        </w:rPr>
        <w:t>.7</w:t>
      </w:r>
      <w:r>
        <w:rPr>
          <w:rFonts w:hint="eastAsia"/>
          <w:b/>
          <w:bCs/>
          <w:color w:val="auto"/>
        </w:rPr>
        <w:t>本项目环境经济损益分析</w:t>
      </w:r>
      <w:bookmarkEnd w:id="701"/>
      <w:bookmarkEnd w:id="702"/>
      <w:bookmarkEnd w:id="703"/>
      <w:bookmarkEnd w:id="704"/>
      <w:bookmarkEnd w:id="705"/>
    </w:p>
    <w:p>
      <w:pPr>
        <w:ind w:firstLine="480"/>
        <w:rPr>
          <w:color w:val="auto"/>
        </w:rPr>
      </w:pPr>
      <w:r>
        <w:rPr>
          <w:rFonts w:hint="eastAsia"/>
          <w:color w:val="auto"/>
        </w:rPr>
        <w:t>本项目环境经济损益分析结果见表8.7-1。</w:t>
      </w:r>
    </w:p>
    <w:p>
      <w:pPr>
        <w:spacing w:after="93" w:afterLines="30"/>
        <w:ind w:firstLine="482"/>
        <w:jc w:val="center"/>
        <w:rPr>
          <w:b/>
          <w:color w:val="auto"/>
        </w:rPr>
      </w:pPr>
      <w:r>
        <w:rPr>
          <w:rFonts w:hint="eastAsia"/>
          <w:b/>
          <w:color w:val="auto"/>
        </w:rPr>
        <w:t>表8.7-1                本项目环境经济损益分析结果</w:t>
      </w:r>
    </w:p>
    <w:tbl>
      <w:tblPr>
        <w:tblStyle w:val="27"/>
        <w:tblW w:w="0" w:type="auto"/>
        <w:jc w:val="center"/>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3058"/>
        <w:gridCol w:w="3059"/>
        <w:gridCol w:w="3057"/>
      </w:tblGrid>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058" w:type="dxa"/>
            <w:tcMar>
              <w:top w:w="57" w:type="dxa"/>
              <w:bottom w:w="57" w:type="dxa"/>
            </w:tcMar>
            <w:vAlign w:val="center"/>
          </w:tcPr>
          <w:p>
            <w:pPr>
              <w:spacing w:line="240" w:lineRule="auto"/>
              <w:ind w:firstLine="420"/>
              <w:jc w:val="center"/>
              <w:rPr>
                <w:rFonts w:ascii="宋体" w:hAnsi="宋体"/>
                <w:color w:val="auto"/>
                <w:sz w:val="21"/>
                <w:szCs w:val="21"/>
              </w:rPr>
            </w:pPr>
            <w:r>
              <w:rPr>
                <w:rFonts w:hint="eastAsia" w:ascii="宋体" w:hAnsi="宋体"/>
                <w:color w:val="auto"/>
                <w:sz w:val="21"/>
                <w:szCs w:val="21"/>
              </w:rPr>
              <w:t>环保运行费用（万元/年）</w:t>
            </w:r>
          </w:p>
        </w:tc>
        <w:tc>
          <w:tcPr>
            <w:tcW w:w="3059" w:type="dxa"/>
            <w:tcMar>
              <w:top w:w="57" w:type="dxa"/>
              <w:bottom w:w="57" w:type="dxa"/>
            </w:tcMar>
            <w:vAlign w:val="center"/>
          </w:tcPr>
          <w:p>
            <w:pPr>
              <w:spacing w:line="240" w:lineRule="auto"/>
              <w:ind w:firstLine="420"/>
              <w:jc w:val="center"/>
              <w:rPr>
                <w:rFonts w:ascii="宋体" w:hAnsi="宋体"/>
                <w:color w:val="auto"/>
                <w:sz w:val="21"/>
                <w:szCs w:val="21"/>
              </w:rPr>
            </w:pPr>
            <w:r>
              <w:rPr>
                <w:rFonts w:hint="eastAsia" w:ascii="宋体" w:hAnsi="宋体"/>
                <w:color w:val="auto"/>
                <w:sz w:val="21"/>
                <w:szCs w:val="21"/>
              </w:rPr>
              <w:t>环保投资收益（万元/年）</w:t>
            </w:r>
          </w:p>
        </w:tc>
        <w:tc>
          <w:tcPr>
            <w:tcW w:w="3057" w:type="dxa"/>
            <w:tcMar>
              <w:top w:w="57" w:type="dxa"/>
              <w:bottom w:w="57" w:type="dxa"/>
            </w:tcMar>
            <w:vAlign w:val="center"/>
          </w:tcPr>
          <w:p>
            <w:pPr>
              <w:spacing w:line="240" w:lineRule="auto"/>
              <w:ind w:firstLine="420"/>
              <w:jc w:val="center"/>
              <w:rPr>
                <w:rFonts w:ascii="宋体" w:hAnsi="宋体"/>
                <w:color w:val="auto"/>
                <w:sz w:val="21"/>
                <w:szCs w:val="21"/>
              </w:rPr>
            </w:pPr>
            <w:r>
              <w:rPr>
                <w:rFonts w:hint="eastAsia" w:ascii="宋体" w:hAnsi="宋体"/>
                <w:color w:val="auto"/>
                <w:sz w:val="21"/>
                <w:szCs w:val="21"/>
              </w:rPr>
              <w:t>费用和收益比</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058" w:type="dxa"/>
            <w:tcMar>
              <w:top w:w="57" w:type="dxa"/>
              <w:bottom w:w="57" w:type="dxa"/>
            </w:tcMar>
            <w:vAlign w:val="center"/>
          </w:tcPr>
          <w:p>
            <w:pPr>
              <w:spacing w:line="240" w:lineRule="auto"/>
              <w:ind w:firstLine="420"/>
              <w:jc w:val="center"/>
              <w:rPr>
                <w:color w:val="auto"/>
                <w:sz w:val="21"/>
                <w:szCs w:val="21"/>
              </w:rPr>
            </w:pPr>
            <w:r>
              <w:rPr>
                <w:rFonts w:hint="eastAsia"/>
                <w:color w:val="auto"/>
                <w:sz w:val="21"/>
                <w:szCs w:val="21"/>
              </w:rPr>
              <w:t>20.5</w:t>
            </w:r>
          </w:p>
        </w:tc>
        <w:tc>
          <w:tcPr>
            <w:tcW w:w="3059" w:type="dxa"/>
            <w:tcMar>
              <w:top w:w="57" w:type="dxa"/>
              <w:bottom w:w="57" w:type="dxa"/>
            </w:tcMar>
            <w:vAlign w:val="center"/>
          </w:tcPr>
          <w:p>
            <w:pPr>
              <w:spacing w:line="240" w:lineRule="auto"/>
              <w:ind w:firstLine="420"/>
              <w:jc w:val="center"/>
              <w:rPr>
                <w:color w:val="auto"/>
                <w:sz w:val="21"/>
                <w:szCs w:val="21"/>
              </w:rPr>
            </w:pPr>
            <w:r>
              <w:rPr>
                <w:rFonts w:hint="eastAsia"/>
                <w:color w:val="auto"/>
                <w:sz w:val="21"/>
                <w:szCs w:val="21"/>
              </w:rPr>
              <w:t>22.58</w:t>
            </w:r>
          </w:p>
        </w:tc>
        <w:tc>
          <w:tcPr>
            <w:tcW w:w="3057" w:type="dxa"/>
            <w:tcMar>
              <w:top w:w="57" w:type="dxa"/>
              <w:bottom w:w="57" w:type="dxa"/>
            </w:tcMar>
            <w:vAlign w:val="center"/>
          </w:tcPr>
          <w:p>
            <w:pPr>
              <w:spacing w:line="240" w:lineRule="auto"/>
              <w:ind w:firstLine="420"/>
              <w:jc w:val="center"/>
              <w:rPr>
                <w:color w:val="auto"/>
                <w:sz w:val="21"/>
                <w:szCs w:val="21"/>
              </w:rPr>
            </w:pPr>
            <w:r>
              <w:rPr>
                <w:rFonts w:hint="eastAsia"/>
                <w:color w:val="auto"/>
                <w:sz w:val="21"/>
                <w:szCs w:val="21"/>
              </w:rPr>
              <w:t>1：0.9</w:t>
            </w:r>
          </w:p>
        </w:tc>
      </w:tr>
    </w:tbl>
    <w:p>
      <w:pPr>
        <w:ind w:firstLine="480"/>
        <w:rPr>
          <w:color w:val="auto"/>
        </w:rPr>
      </w:pPr>
      <w:r>
        <w:rPr>
          <w:rFonts w:hint="eastAsia"/>
          <w:color w:val="auto"/>
        </w:rPr>
        <w:t>由上表可知，本项目环保运行费用</w:t>
      </w:r>
      <w:r>
        <w:rPr>
          <w:color w:val="auto"/>
        </w:rPr>
        <w:t>2</w:t>
      </w:r>
      <w:r>
        <w:rPr>
          <w:rFonts w:hint="eastAsia"/>
          <w:color w:val="auto"/>
        </w:rPr>
        <w:t>0.5万元，年环保投资收益22.58万元，运行费用与年环保收益比为1：0.9，说明环保运行费用小于采取环保措施而带来的经济收益。</w:t>
      </w:r>
    </w:p>
    <w:p>
      <w:pPr>
        <w:pStyle w:val="5"/>
        <w:numPr>
          <w:ilvl w:val="1"/>
          <w:numId w:val="0"/>
        </w:numPr>
        <w:tabs>
          <w:tab w:val="left" w:pos="105"/>
        </w:tabs>
        <w:spacing w:before="0" w:after="0"/>
        <w:textAlignment w:val="baseline"/>
        <w:rPr>
          <w:color w:val="auto"/>
          <w:sz w:val="24"/>
          <w:szCs w:val="24"/>
        </w:rPr>
      </w:pPr>
      <w:bookmarkStart w:id="706" w:name="_Toc47432558"/>
      <w:bookmarkStart w:id="707" w:name="_Toc47432606"/>
      <w:bookmarkStart w:id="708" w:name="_Toc123023650"/>
      <w:bookmarkStart w:id="709" w:name="_Toc366760462"/>
      <w:bookmarkStart w:id="710" w:name="_Toc295121734"/>
      <w:bookmarkStart w:id="711" w:name="_Toc645"/>
      <w:bookmarkStart w:id="712" w:name="_Toc476923138"/>
      <w:bookmarkStart w:id="713" w:name="_Toc329183293"/>
      <w:bookmarkStart w:id="714" w:name="_Toc32232"/>
      <w:bookmarkStart w:id="715" w:name="_Toc485580558"/>
      <w:bookmarkStart w:id="716" w:name="_Toc476922045"/>
      <w:r>
        <w:rPr>
          <w:rFonts w:hint="eastAsia"/>
          <w:color w:val="auto"/>
          <w:sz w:val="24"/>
          <w:szCs w:val="24"/>
        </w:rPr>
        <w:t>8.</w:t>
      </w:r>
      <w:bookmarkEnd w:id="706"/>
      <w:bookmarkEnd w:id="707"/>
      <w:bookmarkEnd w:id="708"/>
      <w:r>
        <w:rPr>
          <w:rFonts w:hint="eastAsia"/>
          <w:color w:val="auto"/>
          <w:sz w:val="24"/>
          <w:szCs w:val="24"/>
        </w:rPr>
        <w:t>8 环境经济损益分析结论</w:t>
      </w:r>
      <w:bookmarkEnd w:id="709"/>
      <w:bookmarkEnd w:id="710"/>
      <w:bookmarkEnd w:id="711"/>
      <w:bookmarkEnd w:id="712"/>
      <w:bookmarkEnd w:id="713"/>
      <w:bookmarkEnd w:id="714"/>
      <w:bookmarkEnd w:id="715"/>
      <w:bookmarkEnd w:id="716"/>
    </w:p>
    <w:p>
      <w:pPr>
        <w:ind w:firstLine="508" w:firstLineChars="212"/>
        <w:rPr>
          <w:color w:val="auto"/>
        </w:rPr>
      </w:pPr>
      <w:bookmarkStart w:id="717" w:name="OLE_LINK3"/>
      <w:r>
        <w:rPr>
          <w:rFonts w:hint="eastAsia"/>
          <w:color w:val="auto"/>
        </w:rPr>
        <w:t>项目建成投产后，年均实现销售收入8000万元。项目税后投资回收期(包括建设期)为2</w:t>
      </w:r>
      <w:r>
        <w:rPr>
          <w:rFonts w:hint="eastAsia" w:hAnsi="宋体"/>
          <w:color w:val="auto"/>
        </w:rPr>
        <w:t>年</w:t>
      </w:r>
      <w:r>
        <w:rPr>
          <w:rFonts w:hint="eastAsia"/>
          <w:color w:val="auto"/>
        </w:rPr>
        <w:t>。由此可见，该项目可取得较好的经济效益，项目的实施对促进当地经济发展、提高国民经济收入具有一定的贡献；此外本项目对于改变贫困地区落后面貌、增加就业，具有明显的经济社会效益。对当地的国民经济发展也将做出一定的贡献。</w:t>
      </w:r>
    </w:p>
    <w:bookmarkEnd w:id="717"/>
    <w:p>
      <w:pPr>
        <w:ind w:firstLine="508" w:firstLineChars="212"/>
        <w:rPr>
          <w:color w:val="auto"/>
        </w:rPr>
      </w:pPr>
      <w:r>
        <w:rPr>
          <w:rFonts w:hint="eastAsia"/>
          <w:color w:val="auto"/>
        </w:rPr>
        <w:t>项目的建设符合国家产业政策和环境保护要求，通过采用较先进的芳构化技术及装备，能够节约能源消耗、降低生产成本，为企业获得良好的经济效益，项目的实施在促进地方经济发展的同时，又可提供大量的就业机会，具有良好的社会效益。项目产品的市场前景较好，并有较好的赢利能力、偿还能力，从社会经济角度看也是可行的。项目环保费用比例合理，在确保环保投资落实到位的前提下，环境效益比较明显，因此，从环境与经济分析情况来看，项目的建设是可行的。</w:t>
      </w:r>
    </w:p>
    <w:p>
      <w:pPr>
        <w:ind w:firstLine="480"/>
        <w:rPr>
          <w:color w:val="auto"/>
        </w:rPr>
        <w:sectPr>
          <w:headerReference r:id="rId27" w:type="default"/>
          <w:pgSz w:w="11906" w:h="16838"/>
          <w:pgMar w:top="1440" w:right="1474" w:bottom="1440" w:left="1474" w:header="851" w:footer="992" w:gutter="0"/>
          <w:cols w:space="720" w:num="1"/>
          <w:docGrid w:type="lines" w:linePitch="312" w:charSpace="0"/>
        </w:sectPr>
      </w:pPr>
    </w:p>
    <w:p>
      <w:pPr>
        <w:pStyle w:val="26"/>
        <w:ind w:left="480" w:firstLine="480"/>
        <w:rPr>
          <w:color w:val="auto"/>
        </w:rPr>
      </w:pPr>
    </w:p>
    <w:p>
      <w:pPr>
        <w:pStyle w:val="4"/>
        <w:spacing w:before="240" w:line="240" w:lineRule="auto"/>
        <w:ind w:firstLine="0" w:firstLineChars="0"/>
        <w:rPr>
          <w:color w:val="auto"/>
        </w:rPr>
      </w:pPr>
      <w:bookmarkStart w:id="718" w:name="_Toc115071341"/>
      <w:bookmarkStart w:id="719" w:name="_Toc47433175"/>
      <w:bookmarkStart w:id="720" w:name="_Toc485580806"/>
      <w:bookmarkStart w:id="721" w:name="_Toc476923084"/>
      <w:bookmarkStart w:id="722" w:name="_Toc295122025"/>
      <w:bookmarkStart w:id="723" w:name="_Toc477187658"/>
      <w:bookmarkStart w:id="724" w:name="_Toc366760518"/>
      <w:bookmarkStart w:id="725" w:name="_Toc123212125"/>
      <w:bookmarkStart w:id="726" w:name="_Toc477187610"/>
      <w:bookmarkStart w:id="727" w:name="_Toc19967"/>
      <w:bookmarkStart w:id="728" w:name="_Toc22146"/>
      <w:r>
        <w:rPr>
          <w:color w:val="auto"/>
        </w:rPr>
        <w:t>第</w:t>
      </w:r>
      <w:r>
        <w:rPr>
          <w:rFonts w:hint="eastAsia"/>
          <w:color w:val="auto"/>
        </w:rPr>
        <w:t>九</w:t>
      </w:r>
      <w:r>
        <w:rPr>
          <w:color w:val="auto"/>
        </w:rPr>
        <w:t>章  环境管理</w:t>
      </w:r>
      <w:bookmarkEnd w:id="718"/>
      <w:bookmarkEnd w:id="719"/>
      <w:bookmarkEnd w:id="720"/>
      <w:bookmarkEnd w:id="721"/>
      <w:bookmarkEnd w:id="722"/>
      <w:bookmarkEnd w:id="723"/>
      <w:bookmarkEnd w:id="724"/>
      <w:bookmarkEnd w:id="725"/>
      <w:bookmarkEnd w:id="726"/>
      <w:r>
        <w:rPr>
          <w:rFonts w:hint="eastAsia"/>
          <w:color w:val="auto"/>
        </w:rPr>
        <w:t>与监测计划</w:t>
      </w:r>
      <w:bookmarkEnd w:id="727"/>
      <w:bookmarkEnd w:id="728"/>
    </w:p>
    <w:p>
      <w:pPr>
        <w:pStyle w:val="5"/>
        <w:numPr>
          <w:ilvl w:val="1"/>
          <w:numId w:val="0"/>
        </w:numPr>
        <w:tabs>
          <w:tab w:val="left" w:pos="105"/>
        </w:tabs>
        <w:jc w:val="left"/>
        <w:textAlignment w:val="baseline"/>
        <w:rPr>
          <w:color w:val="auto"/>
          <w:sz w:val="24"/>
          <w:szCs w:val="24"/>
        </w:rPr>
      </w:pPr>
      <w:bookmarkStart w:id="729" w:name="_Toc445457760"/>
      <w:bookmarkStart w:id="730" w:name="_Toc14595"/>
      <w:bookmarkStart w:id="731" w:name="_Toc468115480"/>
      <w:bookmarkStart w:id="732" w:name="_Toc413834601"/>
      <w:bookmarkStart w:id="733" w:name="_Toc11224"/>
      <w:bookmarkStart w:id="734" w:name="_Toc24318"/>
      <w:bookmarkStart w:id="735" w:name="_Toc485580807"/>
      <w:bookmarkStart w:id="736" w:name="_Toc28775"/>
      <w:bookmarkStart w:id="737" w:name="_Toc477187611"/>
      <w:bookmarkStart w:id="738" w:name="_Toc366760519"/>
      <w:bookmarkStart w:id="739" w:name="_Toc476923085"/>
      <w:bookmarkStart w:id="740" w:name="_Toc477187659"/>
      <w:bookmarkStart w:id="741" w:name="_Toc295122026"/>
      <w:r>
        <w:rPr>
          <w:rFonts w:hint="eastAsia"/>
          <w:color w:val="auto"/>
          <w:sz w:val="24"/>
          <w:szCs w:val="24"/>
        </w:rPr>
        <w:t>9</w:t>
      </w:r>
      <w:r>
        <w:rPr>
          <w:color w:val="auto"/>
          <w:sz w:val="24"/>
          <w:szCs w:val="24"/>
        </w:rPr>
        <w:t>.1 环境管理计划</w:t>
      </w:r>
      <w:bookmarkEnd w:id="729"/>
      <w:bookmarkEnd w:id="730"/>
      <w:bookmarkEnd w:id="731"/>
      <w:bookmarkEnd w:id="732"/>
      <w:bookmarkEnd w:id="733"/>
      <w:bookmarkEnd w:id="734"/>
      <w:bookmarkEnd w:id="735"/>
      <w:bookmarkEnd w:id="736"/>
    </w:p>
    <w:p>
      <w:pPr>
        <w:ind w:firstLine="480"/>
        <w:rPr>
          <w:color w:val="auto"/>
        </w:rPr>
      </w:pPr>
      <w:r>
        <w:rPr>
          <w:color w:val="auto"/>
        </w:rPr>
        <w:t>环境管理是企业管理中的重要组成部分，加大环境监督、管理力度，是实现环境效益、社会效益、经济效益协调发展和坚持走可持续发展道路的重要措施。因此需制定严格的环境管理和环境监测计划，确保建设项目在工程施工和运行期间各项环保治理措施能得到认真落实，做到最大限度的减少污染。</w:t>
      </w:r>
    </w:p>
    <w:p>
      <w:pPr>
        <w:keepNext/>
        <w:keepLines/>
        <w:ind w:firstLine="0" w:firstLineChars="0"/>
        <w:outlineLvl w:val="2"/>
        <w:rPr>
          <w:rFonts w:eastAsia="黑体"/>
          <w:bCs/>
          <w:color w:val="auto"/>
        </w:rPr>
      </w:pPr>
      <w:bookmarkStart w:id="742" w:name="_Toc468115481"/>
      <w:bookmarkStart w:id="743" w:name="_Toc27211"/>
      <w:r>
        <w:rPr>
          <w:rFonts w:eastAsia="黑体"/>
          <w:bCs/>
          <w:color w:val="auto"/>
        </w:rPr>
        <w:t xml:space="preserve">9.1.1 </w:t>
      </w:r>
      <w:r>
        <w:rPr>
          <w:rFonts w:hAnsi="黑体" w:eastAsia="黑体"/>
          <w:bCs/>
          <w:color w:val="auto"/>
        </w:rPr>
        <w:t>环境管理机构</w:t>
      </w:r>
      <w:bookmarkEnd w:id="742"/>
      <w:bookmarkEnd w:id="743"/>
    </w:p>
    <w:p>
      <w:pPr>
        <w:ind w:firstLine="480"/>
        <w:rPr>
          <w:color w:val="auto"/>
        </w:rPr>
      </w:pPr>
      <w:r>
        <w:rPr>
          <w:color w:val="auto"/>
        </w:rPr>
        <w:t>本项目的环境管理体系可分为管理机构与监督机构。</w:t>
      </w:r>
    </w:p>
    <w:p>
      <w:pPr>
        <w:ind w:firstLine="480"/>
        <w:rPr>
          <w:color w:val="auto"/>
        </w:rPr>
      </w:pPr>
      <w:r>
        <w:rPr>
          <w:color w:val="auto"/>
        </w:rPr>
        <w:t>（1）设置与组成</w:t>
      </w:r>
    </w:p>
    <w:p>
      <w:pPr>
        <w:ind w:firstLine="480"/>
        <w:rPr>
          <w:color w:val="auto"/>
        </w:rPr>
      </w:pPr>
      <w:r>
        <w:rPr>
          <w:color w:val="auto"/>
        </w:rPr>
        <w:t>根据《建设项目环境保护设计规定》的有关要求和本次工程的实际需要，建设项目的法人单位应成立专门的环境管理机构，负责项目施工、运营期间的安全生产和环境管理工作。环境管理工作由1名副厂长主抓，并配备专职安全、环保管理人员3人负责企业环境管理的日常工作。</w:t>
      </w:r>
    </w:p>
    <w:p>
      <w:pPr>
        <w:ind w:firstLine="480"/>
        <w:rPr>
          <w:color w:val="auto"/>
        </w:rPr>
      </w:pPr>
      <w:r>
        <w:rPr>
          <w:color w:val="auto"/>
        </w:rPr>
        <w:t>环境管理机构的主要职责如下：</w:t>
      </w:r>
    </w:p>
    <w:p>
      <w:pPr>
        <w:ind w:firstLine="480"/>
        <w:rPr>
          <w:color w:val="auto"/>
        </w:rPr>
      </w:pPr>
      <w:r>
        <w:rPr>
          <w:color w:val="auto"/>
        </w:rPr>
        <w:t>①贯彻、宣传国家的环保方针、政策和法律法规。</w:t>
      </w:r>
    </w:p>
    <w:p>
      <w:pPr>
        <w:ind w:firstLine="480"/>
        <w:rPr>
          <w:color w:val="auto"/>
        </w:rPr>
      </w:pPr>
      <w:r>
        <w:rPr>
          <w:color w:val="auto"/>
        </w:rPr>
        <w:t>②制定本厂的环保管理制度。</w:t>
      </w:r>
    </w:p>
    <w:p>
      <w:pPr>
        <w:ind w:firstLine="480"/>
        <w:rPr>
          <w:color w:val="auto"/>
        </w:rPr>
      </w:pPr>
      <w:r>
        <w:rPr>
          <w:color w:val="auto"/>
        </w:rPr>
        <w:t>③监督检查本项目执行“三同时”规定的情况。</w:t>
      </w:r>
    </w:p>
    <w:p>
      <w:pPr>
        <w:ind w:firstLine="480"/>
        <w:rPr>
          <w:color w:val="auto"/>
        </w:rPr>
      </w:pPr>
      <w:r>
        <w:rPr>
          <w:color w:val="auto"/>
        </w:rPr>
        <w:t>④定期进行环保设备检查、维修和保养工作，确保环保设施长期、稳定、达标运转。</w:t>
      </w:r>
    </w:p>
    <w:p>
      <w:pPr>
        <w:tabs>
          <w:tab w:val="left" w:pos="523"/>
        </w:tabs>
        <w:ind w:firstLine="480"/>
        <w:rPr>
          <w:color w:val="auto"/>
        </w:rPr>
      </w:pPr>
      <w:r>
        <w:rPr>
          <w:color w:val="auto"/>
        </w:rPr>
        <w:t>⑤负责养殖场环保设施的日常运行管理工作，制定事故防范措施。</w:t>
      </w:r>
    </w:p>
    <w:p>
      <w:pPr>
        <w:ind w:firstLine="480"/>
        <w:rPr>
          <w:color w:val="auto"/>
        </w:rPr>
      </w:pPr>
      <w:r>
        <w:rPr>
          <w:color w:val="auto"/>
        </w:rPr>
        <w:t>⑥负责对场内环保人员和附近居民进行环境保护教育，不断提高居民的环境意识和环保人员的业务素质。</w:t>
      </w:r>
    </w:p>
    <w:p>
      <w:pPr>
        <w:ind w:firstLine="480"/>
        <w:rPr>
          <w:color w:val="auto"/>
        </w:rPr>
      </w:pPr>
      <w:r>
        <w:rPr>
          <w:color w:val="auto"/>
        </w:rPr>
        <w:t>（2）排污口规范化设置</w:t>
      </w:r>
    </w:p>
    <w:p>
      <w:pPr>
        <w:ind w:firstLine="480"/>
        <w:rPr>
          <w:color w:val="auto"/>
        </w:rPr>
      </w:pPr>
      <w:r>
        <w:rPr>
          <w:color w:val="auto"/>
        </w:rPr>
        <w:t>废气排放口应进行规范化设计，具备采样、监测条件，排放口附近树立环保图形标志牌。按照国家环境保护总局制定的《〈环境保护图形标志〉实施细则（试行）》（环监[1996]463号）的规定，在排污口设立相应的环境保护图形标志牌。排污口环境保护图形标志见表</w:t>
      </w:r>
      <w:r>
        <w:rPr>
          <w:rFonts w:hint="eastAsia"/>
          <w:color w:val="auto"/>
        </w:rPr>
        <w:t>9.1</w:t>
      </w:r>
      <w:r>
        <w:rPr>
          <w:color w:val="auto"/>
        </w:rPr>
        <w:t>-1。</w:t>
      </w:r>
    </w:p>
    <w:p>
      <w:pPr>
        <w:spacing w:after="93" w:afterLines="30" w:line="500" w:lineRule="exact"/>
        <w:ind w:firstLine="482"/>
        <w:jc w:val="left"/>
        <w:rPr>
          <w:b/>
          <w:color w:val="auto"/>
          <w:szCs w:val="21"/>
        </w:rPr>
      </w:pPr>
      <w:r>
        <w:rPr>
          <w:b/>
          <w:color w:val="auto"/>
          <w:szCs w:val="21"/>
        </w:rPr>
        <w:t>表</w:t>
      </w:r>
      <w:r>
        <w:rPr>
          <w:rFonts w:hint="eastAsia"/>
          <w:b/>
          <w:color w:val="auto"/>
          <w:szCs w:val="21"/>
        </w:rPr>
        <w:t>9.1-</w:t>
      </w:r>
      <w:r>
        <w:rPr>
          <w:b/>
          <w:color w:val="auto"/>
          <w:szCs w:val="21"/>
        </w:rPr>
        <w:t xml:space="preserve">1   </w:t>
      </w:r>
      <w:r>
        <w:rPr>
          <w:rFonts w:hint="eastAsia"/>
          <w:b/>
          <w:color w:val="auto"/>
          <w:szCs w:val="21"/>
        </w:rPr>
        <w:t xml:space="preserve">             </w:t>
      </w:r>
      <w:r>
        <w:rPr>
          <w:b/>
          <w:color w:val="auto"/>
          <w:szCs w:val="21"/>
        </w:rPr>
        <w:t xml:space="preserve"> 排污口环境保护图形标志</w:t>
      </w:r>
    </w:p>
    <w:tbl>
      <w:tblPr>
        <w:tblStyle w:val="27"/>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57" w:type="dxa"/>
          <w:left w:w="108" w:type="dxa"/>
          <w:bottom w:w="57" w:type="dxa"/>
          <w:right w:w="108" w:type="dxa"/>
        </w:tblCellMar>
      </w:tblPr>
      <w:tblGrid>
        <w:gridCol w:w="4119"/>
        <w:gridCol w:w="482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57" w:type="dxa"/>
            <w:left w:w="108" w:type="dxa"/>
            <w:bottom w:w="57" w:type="dxa"/>
            <w:right w:w="108" w:type="dxa"/>
          </w:tblCellMar>
        </w:tblPrEx>
        <w:trPr>
          <w:trHeight w:val="397" w:hRule="atLeast"/>
          <w:tblHeader/>
          <w:jc w:val="center"/>
        </w:trPr>
        <w:tc>
          <w:tcPr>
            <w:tcW w:w="4119" w:type="dxa"/>
            <w:vAlign w:val="center"/>
          </w:tcPr>
          <w:p>
            <w:pPr>
              <w:spacing w:line="240" w:lineRule="auto"/>
              <w:ind w:firstLine="0" w:firstLineChars="0"/>
              <w:jc w:val="center"/>
              <w:rPr>
                <w:b/>
                <w:snapToGrid w:val="0"/>
                <w:color w:val="auto"/>
                <w:sz w:val="21"/>
                <w:szCs w:val="21"/>
              </w:rPr>
            </w:pPr>
            <w:r>
              <w:rPr>
                <w:b/>
                <w:snapToGrid w:val="0"/>
                <w:color w:val="auto"/>
                <w:sz w:val="21"/>
                <w:szCs w:val="21"/>
              </w:rPr>
              <w:t>排放口名称</w:t>
            </w:r>
          </w:p>
        </w:tc>
        <w:tc>
          <w:tcPr>
            <w:tcW w:w="4827" w:type="dxa"/>
            <w:vAlign w:val="center"/>
          </w:tcPr>
          <w:p>
            <w:pPr>
              <w:spacing w:line="240" w:lineRule="auto"/>
              <w:ind w:firstLine="0" w:firstLineChars="0"/>
              <w:jc w:val="center"/>
              <w:rPr>
                <w:b/>
                <w:snapToGrid w:val="0"/>
                <w:color w:val="auto"/>
                <w:sz w:val="21"/>
                <w:szCs w:val="21"/>
              </w:rPr>
            </w:pPr>
            <w:r>
              <w:rPr>
                <w:b/>
                <w:snapToGrid w:val="0"/>
                <w:color w:val="auto"/>
                <w:sz w:val="21"/>
                <w:szCs w:val="21"/>
              </w:rPr>
              <w:t>图形标志</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57" w:type="dxa"/>
            <w:left w:w="108" w:type="dxa"/>
            <w:bottom w:w="57" w:type="dxa"/>
            <w:right w:w="108" w:type="dxa"/>
          </w:tblCellMar>
        </w:tblPrEx>
        <w:trPr>
          <w:trHeight w:val="397" w:hRule="atLeast"/>
          <w:tblHeader/>
          <w:jc w:val="center"/>
        </w:trPr>
        <w:tc>
          <w:tcPr>
            <w:tcW w:w="4119" w:type="dxa"/>
            <w:vAlign w:val="center"/>
          </w:tcPr>
          <w:p>
            <w:pPr>
              <w:spacing w:line="240" w:lineRule="auto"/>
              <w:ind w:firstLine="0" w:firstLineChars="0"/>
              <w:jc w:val="center"/>
              <w:rPr>
                <w:snapToGrid w:val="0"/>
                <w:color w:val="auto"/>
                <w:sz w:val="21"/>
                <w:szCs w:val="21"/>
              </w:rPr>
            </w:pPr>
            <w:r>
              <w:rPr>
                <w:snapToGrid w:val="0"/>
                <w:color w:val="auto"/>
                <w:sz w:val="21"/>
                <w:szCs w:val="21"/>
              </w:rPr>
              <w:t>排气筒</w:t>
            </w:r>
          </w:p>
        </w:tc>
        <w:tc>
          <w:tcPr>
            <w:tcW w:w="4827" w:type="dxa"/>
            <w:vAlign w:val="center"/>
          </w:tcPr>
          <w:p>
            <w:pPr>
              <w:spacing w:line="240" w:lineRule="auto"/>
              <w:ind w:firstLine="0" w:firstLineChars="0"/>
              <w:jc w:val="center"/>
              <w:rPr>
                <w:snapToGrid w:val="0"/>
                <w:color w:val="auto"/>
                <w:sz w:val="21"/>
                <w:szCs w:val="21"/>
              </w:rPr>
            </w:pPr>
            <w:r>
              <w:rPr>
                <w:color w:val="auto"/>
                <w:sz w:val="21"/>
                <w:szCs w:val="21"/>
              </w:rPr>
              <w:fldChar w:fldCharType="begin"/>
            </w:r>
            <w:r>
              <w:rPr>
                <w:color w:val="auto"/>
                <w:sz w:val="21"/>
                <w:szCs w:val="21"/>
              </w:rPr>
              <w:instrText xml:space="preserve"> INCLUDEPICTURE  "http://www.biaozhi.net/enews/UploadFiles/smallImg/783.gif" \* MERGEFORMATINET </w:instrText>
            </w:r>
            <w:r>
              <w:rPr>
                <w:color w:val="auto"/>
                <w:sz w:val="21"/>
                <w:szCs w:val="21"/>
              </w:rPr>
              <w:fldChar w:fldCharType="separate"/>
            </w:r>
            <w:r>
              <w:rPr>
                <w:color w:val="auto"/>
                <w:sz w:val="21"/>
                <w:szCs w:val="21"/>
              </w:rPr>
              <w:drawing>
                <wp:inline distT="0" distB="0" distL="114300" distR="114300">
                  <wp:extent cx="515620" cy="515620"/>
                  <wp:effectExtent l="0" t="0" r="17780" b="17780"/>
                  <wp:docPr id="385" name="图片 7" descr="点击看大图及详细资料">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7" descr="点击看大图及详细资料"/>
                          <pic:cNvPicPr>
                            <a:picLocks noChangeAspect="1"/>
                          </pic:cNvPicPr>
                        </pic:nvPicPr>
                        <pic:blipFill>
                          <a:blip r:embed="rId78" r:link="rId79" cstate="print"/>
                          <a:stretch>
                            <a:fillRect/>
                          </a:stretch>
                        </pic:blipFill>
                        <pic:spPr>
                          <a:xfrm>
                            <a:off x="0" y="0"/>
                            <a:ext cx="515620" cy="515620"/>
                          </a:xfrm>
                          <a:prstGeom prst="rect">
                            <a:avLst/>
                          </a:prstGeom>
                          <a:noFill/>
                          <a:ln>
                            <a:noFill/>
                          </a:ln>
                        </pic:spPr>
                      </pic:pic>
                    </a:graphicData>
                  </a:graphic>
                </wp:inline>
              </w:drawing>
            </w:r>
            <w:r>
              <w:rPr>
                <w:color w:val="auto"/>
                <w:sz w:val="21"/>
                <w:szCs w:val="21"/>
              </w:rPr>
              <w:fldChar w:fldCharType="end"/>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57" w:type="dxa"/>
            <w:left w:w="108" w:type="dxa"/>
            <w:bottom w:w="57" w:type="dxa"/>
            <w:right w:w="108" w:type="dxa"/>
          </w:tblCellMar>
        </w:tblPrEx>
        <w:trPr>
          <w:trHeight w:val="397" w:hRule="atLeast"/>
          <w:tblHeader/>
          <w:jc w:val="center"/>
        </w:trPr>
        <w:tc>
          <w:tcPr>
            <w:tcW w:w="4119" w:type="dxa"/>
            <w:vAlign w:val="center"/>
          </w:tcPr>
          <w:p>
            <w:pPr>
              <w:spacing w:line="240" w:lineRule="auto"/>
              <w:ind w:firstLine="0" w:firstLineChars="0"/>
              <w:jc w:val="center"/>
              <w:rPr>
                <w:snapToGrid w:val="0"/>
                <w:color w:val="auto"/>
                <w:sz w:val="21"/>
                <w:szCs w:val="21"/>
              </w:rPr>
            </w:pPr>
            <w:r>
              <w:rPr>
                <w:snapToGrid w:val="0"/>
                <w:color w:val="auto"/>
                <w:sz w:val="21"/>
                <w:szCs w:val="21"/>
              </w:rPr>
              <w:t>噪声源</w:t>
            </w:r>
          </w:p>
        </w:tc>
        <w:tc>
          <w:tcPr>
            <w:tcW w:w="4827" w:type="dxa"/>
            <w:vAlign w:val="center"/>
          </w:tcPr>
          <w:p>
            <w:pPr>
              <w:spacing w:line="240" w:lineRule="auto"/>
              <w:ind w:firstLine="0" w:firstLineChars="0"/>
              <w:jc w:val="center"/>
              <w:rPr>
                <w:snapToGrid w:val="0"/>
                <w:color w:val="auto"/>
                <w:sz w:val="21"/>
                <w:szCs w:val="21"/>
              </w:rPr>
            </w:pPr>
            <w:r>
              <w:rPr>
                <w:color w:val="auto"/>
                <w:sz w:val="21"/>
                <w:szCs w:val="21"/>
              </w:rPr>
              <w:fldChar w:fldCharType="begin"/>
            </w:r>
            <w:r>
              <w:rPr>
                <w:color w:val="auto"/>
                <w:sz w:val="21"/>
                <w:szCs w:val="21"/>
              </w:rPr>
              <w:instrText xml:space="preserve"> INCLUDEPICTURE  "http://www.biaozhi.net/enews/UploadFiles/smallImg/785.gif" \* MERGEFORMATINET </w:instrText>
            </w:r>
            <w:r>
              <w:rPr>
                <w:color w:val="auto"/>
                <w:sz w:val="21"/>
                <w:szCs w:val="21"/>
              </w:rPr>
              <w:fldChar w:fldCharType="separate"/>
            </w:r>
            <w:r>
              <w:rPr>
                <w:color w:val="auto"/>
                <w:sz w:val="21"/>
                <w:szCs w:val="21"/>
              </w:rPr>
              <w:drawing>
                <wp:inline distT="0" distB="0" distL="114300" distR="114300">
                  <wp:extent cx="515620" cy="515620"/>
                  <wp:effectExtent l="0" t="0" r="17780" b="17780"/>
                  <wp:docPr id="386" name="图片 8" descr="点击看大图及详细资料">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8" descr="点击看大图及详细资料"/>
                          <pic:cNvPicPr>
                            <a:picLocks noChangeAspect="1"/>
                          </pic:cNvPicPr>
                        </pic:nvPicPr>
                        <pic:blipFill>
                          <a:blip r:embed="rId81" r:link="rId82" cstate="print"/>
                          <a:stretch>
                            <a:fillRect/>
                          </a:stretch>
                        </pic:blipFill>
                        <pic:spPr>
                          <a:xfrm>
                            <a:off x="0" y="0"/>
                            <a:ext cx="515620" cy="515620"/>
                          </a:xfrm>
                          <a:prstGeom prst="rect">
                            <a:avLst/>
                          </a:prstGeom>
                          <a:noFill/>
                          <a:ln>
                            <a:noFill/>
                          </a:ln>
                        </pic:spPr>
                      </pic:pic>
                    </a:graphicData>
                  </a:graphic>
                </wp:inline>
              </w:drawing>
            </w:r>
            <w:r>
              <w:rPr>
                <w:color w:val="auto"/>
                <w:sz w:val="21"/>
                <w:szCs w:val="21"/>
              </w:rPr>
              <w:fldChar w:fldCharType="end"/>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57" w:type="dxa"/>
            <w:left w:w="108" w:type="dxa"/>
            <w:bottom w:w="57" w:type="dxa"/>
            <w:right w:w="108" w:type="dxa"/>
          </w:tblCellMar>
        </w:tblPrEx>
        <w:trPr>
          <w:trHeight w:val="397" w:hRule="atLeast"/>
          <w:tblHeader/>
          <w:jc w:val="center"/>
        </w:trPr>
        <w:tc>
          <w:tcPr>
            <w:tcW w:w="4119" w:type="dxa"/>
            <w:vAlign w:val="center"/>
          </w:tcPr>
          <w:p>
            <w:pPr>
              <w:spacing w:line="240" w:lineRule="auto"/>
              <w:ind w:firstLine="0" w:firstLineChars="0"/>
              <w:jc w:val="center"/>
              <w:rPr>
                <w:snapToGrid w:val="0"/>
                <w:color w:val="auto"/>
                <w:sz w:val="21"/>
                <w:szCs w:val="21"/>
              </w:rPr>
            </w:pPr>
            <w:r>
              <w:rPr>
                <w:snapToGrid w:val="0"/>
                <w:color w:val="auto"/>
                <w:sz w:val="21"/>
                <w:szCs w:val="21"/>
              </w:rPr>
              <w:t>固废堆放场所</w:t>
            </w:r>
          </w:p>
        </w:tc>
        <w:tc>
          <w:tcPr>
            <w:tcW w:w="4827" w:type="dxa"/>
            <w:vAlign w:val="center"/>
          </w:tcPr>
          <w:p>
            <w:pPr>
              <w:spacing w:line="240" w:lineRule="auto"/>
              <w:ind w:firstLine="0" w:firstLineChars="0"/>
              <w:jc w:val="center"/>
              <w:rPr>
                <w:snapToGrid w:val="0"/>
                <w:color w:val="auto"/>
                <w:sz w:val="21"/>
                <w:szCs w:val="21"/>
              </w:rPr>
            </w:pPr>
            <w:r>
              <w:rPr>
                <w:color w:val="auto"/>
                <w:sz w:val="21"/>
                <w:szCs w:val="21"/>
              </w:rPr>
              <w:fldChar w:fldCharType="begin"/>
            </w:r>
            <w:r>
              <w:rPr>
                <w:color w:val="auto"/>
                <w:sz w:val="21"/>
                <w:szCs w:val="21"/>
              </w:rPr>
              <w:instrText xml:space="preserve"> INCLUDEPICTURE  "http://www.biaozhi.net/enews/UploadFiles/smallImg/1903.jpg" \* MERGEFORMATINET </w:instrText>
            </w:r>
            <w:r>
              <w:rPr>
                <w:color w:val="auto"/>
                <w:sz w:val="21"/>
                <w:szCs w:val="21"/>
              </w:rPr>
              <w:fldChar w:fldCharType="separate"/>
            </w:r>
            <w:r>
              <w:rPr>
                <w:color w:val="auto"/>
                <w:sz w:val="21"/>
                <w:szCs w:val="21"/>
              </w:rPr>
              <w:drawing>
                <wp:inline distT="0" distB="0" distL="114300" distR="114300">
                  <wp:extent cx="505460" cy="505460"/>
                  <wp:effectExtent l="0" t="0" r="8890" b="8890"/>
                  <wp:docPr id="384" name="图片 9" descr="点击看大图及详细资料">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9" descr="点击看大图及详细资料"/>
                          <pic:cNvPicPr>
                            <a:picLocks noChangeAspect="1"/>
                          </pic:cNvPicPr>
                        </pic:nvPicPr>
                        <pic:blipFill>
                          <a:blip r:embed="rId84" r:link="rId85" cstate="print"/>
                          <a:stretch>
                            <a:fillRect/>
                          </a:stretch>
                        </pic:blipFill>
                        <pic:spPr>
                          <a:xfrm>
                            <a:off x="0" y="0"/>
                            <a:ext cx="505460" cy="505460"/>
                          </a:xfrm>
                          <a:prstGeom prst="rect">
                            <a:avLst/>
                          </a:prstGeom>
                          <a:noFill/>
                          <a:ln>
                            <a:noFill/>
                          </a:ln>
                        </pic:spPr>
                      </pic:pic>
                    </a:graphicData>
                  </a:graphic>
                </wp:inline>
              </w:drawing>
            </w:r>
            <w:r>
              <w:rPr>
                <w:color w:val="auto"/>
                <w:sz w:val="21"/>
                <w:szCs w:val="21"/>
              </w:rPr>
              <w:fldChar w:fldCharType="end"/>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57" w:type="dxa"/>
            <w:left w:w="108" w:type="dxa"/>
            <w:bottom w:w="57" w:type="dxa"/>
            <w:right w:w="108" w:type="dxa"/>
          </w:tblCellMar>
        </w:tblPrEx>
        <w:trPr>
          <w:trHeight w:val="397" w:hRule="atLeast"/>
          <w:tblHeader/>
          <w:jc w:val="center"/>
        </w:trPr>
        <w:tc>
          <w:tcPr>
            <w:tcW w:w="4119" w:type="dxa"/>
            <w:vAlign w:val="center"/>
          </w:tcPr>
          <w:p>
            <w:pPr>
              <w:spacing w:line="240" w:lineRule="auto"/>
              <w:ind w:firstLine="0" w:firstLineChars="0"/>
              <w:jc w:val="center"/>
              <w:rPr>
                <w:snapToGrid w:val="0"/>
                <w:color w:val="auto"/>
                <w:sz w:val="21"/>
                <w:szCs w:val="21"/>
              </w:rPr>
            </w:pPr>
            <w:r>
              <w:rPr>
                <w:snapToGrid w:val="0"/>
                <w:color w:val="auto"/>
                <w:sz w:val="21"/>
                <w:szCs w:val="21"/>
              </w:rPr>
              <w:t>危险废物</w:t>
            </w:r>
          </w:p>
        </w:tc>
        <w:tc>
          <w:tcPr>
            <w:tcW w:w="4827" w:type="dxa"/>
            <w:vAlign w:val="center"/>
          </w:tcPr>
          <w:p>
            <w:pPr>
              <w:spacing w:line="240" w:lineRule="auto"/>
              <w:ind w:firstLine="0" w:firstLineChars="0"/>
              <w:jc w:val="center"/>
              <w:rPr>
                <w:color w:val="auto"/>
                <w:sz w:val="21"/>
                <w:szCs w:val="21"/>
              </w:rPr>
            </w:pPr>
            <w:r>
              <w:rPr>
                <w:color w:val="auto"/>
                <w:sz w:val="21"/>
                <w:szCs w:val="21"/>
              </w:rPr>
              <w:drawing>
                <wp:inline distT="0" distB="0" distL="114300" distR="114300">
                  <wp:extent cx="515620" cy="577850"/>
                  <wp:effectExtent l="0" t="0" r="17780" b="12700"/>
                  <wp:docPr id="38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10"/>
                          <pic:cNvPicPr>
                            <a:picLocks noChangeAspect="1"/>
                          </pic:cNvPicPr>
                        </pic:nvPicPr>
                        <pic:blipFill>
                          <a:blip r:embed="rId86" cstate="print"/>
                          <a:stretch>
                            <a:fillRect/>
                          </a:stretch>
                        </pic:blipFill>
                        <pic:spPr>
                          <a:xfrm>
                            <a:off x="0" y="0"/>
                            <a:ext cx="515620" cy="577850"/>
                          </a:xfrm>
                          <a:prstGeom prst="rect">
                            <a:avLst/>
                          </a:prstGeom>
                          <a:noFill/>
                          <a:ln>
                            <a:noFill/>
                          </a:ln>
                        </pic:spPr>
                      </pic:pic>
                    </a:graphicData>
                  </a:graphic>
                </wp:inline>
              </w:drawing>
            </w:r>
          </w:p>
        </w:tc>
      </w:tr>
    </w:tbl>
    <w:p>
      <w:pPr>
        <w:ind w:firstLine="480"/>
        <w:rPr>
          <w:snapToGrid w:val="0"/>
          <w:color w:val="auto"/>
        </w:rPr>
      </w:pPr>
      <w:r>
        <w:rPr>
          <w:snapToGrid w:val="0"/>
          <w:color w:val="auto"/>
        </w:rPr>
        <w:t>危险废物及生活垃圾堆放场所，必须有防火、防腐蚀、防流失等措施，并应设置标志牌。</w:t>
      </w:r>
    </w:p>
    <w:p>
      <w:pPr>
        <w:keepNext/>
        <w:keepLines/>
        <w:ind w:firstLine="0" w:firstLineChars="0"/>
        <w:outlineLvl w:val="2"/>
        <w:rPr>
          <w:rFonts w:eastAsia="黑体"/>
          <w:bCs/>
          <w:color w:val="auto"/>
        </w:rPr>
      </w:pPr>
      <w:bookmarkStart w:id="744" w:name="_Toc468115482"/>
      <w:bookmarkStart w:id="745" w:name="_Toc26591"/>
      <w:r>
        <w:rPr>
          <w:rFonts w:hint="eastAsia" w:eastAsia="黑体"/>
          <w:bCs/>
          <w:color w:val="auto"/>
        </w:rPr>
        <w:t>9</w:t>
      </w:r>
      <w:r>
        <w:rPr>
          <w:rFonts w:eastAsia="黑体"/>
          <w:bCs/>
          <w:color w:val="auto"/>
        </w:rPr>
        <w:t>.1.2 环境管理计划</w:t>
      </w:r>
      <w:bookmarkEnd w:id="744"/>
      <w:bookmarkEnd w:id="745"/>
    </w:p>
    <w:p>
      <w:pPr>
        <w:ind w:firstLine="480"/>
        <w:rPr>
          <w:bCs/>
          <w:snapToGrid w:val="0"/>
          <w:color w:val="auto"/>
        </w:rPr>
      </w:pPr>
      <w:r>
        <w:rPr>
          <w:bCs/>
          <w:snapToGrid w:val="0"/>
          <w:color w:val="auto"/>
        </w:rPr>
        <w:t>本项目环境管理计划见表</w:t>
      </w:r>
      <w:r>
        <w:rPr>
          <w:rFonts w:hint="eastAsia"/>
          <w:bCs/>
          <w:snapToGrid w:val="0"/>
          <w:color w:val="auto"/>
        </w:rPr>
        <w:t>9.1</w:t>
      </w:r>
      <w:r>
        <w:rPr>
          <w:bCs/>
          <w:snapToGrid w:val="0"/>
          <w:color w:val="auto"/>
        </w:rPr>
        <w:t>-2。</w:t>
      </w:r>
    </w:p>
    <w:p>
      <w:pPr>
        <w:spacing w:after="93" w:afterLines="30" w:line="500" w:lineRule="exact"/>
        <w:ind w:firstLine="482"/>
        <w:jc w:val="left"/>
        <w:rPr>
          <w:b/>
          <w:color w:val="auto"/>
          <w:szCs w:val="21"/>
        </w:rPr>
      </w:pPr>
      <w:r>
        <w:rPr>
          <w:b/>
          <w:color w:val="auto"/>
          <w:szCs w:val="21"/>
        </w:rPr>
        <w:t>表</w:t>
      </w:r>
      <w:r>
        <w:rPr>
          <w:rFonts w:hint="eastAsia"/>
          <w:b/>
          <w:color w:val="auto"/>
          <w:szCs w:val="21"/>
        </w:rPr>
        <w:t>9.1</w:t>
      </w:r>
      <w:r>
        <w:rPr>
          <w:b/>
          <w:color w:val="auto"/>
          <w:szCs w:val="21"/>
        </w:rPr>
        <w:t xml:space="preserve">-2 </w:t>
      </w:r>
      <w:r>
        <w:rPr>
          <w:rFonts w:hint="eastAsia"/>
          <w:b/>
          <w:color w:val="auto"/>
          <w:szCs w:val="21"/>
        </w:rPr>
        <w:t xml:space="preserve">                </w:t>
      </w:r>
      <w:r>
        <w:rPr>
          <w:b/>
          <w:color w:val="auto"/>
          <w:szCs w:val="21"/>
        </w:rPr>
        <w:t xml:space="preserve">   本项目环境管理计划</w:t>
      </w:r>
    </w:p>
    <w:tbl>
      <w:tblPr>
        <w:tblStyle w:val="27"/>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47"/>
        <w:gridCol w:w="1178"/>
        <w:gridCol w:w="5599"/>
        <w:gridCol w:w="172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625" w:type="dxa"/>
            <w:gridSpan w:val="2"/>
            <w:vAlign w:val="center"/>
          </w:tcPr>
          <w:p>
            <w:pPr>
              <w:spacing w:line="240" w:lineRule="auto"/>
              <w:ind w:firstLine="0" w:firstLineChars="0"/>
              <w:jc w:val="center"/>
              <w:rPr>
                <w:bCs/>
                <w:color w:val="auto"/>
                <w:sz w:val="21"/>
                <w:szCs w:val="21"/>
              </w:rPr>
            </w:pPr>
            <w:r>
              <w:rPr>
                <w:bCs/>
                <w:color w:val="auto"/>
                <w:sz w:val="21"/>
                <w:szCs w:val="21"/>
              </w:rPr>
              <w:t>环境问题</w:t>
            </w:r>
          </w:p>
        </w:tc>
        <w:tc>
          <w:tcPr>
            <w:tcW w:w="5599" w:type="dxa"/>
            <w:vAlign w:val="center"/>
          </w:tcPr>
          <w:p>
            <w:pPr>
              <w:spacing w:line="240" w:lineRule="auto"/>
              <w:ind w:firstLine="0" w:firstLineChars="0"/>
              <w:jc w:val="center"/>
              <w:rPr>
                <w:bCs/>
                <w:color w:val="auto"/>
                <w:sz w:val="21"/>
                <w:szCs w:val="21"/>
              </w:rPr>
            </w:pPr>
            <w:r>
              <w:rPr>
                <w:bCs/>
                <w:color w:val="auto"/>
                <w:sz w:val="21"/>
                <w:szCs w:val="21"/>
              </w:rPr>
              <w:t>管理措施</w:t>
            </w:r>
          </w:p>
        </w:tc>
        <w:tc>
          <w:tcPr>
            <w:tcW w:w="1722" w:type="dxa"/>
            <w:vAlign w:val="center"/>
          </w:tcPr>
          <w:p>
            <w:pPr>
              <w:spacing w:line="240" w:lineRule="auto"/>
              <w:ind w:firstLine="0" w:firstLineChars="0"/>
              <w:jc w:val="center"/>
              <w:rPr>
                <w:bCs/>
                <w:color w:val="auto"/>
                <w:sz w:val="21"/>
                <w:szCs w:val="21"/>
              </w:rPr>
            </w:pPr>
            <w:r>
              <w:rPr>
                <w:bCs/>
                <w:color w:val="auto"/>
                <w:sz w:val="21"/>
                <w:szCs w:val="21"/>
              </w:rPr>
              <w:t>实施机构</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7" w:type="dxa"/>
            <w:vMerge w:val="restart"/>
            <w:vAlign w:val="center"/>
          </w:tcPr>
          <w:p>
            <w:pPr>
              <w:spacing w:line="240" w:lineRule="auto"/>
              <w:ind w:firstLine="0" w:firstLineChars="0"/>
              <w:jc w:val="center"/>
              <w:rPr>
                <w:bCs/>
                <w:color w:val="auto"/>
                <w:sz w:val="21"/>
                <w:szCs w:val="21"/>
              </w:rPr>
            </w:pPr>
            <w:r>
              <w:rPr>
                <w:bCs/>
                <w:color w:val="auto"/>
                <w:sz w:val="21"/>
                <w:szCs w:val="21"/>
              </w:rPr>
              <w:t>施</w:t>
            </w:r>
          </w:p>
          <w:p>
            <w:pPr>
              <w:spacing w:line="240" w:lineRule="auto"/>
              <w:ind w:firstLine="0" w:firstLineChars="0"/>
              <w:jc w:val="center"/>
              <w:rPr>
                <w:bCs/>
                <w:color w:val="auto"/>
                <w:sz w:val="21"/>
                <w:szCs w:val="21"/>
              </w:rPr>
            </w:pPr>
            <w:r>
              <w:rPr>
                <w:bCs/>
                <w:color w:val="auto"/>
                <w:sz w:val="21"/>
                <w:szCs w:val="21"/>
              </w:rPr>
              <w:t>工</w:t>
            </w:r>
          </w:p>
          <w:p>
            <w:pPr>
              <w:spacing w:line="240" w:lineRule="auto"/>
              <w:ind w:firstLine="0" w:firstLineChars="0"/>
              <w:jc w:val="center"/>
              <w:rPr>
                <w:bCs/>
                <w:color w:val="auto"/>
                <w:sz w:val="21"/>
                <w:szCs w:val="21"/>
              </w:rPr>
            </w:pPr>
            <w:r>
              <w:rPr>
                <w:bCs/>
                <w:color w:val="auto"/>
                <w:sz w:val="21"/>
                <w:szCs w:val="21"/>
              </w:rPr>
              <w:t>期</w:t>
            </w:r>
          </w:p>
        </w:tc>
        <w:tc>
          <w:tcPr>
            <w:tcW w:w="1178" w:type="dxa"/>
            <w:vAlign w:val="center"/>
          </w:tcPr>
          <w:p>
            <w:pPr>
              <w:spacing w:line="240" w:lineRule="auto"/>
              <w:ind w:firstLine="0" w:firstLineChars="0"/>
              <w:jc w:val="center"/>
              <w:rPr>
                <w:bCs/>
                <w:color w:val="auto"/>
                <w:sz w:val="21"/>
                <w:szCs w:val="21"/>
              </w:rPr>
            </w:pPr>
            <w:r>
              <w:rPr>
                <w:bCs/>
                <w:color w:val="auto"/>
                <w:sz w:val="21"/>
                <w:szCs w:val="21"/>
              </w:rPr>
              <w:t>粉尘、扬尘污染</w:t>
            </w:r>
          </w:p>
        </w:tc>
        <w:tc>
          <w:tcPr>
            <w:tcW w:w="5599" w:type="dxa"/>
            <w:vAlign w:val="center"/>
          </w:tcPr>
          <w:p>
            <w:pPr>
              <w:spacing w:line="240" w:lineRule="auto"/>
              <w:ind w:firstLine="0" w:firstLineChars="0"/>
              <w:jc w:val="center"/>
              <w:rPr>
                <w:bCs/>
                <w:color w:val="auto"/>
                <w:sz w:val="21"/>
                <w:szCs w:val="21"/>
              </w:rPr>
            </w:pPr>
            <w:r>
              <w:rPr>
                <w:bCs/>
                <w:color w:val="auto"/>
                <w:sz w:val="21"/>
                <w:szCs w:val="21"/>
              </w:rPr>
              <w:t>1.采取合理的措施，包括施工场地洒水，以降低施工对周围大气TSP污染，特别靠近敏感点的地方；</w:t>
            </w:r>
          </w:p>
          <w:p>
            <w:pPr>
              <w:spacing w:line="240" w:lineRule="auto"/>
              <w:ind w:firstLine="0" w:firstLineChars="0"/>
              <w:rPr>
                <w:bCs/>
                <w:color w:val="auto"/>
                <w:sz w:val="21"/>
                <w:szCs w:val="21"/>
              </w:rPr>
            </w:pPr>
            <w:r>
              <w:rPr>
                <w:bCs/>
                <w:color w:val="auto"/>
                <w:sz w:val="21"/>
                <w:szCs w:val="21"/>
              </w:rPr>
              <w:t>2.运送建筑材料的车辆须用帆布遮盖；</w:t>
            </w:r>
          </w:p>
        </w:tc>
        <w:tc>
          <w:tcPr>
            <w:tcW w:w="1722" w:type="dxa"/>
            <w:vAlign w:val="center"/>
          </w:tcPr>
          <w:p>
            <w:pPr>
              <w:spacing w:line="240" w:lineRule="auto"/>
              <w:ind w:firstLine="0" w:firstLineChars="0"/>
              <w:jc w:val="center"/>
              <w:rPr>
                <w:bCs/>
                <w:color w:val="auto"/>
                <w:sz w:val="21"/>
                <w:szCs w:val="21"/>
              </w:rPr>
            </w:pPr>
            <w:r>
              <w:rPr>
                <w:bCs/>
                <w:color w:val="auto"/>
                <w:sz w:val="21"/>
                <w:szCs w:val="21"/>
              </w:rPr>
              <w:t>业主</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7" w:type="dxa"/>
            <w:vMerge w:val="continue"/>
            <w:vAlign w:val="center"/>
          </w:tcPr>
          <w:p>
            <w:pPr>
              <w:spacing w:line="240" w:lineRule="auto"/>
              <w:ind w:firstLine="0" w:firstLineChars="0"/>
              <w:jc w:val="center"/>
              <w:rPr>
                <w:bCs/>
                <w:color w:val="auto"/>
                <w:sz w:val="21"/>
                <w:szCs w:val="21"/>
              </w:rPr>
            </w:pPr>
          </w:p>
        </w:tc>
        <w:tc>
          <w:tcPr>
            <w:tcW w:w="1178" w:type="dxa"/>
            <w:vAlign w:val="center"/>
          </w:tcPr>
          <w:p>
            <w:pPr>
              <w:spacing w:line="240" w:lineRule="auto"/>
              <w:ind w:firstLine="0" w:firstLineChars="0"/>
              <w:jc w:val="center"/>
              <w:rPr>
                <w:bCs/>
                <w:color w:val="auto"/>
                <w:sz w:val="21"/>
                <w:szCs w:val="21"/>
              </w:rPr>
            </w:pPr>
            <w:r>
              <w:rPr>
                <w:bCs/>
                <w:color w:val="auto"/>
                <w:sz w:val="21"/>
                <w:szCs w:val="21"/>
              </w:rPr>
              <w:t>噪声</w:t>
            </w:r>
          </w:p>
        </w:tc>
        <w:tc>
          <w:tcPr>
            <w:tcW w:w="5599" w:type="dxa"/>
            <w:vAlign w:val="center"/>
          </w:tcPr>
          <w:p>
            <w:pPr>
              <w:spacing w:line="240" w:lineRule="auto"/>
              <w:ind w:firstLine="0" w:firstLineChars="0"/>
              <w:rPr>
                <w:bCs/>
                <w:color w:val="auto"/>
                <w:sz w:val="21"/>
                <w:szCs w:val="21"/>
              </w:rPr>
            </w:pPr>
            <w:r>
              <w:rPr>
                <w:bCs/>
                <w:color w:val="auto"/>
                <w:sz w:val="21"/>
                <w:szCs w:val="21"/>
              </w:rPr>
              <w:t>1.严格执行《建筑施工</w:t>
            </w:r>
            <w:r>
              <w:rPr>
                <w:rFonts w:hint="eastAsia"/>
                <w:bCs/>
                <w:color w:val="auto"/>
                <w:sz w:val="21"/>
                <w:szCs w:val="21"/>
              </w:rPr>
              <w:t>厂界</w:t>
            </w:r>
            <w:r>
              <w:rPr>
                <w:bCs/>
                <w:color w:val="auto"/>
                <w:sz w:val="21"/>
                <w:szCs w:val="21"/>
              </w:rPr>
              <w:t>环境噪声排放标准》（GB12523-2011），确保施工期间</w:t>
            </w:r>
            <w:r>
              <w:rPr>
                <w:rFonts w:hint="eastAsia"/>
                <w:bCs/>
                <w:color w:val="auto"/>
                <w:sz w:val="21"/>
                <w:szCs w:val="21"/>
              </w:rPr>
              <w:t>厂界</w:t>
            </w:r>
            <w:r>
              <w:rPr>
                <w:bCs/>
                <w:color w:val="auto"/>
                <w:sz w:val="21"/>
                <w:szCs w:val="21"/>
              </w:rPr>
              <w:t>噪声达标；</w:t>
            </w:r>
          </w:p>
          <w:p>
            <w:pPr>
              <w:spacing w:line="240" w:lineRule="auto"/>
              <w:ind w:firstLine="0" w:firstLineChars="0"/>
              <w:rPr>
                <w:bCs/>
                <w:color w:val="auto"/>
                <w:sz w:val="21"/>
                <w:szCs w:val="21"/>
              </w:rPr>
            </w:pPr>
            <w:r>
              <w:rPr>
                <w:bCs/>
                <w:color w:val="auto"/>
                <w:sz w:val="21"/>
                <w:szCs w:val="21"/>
              </w:rPr>
              <w:t>2.加强对机械和车辆的维修，保持其较低噪声水平；</w:t>
            </w:r>
          </w:p>
        </w:tc>
        <w:tc>
          <w:tcPr>
            <w:tcW w:w="1722" w:type="dxa"/>
            <w:vAlign w:val="center"/>
          </w:tcPr>
          <w:p>
            <w:pPr>
              <w:spacing w:line="240" w:lineRule="auto"/>
              <w:ind w:firstLine="0" w:firstLineChars="0"/>
              <w:jc w:val="center"/>
              <w:rPr>
                <w:bCs/>
                <w:color w:val="auto"/>
                <w:sz w:val="21"/>
                <w:szCs w:val="21"/>
              </w:rPr>
            </w:pPr>
            <w:r>
              <w:rPr>
                <w:bCs/>
                <w:color w:val="auto"/>
                <w:sz w:val="21"/>
                <w:szCs w:val="21"/>
              </w:rPr>
              <w:t>业主</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7" w:type="dxa"/>
            <w:vMerge w:val="continue"/>
            <w:vAlign w:val="center"/>
          </w:tcPr>
          <w:p>
            <w:pPr>
              <w:spacing w:line="240" w:lineRule="auto"/>
              <w:ind w:firstLine="0" w:firstLineChars="0"/>
              <w:jc w:val="center"/>
              <w:rPr>
                <w:bCs/>
                <w:color w:val="auto"/>
                <w:sz w:val="21"/>
                <w:szCs w:val="21"/>
              </w:rPr>
            </w:pPr>
          </w:p>
        </w:tc>
        <w:tc>
          <w:tcPr>
            <w:tcW w:w="1178" w:type="dxa"/>
            <w:vAlign w:val="center"/>
          </w:tcPr>
          <w:p>
            <w:pPr>
              <w:spacing w:line="240" w:lineRule="auto"/>
              <w:ind w:firstLine="0" w:firstLineChars="0"/>
              <w:jc w:val="center"/>
              <w:rPr>
                <w:bCs/>
                <w:color w:val="auto"/>
                <w:sz w:val="21"/>
                <w:szCs w:val="21"/>
              </w:rPr>
            </w:pPr>
            <w:r>
              <w:rPr>
                <w:bCs/>
                <w:color w:val="auto"/>
                <w:sz w:val="21"/>
                <w:szCs w:val="21"/>
              </w:rPr>
              <w:t>固体废物</w:t>
            </w:r>
          </w:p>
        </w:tc>
        <w:tc>
          <w:tcPr>
            <w:tcW w:w="5599" w:type="dxa"/>
            <w:vAlign w:val="center"/>
          </w:tcPr>
          <w:p>
            <w:pPr>
              <w:spacing w:line="240" w:lineRule="auto"/>
              <w:ind w:firstLine="0" w:firstLineChars="0"/>
              <w:rPr>
                <w:bCs/>
                <w:color w:val="auto"/>
                <w:sz w:val="21"/>
                <w:szCs w:val="21"/>
              </w:rPr>
            </w:pPr>
            <w:r>
              <w:rPr>
                <w:bCs/>
                <w:color w:val="auto"/>
                <w:sz w:val="21"/>
                <w:szCs w:val="21"/>
              </w:rPr>
              <w:t>1.开挖土石方就近填坑筑路，实现挖填平衡；</w:t>
            </w:r>
          </w:p>
          <w:p>
            <w:pPr>
              <w:spacing w:line="240" w:lineRule="auto"/>
              <w:ind w:firstLine="0" w:firstLineChars="0"/>
              <w:rPr>
                <w:bCs/>
                <w:color w:val="auto"/>
                <w:sz w:val="21"/>
                <w:szCs w:val="21"/>
              </w:rPr>
            </w:pPr>
            <w:r>
              <w:rPr>
                <w:bCs/>
                <w:color w:val="auto"/>
                <w:sz w:val="21"/>
                <w:szCs w:val="21"/>
              </w:rPr>
              <w:t>2.多余建筑垃圾、生活垃圾及时清运；</w:t>
            </w:r>
          </w:p>
        </w:tc>
        <w:tc>
          <w:tcPr>
            <w:tcW w:w="1722" w:type="dxa"/>
            <w:vAlign w:val="center"/>
          </w:tcPr>
          <w:p>
            <w:pPr>
              <w:spacing w:line="240" w:lineRule="auto"/>
              <w:ind w:firstLine="0" w:firstLineChars="0"/>
              <w:jc w:val="center"/>
              <w:rPr>
                <w:bCs/>
                <w:color w:val="auto"/>
                <w:sz w:val="21"/>
                <w:szCs w:val="21"/>
              </w:rPr>
            </w:pPr>
            <w:r>
              <w:rPr>
                <w:bCs/>
                <w:color w:val="auto"/>
                <w:sz w:val="21"/>
                <w:szCs w:val="21"/>
              </w:rPr>
              <w:t>业主</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447" w:type="dxa"/>
            <w:vMerge w:val="restart"/>
            <w:vAlign w:val="center"/>
          </w:tcPr>
          <w:p>
            <w:pPr>
              <w:spacing w:line="240" w:lineRule="auto"/>
              <w:ind w:firstLine="0" w:firstLineChars="0"/>
              <w:jc w:val="center"/>
              <w:rPr>
                <w:bCs/>
                <w:color w:val="auto"/>
                <w:sz w:val="21"/>
                <w:szCs w:val="21"/>
              </w:rPr>
            </w:pPr>
            <w:r>
              <w:rPr>
                <w:bCs/>
                <w:color w:val="auto"/>
                <w:sz w:val="21"/>
                <w:szCs w:val="21"/>
              </w:rPr>
              <w:t>营</w:t>
            </w:r>
          </w:p>
          <w:p>
            <w:pPr>
              <w:spacing w:line="240" w:lineRule="auto"/>
              <w:ind w:firstLine="0" w:firstLineChars="0"/>
              <w:jc w:val="center"/>
              <w:rPr>
                <w:bCs/>
                <w:color w:val="auto"/>
                <w:sz w:val="21"/>
                <w:szCs w:val="21"/>
              </w:rPr>
            </w:pPr>
            <w:r>
              <w:rPr>
                <w:bCs/>
                <w:color w:val="auto"/>
                <w:sz w:val="21"/>
                <w:szCs w:val="21"/>
              </w:rPr>
              <w:t>运</w:t>
            </w:r>
          </w:p>
          <w:p>
            <w:pPr>
              <w:spacing w:line="240" w:lineRule="auto"/>
              <w:ind w:firstLine="0" w:firstLineChars="0"/>
              <w:jc w:val="center"/>
              <w:rPr>
                <w:bCs/>
                <w:color w:val="auto"/>
                <w:sz w:val="21"/>
                <w:szCs w:val="21"/>
              </w:rPr>
            </w:pPr>
            <w:r>
              <w:rPr>
                <w:bCs/>
                <w:color w:val="auto"/>
                <w:sz w:val="21"/>
                <w:szCs w:val="21"/>
              </w:rPr>
              <w:t>期</w:t>
            </w:r>
          </w:p>
        </w:tc>
        <w:tc>
          <w:tcPr>
            <w:tcW w:w="1178" w:type="dxa"/>
            <w:vAlign w:val="center"/>
          </w:tcPr>
          <w:p>
            <w:pPr>
              <w:spacing w:line="240" w:lineRule="auto"/>
              <w:ind w:firstLine="0" w:firstLineChars="0"/>
              <w:jc w:val="center"/>
              <w:rPr>
                <w:bCs/>
                <w:color w:val="auto"/>
                <w:sz w:val="21"/>
                <w:szCs w:val="21"/>
              </w:rPr>
            </w:pPr>
            <w:r>
              <w:rPr>
                <w:bCs/>
                <w:color w:val="auto"/>
                <w:sz w:val="21"/>
                <w:szCs w:val="21"/>
              </w:rPr>
              <w:t>废气污染</w:t>
            </w:r>
          </w:p>
        </w:tc>
        <w:tc>
          <w:tcPr>
            <w:tcW w:w="5599" w:type="dxa"/>
            <w:vAlign w:val="center"/>
          </w:tcPr>
          <w:p>
            <w:pPr>
              <w:spacing w:line="240" w:lineRule="auto"/>
              <w:ind w:firstLine="0" w:firstLineChars="0"/>
              <w:jc w:val="center"/>
              <w:rPr>
                <w:bCs/>
                <w:color w:val="auto"/>
                <w:sz w:val="21"/>
                <w:szCs w:val="21"/>
              </w:rPr>
            </w:pPr>
            <w:r>
              <w:rPr>
                <w:bCs/>
                <w:color w:val="auto"/>
                <w:sz w:val="21"/>
                <w:szCs w:val="21"/>
              </w:rPr>
              <w:t>加强管理，保证项目废气处理设施正常运行。</w:t>
            </w:r>
          </w:p>
        </w:tc>
        <w:tc>
          <w:tcPr>
            <w:tcW w:w="1722" w:type="dxa"/>
            <w:vAlign w:val="center"/>
          </w:tcPr>
          <w:p>
            <w:pPr>
              <w:spacing w:line="240" w:lineRule="auto"/>
              <w:ind w:firstLine="0" w:firstLineChars="0"/>
              <w:jc w:val="center"/>
              <w:rPr>
                <w:bCs/>
                <w:color w:val="auto"/>
                <w:sz w:val="21"/>
                <w:szCs w:val="21"/>
              </w:rPr>
            </w:pPr>
            <w:r>
              <w:rPr>
                <w:bCs/>
                <w:color w:val="auto"/>
                <w:sz w:val="21"/>
                <w:szCs w:val="21"/>
              </w:rPr>
              <w:t>业主</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447" w:type="dxa"/>
            <w:vMerge w:val="continue"/>
            <w:vAlign w:val="center"/>
          </w:tcPr>
          <w:p>
            <w:pPr>
              <w:spacing w:line="240" w:lineRule="auto"/>
              <w:ind w:firstLine="0" w:firstLineChars="0"/>
              <w:jc w:val="center"/>
              <w:rPr>
                <w:bCs/>
                <w:color w:val="auto"/>
                <w:sz w:val="21"/>
                <w:szCs w:val="21"/>
              </w:rPr>
            </w:pPr>
          </w:p>
        </w:tc>
        <w:tc>
          <w:tcPr>
            <w:tcW w:w="1178" w:type="dxa"/>
            <w:vAlign w:val="center"/>
          </w:tcPr>
          <w:p>
            <w:pPr>
              <w:spacing w:line="240" w:lineRule="auto"/>
              <w:ind w:firstLine="0" w:firstLineChars="0"/>
              <w:jc w:val="center"/>
              <w:rPr>
                <w:bCs/>
                <w:color w:val="auto"/>
                <w:sz w:val="21"/>
                <w:szCs w:val="21"/>
              </w:rPr>
            </w:pPr>
            <w:r>
              <w:rPr>
                <w:bCs/>
                <w:color w:val="auto"/>
                <w:sz w:val="21"/>
                <w:szCs w:val="21"/>
              </w:rPr>
              <w:t>水质污染</w:t>
            </w:r>
          </w:p>
        </w:tc>
        <w:tc>
          <w:tcPr>
            <w:tcW w:w="5599" w:type="dxa"/>
            <w:vAlign w:val="center"/>
          </w:tcPr>
          <w:p>
            <w:pPr>
              <w:spacing w:line="240" w:lineRule="auto"/>
              <w:ind w:firstLine="0" w:firstLineChars="0"/>
              <w:jc w:val="center"/>
              <w:rPr>
                <w:bCs/>
                <w:color w:val="auto"/>
                <w:sz w:val="21"/>
                <w:szCs w:val="21"/>
              </w:rPr>
            </w:pPr>
            <w:r>
              <w:rPr>
                <w:bCs/>
                <w:color w:val="auto"/>
                <w:sz w:val="21"/>
                <w:szCs w:val="21"/>
              </w:rPr>
              <w:t>加强管理，保证污水处理设施正常运行。</w:t>
            </w:r>
          </w:p>
        </w:tc>
        <w:tc>
          <w:tcPr>
            <w:tcW w:w="1722" w:type="dxa"/>
            <w:vAlign w:val="center"/>
          </w:tcPr>
          <w:p>
            <w:pPr>
              <w:spacing w:line="240" w:lineRule="auto"/>
              <w:ind w:firstLine="0" w:firstLineChars="0"/>
              <w:jc w:val="center"/>
              <w:rPr>
                <w:bCs/>
                <w:color w:val="auto"/>
                <w:sz w:val="21"/>
                <w:szCs w:val="21"/>
              </w:rPr>
            </w:pPr>
            <w:r>
              <w:rPr>
                <w:bCs/>
                <w:color w:val="auto"/>
                <w:sz w:val="21"/>
                <w:szCs w:val="21"/>
              </w:rPr>
              <w:t>业主</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447" w:type="dxa"/>
            <w:vMerge w:val="continue"/>
            <w:vAlign w:val="center"/>
          </w:tcPr>
          <w:p>
            <w:pPr>
              <w:spacing w:line="240" w:lineRule="auto"/>
              <w:ind w:firstLine="0" w:firstLineChars="0"/>
              <w:jc w:val="center"/>
              <w:rPr>
                <w:bCs/>
                <w:color w:val="auto"/>
                <w:sz w:val="21"/>
                <w:szCs w:val="21"/>
              </w:rPr>
            </w:pPr>
          </w:p>
        </w:tc>
        <w:tc>
          <w:tcPr>
            <w:tcW w:w="1178" w:type="dxa"/>
            <w:vAlign w:val="center"/>
          </w:tcPr>
          <w:p>
            <w:pPr>
              <w:spacing w:line="240" w:lineRule="auto"/>
              <w:ind w:firstLine="0" w:firstLineChars="0"/>
              <w:jc w:val="center"/>
              <w:rPr>
                <w:bCs/>
                <w:color w:val="auto"/>
                <w:sz w:val="21"/>
                <w:szCs w:val="21"/>
              </w:rPr>
            </w:pPr>
            <w:r>
              <w:rPr>
                <w:bCs/>
                <w:color w:val="auto"/>
                <w:sz w:val="21"/>
                <w:szCs w:val="21"/>
              </w:rPr>
              <w:t>噪声污染</w:t>
            </w:r>
          </w:p>
        </w:tc>
        <w:tc>
          <w:tcPr>
            <w:tcW w:w="5599" w:type="dxa"/>
            <w:vAlign w:val="center"/>
          </w:tcPr>
          <w:p>
            <w:pPr>
              <w:spacing w:line="240" w:lineRule="auto"/>
              <w:ind w:firstLine="0" w:firstLineChars="0"/>
              <w:jc w:val="center"/>
              <w:rPr>
                <w:bCs/>
                <w:color w:val="auto"/>
                <w:sz w:val="21"/>
                <w:szCs w:val="21"/>
              </w:rPr>
            </w:pPr>
            <w:r>
              <w:rPr>
                <w:bCs/>
                <w:color w:val="auto"/>
                <w:sz w:val="21"/>
                <w:szCs w:val="21"/>
              </w:rPr>
              <w:t>加强管理，保证营运期噪声达标排放。</w:t>
            </w:r>
          </w:p>
        </w:tc>
        <w:tc>
          <w:tcPr>
            <w:tcW w:w="1722" w:type="dxa"/>
            <w:vAlign w:val="center"/>
          </w:tcPr>
          <w:p>
            <w:pPr>
              <w:spacing w:line="240" w:lineRule="auto"/>
              <w:ind w:firstLine="0" w:firstLineChars="0"/>
              <w:jc w:val="center"/>
              <w:rPr>
                <w:bCs/>
                <w:color w:val="auto"/>
                <w:sz w:val="21"/>
                <w:szCs w:val="21"/>
              </w:rPr>
            </w:pPr>
            <w:r>
              <w:rPr>
                <w:bCs/>
                <w:color w:val="auto"/>
                <w:sz w:val="21"/>
                <w:szCs w:val="21"/>
              </w:rPr>
              <w:t>业主</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7" w:type="dxa"/>
            <w:vMerge w:val="continue"/>
            <w:vAlign w:val="center"/>
          </w:tcPr>
          <w:p>
            <w:pPr>
              <w:spacing w:line="240" w:lineRule="auto"/>
              <w:ind w:firstLine="0" w:firstLineChars="0"/>
              <w:jc w:val="center"/>
              <w:rPr>
                <w:bCs/>
                <w:color w:val="auto"/>
                <w:sz w:val="21"/>
                <w:szCs w:val="21"/>
              </w:rPr>
            </w:pPr>
          </w:p>
        </w:tc>
        <w:tc>
          <w:tcPr>
            <w:tcW w:w="1178" w:type="dxa"/>
            <w:vAlign w:val="center"/>
          </w:tcPr>
          <w:p>
            <w:pPr>
              <w:spacing w:line="240" w:lineRule="auto"/>
              <w:ind w:firstLine="0" w:firstLineChars="0"/>
              <w:jc w:val="center"/>
              <w:rPr>
                <w:bCs/>
                <w:color w:val="auto"/>
                <w:sz w:val="21"/>
                <w:szCs w:val="21"/>
              </w:rPr>
            </w:pPr>
            <w:r>
              <w:rPr>
                <w:bCs/>
                <w:color w:val="auto"/>
                <w:sz w:val="21"/>
                <w:szCs w:val="21"/>
              </w:rPr>
              <w:t>固体废物</w:t>
            </w:r>
          </w:p>
        </w:tc>
        <w:tc>
          <w:tcPr>
            <w:tcW w:w="5599" w:type="dxa"/>
            <w:vAlign w:val="center"/>
          </w:tcPr>
          <w:p>
            <w:pPr>
              <w:spacing w:line="240" w:lineRule="auto"/>
              <w:ind w:firstLine="0" w:firstLineChars="0"/>
              <w:jc w:val="center"/>
              <w:rPr>
                <w:bCs/>
                <w:color w:val="auto"/>
                <w:sz w:val="21"/>
                <w:szCs w:val="21"/>
              </w:rPr>
            </w:pPr>
            <w:r>
              <w:rPr>
                <w:bCs/>
                <w:color w:val="auto"/>
                <w:sz w:val="21"/>
                <w:szCs w:val="21"/>
              </w:rPr>
              <w:t>加强管理，保证猪粪、医疗固废、废脱硫剂、生活垃圾及病死猪尸体等分开收集处置。</w:t>
            </w:r>
          </w:p>
        </w:tc>
        <w:tc>
          <w:tcPr>
            <w:tcW w:w="1722" w:type="dxa"/>
            <w:vAlign w:val="center"/>
          </w:tcPr>
          <w:p>
            <w:pPr>
              <w:spacing w:line="240" w:lineRule="auto"/>
              <w:ind w:firstLine="0" w:firstLineChars="0"/>
              <w:jc w:val="center"/>
              <w:rPr>
                <w:bCs/>
                <w:color w:val="auto"/>
                <w:sz w:val="21"/>
                <w:szCs w:val="21"/>
              </w:rPr>
            </w:pPr>
            <w:r>
              <w:rPr>
                <w:bCs/>
                <w:color w:val="auto"/>
                <w:sz w:val="21"/>
                <w:szCs w:val="21"/>
              </w:rPr>
              <w:t>业主</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7" w:type="dxa"/>
            <w:vMerge w:val="continue"/>
            <w:vAlign w:val="center"/>
          </w:tcPr>
          <w:p>
            <w:pPr>
              <w:spacing w:line="240" w:lineRule="auto"/>
              <w:ind w:firstLine="0" w:firstLineChars="0"/>
              <w:jc w:val="center"/>
              <w:rPr>
                <w:bCs/>
                <w:color w:val="auto"/>
                <w:sz w:val="21"/>
                <w:szCs w:val="21"/>
              </w:rPr>
            </w:pPr>
          </w:p>
        </w:tc>
        <w:tc>
          <w:tcPr>
            <w:tcW w:w="1178" w:type="dxa"/>
            <w:vAlign w:val="center"/>
          </w:tcPr>
          <w:p>
            <w:pPr>
              <w:spacing w:line="240" w:lineRule="auto"/>
              <w:ind w:firstLine="0" w:firstLineChars="0"/>
              <w:jc w:val="center"/>
              <w:rPr>
                <w:bCs/>
                <w:color w:val="auto"/>
                <w:sz w:val="21"/>
                <w:szCs w:val="21"/>
              </w:rPr>
            </w:pPr>
            <w:r>
              <w:rPr>
                <w:bCs/>
                <w:color w:val="auto"/>
                <w:sz w:val="21"/>
                <w:szCs w:val="21"/>
              </w:rPr>
              <w:t>土壤污染</w:t>
            </w:r>
          </w:p>
        </w:tc>
        <w:tc>
          <w:tcPr>
            <w:tcW w:w="5599" w:type="dxa"/>
            <w:vAlign w:val="center"/>
          </w:tcPr>
          <w:p>
            <w:pPr>
              <w:spacing w:line="240" w:lineRule="auto"/>
              <w:ind w:firstLine="0" w:firstLineChars="0"/>
              <w:jc w:val="center"/>
              <w:rPr>
                <w:bCs/>
                <w:color w:val="auto"/>
                <w:sz w:val="21"/>
                <w:szCs w:val="21"/>
              </w:rPr>
            </w:pPr>
            <w:r>
              <w:rPr>
                <w:bCs/>
                <w:color w:val="auto"/>
                <w:sz w:val="21"/>
                <w:szCs w:val="21"/>
              </w:rPr>
              <w:t>按照环境监测技术规范及国家环保局颁布的监测标准、方法执行。</w:t>
            </w:r>
          </w:p>
        </w:tc>
        <w:tc>
          <w:tcPr>
            <w:tcW w:w="1722" w:type="dxa"/>
            <w:vAlign w:val="center"/>
          </w:tcPr>
          <w:p>
            <w:pPr>
              <w:spacing w:line="240" w:lineRule="auto"/>
              <w:ind w:firstLine="0" w:firstLineChars="0"/>
              <w:jc w:val="center"/>
              <w:rPr>
                <w:bCs/>
                <w:color w:val="auto"/>
                <w:sz w:val="21"/>
                <w:szCs w:val="21"/>
              </w:rPr>
            </w:pPr>
            <w:r>
              <w:rPr>
                <w:bCs/>
                <w:color w:val="auto"/>
                <w:sz w:val="21"/>
                <w:szCs w:val="21"/>
              </w:rPr>
              <w:t>有资质的环境监测机构</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7" w:type="dxa"/>
            <w:vMerge w:val="continue"/>
            <w:vAlign w:val="center"/>
          </w:tcPr>
          <w:p>
            <w:pPr>
              <w:spacing w:line="240" w:lineRule="auto"/>
              <w:ind w:firstLine="0" w:firstLineChars="0"/>
              <w:jc w:val="center"/>
              <w:rPr>
                <w:bCs/>
                <w:color w:val="auto"/>
                <w:sz w:val="21"/>
                <w:szCs w:val="21"/>
              </w:rPr>
            </w:pPr>
          </w:p>
        </w:tc>
        <w:tc>
          <w:tcPr>
            <w:tcW w:w="1178" w:type="dxa"/>
            <w:vAlign w:val="center"/>
          </w:tcPr>
          <w:p>
            <w:pPr>
              <w:spacing w:line="240" w:lineRule="auto"/>
              <w:ind w:firstLine="0" w:firstLineChars="0"/>
              <w:jc w:val="center"/>
              <w:rPr>
                <w:bCs/>
                <w:color w:val="auto"/>
                <w:sz w:val="21"/>
                <w:szCs w:val="21"/>
              </w:rPr>
            </w:pPr>
            <w:r>
              <w:rPr>
                <w:bCs/>
                <w:color w:val="auto"/>
                <w:sz w:val="21"/>
                <w:szCs w:val="21"/>
              </w:rPr>
              <w:t>环境监测</w:t>
            </w:r>
          </w:p>
        </w:tc>
        <w:tc>
          <w:tcPr>
            <w:tcW w:w="5599" w:type="dxa"/>
            <w:vAlign w:val="center"/>
          </w:tcPr>
          <w:p>
            <w:pPr>
              <w:spacing w:line="240" w:lineRule="auto"/>
              <w:ind w:firstLine="0" w:firstLineChars="0"/>
              <w:jc w:val="center"/>
              <w:rPr>
                <w:bCs/>
                <w:color w:val="auto"/>
                <w:sz w:val="21"/>
                <w:szCs w:val="21"/>
              </w:rPr>
            </w:pPr>
            <w:r>
              <w:rPr>
                <w:bCs/>
                <w:color w:val="auto"/>
                <w:sz w:val="21"/>
                <w:szCs w:val="21"/>
              </w:rPr>
              <w:t>按照环境监测技术规范及国家环保局颁布的监测标准、方法执行。</w:t>
            </w:r>
          </w:p>
        </w:tc>
        <w:tc>
          <w:tcPr>
            <w:tcW w:w="1722" w:type="dxa"/>
            <w:vAlign w:val="center"/>
          </w:tcPr>
          <w:p>
            <w:pPr>
              <w:spacing w:line="240" w:lineRule="auto"/>
              <w:ind w:firstLine="0" w:firstLineChars="0"/>
              <w:jc w:val="center"/>
              <w:rPr>
                <w:bCs/>
                <w:color w:val="auto"/>
                <w:sz w:val="21"/>
                <w:szCs w:val="21"/>
              </w:rPr>
            </w:pPr>
            <w:r>
              <w:rPr>
                <w:bCs/>
                <w:color w:val="auto"/>
                <w:sz w:val="21"/>
                <w:szCs w:val="21"/>
              </w:rPr>
              <w:t>有资质的环境监测机构</w:t>
            </w:r>
          </w:p>
        </w:tc>
      </w:tr>
    </w:tbl>
    <w:p>
      <w:pPr>
        <w:keepNext/>
        <w:keepLines/>
        <w:ind w:firstLine="0" w:firstLineChars="0"/>
        <w:outlineLvl w:val="2"/>
        <w:rPr>
          <w:rFonts w:eastAsia="黑体"/>
          <w:bCs/>
          <w:color w:val="auto"/>
        </w:rPr>
      </w:pPr>
      <w:bookmarkStart w:id="746" w:name="_Toc468115483"/>
      <w:bookmarkStart w:id="747" w:name="_Toc17997"/>
      <w:r>
        <w:rPr>
          <w:rFonts w:hint="eastAsia" w:eastAsia="黑体"/>
          <w:bCs/>
          <w:color w:val="auto"/>
        </w:rPr>
        <w:t>9</w:t>
      </w:r>
      <w:r>
        <w:rPr>
          <w:rFonts w:eastAsia="黑体"/>
          <w:bCs/>
          <w:color w:val="auto"/>
        </w:rPr>
        <w:t>.1.3 环境管理制度</w:t>
      </w:r>
      <w:bookmarkEnd w:id="746"/>
      <w:bookmarkEnd w:id="747"/>
    </w:p>
    <w:p>
      <w:pPr>
        <w:ind w:firstLine="480"/>
        <w:rPr>
          <w:bCs/>
          <w:color w:val="auto"/>
        </w:rPr>
      </w:pPr>
      <w:r>
        <w:rPr>
          <w:bCs/>
          <w:color w:val="auto"/>
        </w:rPr>
        <w:t>建设单位应制定一系列规章制度以促进环境保护工作，使环境保护工作规范化和程序化。根据需要，建议制定的环境保护工作条例有：</w:t>
      </w:r>
    </w:p>
    <w:p>
      <w:pPr>
        <w:ind w:firstLine="480"/>
        <w:rPr>
          <w:bCs/>
          <w:color w:val="auto"/>
        </w:rPr>
      </w:pPr>
      <w:r>
        <w:rPr>
          <w:bCs/>
          <w:color w:val="auto"/>
        </w:rPr>
        <w:t>（1）环境保护职责管理制度</w:t>
      </w:r>
    </w:p>
    <w:p>
      <w:pPr>
        <w:ind w:firstLine="480"/>
        <w:rPr>
          <w:bCs/>
          <w:color w:val="auto"/>
        </w:rPr>
      </w:pPr>
      <w:r>
        <w:rPr>
          <w:bCs/>
          <w:color w:val="auto"/>
        </w:rPr>
        <w:t>（2）废水、废气、固体废物排放管理制度</w:t>
      </w:r>
    </w:p>
    <w:p>
      <w:pPr>
        <w:ind w:firstLine="480"/>
        <w:rPr>
          <w:bCs/>
          <w:color w:val="auto"/>
        </w:rPr>
      </w:pPr>
      <w:r>
        <w:rPr>
          <w:bCs/>
          <w:color w:val="auto"/>
        </w:rPr>
        <w:t>（3）环保设施处理装置日常运行管理制度</w:t>
      </w:r>
    </w:p>
    <w:p>
      <w:pPr>
        <w:ind w:firstLine="480"/>
        <w:rPr>
          <w:bCs/>
          <w:color w:val="auto"/>
        </w:rPr>
      </w:pPr>
      <w:r>
        <w:rPr>
          <w:bCs/>
          <w:color w:val="auto"/>
        </w:rPr>
        <w:t>（4）排污情况报告制度</w:t>
      </w:r>
    </w:p>
    <w:p>
      <w:pPr>
        <w:ind w:firstLine="480"/>
        <w:rPr>
          <w:bCs/>
          <w:color w:val="auto"/>
        </w:rPr>
      </w:pPr>
      <w:r>
        <w:rPr>
          <w:bCs/>
          <w:color w:val="auto"/>
        </w:rPr>
        <w:t>（5）污染事故处理制度</w:t>
      </w:r>
    </w:p>
    <w:p>
      <w:pPr>
        <w:ind w:firstLine="480"/>
        <w:rPr>
          <w:bCs/>
          <w:color w:val="auto"/>
        </w:rPr>
      </w:pPr>
      <w:r>
        <w:rPr>
          <w:bCs/>
          <w:color w:val="auto"/>
        </w:rPr>
        <w:t>（6）环保教育制度</w:t>
      </w:r>
    </w:p>
    <w:p>
      <w:pPr>
        <w:ind w:firstLine="480"/>
        <w:rPr>
          <w:bCs/>
          <w:color w:val="auto"/>
        </w:rPr>
      </w:pPr>
      <w:r>
        <w:rPr>
          <w:bCs/>
          <w:color w:val="auto"/>
        </w:rPr>
        <w:t>（7）沼液输送系统制度化、规范化</w:t>
      </w:r>
    </w:p>
    <w:p>
      <w:pPr>
        <w:ind w:firstLine="480"/>
        <w:rPr>
          <w:bCs/>
          <w:color w:val="auto"/>
        </w:rPr>
      </w:pPr>
      <w:r>
        <w:rPr>
          <w:bCs/>
          <w:color w:val="auto"/>
        </w:rPr>
        <w:t>（8）建立轮作制度、施肥进行企业化管理</w:t>
      </w:r>
    </w:p>
    <w:p>
      <w:pPr>
        <w:ind w:firstLine="480"/>
        <w:rPr>
          <w:bCs/>
          <w:color w:val="auto"/>
        </w:rPr>
      </w:pPr>
      <w:r>
        <w:rPr>
          <w:bCs/>
          <w:color w:val="auto"/>
        </w:rPr>
        <w:t>（9）场外（沼液输送、有机肥外售）环保管理制度</w:t>
      </w:r>
    </w:p>
    <w:p>
      <w:pPr>
        <w:pStyle w:val="5"/>
        <w:numPr>
          <w:ilvl w:val="1"/>
          <w:numId w:val="0"/>
        </w:numPr>
        <w:tabs>
          <w:tab w:val="left" w:pos="105"/>
        </w:tabs>
        <w:jc w:val="left"/>
        <w:textAlignment w:val="baseline"/>
        <w:rPr>
          <w:color w:val="auto"/>
          <w:sz w:val="24"/>
          <w:szCs w:val="24"/>
        </w:rPr>
      </w:pPr>
      <w:bookmarkStart w:id="748" w:name="_Toc4460"/>
      <w:bookmarkStart w:id="749" w:name="_Toc19340"/>
      <w:r>
        <w:rPr>
          <w:rFonts w:hint="eastAsia"/>
          <w:color w:val="auto"/>
          <w:sz w:val="24"/>
          <w:szCs w:val="24"/>
        </w:rPr>
        <w:t>9.2污染物排放清单</w:t>
      </w:r>
      <w:bookmarkEnd w:id="748"/>
      <w:bookmarkEnd w:id="749"/>
    </w:p>
    <w:p>
      <w:pPr>
        <w:keepNext/>
        <w:keepLines/>
        <w:ind w:firstLine="480"/>
        <w:outlineLvl w:val="2"/>
        <w:rPr>
          <w:rFonts w:eastAsia="黑体"/>
          <w:bCs/>
          <w:color w:val="auto"/>
        </w:rPr>
      </w:pPr>
      <w:r>
        <w:rPr>
          <w:rFonts w:hint="eastAsia" w:eastAsia="黑体"/>
          <w:bCs/>
          <w:color w:val="auto"/>
        </w:rPr>
        <w:t>9.2.1项目组成</w:t>
      </w:r>
    </w:p>
    <w:p>
      <w:pPr>
        <w:pStyle w:val="21"/>
        <w:spacing w:line="360" w:lineRule="auto"/>
        <w:ind w:firstLine="480"/>
        <w:rPr>
          <w:bCs/>
          <w:color w:val="auto"/>
        </w:rPr>
      </w:pPr>
      <w:r>
        <w:rPr>
          <w:rFonts w:hint="eastAsia"/>
          <w:bCs/>
          <w:color w:val="auto"/>
        </w:rPr>
        <w:t>本</w:t>
      </w:r>
      <w:r>
        <w:rPr>
          <w:bCs/>
          <w:color w:val="auto"/>
        </w:rPr>
        <w:t>项目</w:t>
      </w:r>
      <w:r>
        <w:rPr>
          <w:rFonts w:hint="eastAsia"/>
          <w:bCs/>
          <w:color w:val="auto"/>
        </w:rPr>
        <w:t>组成情况</w:t>
      </w:r>
      <w:r>
        <w:rPr>
          <w:bCs/>
          <w:color w:val="auto"/>
        </w:rPr>
        <w:t>见表</w:t>
      </w:r>
      <w:r>
        <w:rPr>
          <w:rFonts w:hint="eastAsia"/>
          <w:bCs/>
          <w:color w:val="auto"/>
        </w:rPr>
        <w:t>9.2-1、表9.2-2</w:t>
      </w:r>
      <w:r>
        <w:rPr>
          <w:bCs/>
          <w:color w:val="auto"/>
        </w:rPr>
        <w:t>。</w:t>
      </w:r>
    </w:p>
    <w:p>
      <w:pPr>
        <w:spacing w:after="93" w:afterLines="30" w:line="500" w:lineRule="exact"/>
        <w:ind w:firstLine="482"/>
        <w:jc w:val="center"/>
        <w:rPr>
          <w:b/>
          <w:color w:val="auto"/>
          <w:szCs w:val="21"/>
        </w:rPr>
      </w:pPr>
      <w:r>
        <w:rPr>
          <w:b/>
          <w:color w:val="auto"/>
          <w:szCs w:val="21"/>
        </w:rPr>
        <w:t>表</w:t>
      </w:r>
      <w:r>
        <w:rPr>
          <w:rFonts w:hint="eastAsia"/>
          <w:b/>
          <w:color w:val="auto"/>
          <w:szCs w:val="21"/>
        </w:rPr>
        <w:t>9.2-1</w:t>
      </w:r>
      <w:r>
        <w:rPr>
          <w:b/>
          <w:color w:val="auto"/>
          <w:szCs w:val="21"/>
        </w:rPr>
        <w:t xml:space="preserve">     </w:t>
      </w:r>
      <w:r>
        <w:rPr>
          <w:rFonts w:hint="eastAsia"/>
          <w:b/>
          <w:color w:val="auto"/>
          <w:szCs w:val="21"/>
        </w:rPr>
        <w:t xml:space="preserve">            </w:t>
      </w:r>
      <w:r>
        <w:rPr>
          <w:b/>
          <w:color w:val="auto"/>
          <w:szCs w:val="21"/>
        </w:rPr>
        <w:t xml:space="preserve"> 项目主要建设内容</w:t>
      </w:r>
    </w:p>
    <w:tbl>
      <w:tblPr>
        <w:tblStyle w:val="27"/>
        <w:tblW w:w="4997"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13"/>
        <w:gridCol w:w="1040"/>
        <w:gridCol w:w="436"/>
        <w:gridCol w:w="1315"/>
        <w:gridCol w:w="596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92" w:type="pct"/>
            <w:gridSpan w:val="2"/>
            <w:vAlign w:val="center"/>
          </w:tcPr>
          <w:p>
            <w:pPr>
              <w:spacing w:line="240" w:lineRule="auto"/>
              <w:ind w:firstLine="0" w:firstLineChars="0"/>
              <w:jc w:val="center"/>
              <w:rPr>
                <w:color w:val="auto"/>
                <w:sz w:val="21"/>
                <w:szCs w:val="21"/>
              </w:rPr>
            </w:pPr>
            <w:r>
              <w:rPr>
                <w:color w:val="auto"/>
                <w:sz w:val="21"/>
                <w:szCs w:val="21"/>
              </w:rPr>
              <w:t>项目组成</w:t>
            </w:r>
          </w:p>
        </w:tc>
        <w:tc>
          <w:tcPr>
            <w:tcW w:w="4207" w:type="pct"/>
            <w:gridSpan w:val="3"/>
            <w:vAlign w:val="center"/>
          </w:tcPr>
          <w:p>
            <w:pPr>
              <w:spacing w:line="240" w:lineRule="auto"/>
              <w:ind w:firstLine="0" w:firstLineChars="0"/>
              <w:jc w:val="center"/>
              <w:rPr>
                <w:color w:val="auto"/>
                <w:sz w:val="21"/>
                <w:szCs w:val="21"/>
              </w:rPr>
            </w:pPr>
            <w:r>
              <w:rPr>
                <w:color w:val="auto"/>
                <w:sz w:val="21"/>
                <w:szCs w:val="21"/>
              </w:rPr>
              <w:t>工程内容</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5" w:type="pct"/>
            <w:vMerge w:val="restart"/>
            <w:vAlign w:val="center"/>
          </w:tcPr>
          <w:p>
            <w:pPr>
              <w:spacing w:line="240" w:lineRule="auto"/>
              <w:ind w:firstLine="0" w:firstLineChars="0"/>
              <w:jc w:val="center"/>
              <w:rPr>
                <w:color w:val="auto"/>
                <w:sz w:val="21"/>
                <w:szCs w:val="21"/>
              </w:rPr>
            </w:pPr>
            <w:r>
              <w:rPr>
                <w:color w:val="auto"/>
                <w:sz w:val="21"/>
                <w:szCs w:val="21"/>
              </w:rPr>
              <w:t>1</w:t>
            </w:r>
          </w:p>
        </w:tc>
        <w:tc>
          <w:tcPr>
            <w:tcW w:w="566" w:type="pct"/>
            <w:vMerge w:val="restart"/>
            <w:vAlign w:val="center"/>
          </w:tcPr>
          <w:p>
            <w:pPr>
              <w:spacing w:line="240" w:lineRule="auto"/>
              <w:ind w:firstLine="0" w:firstLineChars="0"/>
              <w:jc w:val="center"/>
              <w:rPr>
                <w:color w:val="auto"/>
                <w:sz w:val="21"/>
                <w:szCs w:val="21"/>
              </w:rPr>
            </w:pPr>
            <w:r>
              <w:rPr>
                <w:rFonts w:hint="eastAsia"/>
                <w:color w:val="auto"/>
                <w:sz w:val="21"/>
                <w:szCs w:val="21"/>
              </w:rPr>
              <w:t>生产区</w:t>
            </w:r>
          </w:p>
        </w:tc>
        <w:tc>
          <w:tcPr>
            <w:tcW w:w="955" w:type="pct"/>
            <w:gridSpan w:val="2"/>
            <w:vAlign w:val="center"/>
          </w:tcPr>
          <w:p>
            <w:pPr>
              <w:spacing w:line="240" w:lineRule="auto"/>
              <w:ind w:firstLine="0" w:firstLineChars="0"/>
              <w:jc w:val="center"/>
              <w:rPr>
                <w:color w:val="auto"/>
                <w:sz w:val="21"/>
                <w:szCs w:val="21"/>
              </w:rPr>
            </w:pPr>
            <w:r>
              <w:rPr>
                <w:rFonts w:hint="eastAsia"/>
                <w:color w:val="auto"/>
                <w:sz w:val="21"/>
                <w:szCs w:val="21"/>
              </w:rPr>
              <w:t>保育育肥一体舍</w:t>
            </w:r>
          </w:p>
        </w:tc>
        <w:tc>
          <w:tcPr>
            <w:tcW w:w="3251" w:type="pct"/>
            <w:vAlign w:val="center"/>
          </w:tcPr>
          <w:p>
            <w:pPr>
              <w:spacing w:line="240" w:lineRule="auto"/>
              <w:ind w:firstLine="0" w:firstLineChars="0"/>
              <w:jc w:val="center"/>
              <w:rPr>
                <w:color w:val="auto"/>
                <w:sz w:val="21"/>
                <w:szCs w:val="21"/>
              </w:rPr>
            </w:pPr>
            <w:r>
              <w:rPr>
                <w:color w:val="auto"/>
                <w:sz w:val="21"/>
                <w:szCs w:val="21"/>
              </w:rPr>
              <w:t>新建：3</w:t>
            </w:r>
            <w:r>
              <w:rPr>
                <w:rFonts w:hint="eastAsia"/>
                <w:color w:val="auto"/>
                <w:sz w:val="21"/>
                <w:szCs w:val="21"/>
              </w:rPr>
              <w:t>2</w:t>
            </w:r>
            <w:r>
              <w:rPr>
                <w:color w:val="auto"/>
                <w:sz w:val="21"/>
                <w:szCs w:val="21"/>
              </w:rPr>
              <w:t>舍，规格</w:t>
            </w:r>
            <w:r>
              <w:rPr>
                <w:rFonts w:hint="eastAsia"/>
                <w:color w:val="auto"/>
                <w:sz w:val="21"/>
                <w:szCs w:val="21"/>
              </w:rPr>
              <w:t>37.1</w:t>
            </w:r>
            <w:r>
              <w:rPr>
                <w:color w:val="auto"/>
                <w:sz w:val="21"/>
                <w:szCs w:val="21"/>
              </w:rPr>
              <w:t>m×</w:t>
            </w:r>
            <w:r>
              <w:rPr>
                <w:rFonts w:hint="eastAsia"/>
                <w:color w:val="auto"/>
                <w:sz w:val="21"/>
                <w:szCs w:val="21"/>
              </w:rPr>
              <w:t>14</w:t>
            </w:r>
            <w:r>
              <w:rPr>
                <w:color w:val="auto"/>
                <w:sz w:val="21"/>
                <w:szCs w:val="21"/>
              </w:rPr>
              <w:t>m，总建筑面积</w:t>
            </w:r>
            <w:r>
              <w:rPr>
                <w:rFonts w:hint="eastAsia"/>
                <w:color w:val="auto"/>
                <w:sz w:val="21"/>
                <w:szCs w:val="21"/>
              </w:rPr>
              <w:t>16620.8</w:t>
            </w:r>
            <w:r>
              <w:rPr>
                <w:color w:val="auto"/>
                <w:sz w:val="21"/>
                <w:szCs w:val="21"/>
              </w:rPr>
              <w:t>m</w:t>
            </w:r>
            <w:r>
              <w:rPr>
                <w:color w:val="auto"/>
                <w:sz w:val="21"/>
                <w:szCs w:val="21"/>
                <w:vertAlign w:val="superscript"/>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5" w:hRule="atLeast"/>
        </w:trPr>
        <w:tc>
          <w:tcPr>
            <w:tcW w:w="225" w:type="pct"/>
            <w:vMerge w:val="continue"/>
            <w:vAlign w:val="center"/>
          </w:tcPr>
          <w:p>
            <w:pPr>
              <w:spacing w:line="240" w:lineRule="auto"/>
              <w:ind w:firstLine="0" w:firstLineChars="0"/>
              <w:jc w:val="center"/>
              <w:rPr>
                <w:color w:val="auto"/>
                <w:sz w:val="21"/>
                <w:szCs w:val="21"/>
              </w:rPr>
            </w:pPr>
          </w:p>
        </w:tc>
        <w:tc>
          <w:tcPr>
            <w:tcW w:w="566" w:type="pct"/>
            <w:vMerge w:val="continue"/>
            <w:vAlign w:val="center"/>
          </w:tcPr>
          <w:p>
            <w:pPr>
              <w:spacing w:line="240" w:lineRule="auto"/>
              <w:ind w:firstLine="0" w:firstLineChars="0"/>
              <w:jc w:val="center"/>
              <w:rPr>
                <w:color w:val="auto"/>
                <w:sz w:val="21"/>
                <w:szCs w:val="21"/>
              </w:rPr>
            </w:pPr>
          </w:p>
        </w:tc>
        <w:tc>
          <w:tcPr>
            <w:tcW w:w="955" w:type="pct"/>
            <w:gridSpan w:val="2"/>
            <w:vAlign w:val="center"/>
          </w:tcPr>
          <w:p>
            <w:pPr>
              <w:spacing w:line="240" w:lineRule="auto"/>
              <w:ind w:firstLine="0" w:firstLineChars="0"/>
              <w:jc w:val="center"/>
              <w:rPr>
                <w:color w:val="auto"/>
                <w:sz w:val="21"/>
                <w:szCs w:val="21"/>
              </w:rPr>
            </w:pPr>
            <w:r>
              <w:rPr>
                <w:rFonts w:hint="eastAsia"/>
                <w:color w:val="auto"/>
                <w:sz w:val="21"/>
                <w:szCs w:val="21"/>
              </w:rPr>
              <w:t>仔猪转运间</w:t>
            </w:r>
          </w:p>
        </w:tc>
        <w:tc>
          <w:tcPr>
            <w:tcW w:w="3251" w:type="pct"/>
            <w:vAlign w:val="center"/>
          </w:tcPr>
          <w:p>
            <w:pPr>
              <w:spacing w:line="240" w:lineRule="auto"/>
              <w:ind w:firstLine="0" w:firstLineChars="0"/>
              <w:jc w:val="center"/>
              <w:rPr>
                <w:color w:val="auto"/>
                <w:sz w:val="21"/>
                <w:szCs w:val="21"/>
              </w:rPr>
            </w:pPr>
            <w:r>
              <w:rPr>
                <w:color w:val="auto"/>
                <w:sz w:val="21"/>
                <w:szCs w:val="21"/>
              </w:rPr>
              <w:t>新建：规格</w:t>
            </w:r>
            <w:r>
              <w:rPr>
                <w:rFonts w:hint="eastAsia"/>
                <w:color w:val="auto"/>
                <w:sz w:val="21"/>
                <w:szCs w:val="21"/>
              </w:rPr>
              <w:t>7.4</w:t>
            </w:r>
            <w:r>
              <w:rPr>
                <w:color w:val="auto"/>
                <w:sz w:val="21"/>
                <w:szCs w:val="21"/>
              </w:rPr>
              <w:t>m×</w:t>
            </w:r>
            <w:r>
              <w:rPr>
                <w:rFonts w:hint="eastAsia"/>
                <w:color w:val="auto"/>
                <w:sz w:val="21"/>
                <w:szCs w:val="21"/>
              </w:rPr>
              <w:t>3.9</w:t>
            </w:r>
            <w:r>
              <w:rPr>
                <w:color w:val="auto"/>
                <w:sz w:val="21"/>
                <w:szCs w:val="21"/>
              </w:rPr>
              <w:t>m，总建筑面积</w:t>
            </w:r>
            <w:r>
              <w:rPr>
                <w:rFonts w:hint="eastAsia"/>
                <w:color w:val="auto"/>
                <w:sz w:val="21"/>
                <w:szCs w:val="21"/>
              </w:rPr>
              <w:t>28.86</w:t>
            </w:r>
            <w:r>
              <w:rPr>
                <w:color w:val="auto"/>
                <w:sz w:val="21"/>
                <w:szCs w:val="21"/>
              </w:rPr>
              <w:t>m</w:t>
            </w:r>
            <w:r>
              <w:rPr>
                <w:color w:val="auto"/>
                <w:sz w:val="21"/>
                <w:szCs w:val="21"/>
                <w:vertAlign w:val="superscript"/>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 w:hRule="atLeast"/>
        </w:trPr>
        <w:tc>
          <w:tcPr>
            <w:tcW w:w="225" w:type="pct"/>
            <w:vMerge w:val="continue"/>
            <w:vAlign w:val="center"/>
          </w:tcPr>
          <w:p>
            <w:pPr>
              <w:spacing w:line="240" w:lineRule="auto"/>
              <w:ind w:firstLine="0" w:firstLineChars="0"/>
              <w:jc w:val="center"/>
              <w:rPr>
                <w:color w:val="auto"/>
                <w:sz w:val="21"/>
                <w:szCs w:val="21"/>
              </w:rPr>
            </w:pPr>
          </w:p>
        </w:tc>
        <w:tc>
          <w:tcPr>
            <w:tcW w:w="566" w:type="pct"/>
            <w:vMerge w:val="continue"/>
            <w:vAlign w:val="center"/>
          </w:tcPr>
          <w:p>
            <w:pPr>
              <w:spacing w:line="240" w:lineRule="auto"/>
              <w:ind w:firstLine="0" w:firstLineChars="0"/>
              <w:jc w:val="center"/>
              <w:rPr>
                <w:color w:val="auto"/>
                <w:sz w:val="21"/>
                <w:szCs w:val="21"/>
              </w:rPr>
            </w:pPr>
          </w:p>
        </w:tc>
        <w:tc>
          <w:tcPr>
            <w:tcW w:w="955" w:type="pct"/>
            <w:gridSpan w:val="2"/>
            <w:vAlign w:val="center"/>
          </w:tcPr>
          <w:p>
            <w:pPr>
              <w:spacing w:line="240" w:lineRule="auto"/>
              <w:ind w:firstLine="0" w:firstLineChars="0"/>
              <w:jc w:val="center"/>
              <w:rPr>
                <w:color w:val="auto"/>
                <w:sz w:val="21"/>
                <w:szCs w:val="21"/>
              </w:rPr>
            </w:pPr>
            <w:r>
              <w:rPr>
                <w:rFonts w:hint="eastAsia"/>
                <w:color w:val="auto"/>
                <w:sz w:val="21"/>
                <w:szCs w:val="21"/>
              </w:rPr>
              <w:t>清洗房</w:t>
            </w:r>
          </w:p>
        </w:tc>
        <w:tc>
          <w:tcPr>
            <w:tcW w:w="3251" w:type="pct"/>
            <w:vAlign w:val="center"/>
          </w:tcPr>
          <w:p>
            <w:pPr>
              <w:spacing w:line="240" w:lineRule="auto"/>
              <w:ind w:firstLine="0" w:firstLineChars="0"/>
              <w:jc w:val="center"/>
              <w:rPr>
                <w:color w:val="auto"/>
                <w:sz w:val="21"/>
                <w:szCs w:val="21"/>
              </w:rPr>
            </w:pPr>
            <w:r>
              <w:rPr>
                <w:color w:val="auto"/>
                <w:sz w:val="21"/>
                <w:szCs w:val="21"/>
              </w:rPr>
              <w:t>新建：规格</w:t>
            </w:r>
            <w:r>
              <w:rPr>
                <w:rFonts w:hint="eastAsia"/>
                <w:color w:val="auto"/>
                <w:sz w:val="21"/>
                <w:szCs w:val="21"/>
              </w:rPr>
              <w:t>5</w:t>
            </w:r>
            <w:r>
              <w:rPr>
                <w:color w:val="auto"/>
                <w:sz w:val="21"/>
                <w:szCs w:val="21"/>
              </w:rPr>
              <w:t>m×</w:t>
            </w:r>
            <w:r>
              <w:rPr>
                <w:rFonts w:hint="eastAsia"/>
                <w:color w:val="auto"/>
                <w:sz w:val="21"/>
                <w:szCs w:val="21"/>
              </w:rPr>
              <w:t>7</w:t>
            </w:r>
            <w:r>
              <w:rPr>
                <w:color w:val="auto"/>
                <w:sz w:val="21"/>
                <w:szCs w:val="21"/>
              </w:rPr>
              <w:t>m，总建筑面积</w:t>
            </w:r>
            <w:r>
              <w:rPr>
                <w:rFonts w:hint="eastAsia"/>
                <w:color w:val="auto"/>
                <w:sz w:val="21"/>
                <w:szCs w:val="21"/>
              </w:rPr>
              <w:t>70</w:t>
            </w:r>
            <w:r>
              <w:rPr>
                <w:color w:val="auto"/>
                <w:sz w:val="21"/>
                <w:szCs w:val="21"/>
              </w:rPr>
              <w:t>m</w:t>
            </w:r>
            <w:r>
              <w:rPr>
                <w:color w:val="auto"/>
                <w:sz w:val="21"/>
                <w:szCs w:val="21"/>
                <w:vertAlign w:val="superscript"/>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4" w:hRule="atLeast"/>
        </w:trPr>
        <w:tc>
          <w:tcPr>
            <w:tcW w:w="225" w:type="pct"/>
            <w:vMerge w:val="restart"/>
            <w:vAlign w:val="center"/>
          </w:tcPr>
          <w:p>
            <w:pPr>
              <w:spacing w:line="240" w:lineRule="auto"/>
              <w:ind w:firstLine="0" w:firstLineChars="0"/>
              <w:jc w:val="center"/>
              <w:rPr>
                <w:color w:val="auto"/>
                <w:sz w:val="21"/>
                <w:szCs w:val="21"/>
              </w:rPr>
            </w:pPr>
            <w:r>
              <w:rPr>
                <w:rFonts w:hint="eastAsia"/>
                <w:color w:val="auto"/>
                <w:sz w:val="21"/>
                <w:szCs w:val="21"/>
              </w:rPr>
              <w:t>2</w:t>
            </w:r>
          </w:p>
        </w:tc>
        <w:tc>
          <w:tcPr>
            <w:tcW w:w="566" w:type="pct"/>
            <w:vMerge w:val="restart"/>
            <w:vAlign w:val="center"/>
          </w:tcPr>
          <w:p>
            <w:pPr>
              <w:spacing w:line="240" w:lineRule="auto"/>
              <w:ind w:firstLine="0" w:firstLineChars="0"/>
              <w:jc w:val="center"/>
              <w:rPr>
                <w:color w:val="auto"/>
                <w:sz w:val="21"/>
                <w:szCs w:val="21"/>
              </w:rPr>
            </w:pPr>
            <w:r>
              <w:rPr>
                <w:rFonts w:hint="eastAsia"/>
                <w:color w:val="auto"/>
                <w:sz w:val="21"/>
                <w:szCs w:val="21"/>
              </w:rPr>
              <w:t>生活区</w:t>
            </w:r>
          </w:p>
        </w:tc>
        <w:tc>
          <w:tcPr>
            <w:tcW w:w="955" w:type="pct"/>
            <w:gridSpan w:val="2"/>
            <w:vAlign w:val="center"/>
          </w:tcPr>
          <w:p>
            <w:pPr>
              <w:spacing w:line="240" w:lineRule="auto"/>
              <w:ind w:firstLine="0" w:firstLineChars="0"/>
              <w:jc w:val="center"/>
              <w:rPr>
                <w:color w:val="auto"/>
                <w:sz w:val="21"/>
                <w:szCs w:val="21"/>
              </w:rPr>
            </w:pPr>
            <w:r>
              <w:rPr>
                <w:rFonts w:hint="eastAsia"/>
                <w:color w:val="auto"/>
                <w:sz w:val="21"/>
                <w:szCs w:val="21"/>
              </w:rPr>
              <w:t>综合宿舍楼</w:t>
            </w:r>
          </w:p>
        </w:tc>
        <w:tc>
          <w:tcPr>
            <w:tcW w:w="3251" w:type="pct"/>
            <w:vAlign w:val="center"/>
          </w:tcPr>
          <w:p>
            <w:pPr>
              <w:spacing w:line="240" w:lineRule="auto"/>
              <w:ind w:firstLine="0" w:firstLineChars="0"/>
              <w:jc w:val="center"/>
              <w:rPr>
                <w:color w:val="auto"/>
                <w:sz w:val="21"/>
                <w:szCs w:val="21"/>
              </w:rPr>
            </w:pPr>
            <w:r>
              <w:rPr>
                <w:color w:val="auto"/>
                <w:sz w:val="21"/>
                <w:szCs w:val="21"/>
              </w:rPr>
              <w:t>新建：规格</w:t>
            </w:r>
            <w:r>
              <w:rPr>
                <w:rFonts w:hint="eastAsia"/>
                <w:color w:val="auto"/>
                <w:sz w:val="21"/>
                <w:szCs w:val="21"/>
              </w:rPr>
              <w:t>44.94</w:t>
            </w:r>
            <w:r>
              <w:rPr>
                <w:color w:val="auto"/>
                <w:sz w:val="21"/>
                <w:szCs w:val="21"/>
              </w:rPr>
              <w:t>m×</w:t>
            </w:r>
            <w:r>
              <w:rPr>
                <w:rFonts w:hint="eastAsia"/>
                <w:color w:val="auto"/>
                <w:sz w:val="21"/>
                <w:szCs w:val="21"/>
              </w:rPr>
              <w:t>16.84</w:t>
            </w:r>
            <w:r>
              <w:rPr>
                <w:color w:val="auto"/>
                <w:sz w:val="21"/>
                <w:szCs w:val="21"/>
              </w:rPr>
              <w:t>m，总建筑面积</w:t>
            </w:r>
            <w:r>
              <w:rPr>
                <w:rFonts w:hint="eastAsia"/>
                <w:color w:val="auto"/>
                <w:sz w:val="21"/>
                <w:szCs w:val="21"/>
              </w:rPr>
              <w:t>1513.58</w:t>
            </w:r>
            <w:r>
              <w:rPr>
                <w:color w:val="auto"/>
                <w:sz w:val="21"/>
                <w:szCs w:val="21"/>
              </w:rPr>
              <w:t>m</w:t>
            </w:r>
            <w:r>
              <w:rPr>
                <w:color w:val="auto"/>
                <w:sz w:val="21"/>
                <w:szCs w:val="21"/>
                <w:vertAlign w:val="superscript"/>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7" w:hRule="atLeast"/>
        </w:trPr>
        <w:tc>
          <w:tcPr>
            <w:tcW w:w="225" w:type="pct"/>
            <w:vMerge w:val="continue"/>
            <w:vAlign w:val="center"/>
          </w:tcPr>
          <w:p>
            <w:pPr>
              <w:spacing w:line="240" w:lineRule="auto"/>
              <w:ind w:firstLine="0" w:firstLineChars="0"/>
              <w:jc w:val="center"/>
              <w:rPr>
                <w:color w:val="auto"/>
                <w:sz w:val="21"/>
                <w:szCs w:val="21"/>
              </w:rPr>
            </w:pPr>
          </w:p>
        </w:tc>
        <w:tc>
          <w:tcPr>
            <w:tcW w:w="566" w:type="pct"/>
            <w:vMerge w:val="continue"/>
            <w:vAlign w:val="center"/>
          </w:tcPr>
          <w:p>
            <w:pPr>
              <w:spacing w:line="240" w:lineRule="auto"/>
              <w:ind w:firstLine="0" w:firstLineChars="0"/>
              <w:jc w:val="center"/>
              <w:rPr>
                <w:color w:val="auto"/>
                <w:sz w:val="21"/>
                <w:szCs w:val="21"/>
              </w:rPr>
            </w:pPr>
          </w:p>
        </w:tc>
        <w:tc>
          <w:tcPr>
            <w:tcW w:w="955" w:type="pct"/>
            <w:gridSpan w:val="2"/>
            <w:vAlign w:val="center"/>
          </w:tcPr>
          <w:p>
            <w:pPr>
              <w:spacing w:line="240" w:lineRule="auto"/>
              <w:ind w:firstLine="0" w:firstLineChars="0"/>
              <w:jc w:val="center"/>
              <w:rPr>
                <w:color w:val="auto"/>
                <w:sz w:val="21"/>
                <w:szCs w:val="21"/>
              </w:rPr>
            </w:pPr>
            <w:r>
              <w:rPr>
                <w:rFonts w:hint="eastAsia"/>
                <w:color w:val="auto"/>
                <w:sz w:val="21"/>
                <w:szCs w:val="21"/>
              </w:rPr>
              <w:t>洗澡间</w:t>
            </w:r>
          </w:p>
        </w:tc>
        <w:tc>
          <w:tcPr>
            <w:tcW w:w="3251" w:type="pct"/>
            <w:vAlign w:val="center"/>
          </w:tcPr>
          <w:p>
            <w:pPr>
              <w:spacing w:line="240" w:lineRule="auto"/>
              <w:ind w:firstLine="0" w:firstLineChars="0"/>
              <w:jc w:val="center"/>
              <w:rPr>
                <w:color w:val="auto"/>
                <w:sz w:val="21"/>
                <w:szCs w:val="21"/>
              </w:rPr>
            </w:pPr>
            <w:r>
              <w:rPr>
                <w:color w:val="auto"/>
                <w:sz w:val="21"/>
                <w:szCs w:val="21"/>
              </w:rPr>
              <w:t>新建：规格</w:t>
            </w:r>
            <w:r>
              <w:rPr>
                <w:rFonts w:hint="eastAsia"/>
                <w:color w:val="auto"/>
                <w:sz w:val="21"/>
                <w:szCs w:val="21"/>
              </w:rPr>
              <w:t>3.6</w:t>
            </w:r>
            <w:r>
              <w:rPr>
                <w:color w:val="auto"/>
                <w:sz w:val="21"/>
                <w:szCs w:val="21"/>
              </w:rPr>
              <w:t>m×</w:t>
            </w:r>
            <w:r>
              <w:rPr>
                <w:rFonts w:hint="eastAsia"/>
                <w:color w:val="auto"/>
                <w:sz w:val="21"/>
                <w:szCs w:val="21"/>
              </w:rPr>
              <w:t>9.8</w:t>
            </w:r>
            <w:r>
              <w:rPr>
                <w:color w:val="auto"/>
                <w:sz w:val="21"/>
                <w:szCs w:val="21"/>
              </w:rPr>
              <w:t>m，总建筑面积</w:t>
            </w:r>
            <w:r>
              <w:rPr>
                <w:rFonts w:hint="eastAsia"/>
                <w:color w:val="auto"/>
                <w:sz w:val="21"/>
                <w:szCs w:val="21"/>
              </w:rPr>
              <w:t>35.28</w:t>
            </w:r>
            <w:r>
              <w:rPr>
                <w:color w:val="auto"/>
                <w:sz w:val="21"/>
                <w:szCs w:val="21"/>
              </w:rPr>
              <w:t>m</w:t>
            </w:r>
            <w:r>
              <w:rPr>
                <w:color w:val="auto"/>
                <w:sz w:val="21"/>
                <w:szCs w:val="21"/>
                <w:vertAlign w:val="superscript"/>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3" w:hRule="atLeast"/>
        </w:trPr>
        <w:tc>
          <w:tcPr>
            <w:tcW w:w="225" w:type="pct"/>
            <w:vMerge w:val="continue"/>
            <w:vAlign w:val="center"/>
          </w:tcPr>
          <w:p>
            <w:pPr>
              <w:spacing w:line="240" w:lineRule="auto"/>
              <w:ind w:firstLine="0" w:firstLineChars="0"/>
              <w:jc w:val="center"/>
              <w:rPr>
                <w:color w:val="auto"/>
                <w:sz w:val="21"/>
                <w:szCs w:val="21"/>
              </w:rPr>
            </w:pPr>
          </w:p>
        </w:tc>
        <w:tc>
          <w:tcPr>
            <w:tcW w:w="566" w:type="pct"/>
            <w:vMerge w:val="continue"/>
            <w:vAlign w:val="center"/>
          </w:tcPr>
          <w:p>
            <w:pPr>
              <w:spacing w:line="240" w:lineRule="auto"/>
              <w:ind w:firstLine="0" w:firstLineChars="0"/>
              <w:jc w:val="center"/>
              <w:rPr>
                <w:color w:val="auto"/>
                <w:sz w:val="21"/>
                <w:szCs w:val="21"/>
              </w:rPr>
            </w:pPr>
          </w:p>
        </w:tc>
        <w:tc>
          <w:tcPr>
            <w:tcW w:w="955" w:type="pct"/>
            <w:gridSpan w:val="2"/>
            <w:vAlign w:val="center"/>
          </w:tcPr>
          <w:p>
            <w:pPr>
              <w:spacing w:line="240" w:lineRule="auto"/>
              <w:ind w:firstLine="0" w:firstLineChars="0"/>
              <w:jc w:val="center"/>
              <w:rPr>
                <w:color w:val="auto"/>
                <w:sz w:val="21"/>
                <w:szCs w:val="21"/>
              </w:rPr>
            </w:pPr>
            <w:r>
              <w:rPr>
                <w:rFonts w:hint="eastAsia"/>
                <w:color w:val="auto"/>
                <w:sz w:val="21"/>
                <w:szCs w:val="21"/>
              </w:rPr>
              <w:t>综合门卫处</w:t>
            </w:r>
          </w:p>
        </w:tc>
        <w:tc>
          <w:tcPr>
            <w:tcW w:w="3251" w:type="pct"/>
            <w:vAlign w:val="center"/>
          </w:tcPr>
          <w:p>
            <w:pPr>
              <w:spacing w:line="240" w:lineRule="auto"/>
              <w:ind w:firstLine="0" w:firstLineChars="0"/>
              <w:jc w:val="center"/>
              <w:rPr>
                <w:color w:val="auto"/>
                <w:sz w:val="21"/>
                <w:szCs w:val="21"/>
              </w:rPr>
            </w:pPr>
            <w:r>
              <w:rPr>
                <w:color w:val="auto"/>
                <w:sz w:val="21"/>
                <w:szCs w:val="21"/>
              </w:rPr>
              <w:t>新建：规格</w:t>
            </w:r>
            <w:r>
              <w:rPr>
                <w:rFonts w:hint="eastAsia"/>
                <w:color w:val="auto"/>
                <w:sz w:val="21"/>
                <w:szCs w:val="21"/>
              </w:rPr>
              <w:t>9.24</w:t>
            </w:r>
            <w:r>
              <w:rPr>
                <w:color w:val="auto"/>
                <w:sz w:val="21"/>
                <w:szCs w:val="21"/>
              </w:rPr>
              <w:t>m×</w:t>
            </w:r>
            <w:r>
              <w:rPr>
                <w:rFonts w:hint="eastAsia"/>
                <w:color w:val="auto"/>
                <w:sz w:val="21"/>
                <w:szCs w:val="21"/>
              </w:rPr>
              <w:t>30.74</w:t>
            </w:r>
            <w:r>
              <w:rPr>
                <w:color w:val="auto"/>
                <w:sz w:val="21"/>
                <w:szCs w:val="21"/>
              </w:rPr>
              <w:t>m，总建筑面积</w:t>
            </w:r>
            <w:r>
              <w:rPr>
                <w:rFonts w:hint="eastAsia"/>
                <w:color w:val="auto"/>
                <w:sz w:val="21"/>
                <w:szCs w:val="21"/>
              </w:rPr>
              <w:t>284</w:t>
            </w:r>
            <w:r>
              <w:rPr>
                <w:color w:val="auto"/>
                <w:sz w:val="21"/>
                <w:szCs w:val="21"/>
              </w:rPr>
              <w:t>m</w:t>
            </w:r>
            <w:r>
              <w:rPr>
                <w:color w:val="auto"/>
                <w:sz w:val="21"/>
                <w:szCs w:val="21"/>
                <w:vertAlign w:val="superscript"/>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5" w:hRule="atLeast"/>
        </w:trPr>
        <w:tc>
          <w:tcPr>
            <w:tcW w:w="225" w:type="pct"/>
            <w:vMerge w:val="restart"/>
            <w:vAlign w:val="center"/>
          </w:tcPr>
          <w:p>
            <w:pPr>
              <w:spacing w:line="240" w:lineRule="auto"/>
              <w:ind w:firstLine="0" w:firstLineChars="0"/>
              <w:jc w:val="center"/>
              <w:rPr>
                <w:color w:val="auto"/>
                <w:sz w:val="21"/>
                <w:szCs w:val="21"/>
              </w:rPr>
            </w:pPr>
            <w:r>
              <w:rPr>
                <w:rFonts w:hint="eastAsia"/>
                <w:color w:val="auto"/>
                <w:sz w:val="21"/>
                <w:szCs w:val="21"/>
              </w:rPr>
              <w:t>3</w:t>
            </w:r>
          </w:p>
        </w:tc>
        <w:tc>
          <w:tcPr>
            <w:tcW w:w="566" w:type="pct"/>
            <w:vMerge w:val="restart"/>
            <w:vAlign w:val="center"/>
          </w:tcPr>
          <w:p>
            <w:pPr>
              <w:spacing w:line="240" w:lineRule="auto"/>
              <w:ind w:firstLine="0" w:firstLineChars="0"/>
              <w:jc w:val="center"/>
              <w:rPr>
                <w:color w:val="auto"/>
                <w:sz w:val="21"/>
                <w:szCs w:val="21"/>
              </w:rPr>
            </w:pPr>
            <w:r>
              <w:rPr>
                <w:rFonts w:hint="eastAsia"/>
                <w:color w:val="auto"/>
                <w:sz w:val="21"/>
                <w:szCs w:val="21"/>
              </w:rPr>
              <w:t>销售区</w:t>
            </w:r>
          </w:p>
        </w:tc>
        <w:tc>
          <w:tcPr>
            <w:tcW w:w="955" w:type="pct"/>
            <w:gridSpan w:val="2"/>
            <w:vAlign w:val="center"/>
          </w:tcPr>
          <w:p>
            <w:pPr>
              <w:spacing w:line="240" w:lineRule="auto"/>
              <w:ind w:firstLine="0" w:firstLineChars="0"/>
              <w:jc w:val="center"/>
              <w:rPr>
                <w:color w:val="auto"/>
                <w:sz w:val="21"/>
                <w:szCs w:val="21"/>
              </w:rPr>
            </w:pPr>
            <w:r>
              <w:rPr>
                <w:rFonts w:hint="eastAsia"/>
                <w:color w:val="auto"/>
                <w:sz w:val="21"/>
                <w:szCs w:val="21"/>
              </w:rPr>
              <w:t>无害化处理区</w:t>
            </w:r>
          </w:p>
        </w:tc>
        <w:tc>
          <w:tcPr>
            <w:tcW w:w="3251" w:type="pct"/>
            <w:vAlign w:val="center"/>
          </w:tcPr>
          <w:p>
            <w:pPr>
              <w:spacing w:line="240" w:lineRule="auto"/>
              <w:ind w:firstLine="0" w:firstLineChars="0"/>
              <w:jc w:val="center"/>
              <w:rPr>
                <w:color w:val="auto"/>
                <w:sz w:val="21"/>
                <w:szCs w:val="21"/>
              </w:rPr>
            </w:pPr>
            <w:r>
              <w:rPr>
                <w:color w:val="auto"/>
                <w:sz w:val="21"/>
                <w:szCs w:val="21"/>
              </w:rPr>
              <w:t>新建：规格</w:t>
            </w:r>
            <w:r>
              <w:rPr>
                <w:rFonts w:hint="eastAsia"/>
                <w:color w:val="auto"/>
                <w:sz w:val="21"/>
                <w:szCs w:val="21"/>
              </w:rPr>
              <w:t>10</w:t>
            </w:r>
            <w:r>
              <w:rPr>
                <w:color w:val="auto"/>
                <w:sz w:val="21"/>
                <w:szCs w:val="21"/>
              </w:rPr>
              <w:t>m×</w:t>
            </w:r>
            <w:r>
              <w:rPr>
                <w:rFonts w:hint="eastAsia"/>
                <w:color w:val="auto"/>
                <w:sz w:val="21"/>
                <w:szCs w:val="21"/>
              </w:rPr>
              <w:t>10</w:t>
            </w:r>
            <w:r>
              <w:rPr>
                <w:color w:val="auto"/>
                <w:sz w:val="21"/>
                <w:szCs w:val="21"/>
              </w:rPr>
              <w:t>m，总建筑面积</w:t>
            </w:r>
            <w:r>
              <w:rPr>
                <w:rFonts w:hint="eastAsia"/>
                <w:color w:val="auto"/>
                <w:sz w:val="21"/>
                <w:szCs w:val="21"/>
              </w:rPr>
              <w:t>100</w:t>
            </w:r>
            <w:r>
              <w:rPr>
                <w:color w:val="auto"/>
                <w:sz w:val="21"/>
                <w:szCs w:val="21"/>
              </w:rPr>
              <w:t>m</w:t>
            </w:r>
            <w:r>
              <w:rPr>
                <w:color w:val="auto"/>
                <w:sz w:val="21"/>
                <w:szCs w:val="21"/>
                <w:vertAlign w:val="superscript"/>
              </w:rPr>
              <w:t>2</w:t>
            </w:r>
            <w:r>
              <w:rPr>
                <w:rFonts w:hint="eastAsia"/>
                <w:color w:val="auto"/>
                <w:sz w:val="21"/>
                <w:szCs w:val="21"/>
              </w:rPr>
              <w:t>，厂房密闭</w:t>
            </w:r>
            <w:r>
              <w:rPr>
                <w:rStyle w:val="31"/>
                <w:rFonts w:hint="eastAsia"/>
                <w:color w:val="auto"/>
              </w:rPr>
              <w:t>（其中车间是80m</w:t>
            </w:r>
            <w:r>
              <w:rPr>
                <w:rStyle w:val="31"/>
                <w:rFonts w:hint="eastAsia"/>
                <w:color w:val="auto"/>
                <w:vertAlign w:val="superscript"/>
              </w:rPr>
              <w:t>2</w:t>
            </w:r>
            <w:r>
              <w:rPr>
                <w:rStyle w:val="31"/>
                <w:rFonts w:hint="eastAsia"/>
                <w:color w:val="auto"/>
              </w:rPr>
              <w:t>，病死猪暂存间按15m</w:t>
            </w:r>
            <w:r>
              <w:rPr>
                <w:rStyle w:val="31"/>
                <w:rFonts w:hint="eastAsia"/>
                <w:color w:val="auto"/>
                <w:vertAlign w:val="superscript"/>
              </w:rPr>
              <w:t>2</w:t>
            </w:r>
            <w:r>
              <w:rPr>
                <w:rStyle w:val="31"/>
                <w:rFonts w:hint="eastAsia"/>
                <w:color w:val="auto"/>
              </w:rPr>
              <w:t>，危废暂存间按5m</w:t>
            </w:r>
            <w:r>
              <w:rPr>
                <w:rStyle w:val="31"/>
                <w:rFonts w:hint="eastAsia"/>
                <w:color w:val="auto"/>
                <w:vertAlign w:val="superscript"/>
              </w:rPr>
              <w:t>2</w:t>
            </w:r>
            <w:r>
              <w:rPr>
                <w:rStyle w:val="31"/>
                <w:rFonts w:hint="eastAsia"/>
                <w:color w:val="auto"/>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1" w:hRule="atLeast"/>
        </w:trPr>
        <w:tc>
          <w:tcPr>
            <w:tcW w:w="225" w:type="pct"/>
            <w:vMerge w:val="continue"/>
            <w:vAlign w:val="center"/>
          </w:tcPr>
          <w:p>
            <w:pPr>
              <w:spacing w:line="240" w:lineRule="auto"/>
              <w:ind w:firstLine="0" w:firstLineChars="0"/>
              <w:jc w:val="center"/>
              <w:rPr>
                <w:color w:val="auto"/>
                <w:sz w:val="21"/>
                <w:szCs w:val="21"/>
              </w:rPr>
            </w:pPr>
          </w:p>
        </w:tc>
        <w:tc>
          <w:tcPr>
            <w:tcW w:w="566" w:type="pct"/>
            <w:vMerge w:val="continue"/>
            <w:vAlign w:val="center"/>
          </w:tcPr>
          <w:p>
            <w:pPr>
              <w:spacing w:line="240" w:lineRule="auto"/>
              <w:ind w:firstLine="0" w:firstLineChars="0"/>
              <w:jc w:val="center"/>
              <w:rPr>
                <w:color w:val="auto"/>
                <w:sz w:val="21"/>
                <w:szCs w:val="21"/>
              </w:rPr>
            </w:pPr>
          </w:p>
        </w:tc>
        <w:tc>
          <w:tcPr>
            <w:tcW w:w="955" w:type="pct"/>
            <w:gridSpan w:val="2"/>
            <w:vAlign w:val="center"/>
          </w:tcPr>
          <w:p>
            <w:pPr>
              <w:spacing w:line="240" w:lineRule="auto"/>
              <w:ind w:firstLine="0" w:firstLineChars="0"/>
              <w:jc w:val="center"/>
              <w:rPr>
                <w:color w:val="auto"/>
                <w:sz w:val="21"/>
                <w:szCs w:val="21"/>
              </w:rPr>
            </w:pPr>
            <w:r>
              <w:rPr>
                <w:rFonts w:hint="eastAsia"/>
                <w:color w:val="auto"/>
                <w:sz w:val="21"/>
                <w:szCs w:val="21"/>
              </w:rPr>
              <w:t>销售站</w:t>
            </w:r>
          </w:p>
        </w:tc>
        <w:tc>
          <w:tcPr>
            <w:tcW w:w="3251" w:type="pct"/>
            <w:vAlign w:val="center"/>
          </w:tcPr>
          <w:p>
            <w:pPr>
              <w:spacing w:line="240" w:lineRule="auto"/>
              <w:ind w:firstLine="0" w:firstLineChars="0"/>
              <w:jc w:val="center"/>
              <w:rPr>
                <w:color w:val="auto"/>
                <w:sz w:val="21"/>
                <w:szCs w:val="21"/>
              </w:rPr>
            </w:pPr>
            <w:r>
              <w:rPr>
                <w:color w:val="auto"/>
                <w:sz w:val="21"/>
                <w:szCs w:val="21"/>
              </w:rPr>
              <w:t>新建：规格</w:t>
            </w:r>
            <w:r>
              <w:rPr>
                <w:rFonts w:hint="eastAsia"/>
                <w:color w:val="auto"/>
                <w:sz w:val="21"/>
                <w:szCs w:val="21"/>
              </w:rPr>
              <w:t>32.37</w:t>
            </w:r>
            <w:r>
              <w:rPr>
                <w:color w:val="auto"/>
                <w:sz w:val="21"/>
                <w:szCs w:val="21"/>
              </w:rPr>
              <w:t>m×</w:t>
            </w:r>
            <w:r>
              <w:rPr>
                <w:rFonts w:hint="eastAsia"/>
                <w:color w:val="auto"/>
                <w:sz w:val="21"/>
                <w:szCs w:val="21"/>
              </w:rPr>
              <w:t>7.68</w:t>
            </w:r>
            <w:r>
              <w:rPr>
                <w:color w:val="auto"/>
                <w:sz w:val="21"/>
                <w:szCs w:val="21"/>
              </w:rPr>
              <w:t>m，总建筑面积</w:t>
            </w:r>
            <w:r>
              <w:rPr>
                <w:rFonts w:hint="eastAsia"/>
                <w:color w:val="auto"/>
                <w:sz w:val="21"/>
                <w:szCs w:val="21"/>
              </w:rPr>
              <w:t>248.6</w:t>
            </w:r>
            <w:r>
              <w:rPr>
                <w:color w:val="auto"/>
                <w:sz w:val="21"/>
                <w:szCs w:val="21"/>
              </w:rPr>
              <w:t>m</w:t>
            </w:r>
            <w:r>
              <w:rPr>
                <w:color w:val="auto"/>
                <w:sz w:val="21"/>
                <w:szCs w:val="21"/>
                <w:vertAlign w:val="superscript"/>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2" w:hRule="atLeast"/>
        </w:trPr>
        <w:tc>
          <w:tcPr>
            <w:tcW w:w="225" w:type="pct"/>
            <w:vMerge w:val="continue"/>
            <w:vAlign w:val="center"/>
          </w:tcPr>
          <w:p>
            <w:pPr>
              <w:spacing w:line="240" w:lineRule="auto"/>
              <w:ind w:firstLine="0" w:firstLineChars="0"/>
              <w:jc w:val="center"/>
              <w:rPr>
                <w:color w:val="auto"/>
                <w:sz w:val="21"/>
                <w:szCs w:val="21"/>
              </w:rPr>
            </w:pPr>
          </w:p>
        </w:tc>
        <w:tc>
          <w:tcPr>
            <w:tcW w:w="566" w:type="pct"/>
            <w:vMerge w:val="continue"/>
            <w:vAlign w:val="center"/>
          </w:tcPr>
          <w:p>
            <w:pPr>
              <w:spacing w:line="240" w:lineRule="auto"/>
              <w:ind w:firstLine="0" w:firstLineChars="0"/>
              <w:jc w:val="center"/>
              <w:rPr>
                <w:color w:val="auto"/>
                <w:sz w:val="21"/>
                <w:szCs w:val="21"/>
              </w:rPr>
            </w:pPr>
          </w:p>
        </w:tc>
        <w:tc>
          <w:tcPr>
            <w:tcW w:w="955" w:type="pct"/>
            <w:gridSpan w:val="2"/>
            <w:vAlign w:val="center"/>
          </w:tcPr>
          <w:p>
            <w:pPr>
              <w:spacing w:line="240" w:lineRule="auto"/>
              <w:ind w:firstLine="0" w:firstLineChars="0"/>
              <w:jc w:val="center"/>
              <w:rPr>
                <w:color w:val="auto"/>
                <w:sz w:val="21"/>
                <w:szCs w:val="21"/>
              </w:rPr>
            </w:pPr>
            <w:r>
              <w:rPr>
                <w:rFonts w:hint="eastAsia"/>
                <w:color w:val="auto"/>
                <w:sz w:val="21"/>
                <w:szCs w:val="21"/>
              </w:rPr>
              <w:t>烘干房</w:t>
            </w:r>
          </w:p>
        </w:tc>
        <w:tc>
          <w:tcPr>
            <w:tcW w:w="3251" w:type="pct"/>
            <w:vAlign w:val="center"/>
          </w:tcPr>
          <w:p>
            <w:pPr>
              <w:spacing w:line="240" w:lineRule="auto"/>
              <w:ind w:firstLine="0" w:firstLineChars="0"/>
              <w:jc w:val="center"/>
              <w:rPr>
                <w:color w:val="auto"/>
                <w:sz w:val="21"/>
                <w:szCs w:val="21"/>
              </w:rPr>
            </w:pPr>
            <w:r>
              <w:rPr>
                <w:color w:val="auto"/>
                <w:sz w:val="21"/>
                <w:szCs w:val="21"/>
              </w:rPr>
              <w:t>新建：规格</w:t>
            </w:r>
            <w:r>
              <w:rPr>
                <w:rFonts w:hint="eastAsia"/>
                <w:color w:val="auto"/>
                <w:sz w:val="21"/>
                <w:szCs w:val="21"/>
              </w:rPr>
              <w:t>8.48</w:t>
            </w:r>
            <w:r>
              <w:rPr>
                <w:color w:val="auto"/>
                <w:sz w:val="21"/>
                <w:szCs w:val="21"/>
              </w:rPr>
              <w:t>m×</w:t>
            </w:r>
            <w:r>
              <w:rPr>
                <w:rFonts w:hint="eastAsia"/>
                <w:color w:val="auto"/>
                <w:sz w:val="21"/>
                <w:szCs w:val="21"/>
              </w:rPr>
              <w:t>10.38</w:t>
            </w:r>
            <w:r>
              <w:rPr>
                <w:color w:val="auto"/>
                <w:sz w:val="21"/>
                <w:szCs w:val="21"/>
              </w:rPr>
              <w:t>m，总建筑面积</w:t>
            </w:r>
            <w:r>
              <w:rPr>
                <w:rFonts w:hint="eastAsia"/>
                <w:color w:val="auto"/>
                <w:sz w:val="21"/>
                <w:szCs w:val="21"/>
              </w:rPr>
              <w:t>176.04</w:t>
            </w:r>
            <w:r>
              <w:rPr>
                <w:color w:val="auto"/>
                <w:sz w:val="21"/>
                <w:szCs w:val="21"/>
              </w:rPr>
              <w:t>m</w:t>
            </w:r>
            <w:r>
              <w:rPr>
                <w:color w:val="auto"/>
                <w:sz w:val="21"/>
                <w:szCs w:val="21"/>
                <w:vertAlign w:val="superscript"/>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25" w:type="pct"/>
            <w:vMerge w:val="continue"/>
            <w:vAlign w:val="center"/>
          </w:tcPr>
          <w:p>
            <w:pPr>
              <w:spacing w:line="240" w:lineRule="auto"/>
              <w:ind w:firstLine="0" w:firstLineChars="0"/>
              <w:jc w:val="center"/>
              <w:rPr>
                <w:color w:val="auto"/>
                <w:sz w:val="21"/>
                <w:szCs w:val="21"/>
              </w:rPr>
            </w:pPr>
          </w:p>
        </w:tc>
        <w:tc>
          <w:tcPr>
            <w:tcW w:w="566" w:type="pct"/>
            <w:vMerge w:val="continue"/>
            <w:vAlign w:val="center"/>
          </w:tcPr>
          <w:p>
            <w:pPr>
              <w:spacing w:line="240" w:lineRule="auto"/>
              <w:ind w:firstLine="0" w:firstLineChars="0"/>
              <w:jc w:val="center"/>
              <w:rPr>
                <w:color w:val="auto"/>
                <w:sz w:val="21"/>
                <w:szCs w:val="21"/>
              </w:rPr>
            </w:pPr>
          </w:p>
        </w:tc>
        <w:tc>
          <w:tcPr>
            <w:tcW w:w="955" w:type="pct"/>
            <w:gridSpan w:val="2"/>
            <w:vAlign w:val="center"/>
          </w:tcPr>
          <w:p>
            <w:pPr>
              <w:spacing w:line="240" w:lineRule="auto"/>
              <w:ind w:firstLine="0" w:firstLineChars="0"/>
              <w:jc w:val="center"/>
              <w:rPr>
                <w:color w:val="auto"/>
                <w:sz w:val="21"/>
                <w:szCs w:val="21"/>
              </w:rPr>
            </w:pPr>
            <w:r>
              <w:rPr>
                <w:rFonts w:hint="eastAsia"/>
                <w:color w:val="auto"/>
                <w:sz w:val="21"/>
                <w:szCs w:val="21"/>
              </w:rPr>
              <w:t>饲料总站</w:t>
            </w:r>
          </w:p>
        </w:tc>
        <w:tc>
          <w:tcPr>
            <w:tcW w:w="3251" w:type="pct"/>
            <w:vAlign w:val="center"/>
          </w:tcPr>
          <w:p>
            <w:pPr>
              <w:spacing w:line="240" w:lineRule="auto"/>
              <w:ind w:firstLine="0" w:firstLineChars="0"/>
              <w:jc w:val="center"/>
              <w:rPr>
                <w:color w:val="auto"/>
                <w:sz w:val="21"/>
                <w:szCs w:val="21"/>
              </w:rPr>
            </w:pPr>
            <w:r>
              <w:rPr>
                <w:color w:val="auto"/>
                <w:sz w:val="21"/>
                <w:szCs w:val="21"/>
              </w:rPr>
              <w:t>新建：规格</w:t>
            </w:r>
            <w:r>
              <w:rPr>
                <w:rFonts w:hint="eastAsia"/>
                <w:color w:val="auto"/>
                <w:sz w:val="21"/>
                <w:szCs w:val="21"/>
              </w:rPr>
              <w:t>33</w:t>
            </w:r>
            <w:r>
              <w:rPr>
                <w:color w:val="auto"/>
                <w:sz w:val="21"/>
                <w:szCs w:val="21"/>
              </w:rPr>
              <w:t>m×</w:t>
            </w:r>
            <w:r>
              <w:rPr>
                <w:rFonts w:hint="eastAsia"/>
                <w:color w:val="auto"/>
                <w:sz w:val="21"/>
                <w:szCs w:val="21"/>
              </w:rPr>
              <w:t>3</w:t>
            </w:r>
            <w:r>
              <w:rPr>
                <w:color w:val="auto"/>
                <w:sz w:val="21"/>
                <w:szCs w:val="21"/>
              </w:rPr>
              <w:t>m，总建筑面积</w:t>
            </w:r>
            <w:r>
              <w:rPr>
                <w:rFonts w:hint="eastAsia"/>
                <w:color w:val="auto"/>
                <w:sz w:val="21"/>
                <w:szCs w:val="21"/>
              </w:rPr>
              <w:t>99</w:t>
            </w:r>
            <w:r>
              <w:rPr>
                <w:color w:val="auto"/>
                <w:sz w:val="21"/>
                <w:szCs w:val="21"/>
              </w:rPr>
              <w:t>m</w:t>
            </w:r>
            <w:r>
              <w:rPr>
                <w:color w:val="auto"/>
                <w:sz w:val="21"/>
                <w:szCs w:val="21"/>
                <w:vertAlign w:val="superscript"/>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9" w:hRule="atLeast"/>
        </w:trPr>
        <w:tc>
          <w:tcPr>
            <w:tcW w:w="225" w:type="pct"/>
            <w:vMerge w:val="restart"/>
            <w:vAlign w:val="center"/>
          </w:tcPr>
          <w:p>
            <w:pPr>
              <w:spacing w:line="240" w:lineRule="auto"/>
              <w:ind w:firstLine="0" w:firstLineChars="0"/>
              <w:jc w:val="center"/>
              <w:rPr>
                <w:color w:val="auto"/>
                <w:sz w:val="21"/>
                <w:szCs w:val="21"/>
              </w:rPr>
            </w:pPr>
            <w:r>
              <w:rPr>
                <w:rFonts w:hint="eastAsia"/>
                <w:color w:val="auto"/>
                <w:sz w:val="21"/>
                <w:szCs w:val="21"/>
              </w:rPr>
              <w:t>4</w:t>
            </w:r>
          </w:p>
        </w:tc>
        <w:tc>
          <w:tcPr>
            <w:tcW w:w="566" w:type="pct"/>
            <w:vMerge w:val="restart"/>
            <w:vAlign w:val="center"/>
          </w:tcPr>
          <w:p>
            <w:pPr>
              <w:spacing w:line="240" w:lineRule="auto"/>
              <w:ind w:firstLine="0" w:firstLineChars="0"/>
              <w:jc w:val="center"/>
              <w:rPr>
                <w:color w:val="auto"/>
                <w:sz w:val="21"/>
                <w:szCs w:val="21"/>
              </w:rPr>
            </w:pPr>
            <w:r>
              <w:rPr>
                <w:rFonts w:hint="eastAsia"/>
                <w:color w:val="auto"/>
                <w:sz w:val="21"/>
                <w:szCs w:val="21"/>
              </w:rPr>
              <w:t>环保区</w:t>
            </w:r>
          </w:p>
        </w:tc>
        <w:tc>
          <w:tcPr>
            <w:tcW w:w="955" w:type="pct"/>
            <w:gridSpan w:val="2"/>
            <w:vAlign w:val="center"/>
          </w:tcPr>
          <w:p>
            <w:pPr>
              <w:spacing w:line="240" w:lineRule="auto"/>
              <w:ind w:firstLine="0" w:firstLineChars="0"/>
              <w:jc w:val="center"/>
              <w:rPr>
                <w:color w:val="auto"/>
                <w:sz w:val="21"/>
                <w:szCs w:val="21"/>
              </w:rPr>
            </w:pPr>
            <w:r>
              <w:rPr>
                <w:rFonts w:hint="eastAsia"/>
                <w:color w:val="auto"/>
                <w:sz w:val="21"/>
                <w:szCs w:val="21"/>
              </w:rPr>
              <w:t>病死猪暂存间</w:t>
            </w:r>
          </w:p>
        </w:tc>
        <w:tc>
          <w:tcPr>
            <w:tcW w:w="3251" w:type="pct"/>
            <w:vAlign w:val="center"/>
          </w:tcPr>
          <w:p>
            <w:pPr>
              <w:spacing w:line="240" w:lineRule="auto"/>
              <w:ind w:firstLine="0" w:firstLineChars="0"/>
              <w:jc w:val="center"/>
              <w:rPr>
                <w:color w:val="auto"/>
                <w:sz w:val="21"/>
                <w:szCs w:val="21"/>
              </w:rPr>
            </w:pPr>
            <w:r>
              <w:rPr>
                <w:color w:val="auto"/>
                <w:sz w:val="21"/>
                <w:szCs w:val="21"/>
              </w:rPr>
              <w:t>新建：1个，建筑面积</w:t>
            </w:r>
            <w:r>
              <w:rPr>
                <w:rFonts w:hint="eastAsia"/>
                <w:color w:val="auto"/>
                <w:sz w:val="21"/>
                <w:szCs w:val="21"/>
              </w:rPr>
              <w:t>15</w:t>
            </w:r>
            <w:r>
              <w:rPr>
                <w:color w:val="auto"/>
                <w:sz w:val="21"/>
                <w:szCs w:val="21"/>
              </w:rPr>
              <w:t>m</w:t>
            </w:r>
            <w:r>
              <w:rPr>
                <w:color w:val="auto"/>
                <w:sz w:val="21"/>
                <w:szCs w:val="21"/>
                <w:vertAlign w:val="superscript"/>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0" w:hRule="atLeast"/>
        </w:trPr>
        <w:tc>
          <w:tcPr>
            <w:tcW w:w="225" w:type="pct"/>
            <w:vMerge w:val="continue"/>
            <w:vAlign w:val="center"/>
          </w:tcPr>
          <w:p>
            <w:pPr>
              <w:spacing w:line="240" w:lineRule="auto"/>
              <w:ind w:firstLine="0" w:firstLineChars="0"/>
              <w:jc w:val="center"/>
              <w:rPr>
                <w:color w:val="auto"/>
                <w:sz w:val="21"/>
                <w:szCs w:val="21"/>
              </w:rPr>
            </w:pPr>
          </w:p>
        </w:tc>
        <w:tc>
          <w:tcPr>
            <w:tcW w:w="566" w:type="pct"/>
            <w:vMerge w:val="continue"/>
            <w:vAlign w:val="center"/>
          </w:tcPr>
          <w:p>
            <w:pPr>
              <w:spacing w:line="240" w:lineRule="auto"/>
              <w:ind w:firstLine="0" w:firstLineChars="0"/>
              <w:jc w:val="center"/>
              <w:rPr>
                <w:color w:val="auto"/>
                <w:sz w:val="21"/>
                <w:szCs w:val="21"/>
              </w:rPr>
            </w:pPr>
          </w:p>
        </w:tc>
        <w:tc>
          <w:tcPr>
            <w:tcW w:w="955" w:type="pct"/>
            <w:gridSpan w:val="2"/>
            <w:vAlign w:val="center"/>
          </w:tcPr>
          <w:p>
            <w:pPr>
              <w:spacing w:line="240" w:lineRule="auto"/>
              <w:ind w:firstLine="0" w:firstLineChars="0"/>
              <w:jc w:val="center"/>
              <w:rPr>
                <w:color w:val="auto"/>
                <w:sz w:val="21"/>
                <w:szCs w:val="21"/>
              </w:rPr>
            </w:pPr>
            <w:r>
              <w:rPr>
                <w:rFonts w:hint="eastAsia"/>
                <w:color w:val="auto"/>
                <w:sz w:val="21"/>
                <w:szCs w:val="21"/>
              </w:rPr>
              <w:t>环保值班室</w:t>
            </w:r>
          </w:p>
        </w:tc>
        <w:tc>
          <w:tcPr>
            <w:tcW w:w="3251" w:type="pct"/>
            <w:vAlign w:val="center"/>
          </w:tcPr>
          <w:p>
            <w:pPr>
              <w:spacing w:line="240" w:lineRule="auto"/>
              <w:ind w:firstLine="0" w:firstLineChars="0"/>
              <w:jc w:val="center"/>
              <w:rPr>
                <w:color w:val="auto"/>
                <w:sz w:val="21"/>
                <w:szCs w:val="21"/>
              </w:rPr>
            </w:pPr>
            <w:r>
              <w:rPr>
                <w:color w:val="auto"/>
                <w:sz w:val="21"/>
                <w:szCs w:val="21"/>
              </w:rPr>
              <w:t>新建：1栋1层，规格</w:t>
            </w:r>
            <w:r>
              <w:rPr>
                <w:rFonts w:hint="eastAsia"/>
                <w:color w:val="auto"/>
                <w:sz w:val="21"/>
                <w:szCs w:val="21"/>
              </w:rPr>
              <w:t>21.8</w:t>
            </w:r>
            <w:r>
              <w:rPr>
                <w:color w:val="auto"/>
                <w:sz w:val="21"/>
                <w:szCs w:val="21"/>
              </w:rPr>
              <w:t>m×</w:t>
            </w:r>
            <w:r>
              <w:rPr>
                <w:rFonts w:hint="eastAsia"/>
                <w:color w:val="auto"/>
                <w:sz w:val="21"/>
                <w:szCs w:val="21"/>
              </w:rPr>
              <w:t>8.9</w:t>
            </w:r>
            <w:r>
              <w:rPr>
                <w:color w:val="auto"/>
                <w:sz w:val="21"/>
                <w:szCs w:val="21"/>
              </w:rPr>
              <w:t>m，总建筑面积</w:t>
            </w:r>
            <w:r>
              <w:rPr>
                <w:rFonts w:hint="eastAsia"/>
                <w:color w:val="auto"/>
                <w:sz w:val="21"/>
                <w:szCs w:val="21"/>
              </w:rPr>
              <w:t>194.02</w:t>
            </w:r>
            <w:r>
              <w:rPr>
                <w:color w:val="auto"/>
                <w:sz w:val="21"/>
                <w:szCs w:val="21"/>
              </w:rPr>
              <w:t>m</w:t>
            </w:r>
            <w:r>
              <w:rPr>
                <w:color w:val="auto"/>
                <w:sz w:val="21"/>
                <w:szCs w:val="21"/>
                <w:vertAlign w:val="superscript"/>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6" w:hRule="atLeast"/>
        </w:trPr>
        <w:tc>
          <w:tcPr>
            <w:tcW w:w="225" w:type="pct"/>
            <w:vMerge w:val="continue"/>
            <w:vAlign w:val="center"/>
          </w:tcPr>
          <w:p>
            <w:pPr>
              <w:spacing w:line="240" w:lineRule="auto"/>
              <w:ind w:firstLine="0" w:firstLineChars="0"/>
              <w:jc w:val="center"/>
              <w:rPr>
                <w:color w:val="auto"/>
                <w:sz w:val="21"/>
                <w:szCs w:val="21"/>
              </w:rPr>
            </w:pPr>
          </w:p>
        </w:tc>
        <w:tc>
          <w:tcPr>
            <w:tcW w:w="566" w:type="pct"/>
            <w:vMerge w:val="continue"/>
            <w:vAlign w:val="center"/>
          </w:tcPr>
          <w:p>
            <w:pPr>
              <w:spacing w:line="240" w:lineRule="auto"/>
              <w:ind w:firstLine="0" w:firstLineChars="0"/>
              <w:jc w:val="center"/>
              <w:rPr>
                <w:color w:val="auto"/>
                <w:sz w:val="21"/>
                <w:szCs w:val="21"/>
              </w:rPr>
            </w:pPr>
          </w:p>
        </w:tc>
        <w:tc>
          <w:tcPr>
            <w:tcW w:w="955" w:type="pct"/>
            <w:gridSpan w:val="2"/>
            <w:vAlign w:val="center"/>
          </w:tcPr>
          <w:p>
            <w:pPr>
              <w:spacing w:line="240" w:lineRule="auto"/>
              <w:ind w:firstLine="0" w:firstLineChars="0"/>
              <w:jc w:val="center"/>
              <w:rPr>
                <w:color w:val="auto"/>
                <w:sz w:val="21"/>
                <w:szCs w:val="21"/>
              </w:rPr>
            </w:pPr>
            <w:r>
              <w:rPr>
                <w:rFonts w:hint="eastAsia"/>
                <w:color w:val="auto"/>
                <w:sz w:val="21"/>
                <w:szCs w:val="21"/>
              </w:rPr>
              <w:t>固粪处理区</w:t>
            </w:r>
          </w:p>
        </w:tc>
        <w:tc>
          <w:tcPr>
            <w:tcW w:w="3251" w:type="pct"/>
            <w:vAlign w:val="center"/>
          </w:tcPr>
          <w:p>
            <w:pPr>
              <w:spacing w:line="240" w:lineRule="auto"/>
              <w:ind w:firstLine="0" w:firstLineChars="0"/>
              <w:jc w:val="center"/>
              <w:rPr>
                <w:color w:val="auto"/>
                <w:sz w:val="21"/>
                <w:szCs w:val="21"/>
              </w:rPr>
            </w:pPr>
            <w:r>
              <w:rPr>
                <w:color w:val="auto"/>
                <w:sz w:val="21"/>
                <w:szCs w:val="21"/>
              </w:rPr>
              <w:t>新建，1个；规格：14m×</w:t>
            </w:r>
            <w:r>
              <w:rPr>
                <w:rFonts w:hint="eastAsia"/>
                <w:color w:val="auto"/>
                <w:sz w:val="21"/>
                <w:szCs w:val="21"/>
              </w:rPr>
              <w:t>28</w:t>
            </w:r>
            <w:r>
              <w:rPr>
                <w:color w:val="auto"/>
                <w:sz w:val="21"/>
                <w:szCs w:val="21"/>
              </w:rPr>
              <w:t>m，建筑面积</w:t>
            </w:r>
            <w:r>
              <w:rPr>
                <w:rFonts w:hint="eastAsia"/>
                <w:color w:val="auto"/>
                <w:sz w:val="21"/>
                <w:szCs w:val="21"/>
              </w:rPr>
              <w:t>392</w:t>
            </w:r>
            <w:r>
              <w:rPr>
                <w:color w:val="auto"/>
                <w:sz w:val="21"/>
                <w:szCs w:val="21"/>
              </w:rPr>
              <w:t>m</w:t>
            </w:r>
            <w:r>
              <w:rPr>
                <w:color w:val="auto"/>
                <w:sz w:val="21"/>
                <w:szCs w:val="21"/>
                <w:vertAlign w:val="superscript"/>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6" w:hRule="atLeast"/>
        </w:trPr>
        <w:tc>
          <w:tcPr>
            <w:tcW w:w="225" w:type="pct"/>
            <w:vMerge w:val="continue"/>
            <w:vAlign w:val="center"/>
          </w:tcPr>
          <w:p>
            <w:pPr>
              <w:spacing w:line="240" w:lineRule="auto"/>
              <w:ind w:firstLine="0" w:firstLineChars="0"/>
              <w:jc w:val="center"/>
              <w:rPr>
                <w:color w:val="auto"/>
                <w:sz w:val="21"/>
                <w:szCs w:val="21"/>
              </w:rPr>
            </w:pPr>
          </w:p>
        </w:tc>
        <w:tc>
          <w:tcPr>
            <w:tcW w:w="566" w:type="pct"/>
            <w:vMerge w:val="continue"/>
            <w:vAlign w:val="center"/>
          </w:tcPr>
          <w:p>
            <w:pPr>
              <w:spacing w:line="240" w:lineRule="auto"/>
              <w:ind w:firstLine="0" w:firstLineChars="0"/>
              <w:jc w:val="center"/>
              <w:rPr>
                <w:color w:val="auto"/>
                <w:sz w:val="21"/>
                <w:szCs w:val="21"/>
              </w:rPr>
            </w:pPr>
          </w:p>
        </w:tc>
        <w:tc>
          <w:tcPr>
            <w:tcW w:w="955" w:type="pct"/>
            <w:gridSpan w:val="2"/>
            <w:vAlign w:val="center"/>
          </w:tcPr>
          <w:p>
            <w:pPr>
              <w:spacing w:line="240" w:lineRule="auto"/>
              <w:ind w:firstLine="0" w:firstLineChars="0"/>
              <w:jc w:val="center"/>
              <w:rPr>
                <w:color w:val="auto"/>
                <w:sz w:val="21"/>
                <w:szCs w:val="21"/>
              </w:rPr>
            </w:pPr>
            <w:r>
              <w:rPr>
                <w:rFonts w:hint="eastAsia"/>
                <w:color w:val="auto"/>
                <w:sz w:val="21"/>
                <w:szCs w:val="21"/>
              </w:rPr>
              <w:t>黑膜沼气-沼液池</w:t>
            </w:r>
          </w:p>
        </w:tc>
        <w:tc>
          <w:tcPr>
            <w:tcW w:w="3251" w:type="pct"/>
            <w:vAlign w:val="center"/>
          </w:tcPr>
          <w:p>
            <w:pPr>
              <w:spacing w:line="240" w:lineRule="auto"/>
              <w:ind w:firstLine="0" w:firstLineChars="0"/>
              <w:jc w:val="center"/>
              <w:rPr>
                <w:color w:val="auto"/>
                <w:sz w:val="21"/>
                <w:szCs w:val="21"/>
              </w:rPr>
            </w:pPr>
            <w:r>
              <w:rPr>
                <w:color w:val="auto"/>
                <w:sz w:val="21"/>
                <w:szCs w:val="21"/>
              </w:rPr>
              <w:t>新建：1个，</w:t>
            </w:r>
            <w:r>
              <w:rPr>
                <w:rFonts w:hint="eastAsia"/>
                <w:color w:val="auto"/>
                <w:sz w:val="21"/>
                <w:szCs w:val="21"/>
              </w:rPr>
              <w:t>占地面积17633</w:t>
            </w:r>
            <w:r>
              <w:rPr>
                <w:color w:val="auto"/>
                <w:sz w:val="21"/>
                <w:szCs w:val="21"/>
              </w:rPr>
              <w:t>m</w:t>
            </w:r>
            <w:r>
              <w:rPr>
                <w:rFonts w:hint="eastAsia"/>
                <w:color w:val="auto"/>
                <w:sz w:val="21"/>
                <w:szCs w:val="21"/>
                <w:vertAlign w:val="superscript"/>
              </w:rPr>
              <w:t>3</w:t>
            </w:r>
            <w:r>
              <w:rPr>
                <w:rFonts w:hint="eastAsia"/>
                <w:color w:val="auto"/>
                <w:sz w:val="21"/>
                <w:szCs w:val="21"/>
              </w:rPr>
              <w:t>，深6m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5" w:type="pct"/>
            <w:vMerge w:val="restart"/>
            <w:vAlign w:val="center"/>
          </w:tcPr>
          <w:p>
            <w:pPr>
              <w:spacing w:line="240" w:lineRule="auto"/>
              <w:ind w:firstLine="0" w:firstLineChars="0"/>
              <w:jc w:val="center"/>
              <w:rPr>
                <w:color w:val="auto"/>
                <w:sz w:val="21"/>
                <w:szCs w:val="21"/>
              </w:rPr>
            </w:pPr>
            <w:r>
              <w:rPr>
                <w:rFonts w:hint="eastAsia"/>
                <w:color w:val="auto"/>
                <w:sz w:val="21"/>
                <w:szCs w:val="21"/>
              </w:rPr>
              <w:t>5</w:t>
            </w:r>
          </w:p>
        </w:tc>
        <w:tc>
          <w:tcPr>
            <w:tcW w:w="566" w:type="pct"/>
            <w:vMerge w:val="restart"/>
            <w:vAlign w:val="center"/>
          </w:tcPr>
          <w:p>
            <w:pPr>
              <w:spacing w:line="240" w:lineRule="auto"/>
              <w:ind w:firstLine="0" w:firstLineChars="0"/>
              <w:jc w:val="center"/>
              <w:rPr>
                <w:color w:val="auto"/>
                <w:sz w:val="21"/>
                <w:szCs w:val="21"/>
              </w:rPr>
            </w:pPr>
            <w:r>
              <w:rPr>
                <w:color w:val="auto"/>
                <w:sz w:val="21"/>
                <w:szCs w:val="21"/>
              </w:rPr>
              <w:t>公用工程</w:t>
            </w:r>
          </w:p>
        </w:tc>
        <w:tc>
          <w:tcPr>
            <w:tcW w:w="955" w:type="pct"/>
            <w:gridSpan w:val="2"/>
            <w:vAlign w:val="center"/>
          </w:tcPr>
          <w:p>
            <w:pPr>
              <w:spacing w:line="240" w:lineRule="auto"/>
              <w:ind w:firstLine="0" w:firstLineChars="0"/>
              <w:jc w:val="center"/>
              <w:rPr>
                <w:color w:val="auto"/>
                <w:sz w:val="21"/>
                <w:szCs w:val="21"/>
              </w:rPr>
            </w:pPr>
            <w:r>
              <w:rPr>
                <w:color w:val="auto"/>
                <w:sz w:val="21"/>
                <w:szCs w:val="21"/>
              </w:rPr>
              <w:t>给水工程</w:t>
            </w:r>
          </w:p>
        </w:tc>
        <w:tc>
          <w:tcPr>
            <w:tcW w:w="3251" w:type="pct"/>
            <w:vAlign w:val="center"/>
          </w:tcPr>
          <w:p>
            <w:pPr>
              <w:spacing w:line="240" w:lineRule="auto"/>
              <w:ind w:firstLine="0" w:firstLineChars="0"/>
              <w:jc w:val="center"/>
              <w:rPr>
                <w:color w:val="auto"/>
                <w:sz w:val="21"/>
                <w:szCs w:val="21"/>
              </w:rPr>
            </w:pPr>
            <w:r>
              <w:rPr>
                <w:color w:val="auto"/>
                <w:sz w:val="21"/>
                <w:szCs w:val="21"/>
              </w:rPr>
              <w:t>本项目用水由自备井供给，出水约为40m</w:t>
            </w:r>
            <w:r>
              <w:rPr>
                <w:color w:val="auto"/>
                <w:sz w:val="21"/>
                <w:szCs w:val="21"/>
                <w:vertAlign w:val="superscript"/>
              </w:rPr>
              <w:t>3</w:t>
            </w:r>
            <w:r>
              <w:rPr>
                <w:color w:val="auto"/>
                <w:sz w:val="21"/>
                <w:szCs w:val="21"/>
              </w:rPr>
              <w:t>/h，单个水井配置1个蓄水池</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5" w:type="pct"/>
            <w:vMerge w:val="continue"/>
            <w:vAlign w:val="center"/>
          </w:tcPr>
          <w:p>
            <w:pPr>
              <w:spacing w:line="240" w:lineRule="auto"/>
              <w:ind w:firstLine="0" w:firstLineChars="0"/>
              <w:jc w:val="center"/>
              <w:rPr>
                <w:color w:val="auto"/>
                <w:sz w:val="21"/>
                <w:szCs w:val="21"/>
              </w:rPr>
            </w:pPr>
          </w:p>
        </w:tc>
        <w:tc>
          <w:tcPr>
            <w:tcW w:w="566" w:type="pct"/>
            <w:vMerge w:val="continue"/>
            <w:vAlign w:val="center"/>
          </w:tcPr>
          <w:p>
            <w:pPr>
              <w:spacing w:line="240" w:lineRule="auto"/>
              <w:ind w:firstLine="0" w:firstLineChars="0"/>
              <w:jc w:val="center"/>
              <w:rPr>
                <w:color w:val="auto"/>
                <w:sz w:val="21"/>
                <w:szCs w:val="21"/>
              </w:rPr>
            </w:pPr>
          </w:p>
        </w:tc>
        <w:tc>
          <w:tcPr>
            <w:tcW w:w="955" w:type="pct"/>
            <w:gridSpan w:val="2"/>
            <w:vAlign w:val="center"/>
          </w:tcPr>
          <w:p>
            <w:pPr>
              <w:spacing w:line="240" w:lineRule="auto"/>
              <w:ind w:firstLine="0" w:firstLineChars="0"/>
              <w:jc w:val="center"/>
              <w:rPr>
                <w:color w:val="auto"/>
                <w:sz w:val="21"/>
                <w:szCs w:val="21"/>
              </w:rPr>
            </w:pPr>
            <w:r>
              <w:rPr>
                <w:color w:val="auto"/>
                <w:sz w:val="21"/>
                <w:szCs w:val="21"/>
              </w:rPr>
              <w:t>排水工程</w:t>
            </w:r>
          </w:p>
        </w:tc>
        <w:tc>
          <w:tcPr>
            <w:tcW w:w="3251" w:type="pct"/>
            <w:vAlign w:val="center"/>
          </w:tcPr>
          <w:p>
            <w:pPr>
              <w:spacing w:line="240" w:lineRule="auto"/>
              <w:ind w:firstLine="0" w:firstLineChars="0"/>
              <w:jc w:val="center"/>
              <w:rPr>
                <w:color w:val="auto"/>
                <w:sz w:val="21"/>
                <w:szCs w:val="21"/>
              </w:rPr>
            </w:pPr>
            <w:r>
              <w:rPr>
                <w:color w:val="auto"/>
                <w:sz w:val="21"/>
                <w:szCs w:val="21"/>
              </w:rPr>
              <w:t>本项目排水采用雨污分流，雨水经雨水管道排到厂区外部，养殖废水和生活污水经</w:t>
            </w:r>
            <w:r>
              <w:rPr>
                <w:rFonts w:hint="eastAsia"/>
                <w:color w:val="auto"/>
                <w:sz w:val="21"/>
                <w:szCs w:val="21"/>
              </w:rPr>
              <w:t>厂</w:t>
            </w:r>
            <w:r>
              <w:rPr>
                <w:color w:val="auto"/>
                <w:sz w:val="21"/>
                <w:szCs w:val="21"/>
              </w:rPr>
              <w:t>区内黑膜沼气池处理后，沼液作为农肥综合利用，不外排。</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5" w:type="pct"/>
            <w:vMerge w:val="continue"/>
            <w:vAlign w:val="center"/>
          </w:tcPr>
          <w:p>
            <w:pPr>
              <w:spacing w:line="240" w:lineRule="auto"/>
              <w:ind w:firstLine="0" w:firstLineChars="0"/>
              <w:jc w:val="center"/>
              <w:rPr>
                <w:color w:val="auto"/>
                <w:sz w:val="21"/>
                <w:szCs w:val="21"/>
              </w:rPr>
            </w:pPr>
          </w:p>
        </w:tc>
        <w:tc>
          <w:tcPr>
            <w:tcW w:w="566" w:type="pct"/>
            <w:vMerge w:val="continue"/>
            <w:vAlign w:val="center"/>
          </w:tcPr>
          <w:p>
            <w:pPr>
              <w:spacing w:line="240" w:lineRule="auto"/>
              <w:ind w:firstLine="0" w:firstLineChars="0"/>
              <w:jc w:val="center"/>
              <w:rPr>
                <w:color w:val="auto"/>
                <w:sz w:val="21"/>
                <w:szCs w:val="21"/>
              </w:rPr>
            </w:pPr>
          </w:p>
        </w:tc>
        <w:tc>
          <w:tcPr>
            <w:tcW w:w="955" w:type="pct"/>
            <w:gridSpan w:val="2"/>
            <w:vAlign w:val="center"/>
          </w:tcPr>
          <w:p>
            <w:pPr>
              <w:spacing w:line="240" w:lineRule="auto"/>
              <w:ind w:firstLine="0" w:firstLineChars="0"/>
              <w:jc w:val="center"/>
              <w:rPr>
                <w:color w:val="auto"/>
                <w:sz w:val="21"/>
                <w:szCs w:val="21"/>
              </w:rPr>
            </w:pPr>
            <w:r>
              <w:rPr>
                <w:color w:val="auto"/>
                <w:sz w:val="21"/>
                <w:szCs w:val="21"/>
              </w:rPr>
              <w:t>供电系统</w:t>
            </w:r>
          </w:p>
        </w:tc>
        <w:tc>
          <w:tcPr>
            <w:tcW w:w="3251" w:type="pct"/>
            <w:vAlign w:val="center"/>
          </w:tcPr>
          <w:p>
            <w:pPr>
              <w:spacing w:line="240" w:lineRule="auto"/>
              <w:ind w:firstLine="0" w:firstLineChars="0"/>
              <w:jc w:val="center"/>
              <w:rPr>
                <w:color w:val="auto"/>
                <w:sz w:val="21"/>
                <w:szCs w:val="21"/>
              </w:rPr>
            </w:pPr>
            <w:r>
              <w:rPr>
                <w:color w:val="auto"/>
                <w:sz w:val="21"/>
                <w:szCs w:val="21"/>
              </w:rPr>
              <w:t>本项目电源由</w:t>
            </w:r>
            <w:r>
              <w:rPr>
                <w:rFonts w:hint="eastAsia"/>
                <w:color w:val="auto"/>
                <w:sz w:val="21"/>
                <w:szCs w:val="21"/>
              </w:rPr>
              <w:t>濮阳县五星乡</w:t>
            </w:r>
            <w:r>
              <w:rPr>
                <w:color w:val="auto"/>
                <w:sz w:val="21"/>
                <w:szCs w:val="21"/>
              </w:rPr>
              <w:t>供电所接入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5" w:type="pct"/>
            <w:vMerge w:val="continue"/>
            <w:vAlign w:val="center"/>
          </w:tcPr>
          <w:p>
            <w:pPr>
              <w:spacing w:line="240" w:lineRule="auto"/>
              <w:ind w:firstLine="0" w:firstLineChars="0"/>
              <w:jc w:val="center"/>
              <w:rPr>
                <w:b/>
                <w:color w:val="auto"/>
                <w:sz w:val="21"/>
                <w:szCs w:val="21"/>
              </w:rPr>
            </w:pPr>
          </w:p>
        </w:tc>
        <w:tc>
          <w:tcPr>
            <w:tcW w:w="566" w:type="pct"/>
            <w:vMerge w:val="continue"/>
            <w:vAlign w:val="center"/>
          </w:tcPr>
          <w:p>
            <w:pPr>
              <w:spacing w:line="240" w:lineRule="auto"/>
              <w:ind w:firstLine="0" w:firstLineChars="0"/>
              <w:jc w:val="center"/>
              <w:rPr>
                <w:b/>
                <w:color w:val="auto"/>
                <w:sz w:val="21"/>
                <w:szCs w:val="21"/>
              </w:rPr>
            </w:pPr>
          </w:p>
        </w:tc>
        <w:tc>
          <w:tcPr>
            <w:tcW w:w="955" w:type="pct"/>
            <w:gridSpan w:val="2"/>
            <w:vAlign w:val="center"/>
          </w:tcPr>
          <w:p>
            <w:pPr>
              <w:spacing w:line="240" w:lineRule="auto"/>
              <w:ind w:firstLine="0" w:firstLineChars="0"/>
              <w:jc w:val="center"/>
              <w:rPr>
                <w:color w:val="auto"/>
                <w:sz w:val="21"/>
                <w:szCs w:val="21"/>
              </w:rPr>
            </w:pPr>
            <w:r>
              <w:rPr>
                <w:color w:val="auto"/>
                <w:sz w:val="21"/>
                <w:szCs w:val="21"/>
              </w:rPr>
              <w:t>供热工程</w:t>
            </w:r>
          </w:p>
        </w:tc>
        <w:tc>
          <w:tcPr>
            <w:tcW w:w="3251" w:type="pct"/>
            <w:vAlign w:val="center"/>
          </w:tcPr>
          <w:p>
            <w:pPr>
              <w:spacing w:line="240" w:lineRule="auto"/>
              <w:ind w:firstLine="0" w:firstLineChars="0"/>
              <w:jc w:val="center"/>
              <w:rPr>
                <w:color w:val="auto"/>
                <w:sz w:val="21"/>
                <w:szCs w:val="21"/>
              </w:rPr>
            </w:pPr>
            <w:r>
              <w:rPr>
                <w:color w:val="auto"/>
                <w:sz w:val="21"/>
                <w:szCs w:val="21"/>
              </w:rPr>
              <w:t>项目猪舍冬季取暖</w:t>
            </w:r>
            <w:r>
              <w:rPr>
                <w:rFonts w:hint="eastAsia"/>
                <w:color w:val="auto"/>
                <w:sz w:val="21"/>
                <w:szCs w:val="21"/>
              </w:rPr>
              <w:t>主要是通过猪舍墙体保温材料与外部断绝热交换，猪舍内部通风通过全热交换器进行；人员冬季取暖采用空调制暖；</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5" w:type="pct"/>
            <w:vMerge w:val="continue"/>
            <w:vAlign w:val="center"/>
          </w:tcPr>
          <w:p>
            <w:pPr>
              <w:spacing w:line="240" w:lineRule="auto"/>
              <w:ind w:firstLine="0" w:firstLineChars="0"/>
              <w:jc w:val="center"/>
              <w:rPr>
                <w:b/>
                <w:color w:val="auto"/>
                <w:sz w:val="21"/>
                <w:szCs w:val="21"/>
              </w:rPr>
            </w:pPr>
          </w:p>
        </w:tc>
        <w:tc>
          <w:tcPr>
            <w:tcW w:w="566" w:type="pct"/>
            <w:vMerge w:val="continue"/>
            <w:vAlign w:val="center"/>
          </w:tcPr>
          <w:p>
            <w:pPr>
              <w:spacing w:line="240" w:lineRule="auto"/>
              <w:ind w:firstLine="0" w:firstLineChars="0"/>
              <w:jc w:val="center"/>
              <w:rPr>
                <w:b/>
                <w:color w:val="auto"/>
                <w:sz w:val="21"/>
                <w:szCs w:val="21"/>
              </w:rPr>
            </w:pPr>
          </w:p>
        </w:tc>
        <w:tc>
          <w:tcPr>
            <w:tcW w:w="955" w:type="pct"/>
            <w:gridSpan w:val="2"/>
            <w:vAlign w:val="center"/>
          </w:tcPr>
          <w:p>
            <w:pPr>
              <w:spacing w:line="240" w:lineRule="auto"/>
              <w:ind w:firstLine="0" w:firstLineChars="0"/>
              <w:jc w:val="center"/>
              <w:rPr>
                <w:color w:val="auto"/>
                <w:sz w:val="21"/>
                <w:szCs w:val="21"/>
              </w:rPr>
            </w:pPr>
            <w:r>
              <w:rPr>
                <w:color w:val="auto"/>
                <w:sz w:val="21"/>
                <w:szCs w:val="21"/>
              </w:rPr>
              <w:t>沼气综合利用系统</w:t>
            </w:r>
          </w:p>
        </w:tc>
        <w:tc>
          <w:tcPr>
            <w:tcW w:w="3251" w:type="pct"/>
            <w:vAlign w:val="center"/>
          </w:tcPr>
          <w:p>
            <w:pPr>
              <w:spacing w:line="240" w:lineRule="auto"/>
              <w:ind w:firstLine="0" w:firstLineChars="0"/>
              <w:jc w:val="center"/>
              <w:rPr>
                <w:color w:val="auto"/>
                <w:sz w:val="21"/>
                <w:szCs w:val="21"/>
              </w:rPr>
            </w:pPr>
            <w:r>
              <w:rPr>
                <w:color w:val="auto"/>
                <w:sz w:val="21"/>
                <w:szCs w:val="21"/>
              </w:rPr>
              <w:t>新建：本项目沼气产生的沼气经配套的沼气净化装置净化后用于食堂</w:t>
            </w:r>
            <w:r>
              <w:rPr>
                <w:rFonts w:hint="eastAsia"/>
                <w:color w:val="auto"/>
                <w:sz w:val="21"/>
                <w:szCs w:val="21"/>
              </w:rPr>
              <w:t>、</w:t>
            </w:r>
            <w:r>
              <w:rPr>
                <w:color w:val="auto"/>
                <w:sz w:val="21"/>
                <w:szCs w:val="21"/>
              </w:rPr>
              <w:t>多余部分</w:t>
            </w:r>
            <w:r>
              <w:rPr>
                <w:rFonts w:hint="eastAsia"/>
                <w:color w:val="auto"/>
                <w:sz w:val="21"/>
                <w:szCs w:val="21"/>
              </w:rPr>
              <w:t>火炬</w:t>
            </w:r>
            <w:r>
              <w:rPr>
                <w:color w:val="auto"/>
                <w:sz w:val="21"/>
                <w:szCs w:val="21"/>
              </w:rPr>
              <w:t>燃烧</w:t>
            </w:r>
            <w:r>
              <w:rPr>
                <w:rFonts w:hint="eastAsia"/>
                <w:color w:val="auto"/>
                <w:sz w:val="21"/>
                <w:szCs w:val="21"/>
              </w:rPr>
              <w:t>放空</w:t>
            </w:r>
            <w:r>
              <w:rPr>
                <w:color w:val="auto"/>
                <w:sz w:val="21"/>
                <w:szCs w:val="21"/>
              </w:rPr>
              <w:t>。</w:t>
            </w:r>
            <w:r>
              <w:rPr>
                <w:bCs/>
                <w:color w:val="auto"/>
                <w:sz w:val="21"/>
                <w:szCs w:val="21"/>
              </w:rPr>
              <w:t>配套沼气净化装置包括：1套脱硫装置、1套脱水装置、1套阻火装置。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5" w:type="pct"/>
            <w:vMerge w:val="continue"/>
            <w:vAlign w:val="center"/>
          </w:tcPr>
          <w:p>
            <w:pPr>
              <w:spacing w:line="240" w:lineRule="auto"/>
              <w:ind w:firstLine="0" w:firstLineChars="0"/>
              <w:jc w:val="center"/>
              <w:rPr>
                <w:b/>
                <w:color w:val="auto"/>
                <w:sz w:val="21"/>
                <w:szCs w:val="21"/>
              </w:rPr>
            </w:pPr>
          </w:p>
        </w:tc>
        <w:tc>
          <w:tcPr>
            <w:tcW w:w="566" w:type="pct"/>
            <w:vMerge w:val="continue"/>
            <w:vAlign w:val="center"/>
          </w:tcPr>
          <w:p>
            <w:pPr>
              <w:spacing w:line="240" w:lineRule="auto"/>
              <w:ind w:firstLine="0" w:firstLineChars="0"/>
              <w:jc w:val="center"/>
              <w:rPr>
                <w:b/>
                <w:color w:val="auto"/>
                <w:sz w:val="21"/>
                <w:szCs w:val="21"/>
              </w:rPr>
            </w:pPr>
          </w:p>
        </w:tc>
        <w:tc>
          <w:tcPr>
            <w:tcW w:w="955" w:type="pct"/>
            <w:gridSpan w:val="2"/>
            <w:vAlign w:val="center"/>
          </w:tcPr>
          <w:p>
            <w:pPr>
              <w:spacing w:line="240" w:lineRule="auto"/>
              <w:ind w:firstLine="0" w:firstLineChars="0"/>
              <w:jc w:val="center"/>
              <w:rPr>
                <w:color w:val="auto"/>
                <w:sz w:val="21"/>
                <w:szCs w:val="21"/>
              </w:rPr>
            </w:pPr>
            <w:r>
              <w:rPr>
                <w:color w:val="auto"/>
                <w:sz w:val="21"/>
                <w:szCs w:val="21"/>
              </w:rPr>
              <w:t>沼液利用管网系统</w:t>
            </w:r>
          </w:p>
        </w:tc>
        <w:tc>
          <w:tcPr>
            <w:tcW w:w="3251" w:type="pct"/>
            <w:vAlign w:val="center"/>
          </w:tcPr>
          <w:p>
            <w:pPr>
              <w:spacing w:line="240" w:lineRule="auto"/>
              <w:ind w:firstLine="0" w:firstLineChars="0"/>
              <w:jc w:val="center"/>
              <w:rPr>
                <w:color w:val="auto"/>
                <w:sz w:val="21"/>
                <w:szCs w:val="21"/>
                <w:vertAlign w:val="superscript"/>
              </w:rPr>
            </w:pPr>
            <w:r>
              <w:rPr>
                <w:rFonts w:hint="eastAsia"/>
                <w:color w:val="auto"/>
                <w:sz w:val="21"/>
                <w:szCs w:val="21"/>
              </w:rPr>
              <w:t>黑膜沼气池兼做沼液储存池</w:t>
            </w:r>
            <w:r>
              <w:rPr>
                <w:color w:val="auto"/>
                <w:sz w:val="21"/>
                <w:szCs w:val="21"/>
              </w:rPr>
              <w:t>1个，</w:t>
            </w:r>
            <w:r>
              <w:rPr>
                <w:rFonts w:hint="eastAsia"/>
                <w:color w:val="auto"/>
                <w:sz w:val="21"/>
                <w:szCs w:val="21"/>
              </w:rPr>
              <w:t>占地面积17633</w:t>
            </w:r>
            <w:r>
              <w:rPr>
                <w:color w:val="auto"/>
                <w:sz w:val="21"/>
                <w:szCs w:val="21"/>
              </w:rPr>
              <w:t>m</w:t>
            </w:r>
            <w:r>
              <w:rPr>
                <w:rFonts w:hint="eastAsia"/>
                <w:color w:val="auto"/>
                <w:sz w:val="21"/>
                <w:szCs w:val="21"/>
                <w:vertAlign w:val="superscript"/>
              </w:rPr>
              <w:t>3</w:t>
            </w:r>
          </w:p>
          <w:p>
            <w:pPr>
              <w:spacing w:line="240" w:lineRule="auto"/>
              <w:ind w:firstLine="0" w:firstLineChars="0"/>
              <w:jc w:val="center"/>
              <w:rPr>
                <w:color w:val="auto"/>
                <w:sz w:val="21"/>
                <w:szCs w:val="21"/>
              </w:rPr>
            </w:pPr>
            <w:r>
              <w:rPr>
                <w:color w:val="auto"/>
                <w:sz w:val="21"/>
                <w:szCs w:val="21"/>
              </w:rPr>
              <w:t>沼液由</w:t>
            </w:r>
            <w:r>
              <w:rPr>
                <w:rFonts w:hint="eastAsia"/>
                <w:color w:val="auto"/>
                <w:sz w:val="21"/>
                <w:szCs w:val="21"/>
              </w:rPr>
              <w:t>黑膜沼气池</w:t>
            </w:r>
            <w:r>
              <w:rPr>
                <w:color w:val="auto"/>
                <w:sz w:val="21"/>
                <w:szCs w:val="21"/>
              </w:rPr>
              <w:t>引至施肥农田，主干管长度为</w:t>
            </w:r>
            <w:r>
              <w:rPr>
                <w:rFonts w:hint="eastAsia"/>
                <w:color w:val="auto"/>
                <w:sz w:val="21"/>
                <w:szCs w:val="21"/>
              </w:rPr>
              <w:t>2</w:t>
            </w:r>
            <w:r>
              <w:rPr>
                <w:color w:val="auto"/>
                <w:sz w:val="21"/>
                <w:szCs w:val="21"/>
              </w:rPr>
              <w:t>km，每米管网左右各辐射75m，项目使用的管材为灰色不透光PVC管，管道挖深在冻土层15cm以下。</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5" w:type="pct"/>
            <w:vMerge w:val="restart"/>
            <w:vAlign w:val="center"/>
          </w:tcPr>
          <w:p>
            <w:pPr>
              <w:spacing w:line="240" w:lineRule="auto"/>
              <w:ind w:firstLine="0" w:firstLineChars="0"/>
              <w:jc w:val="center"/>
              <w:rPr>
                <w:color w:val="auto"/>
                <w:sz w:val="21"/>
                <w:szCs w:val="21"/>
              </w:rPr>
            </w:pPr>
            <w:r>
              <w:rPr>
                <w:rFonts w:hint="eastAsia"/>
                <w:color w:val="auto"/>
                <w:sz w:val="21"/>
                <w:szCs w:val="21"/>
              </w:rPr>
              <w:t>6</w:t>
            </w:r>
          </w:p>
        </w:tc>
        <w:tc>
          <w:tcPr>
            <w:tcW w:w="566" w:type="pct"/>
            <w:vMerge w:val="restart"/>
            <w:vAlign w:val="center"/>
          </w:tcPr>
          <w:p>
            <w:pPr>
              <w:spacing w:line="240" w:lineRule="auto"/>
              <w:ind w:firstLine="0" w:firstLineChars="0"/>
              <w:jc w:val="center"/>
              <w:rPr>
                <w:color w:val="auto"/>
                <w:sz w:val="21"/>
                <w:szCs w:val="21"/>
              </w:rPr>
            </w:pPr>
            <w:r>
              <w:rPr>
                <w:color w:val="auto"/>
                <w:sz w:val="21"/>
                <w:szCs w:val="21"/>
              </w:rPr>
              <w:t>环保工程</w:t>
            </w:r>
          </w:p>
        </w:tc>
        <w:tc>
          <w:tcPr>
            <w:tcW w:w="238" w:type="pct"/>
            <w:vMerge w:val="restart"/>
            <w:vAlign w:val="center"/>
          </w:tcPr>
          <w:p>
            <w:pPr>
              <w:spacing w:line="240" w:lineRule="auto"/>
              <w:ind w:firstLine="0" w:firstLineChars="0"/>
              <w:jc w:val="center"/>
              <w:rPr>
                <w:color w:val="auto"/>
                <w:sz w:val="21"/>
                <w:szCs w:val="21"/>
              </w:rPr>
            </w:pPr>
            <w:r>
              <w:rPr>
                <w:color w:val="auto"/>
                <w:sz w:val="21"/>
                <w:szCs w:val="21"/>
              </w:rPr>
              <w:t>废气</w:t>
            </w:r>
          </w:p>
        </w:tc>
        <w:tc>
          <w:tcPr>
            <w:tcW w:w="717" w:type="pct"/>
            <w:vAlign w:val="center"/>
          </w:tcPr>
          <w:p>
            <w:pPr>
              <w:spacing w:line="240" w:lineRule="auto"/>
              <w:ind w:firstLine="0" w:firstLineChars="0"/>
              <w:jc w:val="center"/>
              <w:rPr>
                <w:color w:val="auto"/>
                <w:sz w:val="21"/>
                <w:szCs w:val="21"/>
              </w:rPr>
            </w:pPr>
            <w:r>
              <w:rPr>
                <w:color w:val="auto"/>
                <w:sz w:val="21"/>
                <w:szCs w:val="21"/>
              </w:rPr>
              <w:t>废气处理</w:t>
            </w:r>
          </w:p>
        </w:tc>
        <w:tc>
          <w:tcPr>
            <w:tcW w:w="3251" w:type="pct"/>
            <w:vAlign w:val="center"/>
          </w:tcPr>
          <w:p>
            <w:pPr>
              <w:spacing w:line="240" w:lineRule="auto"/>
              <w:ind w:firstLine="0" w:firstLineChars="0"/>
              <w:jc w:val="center"/>
              <w:rPr>
                <w:b/>
                <w:color w:val="auto"/>
                <w:sz w:val="21"/>
                <w:szCs w:val="21"/>
                <w:u w:val="single"/>
              </w:rPr>
            </w:pPr>
            <w:r>
              <w:rPr>
                <w:bCs/>
                <w:color w:val="auto"/>
                <w:sz w:val="21"/>
                <w:szCs w:val="21"/>
              </w:rPr>
              <w:t>猪舍：控制饲养密度、加强通风、定期冲洗、</w:t>
            </w:r>
            <w:r>
              <w:rPr>
                <w:rFonts w:hint="eastAsia"/>
                <w:bCs/>
                <w:color w:val="auto"/>
                <w:sz w:val="21"/>
                <w:szCs w:val="21"/>
              </w:rPr>
              <w:t>调整饲料配方，猪舍出风口处设置风机，将臭气引至除臭棚处理，除臭棚墙内填充填料吸附，同时除臭棚顶部有喷淋水装置</w:t>
            </w:r>
            <w:r>
              <w:rPr>
                <w:bCs/>
                <w:color w:val="auto"/>
                <w:sz w:val="21"/>
                <w:szCs w:val="21"/>
              </w:rPr>
              <w:t>；污水处理站：定期喷洒除臭剂；固粪处理区：</w:t>
            </w:r>
            <w:r>
              <w:rPr>
                <w:rFonts w:hint="eastAsia"/>
                <w:bCs/>
                <w:color w:val="auto"/>
                <w:sz w:val="21"/>
                <w:szCs w:val="21"/>
              </w:rPr>
              <w:t>设置风机，将臭气引至除臭棚处理，除臭棚墙内填充填料吸附，同时除臭棚顶部有喷淋水装置</w:t>
            </w:r>
            <w:r>
              <w:rPr>
                <w:bCs/>
                <w:color w:val="auto"/>
                <w:sz w:val="21"/>
                <w:szCs w:val="21"/>
              </w:rPr>
              <w:t>，定期喷洒除臭剂；加强厂区绿化等；病死猪高温无害化</w:t>
            </w:r>
            <w:r>
              <w:rPr>
                <w:rFonts w:hint="eastAsia"/>
                <w:bCs/>
                <w:color w:val="auto"/>
                <w:sz w:val="21"/>
                <w:szCs w:val="21"/>
              </w:rPr>
              <w:t>区</w:t>
            </w:r>
            <w:r>
              <w:rPr>
                <w:bCs/>
                <w:color w:val="auto"/>
                <w:sz w:val="21"/>
                <w:szCs w:val="21"/>
              </w:rPr>
              <w:t>，</w:t>
            </w:r>
            <w:r>
              <w:rPr>
                <w:rFonts w:hint="eastAsia"/>
                <w:bCs/>
                <w:color w:val="auto"/>
                <w:sz w:val="21"/>
                <w:szCs w:val="21"/>
              </w:rPr>
              <w:t>设置风机，将臭气引至除臭棚处理，除臭棚墙内填充填料吸附，同时除臭棚顶部有喷淋水装置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5" w:type="pct"/>
            <w:vMerge w:val="continue"/>
            <w:vAlign w:val="center"/>
          </w:tcPr>
          <w:p>
            <w:pPr>
              <w:spacing w:line="240" w:lineRule="auto"/>
              <w:ind w:firstLine="0" w:firstLineChars="0"/>
              <w:jc w:val="center"/>
              <w:rPr>
                <w:color w:val="auto"/>
                <w:sz w:val="21"/>
                <w:szCs w:val="21"/>
              </w:rPr>
            </w:pPr>
          </w:p>
        </w:tc>
        <w:tc>
          <w:tcPr>
            <w:tcW w:w="566" w:type="pct"/>
            <w:vMerge w:val="continue"/>
            <w:vAlign w:val="center"/>
          </w:tcPr>
          <w:p>
            <w:pPr>
              <w:spacing w:line="240" w:lineRule="auto"/>
              <w:ind w:firstLine="0" w:firstLineChars="0"/>
              <w:jc w:val="center"/>
              <w:rPr>
                <w:color w:val="auto"/>
                <w:sz w:val="21"/>
                <w:szCs w:val="21"/>
              </w:rPr>
            </w:pPr>
          </w:p>
        </w:tc>
        <w:tc>
          <w:tcPr>
            <w:tcW w:w="238" w:type="pct"/>
            <w:vMerge w:val="continue"/>
            <w:vAlign w:val="center"/>
          </w:tcPr>
          <w:p>
            <w:pPr>
              <w:tabs>
                <w:tab w:val="left" w:pos="600"/>
              </w:tabs>
              <w:spacing w:line="240" w:lineRule="auto"/>
              <w:ind w:firstLine="0" w:firstLineChars="0"/>
              <w:jc w:val="center"/>
              <w:rPr>
                <w:color w:val="auto"/>
                <w:sz w:val="21"/>
                <w:szCs w:val="21"/>
              </w:rPr>
            </w:pPr>
          </w:p>
        </w:tc>
        <w:tc>
          <w:tcPr>
            <w:tcW w:w="717" w:type="pct"/>
            <w:vAlign w:val="center"/>
          </w:tcPr>
          <w:p>
            <w:pPr>
              <w:tabs>
                <w:tab w:val="left" w:pos="600"/>
              </w:tabs>
              <w:spacing w:line="240" w:lineRule="auto"/>
              <w:ind w:firstLine="0" w:firstLineChars="0"/>
              <w:jc w:val="center"/>
              <w:rPr>
                <w:color w:val="auto"/>
                <w:sz w:val="21"/>
                <w:szCs w:val="21"/>
              </w:rPr>
            </w:pPr>
            <w:r>
              <w:rPr>
                <w:color w:val="auto"/>
                <w:sz w:val="21"/>
                <w:szCs w:val="21"/>
              </w:rPr>
              <w:t>沼气燃烧</w:t>
            </w:r>
          </w:p>
        </w:tc>
        <w:tc>
          <w:tcPr>
            <w:tcW w:w="3251" w:type="pct"/>
            <w:vAlign w:val="center"/>
          </w:tcPr>
          <w:p>
            <w:pPr>
              <w:spacing w:line="240" w:lineRule="auto"/>
              <w:ind w:firstLine="0" w:firstLineChars="0"/>
              <w:jc w:val="center"/>
              <w:rPr>
                <w:color w:val="auto"/>
                <w:sz w:val="21"/>
                <w:szCs w:val="21"/>
              </w:rPr>
            </w:pPr>
            <w:r>
              <w:rPr>
                <w:color w:val="auto"/>
                <w:sz w:val="21"/>
                <w:szCs w:val="21"/>
              </w:rPr>
              <w:t>脱硫净化装置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5" w:type="pct"/>
            <w:vMerge w:val="continue"/>
            <w:vAlign w:val="center"/>
          </w:tcPr>
          <w:p>
            <w:pPr>
              <w:spacing w:line="240" w:lineRule="auto"/>
              <w:ind w:firstLine="0" w:firstLineChars="0"/>
              <w:jc w:val="center"/>
              <w:rPr>
                <w:b/>
                <w:color w:val="auto"/>
                <w:sz w:val="21"/>
                <w:szCs w:val="21"/>
              </w:rPr>
            </w:pPr>
          </w:p>
        </w:tc>
        <w:tc>
          <w:tcPr>
            <w:tcW w:w="566" w:type="pct"/>
            <w:vMerge w:val="continue"/>
            <w:vAlign w:val="center"/>
          </w:tcPr>
          <w:p>
            <w:pPr>
              <w:spacing w:line="240" w:lineRule="auto"/>
              <w:ind w:firstLine="0" w:firstLineChars="0"/>
              <w:jc w:val="center"/>
              <w:rPr>
                <w:b/>
                <w:color w:val="auto"/>
                <w:sz w:val="21"/>
                <w:szCs w:val="21"/>
              </w:rPr>
            </w:pPr>
          </w:p>
        </w:tc>
        <w:tc>
          <w:tcPr>
            <w:tcW w:w="238" w:type="pct"/>
            <w:vMerge w:val="restart"/>
            <w:vAlign w:val="center"/>
          </w:tcPr>
          <w:p>
            <w:pPr>
              <w:spacing w:line="240" w:lineRule="auto"/>
              <w:ind w:firstLine="0" w:firstLineChars="0"/>
              <w:jc w:val="center"/>
              <w:rPr>
                <w:color w:val="auto"/>
                <w:sz w:val="21"/>
                <w:szCs w:val="21"/>
              </w:rPr>
            </w:pPr>
            <w:r>
              <w:rPr>
                <w:color w:val="auto"/>
                <w:sz w:val="21"/>
                <w:szCs w:val="21"/>
              </w:rPr>
              <w:t>固废</w:t>
            </w:r>
          </w:p>
        </w:tc>
        <w:tc>
          <w:tcPr>
            <w:tcW w:w="717" w:type="pct"/>
            <w:vAlign w:val="center"/>
          </w:tcPr>
          <w:p>
            <w:pPr>
              <w:spacing w:line="240" w:lineRule="auto"/>
              <w:ind w:firstLine="0" w:firstLineChars="0"/>
              <w:jc w:val="center"/>
              <w:rPr>
                <w:color w:val="auto"/>
                <w:sz w:val="21"/>
                <w:szCs w:val="21"/>
              </w:rPr>
            </w:pPr>
            <w:r>
              <w:rPr>
                <w:color w:val="auto"/>
                <w:sz w:val="21"/>
                <w:szCs w:val="21"/>
              </w:rPr>
              <w:t>医疗废物</w:t>
            </w:r>
          </w:p>
        </w:tc>
        <w:tc>
          <w:tcPr>
            <w:tcW w:w="3251" w:type="pct"/>
            <w:vAlign w:val="center"/>
          </w:tcPr>
          <w:p>
            <w:pPr>
              <w:spacing w:line="240" w:lineRule="auto"/>
              <w:ind w:firstLine="0" w:firstLineChars="0"/>
              <w:jc w:val="center"/>
              <w:rPr>
                <w:color w:val="auto"/>
                <w:sz w:val="21"/>
                <w:szCs w:val="21"/>
              </w:rPr>
            </w:pPr>
            <w:r>
              <w:rPr>
                <w:color w:val="auto"/>
                <w:sz w:val="21"/>
                <w:szCs w:val="21"/>
              </w:rPr>
              <w:t>危险废物暂存间1座，总建筑面积</w:t>
            </w:r>
            <w:r>
              <w:rPr>
                <w:rFonts w:hint="eastAsia"/>
                <w:color w:val="auto"/>
                <w:sz w:val="21"/>
                <w:szCs w:val="21"/>
              </w:rPr>
              <w:t>5</w:t>
            </w:r>
            <w:r>
              <w:rPr>
                <w:color w:val="auto"/>
                <w:sz w:val="21"/>
                <w:szCs w:val="21"/>
              </w:rPr>
              <w:t>m</w:t>
            </w:r>
            <w:r>
              <w:rPr>
                <w:color w:val="auto"/>
                <w:sz w:val="21"/>
                <w:szCs w:val="21"/>
                <w:vertAlign w:val="superscript"/>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5" w:type="pct"/>
            <w:vMerge w:val="continue"/>
            <w:vAlign w:val="center"/>
          </w:tcPr>
          <w:p>
            <w:pPr>
              <w:spacing w:line="240" w:lineRule="auto"/>
              <w:ind w:firstLine="0" w:firstLineChars="0"/>
              <w:jc w:val="center"/>
              <w:rPr>
                <w:b/>
                <w:color w:val="auto"/>
                <w:sz w:val="21"/>
                <w:szCs w:val="21"/>
              </w:rPr>
            </w:pPr>
          </w:p>
        </w:tc>
        <w:tc>
          <w:tcPr>
            <w:tcW w:w="566" w:type="pct"/>
            <w:vMerge w:val="continue"/>
            <w:vAlign w:val="center"/>
          </w:tcPr>
          <w:p>
            <w:pPr>
              <w:spacing w:line="240" w:lineRule="auto"/>
              <w:ind w:firstLine="0" w:firstLineChars="0"/>
              <w:jc w:val="center"/>
              <w:rPr>
                <w:b/>
                <w:color w:val="auto"/>
                <w:sz w:val="21"/>
                <w:szCs w:val="21"/>
              </w:rPr>
            </w:pPr>
          </w:p>
        </w:tc>
        <w:tc>
          <w:tcPr>
            <w:tcW w:w="238" w:type="pct"/>
            <w:vMerge w:val="continue"/>
            <w:vAlign w:val="center"/>
          </w:tcPr>
          <w:p>
            <w:pPr>
              <w:spacing w:line="240" w:lineRule="auto"/>
              <w:ind w:firstLine="0" w:firstLineChars="0"/>
              <w:jc w:val="center"/>
              <w:rPr>
                <w:color w:val="auto"/>
                <w:sz w:val="21"/>
                <w:szCs w:val="21"/>
              </w:rPr>
            </w:pPr>
          </w:p>
        </w:tc>
        <w:tc>
          <w:tcPr>
            <w:tcW w:w="717" w:type="pct"/>
            <w:vAlign w:val="center"/>
          </w:tcPr>
          <w:p>
            <w:pPr>
              <w:spacing w:line="240" w:lineRule="auto"/>
              <w:ind w:firstLine="0" w:firstLineChars="0"/>
              <w:jc w:val="center"/>
              <w:rPr>
                <w:color w:val="auto"/>
                <w:sz w:val="21"/>
                <w:szCs w:val="21"/>
              </w:rPr>
            </w:pPr>
            <w:r>
              <w:rPr>
                <w:color w:val="auto"/>
                <w:sz w:val="21"/>
                <w:szCs w:val="21"/>
              </w:rPr>
              <w:t>病死猪尸体</w:t>
            </w:r>
          </w:p>
        </w:tc>
        <w:tc>
          <w:tcPr>
            <w:tcW w:w="3251" w:type="pct"/>
            <w:vAlign w:val="center"/>
          </w:tcPr>
          <w:p>
            <w:pPr>
              <w:spacing w:line="240" w:lineRule="auto"/>
              <w:ind w:firstLine="0" w:firstLineChars="0"/>
              <w:jc w:val="center"/>
              <w:rPr>
                <w:color w:val="auto"/>
                <w:sz w:val="21"/>
                <w:szCs w:val="21"/>
                <w:highlight w:val="yellow"/>
              </w:rPr>
            </w:pPr>
            <w:r>
              <w:rPr>
                <w:color w:val="auto"/>
                <w:sz w:val="21"/>
                <w:szCs w:val="21"/>
              </w:rPr>
              <w:t>病死猪暂存间</w:t>
            </w:r>
            <w:r>
              <w:rPr>
                <w:rFonts w:eastAsia="Times New Roman"/>
                <w:color w:val="auto"/>
                <w:sz w:val="21"/>
                <w:szCs w:val="21"/>
              </w:rPr>
              <w:t>1</w:t>
            </w:r>
            <w:r>
              <w:rPr>
                <w:color w:val="auto"/>
                <w:sz w:val="21"/>
                <w:szCs w:val="21"/>
              </w:rPr>
              <w:t>间</w:t>
            </w:r>
            <w:r>
              <w:rPr>
                <w:rFonts w:hint="eastAsia"/>
                <w:color w:val="auto"/>
                <w:sz w:val="21"/>
                <w:szCs w:val="21"/>
              </w:rPr>
              <w:t>15</w:t>
            </w:r>
            <w:r>
              <w:rPr>
                <w:rFonts w:eastAsia="Times New Roman"/>
                <w:color w:val="auto"/>
                <w:sz w:val="21"/>
                <w:szCs w:val="21"/>
              </w:rPr>
              <w:t>m</w:t>
            </w:r>
            <w:r>
              <w:rPr>
                <w:rFonts w:hint="eastAsia"/>
                <w:color w:val="auto"/>
                <w:sz w:val="21"/>
                <w:szCs w:val="21"/>
                <w:vertAlign w:val="superscript"/>
              </w:rPr>
              <w:t>2</w:t>
            </w:r>
          </w:p>
        </w:tc>
      </w:tr>
    </w:tbl>
    <w:p>
      <w:pPr>
        <w:keepNext/>
        <w:keepLines/>
        <w:ind w:firstLine="480"/>
        <w:outlineLvl w:val="2"/>
        <w:rPr>
          <w:rFonts w:eastAsia="黑体"/>
          <w:bCs/>
          <w:color w:val="auto"/>
        </w:rPr>
      </w:pPr>
      <w:r>
        <w:rPr>
          <w:rFonts w:hint="eastAsia" w:eastAsia="黑体"/>
          <w:bCs/>
          <w:color w:val="auto"/>
        </w:rPr>
        <w:t>9.2.2原辅材料组分要求</w:t>
      </w:r>
    </w:p>
    <w:p>
      <w:pPr>
        <w:pStyle w:val="37"/>
        <w:ind w:firstLine="480"/>
        <w:rPr>
          <w:bCs/>
          <w:color w:val="auto"/>
        </w:rPr>
      </w:pPr>
      <w:r>
        <w:rPr>
          <w:bCs/>
          <w:color w:val="auto"/>
        </w:rPr>
        <w:t>项目建成后主要原辅材料及资源能源消耗汇总见下表</w:t>
      </w:r>
      <w:r>
        <w:rPr>
          <w:rFonts w:hint="eastAsia"/>
          <w:bCs/>
          <w:color w:val="auto"/>
        </w:rPr>
        <w:t>9.2-3</w:t>
      </w:r>
      <w:r>
        <w:rPr>
          <w:bCs/>
          <w:color w:val="auto"/>
        </w:rPr>
        <w:t>。</w:t>
      </w:r>
    </w:p>
    <w:p>
      <w:pPr>
        <w:spacing w:after="93" w:afterLines="30" w:line="500" w:lineRule="exact"/>
        <w:ind w:firstLine="482"/>
        <w:jc w:val="center"/>
        <w:rPr>
          <w:b/>
          <w:color w:val="auto"/>
          <w:szCs w:val="21"/>
        </w:rPr>
      </w:pPr>
      <w:r>
        <w:rPr>
          <w:b/>
          <w:color w:val="auto"/>
          <w:szCs w:val="21"/>
        </w:rPr>
        <w:t>表</w:t>
      </w:r>
      <w:r>
        <w:rPr>
          <w:rFonts w:hint="eastAsia"/>
          <w:b/>
          <w:color w:val="auto"/>
          <w:szCs w:val="21"/>
        </w:rPr>
        <w:t>9.2-3</w:t>
      </w:r>
      <w:r>
        <w:rPr>
          <w:b/>
          <w:color w:val="auto"/>
          <w:szCs w:val="21"/>
        </w:rPr>
        <w:t xml:space="preserve">   </w:t>
      </w:r>
      <w:r>
        <w:rPr>
          <w:rFonts w:hint="eastAsia"/>
          <w:b/>
          <w:color w:val="auto"/>
          <w:szCs w:val="21"/>
        </w:rPr>
        <w:t xml:space="preserve">      </w:t>
      </w:r>
      <w:r>
        <w:rPr>
          <w:b/>
          <w:color w:val="auto"/>
          <w:szCs w:val="21"/>
        </w:rPr>
        <w:t xml:space="preserve">   工程主要原辅材料及能源资源消耗一览表</w:t>
      </w:r>
    </w:p>
    <w:tbl>
      <w:tblPr>
        <w:tblStyle w:val="27"/>
        <w:tblW w:w="4997"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82"/>
        <w:gridCol w:w="1387"/>
        <w:gridCol w:w="1193"/>
        <w:gridCol w:w="1868"/>
        <w:gridCol w:w="313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863" w:type="pct"/>
            <w:vAlign w:val="center"/>
          </w:tcPr>
          <w:p>
            <w:pPr>
              <w:spacing w:line="240" w:lineRule="auto"/>
              <w:ind w:firstLine="0" w:firstLineChars="0"/>
              <w:jc w:val="center"/>
              <w:rPr>
                <w:color w:val="auto"/>
                <w:sz w:val="21"/>
                <w:szCs w:val="21"/>
              </w:rPr>
            </w:pPr>
            <w:r>
              <w:rPr>
                <w:color w:val="auto"/>
                <w:sz w:val="21"/>
                <w:szCs w:val="21"/>
              </w:rPr>
              <w:t>单元</w:t>
            </w:r>
          </w:p>
        </w:tc>
        <w:tc>
          <w:tcPr>
            <w:tcW w:w="756" w:type="pct"/>
            <w:vAlign w:val="center"/>
          </w:tcPr>
          <w:p>
            <w:pPr>
              <w:spacing w:line="240" w:lineRule="auto"/>
              <w:ind w:firstLine="0" w:firstLineChars="0"/>
              <w:jc w:val="center"/>
              <w:rPr>
                <w:color w:val="auto"/>
                <w:sz w:val="21"/>
                <w:szCs w:val="21"/>
              </w:rPr>
            </w:pPr>
            <w:r>
              <w:rPr>
                <w:color w:val="auto"/>
                <w:sz w:val="21"/>
                <w:szCs w:val="21"/>
              </w:rPr>
              <w:t>项目名称</w:t>
            </w:r>
          </w:p>
        </w:tc>
        <w:tc>
          <w:tcPr>
            <w:tcW w:w="650" w:type="pct"/>
            <w:vAlign w:val="center"/>
          </w:tcPr>
          <w:p>
            <w:pPr>
              <w:spacing w:line="240" w:lineRule="auto"/>
              <w:ind w:firstLine="0" w:firstLineChars="0"/>
              <w:jc w:val="center"/>
              <w:rPr>
                <w:color w:val="auto"/>
                <w:sz w:val="21"/>
                <w:szCs w:val="21"/>
              </w:rPr>
            </w:pPr>
            <w:r>
              <w:rPr>
                <w:color w:val="auto"/>
                <w:sz w:val="21"/>
                <w:szCs w:val="21"/>
              </w:rPr>
              <w:t>单位</w:t>
            </w:r>
          </w:p>
        </w:tc>
        <w:tc>
          <w:tcPr>
            <w:tcW w:w="1018" w:type="pct"/>
            <w:vAlign w:val="center"/>
          </w:tcPr>
          <w:p>
            <w:pPr>
              <w:spacing w:line="240" w:lineRule="auto"/>
              <w:ind w:firstLine="0" w:firstLineChars="0"/>
              <w:jc w:val="center"/>
              <w:rPr>
                <w:color w:val="auto"/>
                <w:sz w:val="21"/>
                <w:szCs w:val="21"/>
              </w:rPr>
            </w:pPr>
            <w:r>
              <w:rPr>
                <w:color w:val="auto"/>
                <w:sz w:val="21"/>
                <w:szCs w:val="21"/>
              </w:rPr>
              <w:t>年消耗量</w:t>
            </w:r>
          </w:p>
        </w:tc>
        <w:tc>
          <w:tcPr>
            <w:tcW w:w="1710" w:type="pct"/>
            <w:vAlign w:val="center"/>
          </w:tcPr>
          <w:p>
            <w:pPr>
              <w:spacing w:line="240" w:lineRule="auto"/>
              <w:ind w:firstLine="0" w:firstLineChars="0"/>
              <w:jc w:val="center"/>
              <w:rPr>
                <w:color w:val="auto"/>
                <w:sz w:val="21"/>
                <w:szCs w:val="21"/>
              </w:rPr>
            </w:pPr>
            <w:r>
              <w:rPr>
                <w:color w:val="auto"/>
                <w:sz w:val="21"/>
                <w:szCs w:val="21"/>
              </w:rPr>
              <w:t>储存方式</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863" w:type="pct"/>
            <w:vMerge w:val="restart"/>
            <w:vAlign w:val="center"/>
          </w:tcPr>
          <w:p>
            <w:pPr>
              <w:spacing w:line="240" w:lineRule="auto"/>
              <w:ind w:firstLine="0" w:firstLineChars="0"/>
              <w:jc w:val="center"/>
              <w:rPr>
                <w:color w:val="auto"/>
                <w:sz w:val="21"/>
                <w:szCs w:val="21"/>
              </w:rPr>
            </w:pPr>
            <w:r>
              <w:rPr>
                <w:color w:val="auto"/>
                <w:sz w:val="21"/>
                <w:szCs w:val="21"/>
              </w:rPr>
              <w:t>养殖生产</w:t>
            </w:r>
          </w:p>
        </w:tc>
        <w:tc>
          <w:tcPr>
            <w:tcW w:w="756" w:type="pct"/>
            <w:vAlign w:val="center"/>
          </w:tcPr>
          <w:p>
            <w:pPr>
              <w:spacing w:line="240" w:lineRule="auto"/>
              <w:ind w:firstLine="0" w:firstLineChars="0"/>
              <w:jc w:val="center"/>
              <w:rPr>
                <w:color w:val="auto"/>
                <w:sz w:val="21"/>
                <w:szCs w:val="21"/>
              </w:rPr>
            </w:pPr>
            <w:r>
              <w:rPr>
                <w:color w:val="auto"/>
                <w:sz w:val="21"/>
                <w:szCs w:val="21"/>
              </w:rPr>
              <w:t>饲料</w:t>
            </w:r>
          </w:p>
        </w:tc>
        <w:tc>
          <w:tcPr>
            <w:tcW w:w="650" w:type="pct"/>
            <w:vAlign w:val="center"/>
          </w:tcPr>
          <w:p>
            <w:pPr>
              <w:spacing w:line="240" w:lineRule="auto"/>
              <w:ind w:firstLine="0" w:firstLineChars="0"/>
              <w:jc w:val="center"/>
              <w:rPr>
                <w:color w:val="auto"/>
                <w:sz w:val="21"/>
                <w:szCs w:val="21"/>
              </w:rPr>
            </w:pPr>
            <w:r>
              <w:rPr>
                <w:color w:val="auto"/>
                <w:sz w:val="21"/>
                <w:szCs w:val="21"/>
              </w:rPr>
              <w:t>t</w:t>
            </w:r>
          </w:p>
        </w:tc>
        <w:tc>
          <w:tcPr>
            <w:tcW w:w="1018" w:type="pct"/>
            <w:vAlign w:val="center"/>
          </w:tcPr>
          <w:p>
            <w:pPr>
              <w:spacing w:line="240" w:lineRule="auto"/>
              <w:ind w:firstLine="0" w:firstLineChars="0"/>
              <w:jc w:val="center"/>
              <w:rPr>
                <w:color w:val="auto"/>
                <w:sz w:val="21"/>
                <w:szCs w:val="21"/>
              </w:rPr>
            </w:pPr>
            <w:r>
              <w:rPr>
                <w:rFonts w:hint="eastAsia"/>
                <w:color w:val="auto"/>
                <w:sz w:val="21"/>
                <w:szCs w:val="21"/>
              </w:rPr>
              <w:t>10950</w:t>
            </w:r>
          </w:p>
        </w:tc>
        <w:tc>
          <w:tcPr>
            <w:tcW w:w="1710" w:type="pct"/>
            <w:vAlign w:val="center"/>
          </w:tcPr>
          <w:p>
            <w:pPr>
              <w:spacing w:line="240" w:lineRule="auto"/>
              <w:ind w:firstLine="0" w:firstLineChars="0"/>
              <w:jc w:val="center"/>
              <w:rPr>
                <w:color w:val="auto"/>
                <w:sz w:val="21"/>
                <w:szCs w:val="21"/>
              </w:rPr>
            </w:pPr>
            <w:r>
              <w:rPr>
                <w:color w:val="auto"/>
                <w:sz w:val="21"/>
                <w:szCs w:val="21"/>
              </w:rPr>
              <w:t>饲料罐储存</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863" w:type="pct"/>
            <w:vMerge w:val="continue"/>
            <w:vAlign w:val="center"/>
          </w:tcPr>
          <w:p>
            <w:pPr>
              <w:spacing w:line="240" w:lineRule="auto"/>
              <w:ind w:firstLine="0" w:firstLineChars="0"/>
              <w:jc w:val="center"/>
              <w:rPr>
                <w:color w:val="auto"/>
                <w:sz w:val="21"/>
                <w:szCs w:val="21"/>
              </w:rPr>
            </w:pPr>
          </w:p>
        </w:tc>
        <w:tc>
          <w:tcPr>
            <w:tcW w:w="756" w:type="pct"/>
            <w:vAlign w:val="center"/>
          </w:tcPr>
          <w:p>
            <w:pPr>
              <w:spacing w:line="240" w:lineRule="auto"/>
              <w:ind w:firstLine="0" w:firstLineChars="0"/>
              <w:jc w:val="center"/>
              <w:rPr>
                <w:color w:val="auto"/>
                <w:sz w:val="21"/>
                <w:szCs w:val="21"/>
              </w:rPr>
            </w:pPr>
            <w:r>
              <w:rPr>
                <w:color w:val="auto"/>
                <w:sz w:val="21"/>
                <w:szCs w:val="21"/>
              </w:rPr>
              <w:t>脱硫剂</w:t>
            </w:r>
          </w:p>
        </w:tc>
        <w:tc>
          <w:tcPr>
            <w:tcW w:w="650" w:type="pct"/>
            <w:vAlign w:val="center"/>
          </w:tcPr>
          <w:p>
            <w:pPr>
              <w:spacing w:line="240" w:lineRule="auto"/>
              <w:ind w:firstLine="0" w:firstLineChars="0"/>
              <w:jc w:val="center"/>
              <w:rPr>
                <w:color w:val="auto"/>
                <w:sz w:val="21"/>
                <w:szCs w:val="21"/>
              </w:rPr>
            </w:pPr>
            <w:r>
              <w:rPr>
                <w:color w:val="auto"/>
                <w:sz w:val="21"/>
                <w:szCs w:val="21"/>
              </w:rPr>
              <w:t>t</w:t>
            </w:r>
          </w:p>
        </w:tc>
        <w:tc>
          <w:tcPr>
            <w:tcW w:w="1018" w:type="pct"/>
            <w:vAlign w:val="center"/>
          </w:tcPr>
          <w:p>
            <w:pPr>
              <w:spacing w:line="240" w:lineRule="auto"/>
              <w:ind w:firstLine="0" w:firstLineChars="0"/>
              <w:jc w:val="center"/>
              <w:rPr>
                <w:iCs/>
                <w:color w:val="auto"/>
                <w:sz w:val="21"/>
                <w:szCs w:val="21"/>
              </w:rPr>
            </w:pPr>
            <w:r>
              <w:rPr>
                <w:iCs/>
                <w:color w:val="auto"/>
                <w:sz w:val="21"/>
                <w:szCs w:val="21"/>
              </w:rPr>
              <w:t>0.0</w:t>
            </w:r>
            <w:r>
              <w:rPr>
                <w:rFonts w:hint="eastAsia"/>
                <w:iCs/>
                <w:color w:val="auto"/>
                <w:sz w:val="21"/>
                <w:szCs w:val="21"/>
              </w:rPr>
              <w:t>0</w:t>
            </w:r>
            <w:r>
              <w:rPr>
                <w:iCs/>
                <w:color w:val="auto"/>
                <w:sz w:val="21"/>
                <w:szCs w:val="21"/>
              </w:rPr>
              <w:t>6</w:t>
            </w:r>
          </w:p>
        </w:tc>
        <w:tc>
          <w:tcPr>
            <w:tcW w:w="1710" w:type="pct"/>
            <w:vAlign w:val="center"/>
          </w:tcPr>
          <w:p>
            <w:pPr>
              <w:spacing w:line="240" w:lineRule="auto"/>
              <w:ind w:firstLine="0" w:firstLineChars="0"/>
              <w:jc w:val="center"/>
              <w:rPr>
                <w:iCs/>
                <w:color w:val="auto"/>
                <w:sz w:val="21"/>
                <w:szCs w:val="21"/>
              </w:rPr>
            </w:pPr>
            <w:r>
              <w:rPr>
                <w:iCs/>
                <w:color w:val="auto"/>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863" w:type="pct"/>
            <w:vMerge w:val="continue"/>
            <w:vAlign w:val="center"/>
          </w:tcPr>
          <w:p>
            <w:pPr>
              <w:spacing w:line="240" w:lineRule="auto"/>
              <w:ind w:firstLine="0" w:firstLineChars="0"/>
              <w:jc w:val="center"/>
              <w:rPr>
                <w:color w:val="auto"/>
                <w:sz w:val="21"/>
                <w:szCs w:val="21"/>
              </w:rPr>
            </w:pPr>
          </w:p>
        </w:tc>
        <w:tc>
          <w:tcPr>
            <w:tcW w:w="756" w:type="pct"/>
            <w:vAlign w:val="center"/>
          </w:tcPr>
          <w:p>
            <w:pPr>
              <w:spacing w:line="240" w:lineRule="auto"/>
              <w:ind w:firstLine="0" w:firstLineChars="0"/>
              <w:jc w:val="center"/>
              <w:rPr>
                <w:color w:val="auto"/>
                <w:sz w:val="21"/>
                <w:szCs w:val="21"/>
              </w:rPr>
            </w:pPr>
            <w:r>
              <w:rPr>
                <w:color w:val="auto"/>
                <w:sz w:val="21"/>
                <w:szCs w:val="21"/>
              </w:rPr>
              <w:t>消毒剂</w:t>
            </w:r>
          </w:p>
        </w:tc>
        <w:tc>
          <w:tcPr>
            <w:tcW w:w="650" w:type="pct"/>
            <w:vAlign w:val="center"/>
          </w:tcPr>
          <w:p>
            <w:pPr>
              <w:spacing w:line="240" w:lineRule="auto"/>
              <w:ind w:firstLine="0" w:firstLineChars="0"/>
              <w:jc w:val="center"/>
              <w:rPr>
                <w:color w:val="auto"/>
                <w:sz w:val="21"/>
                <w:szCs w:val="21"/>
              </w:rPr>
            </w:pPr>
            <w:r>
              <w:rPr>
                <w:color w:val="auto"/>
                <w:sz w:val="21"/>
                <w:szCs w:val="21"/>
              </w:rPr>
              <w:t>t</w:t>
            </w:r>
          </w:p>
        </w:tc>
        <w:tc>
          <w:tcPr>
            <w:tcW w:w="1018" w:type="pct"/>
            <w:vAlign w:val="center"/>
          </w:tcPr>
          <w:p>
            <w:pPr>
              <w:spacing w:line="240" w:lineRule="auto"/>
              <w:ind w:firstLine="0" w:firstLineChars="0"/>
              <w:jc w:val="center"/>
              <w:rPr>
                <w:iCs/>
                <w:color w:val="auto"/>
                <w:sz w:val="21"/>
                <w:szCs w:val="21"/>
              </w:rPr>
            </w:pPr>
            <w:r>
              <w:rPr>
                <w:iCs/>
                <w:color w:val="auto"/>
                <w:sz w:val="21"/>
                <w:szCs w:val="21"/>
              </w:rPr>
              <w:t>0.2</w:t>
            </w:r>
          </w:p>
        </w:tc>
        <w:tc>
          <w:tcPr>
            <w:tcW w:w="1710" w:type="pct"/>
            <w:vAlign w:val="center"/>
          </w:tcPr>
          <w:p>
            <w:pPr>
              <w:spacing w:line="240" w:lineRule="auto"/>
              <w:ind w:firstLine="0" w:firstLineChars="0"/>
              <w:jc w:val="center"/>
              <w:rPr>
                <w:iCs/>
                <w:color w:val="auto"/>
                <w:sz w:val="21"/>
                <w:szCs w:val="21"/>
              </w:rPr>
            </w:pPr>
            <w:r>
              <w:rPr>
                <w:iCs/>
                <w:color w:val="auto"/>
                <w:sz w:val="21"/>
                <w:szCs w:val="21"/>
              </w:rPr>
              <w:t>储存于项目仓库</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863" w:type="pct"/>
            <w:vMerge w:val="continue"/>
            <w:vAlign w:val="center"/>
          </w:tcPr>
          <w:p>
            <w:pPr>
              <w:spacing w:line="240" w:lineRule="auto"/>
              <w:ind w:firstLine="0" w:firstLineChars="0"/>
              <w:jc w:val="center"/>
              <w:rPr>
                <w:color w:val="auto"/>
                <w:sz w:val="21"/>
                <w:szCs w:val="21"/>
              </w:rPr>
            </w:pPr>
          </w:p>
        </w:tc>
        <w:tc>
          <w:tcPr>
            <w:tcW w:w="756" w:type="pct"/>
            <w:vAlign w:val="center"/>
          </w:tcPr>
          <w:p>
            <w:pPr>
              <w:spacing w:line="240" w:lineRule="auto"/>
              <w:ind w:firstLine="0" w:firstLineChars="0"/>
              <w:jc w:val="center"/>
              <w:rPr>
                <w:color w:val="auto"/>
                <w:sz w:val="21"/>
                <w:szCs w:val="21"/>
              </w:rPr>
            </w:pPr>
            <w:r>
              <w:rPr>
                <w:color w:val="auto"/>
                <w:sz w:val="21"/>
                <w:szCs w:val="21"/>
              </w:rPr>
              <w:t>防疫药品</w:t>
            </w:r>
          </w:p>
        </w:tc>
        <w:tc>
          <w:tcPr>
            <w:tcW w:w="650" w:type="pct"/>
            <w:vAlign w:val="center"/>
          </w:tcPr>
          <w:p>
            <w:pPr>
              <w:spacing w:line="240" w:lineRule="auto"/>
              <w:ind w:firstLine="0" w:firstLineChars="0"/>
              <w:jc w:val="center"/>
              <w:rPr>
                <w:color w:val="auto"/>
                <w:sz w:val="21"/>
                <w:szCs w:val="21"/>
              </w:rPr>
            </w:pPr>
            <w:r>
              <w:rPr>
                <w:color w:val="auto"/>
                <w:sz w:val="21"/>
                <w:szCs w:val="21"/>
              </w:rPr>
              <w:t>t</w:t>
            </w:r>
          </w:p>
        </w:tc>
        <w:tc>
          <w:tcPr>
            <w:tcW w:w="1018" w:type="pct"/>
            <w:vAlign w:val="center"/>
          </w:tcPr>
          <w:p>
            <w:pPr>
              <w:spacing w:line="240" w:lineRule="auto"/>
              <w:ind w:firstLine="0" w:firstLineChars="0"/>
              <w:jc w:val="center"/>
              <w:rPr>
                <w:iCs/>
                <w:color w:val="auto"/>
                <w:sz w:val="21"/>
                <w:szCs w:val="21"/>
              </w:rPr>
            </w:pPr>
            <w:r>
              <w:rPr>
                <w:rFonts w:hint="eastAsia"/>
                <w:iCs/>
                <w:color w:val="auto"/>
                <w:sz w:val="21"/>
                <w:szCs w:val="21"/>
              </w:rPr>
              <w:t>0.4</w:t>
            </w:r>
          </w:p>
        </w:tc>
        <w:tc>
          <w:tcPr>
            <w:tcW w:w="1710" w:type="pct"/>
            <w:vAlign w:val="center"/>
          </w:tcPr>
          <w:p>
            <w:pPr>
              <w:spacing w:line="240" w:lineRule="auto"/>
              <w:ind w:firstLine="0" w:firstLineChars="0"/>
              <w:jc w:val="center"/>
              <w:rPr>
                <w:iCs/>
                <w:color w:val="auto"/>
                <w:sz w:val="21"/>
                <w:szCs w:val="21"/>
              </w:rPr>
            </w:pPr>
            <w:r>
              <w:rPr>
                <w:iCs/>
                <w:color w:val="auto"/>
                <w:sz w:val="21"/>
                <w:szCs w:val="21"/>
              </w:rPr>
              <w:t>仓库内疫苗专用冰柜冷藏</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863" w:type="pct"/>
            <w:vMerge w:val="continue"/>
            <w:vAlign w:val="center"/>
          </w:tcPr>
          <w:p>
            <w:pPr>
              <w:spacing w:line="240" w:lineRule="auto"/>
              <w:ind w:firstLine="0" w:firstLineChars="0"/>
              <w:jc w:val="center"/>
              <w:rPr>
                <w:color w:val="auto"/>
                <w:sz w:val="21"/>
                <w:szCs w:val="21"/>
              </w:rPr>
            </w:pPr>
          </w:p>
        </w:tc>
        <w:tc>
          <w:tcPr>
            <w:tcW w:w="756" w:type="pct"/>
            <w:vAlign w:val="center"/>
          </w:tcPr>
          <w:p>
            <w:pPr>
              <w:spacing w:line="240" w:lineRule="auto"/>
              <w:ind w:firstLine="0" w:firstLineChars="0"/>
              <w:jc w:val="center"/>
              <w:rPr>
                <w:color w:val="auto"/>
                <w:sz w:val="21"/>
                <w:szCs w:val="21"/>
              </w:rPr>
            </w:pPr>
            <w:r>
              <w:rPr>
                <w:color w:val="auto"/>
                <w:sz w:val="21"/>
                <w:szCs w:val="21"/>
              </w:rPr>
              <w:t>植物除臭剂</w:t>
            </w:r>
          </w:p>
        </w:tc>
        <w:tc>
          <w:tcPr>
            <w:tcW w:w="650" w:type="pct"/>
            <w:vAlign w:val="center"/>
          </w:tcPr>
          <w:p>
            <w:pPr>
              <w:spacing w:line="240" w:lineRule="auto"/>
              <w:ind w:firstLine="0" w:firstLineChars="0"/>
              <w:jc w:val="center"/>
              <w:rPr>
                <w:color w:val="auto"/>
                <w:sz w:val="21"/>
                <w:szCs w:val="21"/>
              </w:rPr>
            </w:pPr>
            <w:r>
              <w:rPr>
                <w:color w:val="auto"/>
                <w:sz w:val="21"/>
                <w:szCs w:val="21"/>
              </w:rPr>
              <w:t>t</w:t>
            </w:r>
          </w:p>
        </w:tc>
        <w:tc>
          <w:tcPr>
            <w:tcW w:w="1018" w:type="pct"/>
            <w:vAlign w:val="center"/>
          </w:tcPr>
          <w:p>
            <w:pPr>
              <w:spacing w:line="240" w:lineRule="auto"/>
              <w:ind w:firstLine="0" w:firstLineChars="0"/>
              <w:jc w:val="center"/>
              <w:rPr>
                <w:iCs/>
                <w:color w:val="auto"/>
                <w:sz w:val="21"/>
                <w:szCs w:val="21"/>
              </w:rPr>
            </w:pPr>
            <w:r>
              <w:rPr>
                <w:iCs/>
                <w:color w:val="auto"/>
                <w:sz w:val="21"/>
                <w:szCs w:val="21"/>
              </w:rPr>
              <w:t>0.</w:t>
            </w:r>
            <w:r>
              <w:rPr>
                <w:rFonts w:hint="eastAsia"/>
                <w:iCs/>
                <w:color w:val="auto"/>
                <w:sz w:val="21"/>
                <w:szCs w:val="21"/>
              </w:rPr>
              <w:t>04</w:t>
            </w:r>
          </w:p>
        </w:tc>
        <w:tc>
          <w:tcPr>
            <w:tcW w:w="1710" w:type="pct"/>
            <w:vAlign w:val="center"/>
          </w:tcPr>
          <w:p>
            <w:pPr>
              <w:spacing w:line="240" w:lineRule="auto"/>
              <w:ind w:firstLine="0" w:firstLineChars="0"/>
              <w:jc w:val="center"/>
              <w:rPr>
                <w:iCs/>
                <w:color w:val="auto"/>
                <w:sz w:val="21"/>
                <w:szCs w:val="21"/>
              </w:rPr>
            </w:pPr>
            <w:r>
              <w:rPr>
                <w:iCs/>
                <w:color w:val="auto"/>
                <w:sz w:val="21"/>
                <w:szCs w:val="21"/>
              </w:rPr>
              <w:t>仓库内罐装密闭储存</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63" w:type="pct"/>
            <w:vAlign w:val="center"/>
          </w:tcPr>
          <w:p>
            <w:pPr>
              <w:spacing w:line="240" w:lineRule="auto"/>
              <w:ind w:firstLine="0" w:firstLineChars="0"/>
              <w:jc w:val="center"/>
              <w:rPr>
                <w:color w:val="auto"/>
                <w:sz w:val="21"/>
                <w:szCs w:val="21"/>
              </w:rPr>
            </w:pPr>
            <w:r>
              <w:rPr>
                <w:rFonts w:hint="eastAsia"/>
                <w:color w:val="auto"/>
                <w:sz w:val="21"/>
                <w:szCs w:val="21"/>
              </w:rPr>
              <w:t>高温化制机</w:t>
            </w:r>
          </w:p>
        </w:tc>
        <w:tc>
          <w:tcPr>
            <w:tcW w:w="756" w:type="pct"/>
            <w:vAlign w:val="center"/>
          </w:tcPr>
          <w:p>
            <w:pPr>
              <w:spacing w:line="240" w:lineRule="auto"/>
              <w:ind w:firstLine="0" w:firstLineChars="0"/>
              <w:jc w:val="center"/>
              <w:rPr>
                <w:color w:val="auto"/>
                <w:sz w:val="21"/>
                <w:szCs w:val="21"/>
              </w:rPr>
            </w:pPr>
            <w:r>
              <w:rPr>
                <w:color w:val="auto"/>
                <w:sz w:val="21"/>
                <w:szCs w:val="21"/>
              </w:rPr>
              <w:t>益生菌</w:t>
            </w:r>
          </w:p>
        </w:tc>
        <w:tc>
          <w:tcPr>
            <w:tcW w:w="650" w:type="pct"/>
            <w:vAlign w:val="center"/>
          </w:tcPr>
          <w:p>
            <w:pPr>
              <w:spacing w:line="240" w:lineRule="auto"/>
              <w:ind w:firstLine="0" w:firstLineChars="0"/>
              <w:jc w:val="center"/>
              <w:rPr>
                <w:color w:val="auto"/>
                <w:sz w:val="21"/>
                <w:szCs w:val="21"/>
              </w:rPr>
            </w:pPr>
            <w:r>
              <w:rPr>
                <w:color w:val="auto"/>
                <w:sz w:val="21"/>
                <w:szCs w:val="21"/>
              </w:rPr>
              <w:t>t</w:t>
            </w:r>
          </w:p>
        </w:tc>
        <w:tc>
          <w:tcPr>
            <w:tcW w:w="1018" w:type="pct"/>
            <w:vAlign w:val="center"/>
          </w:tcPr>
          <w:p>
            <w:pPr>
              <w:spacing w:line="240" w:lineRule="auto"/>
              <w:ind w:firstLine="0" w:firstLineChars="0"/>
              <w:jc w:val="center"/>
              <w:rPr>
                <w:color w:val="auto"/>
                <w:sz w:val="21"/>
                <w:szCs w:val="21"/>
              </w:rPr>
            </w:pPr>
            <w:r>
              <w:rPr>
                <w:color w:val="auto"/>
                <w:sz w:val="21"/>
                <w:szCs w:val="21"/>
              </w:rPr>
              <w:t>0.365</w:t>
            </w:r>
          </w:p>
        </w:tc>
        <w:tc>
          <w:tcPr>
            <w:tcW w:w="1710" w:type="pct"/>
            <w:vAlign w:val="center"/>
          </w:tcPr>
          <w:p>
            <w:pPr>
              <w:spacing w:line="240" w:lineRule="auto"/>
              <w:ind w:firstLine="0" w:firstLineChars="0"/>
              <w:jc w:val="center"/>
              <w:rPr>
                <w:color w:val="auto"/>
                <w:sz w:val="21"/>
                <w:szCs w:val="21"/>
              </w:rPr>
            </w:pPr>
            <w:r>
              <w:rPr>
                <w:color w:val="auto"/>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863" w:type="pct"/>
            <w:vMerge w:val="restart"/>
            <w:vAlign w:val="center"/>
          </w:tcPr>
          <w:p>
            <w:pPr>
              <w:spacing w:line="240" w:lineRule="auto"/>
              <w:ind w:firstLine="0" w:firstLineChars="0"/>
              <w:jc w:val="center"/>
              <w:rPr>
                <w:color w:val="auto"/>
                <w:sz w:val="21"/>
                <w:szCs w:val="21"/>
              </w:rPr>
            </w:pPr>
            <w:r>
              <w:rPr>
                <w:color w:val="auto"/>
                <w:sz w:val="21"/>
                <w:szCs w:val="21"/>
              </w:rPr>
              <w:t>其他</w:t>
            </w:r>
          </w:p>
        </w:tc>
        <w:tc>
          <w:tcPr>
            <w:tcW w:w="756" w:type="pct"/>
            <w:vAlign w:val="center"/>
          </w:tcPr>
          <w:p>
            <w:pPr>
              <w:spacing w:line="240" w:lineRule="auto"/>
              <w:ind w:firstLine="0" w:firstLineChars="0"/>
              <w:jc w:val="center"/>
              <w:rPr>
                <w:color w:val="auto"/>
                <w:sz w:val="21"/>
                <w:szCs w:val="21"/>
                <w:highlight w:val="yellow"/>
              </w:rPr>
            </w:pPr>
            <w:r>
              <w:rPr>
                <w:color w:val="auto"/>
                <w:sz w:val="21"/>
                <w:szCs w:val="21"/>
              </w:rPr>
              <w:t>电</w:t>
            </w:r>
          </w:p>
        </w:tc>
        <w:tc>
          <w:tcPr>
            <w:tcW w:w="650" w:type="pct"/>
            <w:vAlign w:val="center"/>
          </w:tcPr>
          <w:p>
            <w:pPr>
              <w:spacing w:line="240" w:lineRule="auto"/>
              <w:ind w:firstLine="0" w:firstLineChars="0"/>
              <w:jc w:val="center"/>
              <w:rPr>
                <w:color w:val="auto"/>
                <w:sz w:val="21"/>
                <w:szCs w:val="21"/>
              </w:rPr>
            </w:pPr>
            <w:r>
              <w:rPr>
                <w:color w:val="auto"/>
                <w:sz w:val="21"/>
                <w:szCs w:val="21"/>
              </w:rPr>
              <w:t>万度</w:t>
            </w:r>
          </w:p>
        </w:tc>
        <w:tc>
          <w:tcPr>
            <w:tcW w:w="1018" w:type="pct"/>
            <w:vAlign w:val="center"/>
          </w:tcPr>
          <w:p>
            <w:pPr>
              <w:spacing w:line="240" w:lineRule="auto"/>
              <w:ind w:firstLine="0" w:firstLineChars="0"/>
              <w:jc w:val="center"/>
              <w:rPr>
                <w:color w:val="auto"/>
                <w:sz w:val="21"/>
                <w:szCs w:val="21"/>
              </w:rPr>
            </w:pPr>
            <w:r>
              <w:rPr>
                <w:rFonts w:hint="eastAsia"/>
                <w:color w:val="auto"/>
                <w:sz w:val="21"/>
                <w:szCs w:val="21"/>
              </w:rPr>
              <w:t>50</w:t>
            </w:r>
          </w:p>
        </w:tc>
        <w:tc>
          <w:tcPr>
            <w:tcW w:w="1710" w:type="pct"/>
            <w:vAlign w:val="center"/>
          </w:tcPr>
          <w:p>
            <w:pPr>
              <w:spacing w:line="240" w:lineRule="auto"/>
              <w:ind w:firstLine="0" w:firstLineChars="0"/>
              <w:jc w:val="center"/>
              <w:rPr>
                <w:color w:val="auto"/>
                <w:sz w:val="21"/>
                <w:szCs w:val="21"/>
              </w:rPr>
            </w:pPr>
            <w:r>
              <w:rPr>
                <w:color w:val="auto"/>
                <w:sz w:val="21"/>
                <w:szCs w:val="21"/>
              </w:rPr>
              <w:t>来自</w:t>
            </w:r>
            <w:r>
              <w:rPr>
                <w:rFonts w:hint="eastAsia"/>
                <w:color w:val="auto"/>
                <w:sz w:val="21"/>
                <w:szCs w:val="21"/>
              </w:rPr>
              <w:t>濮阳县五星乡</w:t>
            </w:r>
            <w:r>
              <w:rPr>
                <w:color w:val="auto"/>
                <w:sz w:val="21"/>
                <w:szCs w:val="21"/>
              </w:rPr>
              <w:t>供电所</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63" w:type="pct"/>
            <w:vMerge w:val="continue"/>
            <w:vAlign w:val="center"/>
          </w:tcPr>
          <w:p>
            <w:pPr>
              <w:spacing w:line="240" w:lineRule="auto"/>
              <w:ind w:firstLine="0" w:firstLineChars="0"/>
              <w:jc w:val="center"/>
              <w:rPr>
                <w:color w:val="auto"/>
                <w:sz w:val="21"/>
                <w:szCs w:val="21"/>
              </w:rPr>
            </w:pPr>
          </w:p>
        </w:tc>
        <w:tc>
          <w:tcPr>
            <w:tcW w:w="756" w:type="pct"/>
            <w:vAlign w:val="center"/>
          </w:tcPr>
          <w:p>
            <w:pPr>
              <w:spacing w:line="240" w:lineRule="auto"/>
              <w:ind w:firstLine="0" w:firstLineChars="0"/>
              <w:jc w:val="center"/>
              <w:rPr>
                <w:color w:val="auto"/>
                <w:sz w:val="21"/>
                <w:szCs w:val="21"/>
                <w:highlight w:val="yellow"/>
              </w:rPr>
            </w:pPr>
            <w:r>
              <w:rPr>
                <w:color w:val="auto"/>
                <w:sz w:val="21"/>
                <w:szCs w:val="21"/>
              </w:rPr>
              <w:t>水</w:t>
            </w:r>
          </w:p>
        </w:tc>
        <w:tc>
          <w:tcPr>
            <w:tcW w:w="650" w:type="pct"/>
            <w:vAlign w:val="center"/>
          </w:tcPr>
          <w:p>
            <w:pPr>
              <w:spacing w:line="240" w:lineRule="auto"/>
              <w:ind w:firstLine="0" w:firstLineChars="0"/>
              <w:jc w:val="center"/>
              <w:rPr>
                <w:color w:val="auto"/>
                <w:sz w:val="21"/>
                <w:szCs w:val="21"/>
              </w:rPr>
            </w:pPr>
            <w:r>
              <w:rPr>
                <w:rFonts w:hint="eastAsia"/>
                <w:color w:val="auto"/>
                <w:sz w:val="21"/>
                <w:szCs w:val="21"/>
              </w:rPr>
              <w:t>m</w:t>
            </w:r>
            <w:r>
              <w:rPr>
                <w:rFonts w:hint="eastAsia"/>
                <w:color w:val="auto"/>
                <w:sz w:val="21"/>
                <w:szCs w:val="21"/>
                <w:vertAlign w:val="superscript"/>
              </w:rPr>
              <w:t>3</w:t>
            </w:r>
          </w:p>
        </w:tc>
        <w:tc>
          <w:tcPr>
            <w:tcW w:w="1018" w:type="pct"/>
            <w:vAlign w:val="center"/>
          </w:tcPr>
          <w:p>
            <w:pPr>
              <w:spacing w:line="240" w:lineRule="auto"/>
              <w:ind w:firstLine="0" w:firstLineChars="0"/>
              <w:jc w:val="center"/>
              <w:rPr>
                <w:color w:val="auto"/>
                <w:sz w:val="21"/>
                <w:szCs w:val="21"/>
              </w:rPr>
            </w:pPr>
            <w:r>
              <w:rPr>
                <w:rFonts w:hint="eastAsia"/>
                <w:color w:val="auto"/>
                <w:sz w:val="21"/>
                <w:szCs w:val="21"/>
              </w:rPr>
              <w:t>81632.48</w:t>
            </w:r>
          </w:p>
        </w:tc>
        <w:tc>
          <w:tcPr>
            <w:tcW w:w="1710" w:type="pct"/>
            <w:vAlign w:val="center"/>
          </w:tcPr>
          <w:p>
            <w:pPr>
              <w:spacing w:line="240" w:lineRule="auto"/>
              <w:ind w:firstLine="0" w:firstLineChars="0"/>
              <w:jc w:val="center"/>
              <w:rPr>
                <w:color w:val="auto"/>
                <w:sz w:val="21"/>
                <w:szCs w:val="21"/>
              </w:rPr>
            </w:pPr>
            <w:r>
              <w:rPr>
                <w:color w:val="auto"/>
                <w:sz w:val="21"/>
                <w:szCs w:val="21"/>
              </w:rPr>
              <w:t>厂区水井</w:t>
            </w:r>
          </w:p>
        </w:tc>
      </w:tr>
    </w:tbl>
    <w:p>
      <w:pPr>
        <w:keepNext/>
        <w:keepLines/>
        <w:ind w:firstLine="480"/>
        <w:outlineLvl w:val="2"/>
        <w:rPr>
          <w:rFonts w:eastAsia="黑体"/>
          <w:bCs/>
          <w:color w:val="auto"/>
        </w:rPr>
      </w:pPr>
      <w:r>
        <w:rPr>
          <w:rFonts w:hint="eastAsia" w:eastAsia="黑体"/>
          <w:bCs/>
          <w:color w:val="auto"/>
        </w:rPr>
        <w:t>9.2.3污染物产排及拟采取的环境保护措施</w:t>
      </w:r>
    </w:p>
    <w:p>
      <w:pPr>
        <w:ind w:firstLine="480"/>
        <w:rPr>
          <w:bCs/>
          <w:color w:val="auto"/>
        </w:rPr>
      </w:pPr>
      <w:r>
        <w:rPr>
          <w:rFonts w:hint="eastAsia" w:hAnsi="宋体"/>
          <w:bCs/>
          <w:color w:val="auto"/>
        </w:rPr>
        <w:t>本项目污染物排放及拟采取环保措施见表9.2-4。</w:t>
      </w:r>
      <w:r>
        <w:rPr>
          <w:rFonts w:hint="eastAsia"/>
          <w:bCs/>
          <w:color w:val="auto"/>
        </w:rPr>
        <w:tab/>
      </w:r>
    </w:p>
    <w:p>
      <w:pPr>
        <w:ind w:firstLine="482"/>
        <w:jc w:val="center"/>
        <w:rPr>
          <w:b/>
          <w:color w:val="auto"/>
          <w:szCs w:val="21"/>
        </w:rPr>
      </w:pPr>
      <w:r>
        <w:rPr>
          <w:b/>
          <w:color w:val="auto"/>
          <w:szCs w:val="21"/>
        </w:rPr>
        <w:t>表</w:t>
      </w:r>
      <w:r>
        <w:rPr>
          <w:rFonts w:hint="eastAsia"/>
          <w:b/>
          <w:color w:val="auto"/>
          <w:szCs w:val="21"/>
        </w:rPr>
        <w:t>9.2-4</w:t>
      </w:r>
      <w:r>
        <w:rPr>
          <w:b/>
          <w:color w:val="auto"/>
          <w:szCs w:val="21"/>
        </w:rPr>
        <w:t xml:space="preserve">      项目</w:t>
      </w:r>
      <w:r>
        <w:rPr>
          <w:rFonts w:hint="eastAsia"/>
          <w:b/>
          <w:color w:val="auto"/>
          <w:szCs w:val="21"/>
        </w:rPr>
        <w:t>污染物产排及拟采取措施一览表</w:t>
      </w:r>
    </w:p>
    <w:tbl>
      <w:tblPr>
        <w:tblStyle w:val="27"/>
        <w:tblW w:w="4997" w:type="pct"/>
        <w:jc w:val="center"/>
        <w:tblBorders>
          <w:top w:val="single" w:color="000000" w:sz="2" w:space="0"/>
          <w:left w:val="none" w:color="auto" w:sz="0" w:space="0"/>
          <w:bottom w:val="single" w:color="000000" w:sz="6"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
      <w:tblGrid>
        <w:gridCol w:w="909"/>
        <w:gridCol w:w="740"/>
        <w:gridCol w:w="1619"/>
        <w:gridCol w:w="2383"/>
        <w:gridCol w:w="1415"/>
        <w:gridCol w:w="1887"/>
      </w:tblGrid>
      <w:tr>
        <w:tblPrEx>
          <w:tblBorders>
            <w:top w:val="single" w:color="000000" w:sz="2" w:space="0"/>
            <w:left w:val="none" w:color="auto" w:sz="0" w:space="0"/>
            <w:bottom w:val="single" w:color="000000" w:sz="6"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412" w:hRule="exact"/>
          <w:jc w:val="center"/>
        </w:trPr>
        <w:tc>
          <w:tcPr>
            <w:tcW w:w="50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种类</w:t>
            </w:r>
          </w:p>
        </w:tc>
        <w:tc>
          <w:tcPr>
            <w:tcW w:w="1316" w:type="pct"/>
            <w:gridSpan w:val="2"/>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污染因子</w:t>
            </w:r>
          </w:p>
        </w:tc>
        <w:tc>
          <w:tcPr>
            <w:tcW w:w="133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产生量</w:t>
            </w:r>
          </w:p>
        </w:tc>
        <w:tc>
          <w:tcPr>
            <w:tcW w:w="79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排放量</w:t>
            </w:r>
          </w:p>
        </w:tc>
        <w:tc>
          <w:tcPr>
            <w:tcW w:w="105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备注</w:t>
            </w:r>
          </w:p>
        </w:tc>
      </w:tr>
      <w:tr>
        <w:tblPrEx>
          <w:tblBorders>
            <w:top w:val="single" w:color="000000" w:sz="2" w:space="0"/>
            <w:left w:val="none" w:color="auto" w:sz="0" w:space="0"/>
            <w:bottom w:val="single" w:color="000000" w:sz="6"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29" w:hRule="exact"/>
          <w:jc w:val="center"/>
        </w:trPr>
        <w:tc>
          <w:tcPr>
            <w:tcW w:w="508"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废水(养殖废水与 生活污水 等混合)</w:t>
            </w:r>
          </w:p>
        </w:tc>
        <w:tc>
          <w:tcPr>
            <w:tcW w:w="1316" w:type="pct"/>
            <w:gridSpan w:val="2"/>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废水量</w:t>
            </w:r>
          </w:p>
        </w:tc>
        <w:tc>
          <w:tcPr>
            <w:tcW w:w="1330" w:type="pct"/>
            <w:tcBorders>
              <w:tl2br w:val="nil"/>
              <w:tr2bl w:val="nil"/>
            </w:tcBorders>
            <w:vAlign w:val="center"/>
          </w:tcPr>
          <w:p>
            <w:pPr>
              <w:spacing w:line="240" w:lineRule="auto"/>
              <w:ind w:firstLine="0" w:firstLineChars="0"/>
              <w:jc w:val="center"/>
              <w:rPr>
                <w:color w:val="auto"/>
                <w:sz w:val="21"/>
                <w:szCs w:val="21"/>
              </w:rPr>
            </w:pPr>
            <w:r>
              <w:rPr>
                <w:rFonts w:hint="eastAsia"/>
                <w:bCs/>
                <w:color w:val="auto"/>
                <w:sz w:val="21"/>
                <w:szCs w:val="21"/>
              </w:rPr>
              <w:t>46919.655</w:t>
            </w:r>
            <w:r>
              <w:rPr>
                <w:rFonts w:hint="eastAsia"/>
                <w:color w:val="auto"/>
                <w:sz w:val="21"/>
                <w:szCs w:val="21"/>
              </w:rPr>
              <w:t>m</w:t>
            </w:r>
            <w:r>
              <w:rPr>
                <w:rFonts w:hint="eastAsia"/>
                <w:color w:val="auto"/>
                <w:sz w:val="21"/>
                <w:szCs w:val="21"/>
                <w:vertAlign w:val="superscript"/>
              </w:rPr>
              <w:t>3</w:t>
            </w:r>
            <w:r>
              <w:rPr>
                <w:rFonts w:hint="eastAsia"/>
                <w:color w:val="auto"/>
                <w:sz w:val="21"/>
                <w:szCs w:val="21"/>
              </w:rPr>
              <w:t>/a</w:t>
            </w:r>
          </w:p>
        </w:tc>
        <w:tc>
          <w:tcPr>
            <w:tcW w:w="790"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w:t>
            </w:r>
          </w:p>
        </w:tc>
        <w:tc>
          <w:tcPr>
            <w:tcW w:w="1053"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经污水站处理后，做农肥；非耕作季节由黑膜沼气池储存，不外排</w:t>
            </w:r>
          </w:p>
        </w:tc>
      </w:tr>
      <w:tr>
        <w:tblPrEx>
          <w:tblBorders>
            <w:top w:val="single" w:color="000000" w:sz="2" w:space="0"/>
            <w:left w:val="none" w:color="auto" w:sz="0" w:space="0"/>
            <w:bottom w:val="single" w:color="000000" w:sz="6"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5" w:hRule="exact"/>
          <w:jc w:val="center"/>
        </w:trPr>
        <w:tc>
          <w:tcPr>
            <w:tcW w:w="508" w:type="pct"/>
            <w:vMerge w:val="continue"/>
            <w:tcBorders>
              <w:tl2br w:val="nil"/>
              <w:tr2bl w:val="nil"/>
            </w:tcBorders>
            <w:vAlign w:val="center"/>
          </w:tcPr>
          <w:p>
            <w:pPr>
              <w:spacing w:line="240" w:lineRule="auto"/>
              <w:ind w:firstLine="0" w:firstLineChars="0"/>
              <w:jc w:val="center"/>
              <w:rPr>
                <w:color w:val="auto"/>
                <w:sz w:val="21"/>
                <w:szCs w:val="21"/>
              </w:rPr>
            </w:pPr>
          </w:p>
        </w:tc>
        <w:tc>
          <w:tcPr>
            <w:tcW w:w="1316" w:type="pct"/>
            <w:gridSpan w:val="2"/>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COD</w:t>
            </w:r>
          </w:p>
        </w:tc>
        <w:tc>
          <w:tcPr>
            <w:tcW w:w="1330" w:type="pct"/>
            <w:tcBorders>
              <w:tl2br w:val="nil"/>
              <w:tr2bl w:val="nil"/>
            </w:tcBorders>
            <w:vAlign w:val="center"/>
          </w:tcPr>
          <w:p>
            <w:pPr>
              <w:spacing w:line="240" w:lineRule="auto"/>
              <w:ind w:firstLine="0" w:firstLineChars="0"/>
              <w:jc w:val="center"/>
              <w:rPr>
                <w:color w:val="auto"/>
                <w:sz w:val="21"/>
                <w:szCs w:val="21"/>
              </w:rPr>
            </w:pPr>
            <w:r>
              <w:rPr>
                <w:rFonts w:hint="eastAsia"/>
                <w:bCs/>
                <w:color w:val="auto"/>
                <w:sz w:val="21"/>
                <w:szCs w:val="21"/>
              </w:rPr>
              <w:t>14000</w:t>
            </w:r>
            <w:r>
              <w:rPr>
                <w:rFonts w:hint="eastAsia"/>
                <w:color w:val="auto"/>
                <w:sz w:val="21"/>
                <w:szCs w:val="21"/>
              </w:rPr>
              <w:t>mg/L，</w:t>
            </w:r>
            <w:r>
              <w:rPr>
                <w:rFonts w:hint="eastAsia"/>
                <w:bCs/>
                <w:color w:val="auto"/>
                <w:sz w:val="21"/>
                <w:szCs w:val="21"/>
              </w:rPr>
              <w:t>656.875</w:t>
            </w:r>
            <w:r>
              <w:rPr>
                <w:rFonts w:hint="eastAsia"/>
                <w:color w:val="auto"/>
                <w:sz w:val="21"/>
                <w:szCs w:val="21"/>
              </w:rPr>
              <w:t>t/a</w:t>
            </w:r>
          </w:p>
        </w:tc>
        <w:tc>
          <w:tcPr>
            <w:tcW w:w="790" w:type="pct"/>
            <w:vMerge w:val="continue"/>
            <w:tcBorders>
              <w:tl2br w:val="nil"/>
              <w:tr2bl w:val="nil"/>
            </w:tcBorders>
            <w:vAlign w:val="center"/>
          </w:tcPr>
          <w:p>
            <w:pPr>
              <w:spacing w:line="240" w:lineRule="auto"/>
              <w:ind w:firstLine="0" w:firstLineChars="0"/>
              <w:jc w:val="center"/>
              <w:rPr>
                <w:color w:val="auto"/>
                <w:sz w:val="21"/>
                <w:szCs w:val="21"/>
              </w:rPr>
            </w:pPr>
          </w:p>
        </w:tc>
        <w:tc>
          <w:tcPr>
            <w:tcW w:w="1053"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000000" w:sz="2" w:space="0"/>
            <w:left w:val="none" w:color="auto" w:sz="0" w:space="0"/>
            <w:bottom w:val="single" w:color="000000" w:sz="6"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5" w:hRule="exact"/>
          <w:jc w:val="center"/>
        </w:trPr>
        <w:tc>
          <w:tcPr>
            <w:tcW w:w="508" w:type="pct"/>
            <w:vMerge w:val="continue"/>
            <w:tcBorders>
              <w:tl2br w:val="nil"/>
              <w:tr2bl w:val="nil"/>
            </w:tcBorders>
            <w:vAlign w:val="center"/>
          </w:tcPr>
          <w:p>
            <w:pPr>
              <w:spacing w:line="240" w:lineRule="auto"/>
              <w:ind w:firstLine="0" w:firstLineChars="0"/>
              <w:jc w:val="center"/>
              <w:rPr>
                <w:color w:val="auto"/>
                <w:sz w:val="21"/>
                <w:szCs w:val="21"/>
              </w:rPr>
            </w:pPr>
          </w:p>
        </w:tc>
        <w:tc>
          <w:tcPr>
            <w:tcW w:w="1316" w:type="pct"/>
            <w:gridSpan w:val="2"/>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BOD</w:t>
            </w:r>
            <w:r>
              <w:rPr>
                <w:rFonts w:hint="eastAsia"/>
                <w:color w:val="auto"/>
                <w:sz w:val="21"/>
                <w:szCs w:val="21"/>
                <w:vertAlign w:val="subscript"/>
              </w:rPr>
              <w:t>5</w:t>
            </w:r>
          </w:p>
        </w:tc>
        <w:tc>
          <w:tcPr>
            <w:tcW w:w="1330" w:type="pct"/>
            <w:tcBorders>
              <w:tl2br w:val="nil"/>
              <w:tr2bl w:val="nil"/>
            </w:tcBorders>
            <w:vAlign w:val="center"/>
          </w:tcPr>
          <w:p>
            <w:pPr>
              <w:spacing w:line="240" w:lineRule="auto"/>
              <w:ind w:firstLine="0" w:firstLineChars="0"/>
              <w:jc w:val="center"/>
              <w:rPr>
                <w:color w:val="auto"/>
                <w:sz w:val="21"/>
                <w:szCs w:val="21"/>
              </w:rPr>
            </w:pPr>
            <w:r>
              <w:rPr>
                <w:rFonts w:hint="eastAsia"/>
                <w:bCs/>
                <w:color w:val="auto"/>
                <w:sz w:val="21"/>
                <w:szCs w:val="21"/>
              </w:rPr>
              <w:t>6000</w:t>
            </w:r>
            <w:r>
              <w:rPr>
                <w:rFonts w:hint="eastAsia"/>
                <w:color w:val="auto"/>
                <w:sz w:val="21"/>
                <w:szCs w:val="21"/>
              </w:rPr>
              <w:t>mg/L，</w:t>
            </w:r>
            <w:r>
              <w:rPr>
                <w:rFonts w:hint="eastAsia"/>
                <w:bCs/>
                <w:color w:val="auto"/>
                <w:sz w:val="21"/>
                <w:szCs w:val="21"/>
              </w:rPr>
              <w:t>281.518</w:t>
            </w:r>
            <w:r>
              <w:rPr>
                <w:rFonts w:hint="eastAsia"/>
                <w:color w:val="auto"/>
                <w:sz w:val="21"/>
                <w:szCs w:val="21"/>
              </w:rPr>
              <w:t>t/a</w:t>
            </w:r>
          </w:p>
        </w:tc>
        <w:tc>
          <w:tcPr>
            <w:tcW w:w="790" w:type="pct"/>
            <w:vMerge w:val="continue"/>
            <w:tcBorders>
              <w:tl2br w:val="nil"/>
              <w:tr2bl w:val="nil"/>
            </w:tcBorders>
            <w:vAlign w:val="center"/>
          </w:tcPr>
          <w:p>
            <w:pPr>
              <w:spacing w:line="240" w:lineRule="auto"/>
              <w:ind w:firstLine="0" w:firstLineChars="0"/>
              <w:jc w:val="center"/>
              <w:rPr>
                <w:color w:val="auto"/>
                <w:sz w:val="21"/>
                <w:szCs w:val="21"/>
              </w:rPr>
            </w:pPr>
          </w:p>
        </w:tc>
        <w:tc>
          <w:tcPr>
            <w:tcW w:w="1053"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000000" w:sz="2" w:space="0"/>
            <w:left w:val="none" w:color="auto" w:sz="0" w:space="0"/>
            <w:bottom w:val="single" w:color="000000" w:sz="6"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5" w:hRule="exact"/>
          <w:jc w:val="center"/>
        </w:trPr>
        <w:tc>
          <w:tcPr>
            <w:tcW w:w="508" w:type="pct"/>
            <w:vMerge w:val="continue"/>
            <w:tcBorders>
              <w:tl2br w:val="nil"/>
              <w:tr2bl w:val="nil"/>
            </w:tcBorders>
            <w:vAlign w:val="center"/>
          </w:tcPr>
          <w:p>
            <w:pPr>
              <w:spacing w:line="240" w:lineRule="auto"/>
              <w:ind w:firstLine="0" w:firstLineChars="0"/>
              <w:jc w:val="center"/>
              <w:rPr>
                <w:color w:val="auto"/>
                <w:sz w:val="21"/>
                <w:szCs w:val="21"/>
              </w:rPr>
            </w:pPr>
          </w:p>
        </w:tc>
        <w:tc>
          <w:tcPr>
            <w:tcW w:w="1316" w:type="pct"/>
            <w:gridSpan w:val="2"/>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SS</w:t>
            </w:r>
          </w:p>
        </w:tc>
        <w:tc>
          <w:tcPr>
            <w:tcW w:w="1330" w:type="pct"/>
            <w:tcBorders>
              <w:tl2br w:val="nil"/>
              <w:tr2bl w:val="nil"/>
            </w:tcBorders>
            <w:vAlign w:val="center"/>
          </w:tcPr>
          <w:p>
            <w:pPr>
              <w:spacing w:line="240" w:lineRule="auto"/>
              <w:ind w:firstLine="0" w:firstLineChars="0"/>
              <w:jc w:val="center"/>
              <w:rPr>
                <w:color w:val="auto"/>
                <w:sz w:val="21"/>
                <w:szCs w:val="21"/>
              </w:rPr>
            </w:pPr>
            <w:r>
              <w:rPr>
                <w:rFonts w:hint="eastAsia"/>
                <w:bCs/>
                <w:color w:val="auto"/>
                <w:sz w:val="21"/>
                <w:szCs w:val="21"/>
              </w:rPr>
              <w:t>7800</w:t>
            </w:r>
            <w:r>
              <w:rPr>
                <w:rFonts w:hint="eastAsia"/>
                <w:color w:val="auto"/>
                <w:sz w:val="21"/>
                <w:szCs w:val="21"/>
              </w:rPr>
              <w:t>mg/L，</w:t>
            </w:r>
            <w:r>
              <w:rPr>
                <w:rFonts w:hint="eastAsia"/>
                <w:bCs/>
                <w:color w:val="auto"/>
                <w:sz w:val="21"/>
                <w:szCs w:val="21"/>
              </w:rPr>
              <w:t>365.973</w:t>
            </w:r>
            <w:r>
              <w:rPr>
                <w:rFonts w:hint="eastAsia"/>
                <w:color w:val="auto"/>
                <w:sz w:val="21"/>
                <w:szCs w:val="21"/>
              </w:rPr>
              <w:t>t/a</w:t>
            </w:r>
          </w:p>
        </w:tc>
        <w:tc>
          <w:tcPr>
            <w:tcW w:w="790" w:type="pct"/>
            <w:vMerge w:val="continue"/>
            <w:tcBorders>
              <w:tl2br w:val="nil"/>
              <w:tr2bl w:val="nil"/>
            </w:tcBorders>
            <w:vAlign w:val="center"/>
          </w:tcPr>
          <w:p>
            <w:pPr>
              <w:spacing w:line="240" w:lineRule="auto"/>
              <w:ind w:firstLine="0" w:firstLineChars="0"/>
              <w:jc w:val="center"/>
              <w:rPr>
                <w:color w:val="auto"/>
                <w:sz w:val="21"/>
                <w:szCs w:val="21"/>
              </w:rPr>
            </w:pPr>
          </w:p>
        </w:tc>
        <w:tc>
          <w:tcPr>
            <w:tcW w:w="1053"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000000" w:sz="2" w:space="0"/>
            <w:left w:val="none" w:color="auto" w:sz="0" w:space="0"/>
            <w:bottom w:val="single" w:color="000000" w:sz="6"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490" w:hRule="exact"/>
          <w:jc w:val="center"/>
        </w:trPr>
        <w:tc>
          <w:tcPr>
            <w:tcW w:w="508" w:type="pct"/>
            <w:vMerge w:val="continue"/>
            <w:tcBorders>
              <w:tl2br w:val="nil"/>
              <w:tr2bl w:val="nil"/>
            </w:tcBorders>
            <w:vAlign w:val="center"/>
          </w:tcPr>
          <w:p>
            <w:pPr>
              <w:spacing w:line="240" w:lineRule="auto"/>
              <w:ind w:firstLine="0" w:firstLineChars="0"/>
              <w:jc w:val="center"/>
              <w:rPr>
                <w:color w:val="auto"/>
                <w:sz w:val="21"/>
                <w:szCs w:val="21"/>
              </w:rPr>
            </w:pPr>
          </w:p>
        </w:tc>
        <w:tc>
          <w:tcPr>
            <w:tcW w:w="1316" w:type="pct"/>
            <w:gridSpan w:val="2"/>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NH</w:t>
            </w:r>
            <w:r>
              <w:rPr>
                <w:rFonts w:hint="eastAsia"/>
                <w:color w:val="auto"/>
                <w:sz w:val="21"/>
                <w:szCs w:val="21"/>
                <w:vertAlign w:val="subscript"/>
              </w:rPr>
              <w:t>3</w:t>
            </w:r>
            <w:r>
              <w:rPr>
                <w:rFonts w:hint="eastAsia"/>
                <w:color w:val="auto"/>
                <w:sz w:val="21"/>
                <w:szCs w:val="21"/>
              </w:rPr>
              <w:t>-N</w:t>
            </w:r>
          </w:p>
        </w:tc>
        <w:tc>
          <w:tcPr>
            <w:tcW w:w="1330" w:type="pct"/>
            <w:tcBorders>
              <w:tl2br w:val="nil"/>
              <w:tr2bl w:val="nil"/>
            </w:tcBorders>
            <w:vAlign w:val="center"/>
          </w:tcPr>
          <w:p>
            <w:pPr>
              <w:spacing w:line="240" w:lineRule="auto"/>
              <w:ind w:firstLine="0" w:firstLineChars="0"/>
              <w:jc w:val="center"/>
              <w:rPr>
                <w:color w:val="auto"/>
                <w:sz w:val="21"/>
                <w:szCs w:val="21"/>
              </w:rPr>
            </w:pPr>
            <w:r>
              <w:rPr>
                <w:rFonts w:hint="eastAsia"/>
                <w:bCs/>
                <w:color w:val="auto"/>
                <w:sz w:val="21"/>
                <w:szCs w:val="21"/>
              </w:rPr>
              <w:t>1000</w:t>
            </w:r>
            <w:r>
              <w:rPr>
                <w:rFonts w:hint="eastAsia"/>
                <w:color w:val="auto"/>
                <w:sz w:val="21"/>
                <w:szCs w:val="21"/>
              </w:rPr>
              <w:t>mg/L，</w:t>
            </w:r>
            <w:r>
              <w:rPr>
                <w:rFonts w:hint="eastAsia"/>
                <w:bCs/>
                <w:color w:val="auto"/>
                <w:sz w:val="21"/>
                <w:szCs w:val="21"/>
              </w:rPr>
              <w:t>46.920</w:t>
            </w:r>
            <w:r>
              <w:rPr>
                <w:rFonts w:hint="eastAsia"/>
                <w:color w:val="auto"/>
                <w:sz w:val="21"/>
                <w:szCs w:val="21"/>
              </w:rPr>
              <w:t>t/a</w:t>
            </w:r>
          </w:p>
        </w:tc>
        <w:tc>
          <w:tcPr>
            <w:tcW w:w="790" w:type="pct"/>
            <w:vMerge w:val="continue"/>
            <w:tcBorders>
              <w:tl2br w:val="nil"/>
              <w:tr2bl w:val="nil"/>
            </w:tcBorders>
            <w:vAlign w:val="center"/>
          </w:tcPr>
          <w:p>
            <w:pPr>
              <w:spacing w:line="240" w:lineRule="auto"/>
              <w:ind w:firstLine="0" w:firstLineChars="0"/>
              <w:jc w:val="center"/>
              <w:rPr>
                <w:color w:val="auto"/>
                <w:sz w:val="21"/>
                <w:szCs w:val="21"/>
              </w:rPr>
            </w:pPr>
          </w:p>
        </w:tc>
        <w:tc>
          <w:tcPr>
            <w:tcW w:w="1053"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000000" w:sz="2" w:space="0"/>
            <w:left w:val="none" w:color="auto" w:sz="0" w:space="0"/>
            <w:bottom w:val="single" w:color="000000" w:sz="6"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5" w:hRule="exact"/>
          <w:jc w:val="center"/>
        </w:trPr>
        <w:tc>
          <w:tcPr>
            <w:tcW w:w="508"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废气</w:t>
            </w:r>
          </w:p>
        </w:tc>
        <w:tc>
          <w:tcPr>
            <w:tcW w:w="413"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猪舍</w:t>
            </w:r>
          </w:p>
        </w:tc>
        <w:tc>
          <w:tcPr>
            <w:tcW w:w="9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NH</w:t>
            </w:r>
            <w:r>
              <w:rPr>
                <w:rFonts w:hint="eastAsia"/>
                <w:color w:val="auto"/>
                <w:sz w:val="21"/>
                <w:szCs w:val="21"/>
                <w:vertAlign w:val="subscript"/>
              </w:rPr>
              <w:t>3</w:t>
            </w:r>
          </w:p>
        </w:tc>
        <w:tc>
          <w:tcPr>
            <w:tcW w:w="133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1.092</w:t>
            </w:r>
            <w:r>
              <w:rPr>
                <w:color w:val="auto"/>
                <w:sz w:val="21"/>
                <w:szCs w:val="21"/>
              </w:rPr>
              <w:t>t/a</w:t>
            </w:r>
          </w:p>
        </w:tc>
        <w:tc>
          <w:tcPr>
            <w:tcW w:w="79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0.164</w:t>
            </w:r>
            <w:r>
              <w:rPr>
                <w:color w:val="auto"/>
                <w:sz w:val="21"/>
                <w:szCs w:val="21"/>
              </w:rPr>
              <w:t>t/a</w:t>
            </w:r>
          </w:p>
        </w:tc>
        <w:tc>
          <w:tcPr>
            <w:tcW w:w="1053"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无组织排放</w:t>
            </w:r>
          </w:p>
        </w:tc>
      </w:tr>
      <w:tr>
        <w:tblPrEx>
          <w:tblBorders>
            <w:top w:val="single" w:color="000000" w:sz="2" w:space="0"/>
            <w:left w:val="none" w:color="auto" w:sz="0" w:space="0"/>
            <w:bottom w:val="single" w:color="000000" w:sz="6"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5" w:hRule="exact"/>
          <w:jc w:val="center"/>
        </w:trPr>
        <w:tc>
          <w:tcPr>
            <w:tcW w:w="508" w:type="pct"/>
            <w:vMerge w:val="continue"/>
            <w:tcBorders>
              <w:tl2br w:val="nil"/>
              <w:tr2bl w:val="nil"/>
            </w:tcBorders>
            <w:vAlign w:val="center"/>
          </w:tcPr>
          <w:p>
            <w:pPr>
              <w:spacing w:line="240" w:lineRule="auto"/>
              <w:ind w:firstLine="0" w:firstLineChars="0"/>
              <w:jc w:val="center"/>
              <w:rPr>
                <w:color w:val="auto"/>
                <w:sz w:val="21"/>
                <w:szCs w:val="21"/>
              </w:rPr>
            </w:pPr>
          </w:p>
        </w:tc>
        <w:tc>
          <w:tcPr>
            <w:tcW w:w="413" w:type="pct"/>
            <w:vMerge w:val="continue"/>
            <w:tcBorders>
              <w:tl2br w:val="nil"/>
              <w:tr2bl w:val="nil"/>
            </w:tcBorders>
            <w:vAlign w:val="center"/>
          </w:tcPr>
          <w:p>
            <w:pPr>
              <w:spacing w:line="240" w:lineRule="auto"/>
              <w:ind w:firstLine="0" w:firstLineChars="0"/>
              <w:jc w:val="center"/>
              <w:rPr>
                <w:color w:val="auto"/>
                <w:sz w:val="21"/>
                <w:szCs w:val="21"/>
              </w:rPr>
            </w:pPr>
          </w:p>
        </w:tc>
        <w:tc>
          <w:tcPr>
            <w:tcW w:w="9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H</w:t>
            </w:r>
            <w:r>
              <w:rPr>
                <w:rFonts w:hint="eastAsia"/>
                <w:color w:val="auto"/>
                <w:sz w:val="21"/>
                <w:szCs w:val="21"/>
                <w:vertAlign w:val="subscript"/>
              </w:rPr>
              <w:t>2</w:t>
            </w:r>
            <w:r>
              <w:rPr>
                <w:rFonts w:hint="eastAsia"/>
                <w:color w:val="auto"/>
                <w:sz w:val="21"/>
                <w:szCs w:val="21"/>
              </w:rPr>
              <w:t>S</w:t>
            </w:r>
          </w:p>
        </w:tc>
        <w:tc>
          <w:tcPr>
            <w:tcW w:w="133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0.093</w:t>
            </w:r>
            <w:r>
              <w:rPr>
                <w:color w:val="auto"/>
                <w:sz w:val="21"/>
                <w:szCs w:val="21"/>
              </w:rPr>
              <w:t>t/a</w:t>
            </w:r>
          </w:p>
        </w:tc>
        <w:tc>
          <w:tcPr>
            <w:tcW w:w="79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0.014</w:t>
            </w:r>
            <w:r>
              <w:rPr>
                <w:color w:val="auto"/>
                <w:sz w:val="21"/>
                <w:szCs w:val="21"/>
              </w:rPr>
              <w:t>t/a</w:t>
            </w:r>
          </w:p>
        </w:tc>
        <w:tc>
          <w:tcPr>
            <w:tcW w:w="1053"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000000" w:sz="2" w:space="0"/>
            <w:left w:val="none" w:color="auto" w:sz="0" w:space="0"/>
            <w:bottom w:val="single" w:color="000000" w:sz="6"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5" w:hRule="exact"/>
          <w:jc w:val="center"/>
        </w:trPr>
        <w:tc>
          <w:tcPr>
            <w:tcW w:w="508" w:type="pct"/>
            <w:vMerge w:val="continue"/>
            <w:tcBorders>
              <w:tl2br w:val="nil"/>
              <w:tr2bl w:val="nil"/>
            </w:tcBorders>
            <w:vAlign w:val="center"/>
          </w:tcPr>
          <w:p>
            <w:pPr>
              <w:spacing w:line="240" w:lineRule="auto"/>
              <w:ind w:firstLine="0" w:firstLineChars="0"/>
              <w:jc w:val="center"/>
              <w:rPr>
                <w:color w:val="auto"/>
                <w:sz w:val="21"/>
                <w:szCs w:val="21"/>
              </w:rPr>
            </w:pPr>
          </w:p>
        </w:tc>
        <w:tc>
          <w:tcPr>
            <w:tcW w:w="413"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污水处理</w:t>
            </w:r>
          </w:p>
        </w:tc>
        <w:tc>
          <w:tcPr>
            <w:tcW w:w="9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NH</w:t>
            </w:r>
            <w:r>
              <w:rPr>
                <w:rFonts w:hint="eastAsia"/>
                <w:color w:val="auto"/>
                <w:sz w:val="21"/>
                <w:szCs w:val="21"/>
                <w:vertAlign w:val="subscript"/>
              </w:rPr>
              <w:t>3</w:t>
            </w:r>
          </w:p>
        </w:tc>
        <w:tc>
          <w:tcPr>
            <w:tcW w:w="1330"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0.</w:t>
            </w:r>
            <w:r>
              <w:rPr>
                <w:rFonts w:hint="eastAsia"/>
                <w:color w:val="auto"/>
                <w:sz w:val="21"/>
                <w:szCs w:val="21"/>
              </w:rPr>
              <w:t>67</w:t>
            </w:r>
            <w:r>
              <w:rPr>
                <w:color w:val="auto"/>
                <w:sz w:val="21"/>
                <w:szCs w:val="21"/>
              </w:rPr>
              <w:t>t/a</w:t>
            </w:r>
          </w:p>
        </w:tc>
        <w:tc>
          <w:tcPr>
            <w:tcW w:w="790"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0.</w:t>
            </w:r>
            <w:r>
              <w:rPr>
                <w:rFonts w:hint="eastAsia"/>
                <w:color w:val="auto"/>
                <w:sz w:val="21"/>
                <w:szCs w:val="21"/>
              </w:rPr>
              <w:t>201</w:t>
            </w:r>
            <w:r>
              <w:rPr>
                <w:color w:val="auto"/>
                <w:sz w:val="21"/>
                <w:szCs w:val="21"/>
              </w:rPr>
              <w:t>t/a</w:t>
            </w:r>
          </w:p>
        </w:tc>
        <w:tc>
          <w:tcPr>
            <w:tcW w:w="1053"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无组织排放</w:t>
            </w:r>
          </w:p>
        </w:tc>
      </w:tr>
      <w:tr>
        <w:tblPrEx>
          <w:tblBorders>
            <w:top w:val="single" w:color="000000" w:sz="2" w:space="0"/>
            <w:left w:val="none" w:color="auto" w:sz="0" w:space="0"/>
            <w:bottom w:val="single" w:color="000000" w:sz="6"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5" w:hRule="exact"/>
          <w:jc w:val="center"/>
        </w:trPr>
        <w:tc>
          <w:tcPr>
            <w:tcW w:w="508" w:type="pct"/>
            <w:vMerge w:val="continue"/>
            <w:tcBorders>
              <w:tl2br w:val="nil"/>
              <w:tr2bl w:val="nil"/>
            </w:tcBorders>
            <w:vAlign w:val="center"/>
          </w:tcPr>
          <w:p>
            <w:pPr>
              <w:spacing w:line="240" w:lineRule="auto"/>
              <w:ind w:firstLine="0" w:firstLineChars="0"/>
              <w:jc w:val="center"/>
              <w:rPr>
                <w:color w:val="auto"/>
                <w:sz w:val="21"/>
                <w:szCs w:val="21"/>
              </w:rPr>
            </w:pPr>
          </w:p>
        </w:tc>
        <w:tc>
          <w:tcPr>
            <w:tcW w:w="413" w:type="pct"/>
            <w:vMerge w:val="continue"/>
            <w:tcBorders>
              <w:tl2br w:val="nil"/>
              <w:tr2bl w:val="nil"/>
            </w:tcBorders>
            <w:vAlign w:val="center"/>
          </w:tcPr>
          <w:p>
            <w:pPr>
              <w:spacing w:line="240" w:lineRule="auto"/>
              <w:ind w:firstLine="0" w:firstLineChars="0"/>
              <w:jc w:val="center"/>
              <w:rPr>
                <w:color w:val="auto"/>
                <w:sz w:val="21"/>
                <w:szCs w:val="21"/>
              </w:rPr>
            </w:pPr>
          </w:p>
        </w:tc>
        <w:tc>
          <w:tcPr>
            <w:tcW w:w="9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H</w:t>
            </w:r>
            <w:r>
              <w:rPr>
                <w:rFonts w:hint="eastAsia"/>
                <w:color w:val="auto"/>
                <w:sz w:val="21"/>
                <w:szCs w:val="21"/>
                <w:vertAlign w:val="subscript"/>
              </w:rPr>
              <w:t>2</w:t>
            </w:r>
            <w:r>
              <w:rPr>
                <w:rFonts w:hint="eastAsia"/>
                <w:color w:val="auto"/>
                <w:sz w:val="21"/>
                <w:szCs w:val="21"/>
              </w:rPr>
              <w:t>S</w:t>
            </w:r>
          </w:p>
        </w:tc>
        <w:tc>
          <w:tcPr>
            <w:tcW w:w="1330"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0.0</w:t>
            </w:r>
            <w:r>
              <w:rPr>
                <w:rFonts w:hint="eastAsia"/>
                <w:color w:val="auto"/>
                <w:sz w:val="21"/>
                <w:szCs w:val="21"/>
              </w:rPr>
              <w:t>26</w:t>
            </w:r>
            <w:r>
              <w:rPr>
                <w:color w:val="auto"/>
                <w:sz w:val="21"/>
                <w:szCs w:val="21"/>
              </w:rPr>
              <w:t>t/a</w:t>
            </w:r>
          </w:p>
        </w:tc>
        <w:tc>
          <w:tcPr>
            <w:tcW w:w="790"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0.0</w:t>
            </w:r>
            <w:r>
              <w:rPr>
                <w:rFonts w:hint="eastAsia"/>
                <w:color w:val="auto"/>
                <w:sz w:val="21"/>
                <w:szCs w:val="21"/>
              </w:rPr>
              <w:t>078</w:t>
            </w:r>
            <w:r>
              <w:rPr>
                <w:color w:val="auto"/>
                <w:sz w:val="21"/>
                <w:szCs w:val="21"/>
              </w:rPr>
              <w:t>t/a</w:t>
            </w:r>
          </w:p>
        </w:tc>
        <w:tc>
          <w:tcPr>
            <w:tcW w:w="1053"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000000" w:sz="2" w:space="0"/>
            <w:left w:val="none" w:color="auto" w:sz="0" w:space="0"/>
            <w:bottom w:val="single" w:color="000000" w:sz="6"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9" w:hRule="exact"/>
          <w:jc w:val="center"/>
        </w:trPr>
        <w:tc>
          <w:tcPr>
            <w:tcW w:w="508" w:type="pct"/>
            <w:vMerge w:val="continue"/>
            <w:tcBorders>
              <w:tl2br w:val="nil"/>
              <w:tr2bl w:val="nil"/>
            </w:tcBorders>
            <w:vAlign w:val="center"/>
          </w:tcPr>
          <w:p>
            <w:pPr>
              <w:spacing w:line="240" w:lineRule="auto"/>
              <w:ind w:firstLine="0" w:firstLineChars="0"/>
              <w:jc w:val="center"/>
              <w:rPr>
                <w:color w:val="auto"/>
                <w:sz w:val="21"/>
                <w:szCs w:val="21"/>
              </w:rPr>
            </w:pPr>
          </w:p>
        </w:tc>
        <w:tc>
          <w:tcPr>
            <w:tcW w:w="413"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固粪处理区</w:t>
            </w:r>
          </w:p>
        </w:tc>
        <w:tc>
          <w:tcPr>
            <w:tcW w:w="903" w:type="pct"/>
            <w:tcBorders>
              <w:bottom w:val="single" w:color="000000" w:sz="4" w:space="0"/>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NH</w:t>
            </w:r>
            <w:r>
              <w:rPr>
                <w:rFonts w:hint="eastAsia"/>
                <w:color w:val="auto"/>
                <w:sz w:val="21"/>
                <w:szCs w:val="21"/>
                <w:vertAlign w:val="subscript"/>
              </w:rPr>
              <w:t>3</w:t>
            </w:r>
          </w:p>
        </w:tc>
        <w:tc>
          <w:tcPr>
            <w:tcW w:w="133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0.715t/a</w:t>
            </w:r>
          </w:p>
        </w:tc>
        <w:tc>
          <w:tcPr>
            <w:tcW w:w="79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0.108t/a</w:t>
            </w:r>
          </w:p>
        </w:tc>
        <w:tc>
          <w:tcPr>
            <w:tcW w:w="1053"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无组织排放</w:t>
            </w:r>
          </w:p>
        </w:tc>
      </w:tr>
      <w:tr>
        <w:tblPrEx>
          <w:tblBorders>
            <w:top w:val="single" w:color="000000" w:sz="2" w:space="0"/>
            <w:left w:val="none" w:color="auto" w:sz="0" w:space="0"/>
            <w:bottom w:val="single" w:color="000000" w:sz="6"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287" w:hRule="exact"/>
          <w:jc w:val="center"/>
        </w:trPr>
        <w:tc>
          <w:tcPr>
            <w:tcW w:w="508" w:type="pct"/>
            <w:vMerge w:val="continue"/>
            <w:tcBorders>
              <w:tl2br w:val="nil"/>
              <w:tr2bl w:val="nil"/>
            </w:tcBorders>
            <w:vAlign w:val="center"/>
          </w:tcPr>
          <w:p>
            <w:pPr>
              <w:spacing w:line="240" w:lineRule="auto"/>
              <w:ind w:firstLine="0" w:firstLineChars="0"/>
              <w:jc w:val="center"/>
              <w:rPr>
                <w:color w:val="auto"/>
                <w:sz w:val="21"/>
                <w:szCs w:val="21"/>
              </w:rPr>
            </w:pPr>
          </w:p>
        </w:tc>
        <w:tc>
          <w:tcPr>
            <w:tcW w:w="413" w:type="pct"/>
            <w:vMerge w:val="continue"/>
            <w:tcBorders>
              <w:tl2br w:val="nil"/>
              <w:tr2bl w:val="nil"/>
            </w:tcBorders>
            <w:vAlign w:val="center"/>
          </w:tcPr>
          <w:p>
            <w:pPr>
              <w:spacing w:line="240" w:lineRule="auto"/>
              <w:ind w:firstLine="0" w:firstLineChars="0"/>
              <w:jc w:val="center"/>
              <w:rPr>
                <w:color w:val="auto"/>
                <w:sz w:val="21"/>
                <w:szCs w:val="21"/>
              </w:rPr>
            </w:pPr>
          </w:p>
        </w:tc>
        <w:tc>
          <w:tcPr>
            <w:tcW w:w="903" w:type="pct"/>
            <w:tcBorders>
              <w:top w:val="single" w:color="000000" w:sz="4" w:space="0"/>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H</w:t>
            </w:r>
            <w:r>
              <w:rPr>
                <w:rFonts w:hint="eastAsia"/>
                <w:color w:val="auto"/>
                <w:sz w:val="21"/>
                <w:szCs w:val="21"/>
                <w:vertAlign w:val="subscript"/>
              </w:rPr>
              <w:t>2</w:t>
            </w:r>
            <w:r>
              <w:rPr>
                <w:rFonts w:hint="eastAsia"/>
                <w:color w:val="auto"/>
                <w:sz w:val="21"/>
                <w:szCs w:val="21"/>
              </w:rPr>
              <w:t>S</w:t>
            </w:r>
          </w:p>
        </w:tc>
        <w:tc>
          <w:tcPr>
            <w:tcW w:w="133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0.043t/a</w:t>
            </w:r>
          </w:p>
        </w:tc>
        <w:tc>
          <w:tcPr>
            <w:tcW w:w="79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0.0065t/a</w:t>
            </w:r>
          </w:p>
        </w:tc>
        <w:tc>
          <w:tcPr>
            <w:tcW w:w="1053"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000000" w:sz="2" w:space="0"/>
            <w:left w:val="none" w:color="auto" w:sz="0" w:space="0"/>
            <w:bottom w:val="single" w:color="000000" w:sz="6"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294" w:hRule="exact"/>
          <w:jc w:val="center"/>
        </w:trPr>
        <w:tc>
          <w:tcPr>
            <w:tcW w:w="508" w:type="pct"/>
            <w:vMerge w:val="continue"/>
            <w:tcBorders>
              <w:tl2br w:val="nil"/>
              <w:tr2bl w:val="nil"/>
            </w:tcBorders>
            <w:vAlign w:val="center"/>
          </w:tcPr>
          <w:p>
            <w:pPr>
              <w:spacing w:line="240" w:lineRule="auto"/>
              <w:ind w:firstLine="0" w:firstLineChars="0"/>
              <w:jc w:val="center"/>
              <w:rPr>
                <w:color w:val="auto"/>
                <w:sz w:val="21"/>
                <w:szCs w:val="21"/>
              </w:rPr>
            </w:pPr>
          </w:p>
        </w:tc>
        <w:tc>
          <w:tcPr>
            <w:tcW w:w="413"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高温化制机</w:t>
            </w:r>
          </w:p>
        </w:tc>
        <w:tc>
          <w:tcPr>
            <w:tcW w:w="903" w:type="pct"/>
            <w:tcBorders>
              <w:bottom w:val="single" w:color="000000" w:sz="4" w:space="0"/>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NH</w:t>
            </w:r>
            <w:r>
              <w:rPr>
                <w:rFonts w:hint="eastAsia"/>
                <w:color w:val="auto"/>
                <w:sz w:val="21"/>
                <w:szCs w:val="21"/>
                <w:vertAlign w:val="subscript"/>
              </w:rPr>
              <w:t>3</w:t>
            </w:r>
          </w:p>
        </w:tc>
        <w:tc>
          <w:tcPr>
            <w:tcW w:w="133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0.0026t/a</w:t>
            </w:r>
          </w:p>
        </w:tc>
        <w:tc>
          <w:tcPr>
            <w:tcW w:w="79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0.0004t/a</w:t>
            </w:r>
          </w:p>
        </w:tc>
        <w:tc>
          <w:tcPr>
            <w:tcW w:w="1053"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无组织排放</w:t>
            </w:r>
          </w:p>
        </w:tc>
      </w:tr>
      <w:tr>
        <w:tblPrEx>
          <w:tblBorders>
            <w:top w:val="single" w:color="000000" w:sz="2" w:space="0"/>
            <w:left w:val="none" w:color="auto" w:sz="0" w:space="0"/>
            <w:bottom w:val="single" w:color="000000" w:sz="6"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284" w:hRule="exact"/>
          <w:jc w:val="center"/>
        </w:trPr>
        <w:tc>
          <w:tcPr>
            <w:tcW w:w="508" w:type="pct"/>
            <w:vMerge w:val="continue"/>
            <w:tcBorders>
              <w:tl2br w:val="nil"/>
              <w:tr2bl w:val="nil"/>
            </w:tcBorders>
            <w:vAlign w:val="center"/>
          </w:tcPr>
          <w:p>
            <w:pPr>
              <w:spacing w:line="240" w:lineRule="auto"/>
              <w:ind w:firstLine="0" w:firstLineChars="0"/>
              <w:jc w:val="center"/>
              <w:rPr>
                <w:color w:val="auto"/>
                <w:sz w:val="21"/>
                <w:szCs w:val="21"/>
              </w:rPr>
            </w:pPr>
          </w:p>
        </w:tc>
        <w:tc>
          <w:tcPr>
            <w:tcW w:w="413" w:type="pct"/>
            <w:vMerge w:val="continue"/>
            <w:tcBorders>
              <w:tl2br w:val="nil"/>
              <w:tr2bl w:val="nil"/>
            </w:tcBorders>
            <w:vAlign w:val="center"/>
          </w:tcPr>
          <w:p>
            <w:pPr>
              <w:spacing w:line="240" w:lineRule="auto"/>
              <w:ind w:firstLine="0" w:firstLineChars="0"/>
              <w:jc w:val="center"/>
              <w:rPr>
                <w:color w:val="auto"/>
                <w:sz w:val="21"/>
                <w:szCs w:val="21"/>
              </w:rPr>
            </w:pPr>
          </w:p>
        </w:tc>
        <w:tc>
          <w:tcPr>
            <w:tcW w:w="903" w:type="pct"/>
            <w:tcBorders>
              <w:top w:val="single" w:color="000000" w:sz="4" w:space="0"/>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H</w:t>
            </w:r>
            <w:r>
              <w:rPr>
                <w:rFonts w:hint="eastAsia"/>
                <w:color w:val="auto"/>
                <w:sz w:val="21"/>
                <w:szCs w:val="21"/>
                <w:vertAlign w:val="subscript"/>
              </w:rPr>
              <w:t>2</w:t>
            </w:r>
            <w:r>
              <w:rPr>
                <w:rFonts w:hint="eastAsia"/>
                <w:color w:val="auto"/>
                <w:sz w:val="21"/>
                <w:szCs w:val="21"/>
              </w:rPr>
              <w:t>S</w:t>
            </w:r>
          </w:p>
        </w:tc>
        <w:tc>
          <w:tcPr>
            <w:tcW w:w="133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0.0005t/a</w:t>
            </w:r>
          </w:p>
        </w:tc>
        <w:tc>
          <w:tcPr>
            <w:tcW w:w="79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0.00008t/a</w:t>
            </w:r>
          </w:p>
        </w:tc>
        <w:tc>
          <w:tcPr>
            <w:tcW w:w="1053"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000000" w:sz="2" w:space="0"/>
            <w:left w:val="none" w:color="auto" w:sz="0" w:space="0"/>
            <w:bottom w:val="single" w:color="000000" w:sz="6"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5" w:hRule="exact"/>
          <w:jc w:val="center"/>
        </w:trPr>
        <w:tc>
          <w:tcPr>
            <w:tcW w:w="508" w:type="pct"/>
            <w:vMerge w:val="continue"/>
            <w:tcBorders>
              <w:tl2br w:val="nil"/>
              <w:tr2bl w:val="nil"/>
            </w:tcBorders>
            <w:vAlign w:val="center"/>
          </w:tcPr>
          <w:p>
            <w:pPr>
              <w:spacing w:line="240" w:lineRule="auto"/>
              <w:ind w:firstLine="0" w:firstLineChars="0"/>
              <w:jc w:val="center"/>
              <w:rPr>
                <w:color w:val="auto"/>
                <w:sz w:val="21"/>
                <w:szCs w:val="21"/>
              </w:rPr>
            </w:pPr>
          </w:p>
        </w:tc>
        <w:tc>
          <w:tcPr>
            <w:tcW w:w="413"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沼气燃烧</w:t>
            </w:r>
          </w:p>
        </w:tc>
        <w:tc>
          <w:tcPr>
            <w:tcW w:w="9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废气量</w:t>
            </w:r>
          </w:p>
        </w:tc>
        <w:tc>
          <w:tcPr>
            <w:tcW w:w="1330" w:type="pct"/>
            <w:tcBorders>
              <w:tl2br w:val="nil"/>
              <w:tr2bl w:val="nil"/>
            </w:tcBorders>
            <w:vAlign w:val="center"/>
          </w:tcPr>
          <w:p>
            <w:pPr>
              <w:spacing w:line="240" w:lineRule="auto"/>
              <w:ind w:firstLine="420"/>
              <w:jc w:val="center"/>
              <w:rPr>
                <w:color w:val="auto"/>
                <w:sz w:val="21"/>
                <w:szCs w:val="21"/>
              </w:rPr>
            </w:pPr>
            <w:r>
              <w:rPr>
                <w:rFonts w:hint="eastAsia"/>
                <w:color w:val="auto"/>
                <w:sz w:val="21"/>
                <w:szCs w:val="21"/>
              </w:rPr>
              <w:t>87.5万m</w:t>
            </w:r>
            <w:r>
              <w:rPr>
                <w:rFonts w:hint="eastAsia"/>
                <w:color w:val="auto"/>
                <w:sz w:val="21"/>
                <w:szCs w:val="21"/>
                <w:vertAlign w:val="superscript"/>
              </w:rPr>
              <w:t>3</w:t>
            </w:r>
            <w:r>
              <w:rPr>
                <w:rFonts w:hint="eastAsia"/>
                <w:color w:val="auto"/>
                <w:sz w:val="21"/>
                <w:szCs w:val="21"/>
              </w:rPr>
              <w:t>/a</w:t>
            </w:r>
          </w:p>
        </w:tc>
        <w:tc>
          <w:tcPr>
            <w:tcW w:w="790" w:type="pct"/>
            <w:tcBorders>
              <w:tl2br w:val="nil"/>
              <w:tr2bl w:val="nil"/>
            </w:tcBorders>
            <w:vAlign w:val="center"/>
          </w:tcPr>
          <w:p>
            <w:pPr>
              <w:spacing w:line="240" w:lineRule="auto"/>
              <w:ind w:firstLine="0" w:firstLineChars="0"/>
              <w:rPr>
                <w:color w:val="auto"/>
                <w:sz w:val="21"/>
                <w:szCs w:val="21"/>
              </w:rPr>
            </w:pPr>
            <w:r>
              <w:rPr>
                <w:rFonts w:hint="eastAsia"/>
                <w:color w:val="auto"/>
                <w:sz w:val="21"/>
                <w:szCs w:val="21"/>
              </w:rPr>
              <w:t>87.5万m</w:t>
            </w:r>
            <w:r>
              <w:rPr>
                <w:rFonts w:hint="eastAsia"/>
                <w:color w:val="auto"/>
                <w:sz w:val="21"/>
                <w:szCs w:val="21"/>
                <w:vertAlign w:val="superscript"/>
              </w:rPr>
              <w:t>3</w:t>
            </w:r>
            <w:r>
              <w:rPr>
                <w:rFonts w:hint="eastAsia"/>
                <w:color w:val="auto"/>
                <w:sz w:val="21"/>
                <w:szCs w:val="21"/>
              </w:rPr>
              <w:t>/a</w:t>
            </w:r>
          </w:p>
        </w:tc>
        <w:tc>
          <w:tcPr>
            <w:tcW w:w="1053"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无组织</w:t>
            </w:r>
          </w:p>
        </w:tc>
      </w:tr>
      <w:tr>
        <w:tblPrEx>
          <w:tblBorders>
            <w:top w:val="single" w:color="000000" w:sz="2" w:space="0"/>
            <w:left w:val="none" w:color="auto" w:sz="0" w:space="0"/>
            <w:bottom w:val="single" w:color="000000" w:sz="6"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5" w:hRule="exact"/>
          <w:jc w:val="center"/>
        </w:trPr>
        <w:tc>
          <w:tcPr>
            <w:tcW w:w="508" w:type="pct"/>
            <w:vMerge w:val="continue"/>
            <w:tcBorders>
              <w:tl2br w:val="nil"/>
              <w:tr2bl w:val="nil"/>
            </w:tcBorders>
            <w:vAlign w:val="center"/>
          </w:tcPr>
          <w:p>
            <w:pPr>
              <w:spacing w:line="240" w:lineRule="auto"/>
              <w:ind w:firstLine="0" w:firstLineChars="0"/>
              <w:jc w:val="center"/>
              <w:rPr>
                <w:color w:val="auto"/>
                <w:sz w:val="21"/>
                <w:szCs w:val="21"/>
              </w:rPr>
            </w:pPr>
          </w:p>
        </w:tc>
        <w:tc>
          <w:tcPr>
            <w:tcW w:w="413" w:type="pct"/>
            <w:vMerge w:val="continue"/>
            <w:tcBorders>
              <w:tl2br w:val="nil"/>
              <w:tr2bl w:val="nil"/>
            </w:tcBorders>
            <w:vAlign w:val="center"/>
          </w:tcPr>
          <w:p>
            <w:pPr>
              <w:spacing w:line="240" w:lineRule="auto"/>
              <w:ind w:firstLine="0" w:firstLineChars="0"/>
              <w:jc w:val="center"/>
              <w:rPr>
                <w:color w:val="auto"/>
                <w:sz w:val="21"/>
                <w:szCs w:val="21"/>
              </w:rPr>
            </w:pPr>
          </w:p>
        </w:tc>
        <w:tc>
          <w:tcPr>
            <w:tcW w:w="9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SO</w:t>
            </w:r>
            <w:r>
              <w:rPr>
                <w:rFonts w:hint="eastAsia"/>
                <w:color w:val="auto"/>
                <w:sz w:val="21"/>
                <w:szCs w:val="21"/>
                <w:vertAlign w:val="subscript"/>
              </w:rPr>
              <w:t>2</w:t>
            </w:r>
          </w:p>
        </w:tc>
        <w:tc>
          <w:tcPr>
            <w:tcW w:w="133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0.0</w:t>
            </w:r>
            <w:r>
              <w:rPr>
                <w:rFonts w:hint="eastAsia"/>
                <w:color w:val="auto"/>
                <w:sz w:val="21"/>
                <w:szCs w:val="21"/>
                <w:lang w:val="en-US" w:eastAsia="zh-CN"/>
              </w:rPr>
              <w:t>15</w:t>
            </w:r>
            <w:r>
              <w:rPr>
                <w:rFonts w:hint="eastAsia"/>
                <w:color w:val="auto"/>
                <w:sz w:val="21"/>
                <w:szCs w:val="21"/>
              </w:rPr>
              <w:t>t/a</w:t>
            </w:r>
          </w:p>
        </w:tc>
        <w:tc>
          <w:tcPr>
            <w:tcW w:w="1415"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0.0</w:t>
            </w:r>
            <w:r>
              <w:rPr>
                <w:rFonts w:hint="eastAsia"/>
                <w:color w:val="auto"/>
                <w:sz w:val="21"/>
                <w:szCs w:val="21"/>
                <w:lang w:val="en-US" w:eastAsia="zh-CN"/>
              </w:rPr>
              <w:t>15</w:t>
            </w:r>
            <w:r>
              <w:rPr>
                <w:rFonts w:hint="eastAsia"/>
                <w:color w:val="auto"/>
                <w:sz w:val="21"/>
                <w:szCs w:val="21"/>
              </w:rPr>
              <w:t>t/a</w:t>
            </w:r>
          </w:p>
        </w:tc>
        <w:tc>
          <w:tcPr>
            <w:tcW w:w="1053"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000000" w:sz="2" w:space="0"/>
            <w:left w:val="none" w:color="auto" w:sz="0" w:space="0"/>
            <w:bottom w:val="single" w:color="000000" w:sz="6"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5" w:hRule="exact"/>
          <w:jc w:val="center"/>
        </w:trPr>
        <w:tc>
          <w:tcPr>
            <w:tcW w:w="508" w:type="pct"/>
            <w:vMerge w:val="continue"/>
            <w:tcBorders>
              <w:tl2br w:val="nil"/>
              <w:tr2bl w:val="nil"/>
            </w:tcBorders>
            <w:vAlign w:val="center"/>
          </w:tcPr>
          <w:p>
            <w:pPr>
              <w:spacing w:line="240" w:lineRule="auto"/>
              <w:ind w:firstLine="0" w:firstLineChars="0"/>
              <w:jc w:val="center"/>
              <w:rPr>
                <w:color w:val="auto"/>
                <w:sz w:val="21"/>
                <w:szCs w:val="21"/>
              </w:rPr>
            </w:pPr>
          </w:p>
        </w:tc>
        <w:tc>
          <w:tcPr>
            <w:tcW w:w="413" w:type="pct"/>
            <w:vMerge w:val="continue"/>
            <w:tcBorders>
              <w:tl2br w:val="nil"/>
              <w:tr2bl w:val="nil"/>
            </w:tcBorders>
            <w:vAlign w:val="center"/>
          </w:tcPr>
          <w:p>
            <w:pPr>
              <w:spacing w:line="240" w:lineRule="auto"/>
              <w:ind w:firstLine="0" w:firstLineChars="0"/>
              <w:jc w:val="center"/>
              <w:rPr>
                <w:color w:val="auto"/>
                <w:sz w:val="21"/>
                <w:szCs w:val="21"/>
              </w:rPr>
            </w:pPr>
          </w:p>
        </w:tc>
        <w:tc>
          <w:tcPr>
            <w:tcW w:w="9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烟尘</w:t>
            </w:r>
          </w:p>
        </w:tc>
        <w:tc>
          <w:tcPr>
            <w:tcW w:w="133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0.0</w:t>
            </w:r>
            <w:r>
              <w:rPr>
                <w:rFonts w:hint="eastAsia"/>
                <w:color w:val="auto"/>
                <w:sz w:val="21"/>
                <w:szCs w:val="21"/>
                <w:lang w:val="en-US" w:eastAsia="zh-CN"/>
              </w:rPr>
              <w:t>26</w:t>
            </w:r>
            <w:r>
              <w:rPr>
                <w:rFonts w:hint="eastAsia"/>
                <w:color w:val="auto"/>
                <w:sz w:val="21"/>
                <w:szCs w:val="21"/>
              </w:rPr>
              <w:t>t/a</w:t>
            </w:r>
          </w:p>
        </w:tc>
        <w:tc>
          <w:tcPr>
            <w:tcW w:w="1415"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0.0</w:t>
            </w:r>
            <w:r>
              <w:rPr>
                <w:rFonts w:hint="eastAsia"/>
                <w:color w:val="auto"/>
                <w:sz w:val="21"/>
                <w:szCs w:val="21"/>
                <w:lang w:val="en-US" w:eastAsia="zh-CN"/>
              </w:rPr>
              <w:t>26</w:t>
            </w:r>
            <w:r>
              <w:rPr>
                <w:rFonts w:hint="eastAsia"/>
                <w:color w:val="auto"/>
                <w:sz w:val="21"/>
                <w:szCs w:val="21"/>
              </w:rPr>
              <w:t>t/a</w:t>
            </w:r>
          </w:p>
        </w:tc>
        <w:tc>
          <w:tcPr>
            <w:tcW w:w="1053"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000000" w:sz="2" w:space="0"/>
            <w:left w:val="none" w:color="auto" w:sz="0" w:space="0"/>
            <w:bottom w:val="single" w:color="000000" w:sz="6"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5" w:hRule="exact"/>
          <w:jc w:val="center"/>
        </w:trPr>
        <w:tc>
          <w:tcPr>
            <w:tcW w:w="508" w:type="pct"/>
            <w:vMerge w:val="continue"/>
            <w:tcBorders>
              <w:tl2br w:val="nil"/>
              <w:tr2bl w:val="nil"/>
            </w:tcBorders>
            <w:vAlign w:val="center"/>
          </w:tcPr>
          <w:p>
            <w:pPr>
              <w:spacing w:line="240" w:lineRule="auto"/>
              <w:ind w:firstLine="0" w:firstLineChars="0"/>
              <w:jc w:val="center"/>
              <w:rPr>
                <w:color w:val="auto"/>
                <w:sz w:val="21"/>
                <w:szCs w:val="21"/>
              </w:rPr>
            </w:pPr>
          </w:p>
        </w:tc>
        <w:tc>
          <w:tcPr>
            <w:tcW w:w="413" w:type="pct"/>
            <w:vMerge w:val="continue"/>
            <w:tcBorders>
              <w:tl2br w:val="nil"/>
              <w:tr2bl w:val="nil"/>
            </w:tcBorders>
            <w:vAlign w:val="center"/>
          </w:tcPr>
          <w:p>
            <w:pPr>
              <w:spacing w:line="240" w:lineRule="auto"/>
              <w:ind w:firstLine="0" w:firstLineChars="0"/>
              <w:jc w:val="center"/>
              <w:rPr>
                <w:color w:val="auto"/>
                <w:sz w:val="21"/>
                <w:szCs w:val="21"/>
              </w:rPr>
            </w:pPr>
          </w:p>
        </w:tc>
        <w:tc>
          <w:tcPr>
            <w:tcW w:w="9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NO</w:t>
            </w:r>
            <w:r>
              <w:rPr>
                <w:rFonts w:hint="eastAsia"/>
                <w:color w:val="auto"/>
                <w:sz w:val="21"/>
                <w:szCs w:val="21"/>
                <w:vertAlign w:val="subscript"/>
              </w:rPr>
              <w:t>X</w:t>
            </w:r>
          </w:p>
        </w:tc>
        <w:tc>
          <w:tcPr>
            <w:tcW w:w="133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0.0</w:t>
            </w:r>
            <w:r>
              <w:rPr>
                <w:rFonts w:hint="eastAsia"/>
                <w:color w:val="auto"/>
                <w:sz w:val="21"/>
                <w:szCs w:val="21"/>
                <w:lang w:val="en-US" w:eastAsia="zh-CN"/>
              </w:rPr>
              <w:t>65</w:t>
            </w:r>
            <w:r>
              <w:rPr>
                <w:rFonts w:hint="eastAsia"/>
                <w:color w:val="auto"/>
                <w:sz w:val="21"/>
                <w:szCs w:val="21"/>
              </w:rPr>
              <w:t>t/a</w:t>
            </w:r>
          </w:p>
        </w:tc>
        <w:tc>
          <w:tcPr>
            <w:tcW w:w="1415" w:type="dxa"/>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0.0</w:t>
            </w:r>
            <w:r>
              <w:rPr>
                <w:rFonts w:hint="eastAsia"/>
                <w:color w:val="auto"/>
                <w:sz w:val="21"/>
                <w:szCs w:val="21"/>
                <w:lang w:val="en-US" w:eastAsia="zh-CN"/>
              </w:rPr>
              <w:t>65</w:t>
            </w:r>
            <w:r>
              <w:rPr>
                <w:rFonts w:hint="eastAsia"/>
                <w:color w:val="auto"/>
                <w:sz w:val="21"/>
                <w:szCs w:val="21"/>
              </w:rPr>
              <w:t>t/a</w:t>
            </w:r>
          </w:p>
        </w:tc>
        <w:tc>
          <w:tcPr>
            <w:tcW w:w="1053"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000000" w:sz="2" w:space="0"/>
            <w:left w:val="none" w:color="auto" w:sz="0" w:space="0"/>
            <w:bottom w:val="single" w:color="000000" w:sz="6"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840" w:hRule="exact"/>
          <w:jc w:val="center"/>
        </w:trPr>
        <w:tc>
          <w:tcPr>
            <w:tcW w:w="508" w:type="pct"/>
            <w:vMerge w:val="continue"/>
            <w:tcBorders>
              <w:tl2br w:val="nil"/>
              <w:tr2bl w:val="nil"/>
            </w:tcBorders>
            <w:vAlign w:val="center"/>
          </w:tcPr>
          <w:p>
            <w:pPr>
              <w:spacing w:line="240" w:lineRule="auto"/>
              <w:ind w:firstLine="0" w:firstLineChars="0"/>
              <w:jc w:val="center"/>
              <w:rPr>
                <w:color w:val="auto"/>
                <w:sz w:val="21"/>
                <w:szCs w:val="21"/>
              </w:rPr>
            </w:pPr>
          </w:p>
        </w:tc>
        <w:tc>
          <w:tcPr>
            <w:tcW w:w="41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食堂油烟</w:t>
            </w:r>
          </w:p>
        </w:tc>
        <w:tc>
          <w:tcPr>
            <w:tcW w:w="9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油烟</w:t>
            </w:r>
          </w:p>
        </w:tc>
        <w:tc>
          <w:tcPr>
            <w:tcW w:w="133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2.1mg/m</w:t>
            </w:r>
            <w:r>
              <w:rPr>
                <w:rFonts w:hint="eastAsia"/>
                <w:color w:val="auto"/>
                <w:sz w:val="21"/>
                <w:szCs w:val="21"/>
                <w:vertAlign w:val="superscript"/>
              </w:rPr>
              <w:t>3</w:t>
            </w:r>
            <w:r>
              <w:rPr>
                <w:rFonts w:hint="eastAsia"/>
                <w:color w:val="auto"/>
                <w:sz w:val="21"/>
                <w:szCs w:val="21"/>
              </w:rPr>
              <w:t>、0.005t/a</w:t>
            </w:r>
          </w:p>
        </w:tc>
        <w:tc>
          <w:tcPr>
            <w:tcW w:w="79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0.21mg/m</w:t>
            </w:r>
            <w:r>
              <w:rPr>
                <w:rFonts w:hint="eastAsia"/>
                <w:color w:val="auto"/>
                <w:sz w:val="21"/>
                <w:szCs w:val="21"/>
                <w:vertAlign w:val="superscript"/>
              </w:rPr>
              <w:t>3</w:t>
            </w:r>
            <w:r>
              <w:rPr>
                <w:rFonts w:hint="eastAsia"/>
                <w:color w:val="auto"/>
                <w:sz w:val="21"/>
                <w:szCs w:val="21"/>
              </w:rPr>
              <w:t>、</w:t>
            </w:r>
          </w:p>
          <w:p>
            <w:pPr>
              <w:spacing w:line="240" w:lineRule="auto"/>
              <w:ind w:firstLine="0" w:firstLineChars="0"/>
              <w:jc w:val="center"/>
              <w:rPr>
                <w:color w:val="auto"/>
                <w:sz w:val="21"/>
                <w:szCs w:val="21"/>
              </w:rPr>
            </w:pPr>
            <w:r>
              <w:rPr>
                <w:rFonts w:hint="eastAsia"/>
                <w:color w:val="auto"/>
                <w:sz w:val="21"/>
                <w:szCs w:val="21"/>
              </w:rPr>
              <w:t>0.0005t/a</w:t>
            </w:r>
          </w:p>
        </w:tc>
        <w:tc>
          <w:tcPr>
            <w:tcW w:w="105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由高于屋顶的专用烟道排放</w:t>
            </w:r>
          </w:p>
        </w:tc>
      </w:tr>
      <w:tr>
        <w:tblPrEx>
          <w:tblBorders>
            <w:top w:val="single" w:color="000000" w:sz="2" w:space="0"/>
            <w:left w:val="none" w:color="auto" w:sz="0" w:space="0"/>
            <w:bottom w:val="single" w:color="000000" w:sz="6"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562" w:hRule="exact"/>
          <w:jc w:val="center"/>
        </w:trPr>
        <w:tc>
          <w:tcPr>
            <w:tcW w:w="508"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固废</w:t>
            </w:r>
          </w:p>
        </w:tc>
        <w:tc>
          <w:tcPr>
            <w:tcW w:w="1316" w:type="pct"/>
            <w:gridSpan w:val="2"/>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医疗固废</w:t>
            </w:r>
          </w:p>
        </w:tc>
        <w:tc>
          <w:tcPr>
            <w:tcW w:w="133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0.25</w:t>
            </w:r>
            <w:r>
              <w:rPr>
                <w:color w:val="auto"/>
                <w:sz w:val="21"/>
                <w:szCs w:val="21"/>
              </w:rPr>
              <w:t>t/a</w:t>
            </w:r>
          </w:p>
        </w:tc>
        <w:tc>
          <w:tcPr>
            <w:tcW w:w="79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w:t>
            </w:r>
            <w:r>
              <w:rPr>
                <w:color w:val="auto"/>
                <w:sz w:val="21"/>
                <w:szCs w:val="21"/>
              </w:rPr>
              <w:t>t/a</w:t>
            </w:r>
          </w:p>
        </w:tc>
        <w:tc>
          <w:tcPr>
            <w:tcW w:w="105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定期交由有资质单位</w:t>
            </w:r>
          </w:p>
          <w:p>
            <w:pPr>
              <w:spacing w:line="240" w:lineRule="auto"/>
              <w:ind w:firstLine="0" w:firstLineChars="0"/>
              <w:jc w:val="center"/>
              <w:rPr>
                <w:color w:val="auto"/>
                <w:sz w:val="21"/>
                <w:szCs w:val="21"/>
              </w:rPr>
            </w:pPr>
            <w:r>
              <w:rPr>
                <w:rFonts w:hint="eastAsia"/>
                <w:color w:val="auto"/>
                <w:sz w:val="21"/>
                <w:szCs w:val="21"/>
              </w:rPr>
              <w:t>处理</w:t>
            </w:r>
          </w:p>
        </w:tc>
      </w:tr>
      <w:tr>
        <w:tblPrEx>
          <w:tblBorders>
            <w:top w:val="single" w:color="000000" w:sz="2" w:space="0"/>
            <w:left w:val="none" w:color="auto" w:sz="0" w:space="0"/>
            <w:bottom w:val="single" w:color="000000" w:sz="6"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56" w:hRule="exact"/>
          <w:jc w:val="center"/>
        </w:trPr>
        <w:tc>
          <w:tcPr>
            <w:tcW w:w="508" w:type="pct"/>
            <w:vMerge w:val="continue"/>
            <w:tcBorders>
              <w:tl2br w:val="nil"/>
              <w:tr2bl w:val="nil"/>
            </w:tcBorders>
            <w:vAlign w:val="center"/>
          </w:tcPr>
          <w:p>
            <w:pPr>
              <w:adjustRightInd/>
              <w:snapToGrid/>
              <w:spacing w:line="240" w:lineRule="auto"/>
              <w:ind w:firstLine="0" w:firstLineChars="0"/>
              <w:jc w:val="center"/>
              <w:rPr>
                <w:color w:val="auto"/>
                <w:sz w:val="21"/>
                <w:szCs w:val="21"/>
              </w:rPr>
            </w:pPr>
          </w:p>
        </w:tc>
        <w:tc>
          <w:tcPr>
            <w:tcW w:w="1316" w:type="pct"/>
            <w:gridSpan w:val="2"/>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病死猪</w:t>
            </w:r>
          </w:p>
        </w:tc>
        <w:tc>
          <w:tcPr>
            <w:tcW w:w="133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9.6</w:t>
            </w:r>
            <w:r>
              <w:rPr>
                <w:color w:val="auto"/>
                <w:sz w:val="21"/>
                <w:szCs w:val="21"/>
              </w:rPr>
              <w:t>t/a</w:t>
            </w:r>
          </w:p>
        </w:tc>
        <w:tc>
          <w:tcPr>
            <w:tcW w:w="79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w:t>
            </w:r>
            <w:r>
              <w:rPr>
                <w:color w:val="auto"/>
                <w:sz w:val="21"/>
                <w:szCs w:val="21"/>
              </w:rPr>
              <w:t>t/a</w:t>
            </w:r>
          </w:p>
        </w:tc>
        <w:tc>
          <w:tcPr>
            <w:tcW w:w="105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在厂区内无害化处理后，残渣作为有机肥原料外售</w:t>
            </w:r>
          </w:p>
        </w:tc>
      </w:tr>
      <w:tr>
        <w:tblPrEx>
          <w:tblBorders>
            <w:top w:val="single" w:color="000000" w:sz="2" w:space="0"/>
            <w:left w:val="none" w:color="auto" w:sz="0" w:space="0"/>
            <w:bottom w:val="single" w:color="000000" w:sz="6"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571" w:hRule="exact"/>
          <w:jc w:val="center"/>
        </w:trPr>
        <w:tc>
          <w:tcPr>
            <w:tcW w:w="508" w:type="pct"/>
            <w:vMerge w:val="continue"/>
            <w:tcBorders>
              <w:tl2br w:val="nil"/>
              <w:tr2bl w:val="nil"/>
            </w:tcBorders>
            <w:vAlign w:val="center"/>
          </w:tcPr>
          <w:p>
            <w:pPr>
              <w:adjustRightInd/>
              <w:snapToGrid/>
              <w:spacing w:line="240" w:lineRule="auto"/>
              <w:ind w:firstLine="0" w:firstLineChars="0"/>
              <w:jc w:val="center"/>
              <w:rPr>
                <w:color w:val="auto"/>
                <w:sz w:val="21"/>
                <w:szCs w:val="21"/>
              </w:rPr>
            </w:pPr>
          </w:p>
        </w:tc>
        <w:tc>
          <w:tcPr>
            <w:tcW w:w="1316" w:type="pct"/>
            <w:gridSpan w:val="2"/>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猪粪</w:t>
            </w:r>
          </w:p>
        </w:tc>
        <w:tc>
          <w:tcPr>
            <w:tcW w:w="133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1564.3</w:t>
            </w:r>
            <w:r>
              <w:rPr>
                <w:color w:val="auto"/>
                <w:sz w:val="21"/>
                <w:szCs w:val="21"/>
              </w:rPr>
              <w:t>t/a</w:t>
            </w:r>
          </w:p>
        </w:tc>
        <w:tc>
          <w:tcPr>
            <w:tcW w:w="79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w:t>
            </w:r>
            <w:r>
              <w:rPr>
                <w:color w:val="auto"/>
                <w:sz w:val="21"/>
                <w:szCs w:val="21"/>
              </w:rPr>
              <w:t>t/a</w:t>
            </w:r>
          </w:p>
        </w:tc>
        <w:tc>
          <w:tcPr>
            <w:tcW w:w="105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经发酵后作为制有机肥基料</w:t>
            </w:r>
          </w:p>
          <w:p>
            <w:pPr>
              <w:spacing w:line="240" w:lineRule="auto"/>
              <w:ind w:firstLine="0" w:firstLineChars="0"/>
              <w:jc w:val="center"/>
              <w:rPr>
                <w:color w:val="auto"/>
                <w:sz w:val="21"/>
                <w:szCs w:val="21"/>
              </w:rPr>
            </w:pPr>
            <w:r>
              <w:rPr>
                <w:rFonts w:hint="eastAsia"/>
                <w:color w:val="auto"/>
                <w:sz w:val="21"/>
                <w:szCs w:val="21"/>
              </w:rPr>
              <w:t>肥原料外售</w:t>
            </w:r>
          </w:p>
        </w:tc>
      </w:tr>
      <w:tr>
        <w:tblPrEx>
          <w:tblBorders>
            <w:top w:val="single" w:color="000000" w:sz="2" w:space="0"/>
            <w:left w:val="none" w:color="auto" w:sz="0" w:space="0"/>
            <w:bottom w:val="single" w:color="000000" w:sz="6"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570" w:hRule="exact"/>
          <w:jc w:val="center"/>
        </w:trPr>
        <w:tc>
          <w:tcPr>
            <w:tcW w:w="508" w:type="pct"/>
            <w:vMerge w:val="continue"/>
            <w:tcBorders>
              <w:tl2br w:val="nil"/>
              <w:tr2bl w:val="nil"/>
            </w:tcBorders>
            <w:vAlign w:val="center"/>
          </w:tcPr>
          <w:p>
            <w:pPr>
              <w:adjustRightInd/>
              <w:snapToGrid/>
              <w:spacing w:line="240" w:lineRule="auto"/>
              <w:ind w:firstLine="0" w:firstLineChars="0"/>
              <w:jc w:val="center"/>
              <w:rPr>
                <w:color w:val="auto"/>
                <w:sz w:val="21"/>
                <w:szCs w:val="21"/>
              </w:rPr>
            </w:pPr>
          </w:p>
        </w:tc>
        <w:tc>
          <w:tcPr>
            <w:tcW w:w="1316" w:type="pct"/>
            <w:gridSpan w:val="2"/>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废脱硫剂</w:t>
            </w:r>
          </w:p>
        </w:tc>
        <w:tc>
          <w:tcPr>
            <w:tcW w:w="133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0.006</w:t>
            </w:r>
            <w:r>
              <w:rPr>
                <w:color w:val="auto"/>
                <w:sz w:val="21"/>
                <w:szCs w:val="21"/>
              </w:rPr>
              <w:t>t/a</w:t>
            </w:r>
          </w:p>
        </w:tc>
        <w:tc>
          <w:tcPr>
            <w:tcW w:w="79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w:t>
            </w:r>
            <w:r>
              <w:rPr>
                <w:color w:val="auto"/>
                <w:sz w:val="21"/>
                <w:szCs w:val="21"/>
              </w:rPr>
              <w:t>t/a</w:t>
            </w:r>
          </w:p>
        </w:tc>
        <w:tc>
          <w:tcPr>
            <w:tcW w:w="105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生产厂家统一回收处置</w:t>
            </w:r>
          </w:p>
        </w:tc>
      </w:tr>
      <w:tr>
        <w:tblPrEx>
          <w:tblBorders>
            <w:top w:val="single" w:color="000000" w:sz="2" w:space="0"/>
            <w:left w:val="none" w:color="auto" w:sz="0" w:space="0"/>
            <w:bottom w:val="single" w:color="000000" w:sz="6"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64" w:hRule="exact"/>
          <w:jc w:val="center"/>
        </w:trPr>
        <w:tc>
          <w:tcPr>
            <w:tcW w:w="508" w:type="pct"/>
            <w:vMerge w:val="continue"/>
            <w:tcBorders>
              <w:tl2br w:val="nil"/>
              <w:tr2bl w:val="nil"/>
            </w:tcBorders>
            <w:vAlign w:val="center"/>
          </w:tcPr>
          <w:p>
            <w:pPr>
              <w:adjustRightInd/>
              <w:snapToGrid/>
              <w:spacing w:line="240" w:lineRule="auto"/>
              <w:ind w:firstLine="0" w:firstLineChars="0"/>
              <w:jc w:val="center"/>
              <w:rPr>
                <w:color w:val="auto"/>
                <w:sz w:val="21"/>
                <w:szCs w:val="21"/>
              </w:rPr>
            </w:pPr>
          </w:p>
        </w:tc>
        <w:tc>
          <w:tcPr>
            <w:tcW w:w="1316" w:type="pct"/>
            <w:gridSpan w:val="2"/>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生活垃圾</w:t>
            </w:r>
          </w:p>
        </w:tc>
        <w:tc>
          <w:tcPr>
            <w:tcW w:w="133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6.39</w:t>
            </w:r>
            <w:r>
              <w:rPr>
                <w:color w:val="auto"/>
                <w:sz w:val="21"/>
                <w:szCs w:val="21"/>
              </w:rPr>
              <w:t>t/a</w:t>
            </w:r>
          </w:p>
        </w:tc>
        <w:tc>
          <w:tcPr>
            <w:tcW w:w="79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w:t>
            </w:r>
            <w:r>
              <w:rPr>
                <w:color w:val="auto"/>
                <w:sz w:val="21"/>
                <w:szCs w:val="21"/>
              </w:rPr>
              <w:t>t/a</w:t>
            </w:r>
          </w:p>
        </w:tc>
        <w:tc>
          <w:tcPr>
            <w:tcW w:w="105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送交环卫部门处理</w:t>
            </w:r>
          </w:p>
        </w:tc>
      </w:tr>
      <w:tr>
        <w:tblPrEx>
          <w:tblBorders>
            <w:top w:val="single" w:color="000000" w:sz="2" w:space="0"/>
            <w:left w:val="none" w:color="auto" w:sz="0" w:space="0"/>
            <w:bottom w:val="single" w:color="000000" w:sz="6"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562" w:hRule="exact"/>
          <w:jc w:val="center"/>
        </w:trPr>
        <w:tc>
          <w:tcPr>
            <w:tcW w:w="508" w:type="pct"/>
            <w:vMerge w:val="continue"/>
            <w:tcBorders>
              <w:tl2br w:val="nil"/>
              <w:tr2bl w:val="nil"/>
            </w:tcBorders>
            <w:vAlign w:val="center"/>
          </w:tcPr>
          <w:p>
            <w:pPr>
              <w:adjustRightInd/>
              <w:snapToGrid/>
              <w:spacing w:line="240" w:lineRule="auto"/>
              <w:ind w:firstLine="0" w:firstLineChars="0"/>
              <w:jc w:val="center"/>
              <w:rPr>
                <w:color w:val="auto"/>
                <w:sz w:val="21"/>
                <w:szCs w:val="21"/>
              </w:rPr>
            </w:pPr>
          </w:p>
        </w:tc>
        <w:tc>
          <w:tcPr>
            <w:tcW w:w="1316" w:type="pct"/>
            <w:gridSpan w:val="2"/>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废导热油</w:t>
            </w:r>
          </w:p>
        </w:tc>
        <w:tc>
          <w:tcPr>
            <w:tcW w:w="133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0.125</w:t>
            </w:r>
            <w:r>
              <w:rPr>
                <w:color w:val="auto"/>
                <w:sz w:val="21"/>
                <w:szCs w:val="21"/>
              </w:rPr>
              <w:t>t/a</w:t>
            </w:r>
          </w:p>
        </w:tc>
        <w:tc>
          <w:tcPr>
            <w:tcW w:w="79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w:t>
            </w:r>
            <w:r>
              <w:rPr>
                <w:color w:val="auto"/>
                <w:sz w:val="21"/>
                <w:szCs w:val="21"/>
              </w:rPr>
              <w:t>t/a</w:t>
            </w:r>
          </w:p>
        </w:tc>
        <w:tc>
          <w:tcPr>
            <w:tcW w:w="105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定期交由有资质单位</w:t>
            </w:r>
          </w:p>
          <w:p>
            <w:pPr>
              <w:spacing w:line="240" w:lineRule="auto"/>
              <w:ind w:firstLine="0" w:firstLineChars="0"/>
              <w:jc w:val="center"/>
              <w:rPr>
                <w:color w:val="auto"/>
                <w:sz w:val="21"/>
                <w:szCs w:val="21"/>
              </w:rPr>
            </w:pPr>
            <w:r>
              <w:rPr>
                <w:rFonts w:hint="eastAsia"/>
                <w:color w:val="auto"/>
                <w:sz w:val="21"/>
                <w:szCs w:val="21"/>
              </w:rPr>
              <w:t>处理</w:t>
            </w:r>
          </w:p>
        </w:tc>
      </w:tr>
      <w:tr>
        <w:tblPrEx>
          <w:tblBorders>
            <w:top w:val="single" w:color="000000" w:sz="2" w:space="0"/>
            <w:left w:val="none" w:color="auto" w:sz="0" w:space="0"/>
            <w:bottom w:val="single" w:color="000000" w:sz="6"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797" w:hRule="exact"/>
          <w:jc w:val="center"/>
        </w:trPr>
        <w:tc>
          <w:tcPr>
            <w:tcW w:w="508" w:type="pct"/>
            <w:vMerge w:val="continue"/>
            <w:tcBorders>
              <w:tl2br w:val="nil"/>
              <w:tr2bl w:val="nil"/>
            </w:tcBorders>
            <w:vAlign w:val="center"/>
          </w:tcPr>
          <w:p>
            <w:pPr>
              <w:adjustRightInd/>
              <w:snapToGrid/>
              <w:spacing w:line="240" w:lineRule="auto"/>
              <w:ind w:firstLine="0" w:firstLineChars="0"/>
              <w:jc w:val="center"/>
              <w:rPr>
                <w:color w:val="auto"/>
                <w:sz w:val="21"/>
                <w:szCs w:val="21"/>
              </w:rPr>
            </w:pPr>
          </w:p>
        </w:tc>
        <w:tc>
          <w:tcPr>
            <w:tcW w:w="1316" w:type="pct"/>
            <w:gridSpan w:val="2"/>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沼渣</w:t>
            </w:r>
          </w:p>
        </w:tc>
        <w:tc>
          <w:tcPr>
            <w:tcW w:w="133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2346.95</w:t>
            </w:r>
            <w:r>
              <w:rPr>
                <w:color w:val="auto"/>
                <w:sz w:val="21"/>
                <w:szCs w:val="21"/>
              </w:rPr>
              <w:t>t/a</w:t>
            </w:r>
          </w:p>
        </w:tc>
        <w:tc>
          <w:tcPr>
            <w:tcW w:w="790"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0</w:t>
            </w:r>
            <w:r>
              <w:rPr>
                <w:color w:val="auto"/>
                <w:sz w:val="21"/>
                <w:szCs w:val="21"/>
              </w:rPr>
              <w:t>t/a</w:t>
            </w:r>
          </w:p>
        </w:tc>
        <w:tc>
          <w:tcPr>
            <w:tcW w:w="105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经固液分离发酵后作为制有机肥</w:t>
            </w:r>
            <w:r>
              <w:rPr>
                <w:rFonts w:hint="eastAsia"/>
                <w:color w:val="auto"/>
                <w:sz w:val="21"/>
                <w:szCs w:val="21"/>
                <w:lang w:eastAsia="zh-CN"/>
              </w:rPr>
              <w:t>基</w:t>
            </w:r>
            <w:r>
              <w:rPr>
                <w:rFonts w:hint="eastAsia"/>
                <w:color w:val="auto"/>
                <w:sz w:val="21"/>
                <w:szCs w:val="21"/>
              </w:rPr>
              <w:t>料外售</w:t>
            </w:r>
          </w:p>
        </w:tc>
      </w:tr>
    </w:tbl>
    <w:p>
      <w:pPr>
        <w:ind w:firstLine="480"/>
        <w:rPr>
          <w:color w:val="auto"/>
        </w:rPr>
      </w:pPr>
      <w:r>
        <w:rPr>
          <w:rFonts w:hint="eastAsia"/>
          <w:color w:val="auto"/>
        </w:rPr>
        <w:t>9.2.4环境风险防范措施</w:t>
      </w:r>
    </w:p>
    <w:p>
      <w:pPr>
        <w:ind w:firstLine="480"/>
        <w:rPr>
          <w:color w:val="auto"/>
        </w:rPr>
      </w:pPr>
      <w:r>
        <w:rPr>
          <w:rFonts w:hint="eastAsia"/>
          <w:color w:val="auto"/>
        </w:rPr>
        <w:t>本项目环境风险防范措施汇总详见表9.2-5。</w:t>
      </w:r>
    </w:p>
    <w:p>
      <w:pPr>
        <w:ind w:firstLine="482"/>
        <w:jc w:val="center"/>
        <w:rPr>
          <w:b/>
          <w:bCs/>
          <w:color w:val="auto"/>
        </w:rPr>
      </w:pPr>
      <w:r>
        <w:rPr>
          <w:rFonts w:hint="eastAsia"/>
          <w:b/>
          <w:bCs/>
          <w:color w:val="auto"/>
        </w:rPr>
        <w:t xml:space="preserve">表9.2-5                 </w:t>
      </w:r>
      <w:r>
        <w:rPr>
          <w:b/>
          <w:bCs/>
          <w:color w:val="auto"/>
        </w:rPr>
        <w:t>风险防范措施一览表</w:t>
      </w:r>
    </w:p>
    <w:tbl>
      <w:tblPr>
        <w:tblStyle w:val="27"/>
        <w:tblW w:w="4999" w:type="pct"/>
        <w:tblInd w:w="0" w:type="dxa"/>
        <w:tblLayout w:type="autofit"/>
        <w:tblCellMar>
          <w:top w:w="0" w:type="dxa"/>
          <w:left w:w="0" w:type="dxa"/>
          <w:bottom w:w="0" w:type="dxa"/>
          <w:right w:w="0" w:type="dxa"/>
        </w:tblCellMar>
      </w:tblPr>
      <w:tblGrid>
        <w:gridCol w:w="1693"/>
        <w:gridCol w:w="7263"/>
      </w:tblGrid>
      <w:tr>
        <w:tblPrEx>
          <w:tblCellMar>
            <w:top w:w="0" w:type="dxa"/>
            <w:left w:w="0" w:type="dxa"/>
            <w:bottom w:w="0" w:type="dxa"/>
            <w:right w:w="0" w:type="dxa"/>
          </w:tblCellMar>
        </w:tblPrEx>
        <w:trPr>
          <w:trHeight w:val="404" w:hRule="exact"/>
        </w:trPr>
        <w:tc>
          <w:tcPr>
            <w:tcW w:w="945" w:type="pct"/>
            <w:tcBorders>
              <w:top w:val="single" w:color="000000" w:sz="2" w:space="0"/>
              <w:left w:val="nil"/>
              <w:bottom w:val="single" w:color="000000" w:sz="4" w:space="0"/>
              <w:right w:val="single" w:color="000000" w:sz="4" w:space="0"/>
            </w:tcBorders>
            <w:vAlign w:val="center"/>
          </w:tcPr>
          <w:p>
            <w:pPr>
              <w:pStyle w:val="42"/>
              <w:adjustRightInd/>
              <w:snapToGrid/>
              <w:spacing w:line="240" w:lineRule="auto"/>
              <w:ind w:firstLine="0" w:firstLineChars="0"/>
              <w:jc w:val="center"/>
              <w:rPr>
                <w:rFonts w:ascii="宋体" w:hAnsi="宋体" w:cs="宋体"/>
                <w:color w:val="auto"/>
                <w:sz w:val="21"/>
                <w:szCs w:val="21"/>
              </w:rPr>
            </w:pPr>
            <w:bookmarkStart w:id="750" w:name="_Toc481047660"/>
            <w:r>
              <w:rPr>
                <w:rFonts w:ascii="宋体" w:hAnsi="宋体" w:cs="宋体"/>
                <w:color w:val="auto"/>
                <w:sz w:val="21"/>
                <w:szCs w:val="21"/>
              </w:rPr>
              <w:t>内    容</w:t>
            </w:r>
          </w:p>
        </w:tc>
        <w:tc>
          <w:tcPr>
            <w:tcW w:w="4054" w:type="pct"/>
            <w:tcBorders>
              <w:top w:val="single" w:color="000000" w:sz="2" w:space="0"/>
              <w:left w:val="single" w:color="000000" w:sz="4" w:space="0"/>
              <w:bottom w:val="single" w:color="000000" w:sz="4" w:space="0"/>
              <w:right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color w:val="auto"/>
                <w:sz w:val="21"/>
                <w:szCs w:val="21"/>
              </w:rPr>
              <w:t>防范措施</w:t>
            </w:r>
          </w:p>
        </w:tc>
      </w:tr>
      <w:tr>
        <w:tblPrEx>
          <w:tblCellMar>
            <w:top w:w="0" w:type="dxa"/>
            <w:left w:w="0" w:type="dxa"/>
            <w:bottom w:w="0" w:type="dxa"/>
            <w:right w:w="0" w:type="dxa"/>
          </w:tblCellMar>
        </w:tblPrEx>
        <w:trPr>
          <w:trHeight w:val="625" w:hRule="exact"/>
        </w:trPr>
        <w:tc>
          <w:tcPr>
            <w:tcW w:w="945" w:type="pct"/>
            <w:vMerge w:val="restart"/>
            <w:tcBorders>
              <w:top w:val="single" w:color="000000" w:sz="4" w:space="0"/>
              <w:left w:val="nil"/>
              <w:right w:val="single" w:color="000000" w:sz="4" w:space="0"/>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color w:val="auto"/>
                <w:sz w:val="21"/>
                <w:szCs w:val="21"/>
              </w:rPr>
              <w:t>场所、设备设计</w:t>
            </w:r>
          </w:p>
        </w:tc>
        <w:tc>
          <w:tcPr>
            <w:tcW w:w="4054" w:type="pct"/>
            <w:tcBorders>
              <w:top w:val="single" w:color="000000" w:sz="4" w:space="0"/>
              <w:left w:val="single" w:color="000000" w:sz="4" w:space="0"/>
              <w:bottom w:val="single" w:color="000000" w:sz="4" w:space="0"/>
              <w:right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color w:val="auto"/>
                <w:sz w:val="21"/>
                <w:szCs w:val="21"/>
              </w:rPr>
              <w:t>严格执行有关防水、防爆、防中毒的规定；高温和有明火的设备尽量远离</w:t>
            </w:r>
          </w:p>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color w:val="auto"/>
                <w:sz w:val="21"/>
                <w:szCs w:val="21"/>
              </w:rPr>
              <w:t>散发可燃气体的场所。</w:t>
            </w:r>
          </w:p>
        </w:tc>
      </w:tr>
      <w:tr>
        <w:tblPrEx>
          <w:tblCellMar>
            <w:top w:w="0" w:type="dxa"/>
            <w:left w:w="0" w:type="dxa"/>
            <w:bottom w:w="0" w:type="dxa"/>
            <w:right w:w="0" w:type="dxa"/>
          </w:tblCellMar>
        </w:tblPrEx>
        <w:trPr>
          <w:trHeight w:val="332" w:hRule="exact"/>
        </w:trPr>
        <w:tc>
          <w:tcPr>
            <w:tcW w:w="945" w:type="pct"/>
            <w:vMerge w:val="continue"/>
            <w:tcBorders>
              <w:left w:val="nil"/>
              <w:right w:val="single" w:color="000000" w:sz="4" w:space="0"/>
            </w:tcBorders>
            <w:vAlign w:val="center"/>
          </w:tcPr>
          <w:p>
            <w:pPr>
              <w:pStyle w:val="42"/>
              <w:adjustRightInd/>
              <w:snapToGrid/>
              <w:spacing w:line="240" w:lineRule="auto"/>
              <w:ind w:firstLine="0" w:firstLineChars="0"/>
              <w:jc w:val="center"/>
              <w:rPr>
                <w:rFonts w:ascii="宋体" w:hAnsi="宋体" w:cs="宋体"/>
                <w:color w:val="auto"/>
                <w:sz w:val="21"/>
                <w:szCs w:val="21"/>
              </w:rPr>
            </w:pPr>
          </w:p>
        </w:tc>
        <w:tc>
          <w:tcPr>
            <w:tcW w:w="4054" w:type="pct"/>
            <w:tcBorders>
              <w:top w:val="single" w:color="000000" w:sz="4" w:space="0"/>
              <w:left w:val="single" w:color="000000" w:sz="4" w:space="0"/>
              <w:bottom w:val="single" w:color="000000" w:sz="4" w:space="0"/>
              <w:right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color w:val="auto"/>
                <w:sz w:val="21"/>
                <w:szCs w:val="21"/>
              </w:rPr>
              <w:t>应有急救设施、救援通道及应急疏散通道。</w:t>
            </w:r>
          </w:p>
        </w:tc>
      </w:tr>
      <w:tr>
        <w:tblPrEx>
          <w:tblCellMar>
            <w:top w:w="0" w:type="dxa"/>
            <w:left w:w="0" w:type="dxa"/>
            <w:bottom w:w="0" w:type="dxa"/>
            <w:right w:w="0" w:type="dxa"/>
          </w:tblCellMar>
        </w:tblPrEx>
        <w:trPr>
          <w:trHeight w:val="332" w:hRule="exact"/>
        </w:trPr>
        <w:tc>
          <w:tcPr>
            <w:tcW w:w="945" w:type="pct"/>
            <w:vMerge w:val="continue"/>
            <w:tcBorders>
              <w:left w:val="nil"/>
              <w:right w:val="single" w:color="000000" w:sz="4" w:space="0"/>
            </w:tcBorders>
            <w:vAlign w:val="center"/>
          </w:tcPr>
          <w:p>
            <w:pPr>
              <w:pStyle w:val="42"/>
              <w:adjustRightInd/>
              <w:snapToGrid/>
              <w:spacing w:line="240" w:lineRule="auto"/>
              <w:ind w:firstLine="0" w:firstLineChars="0"/>
              <w:jc w:val="center"/>
              <w:rPr>
                <w:rFonts w:ascii="宋体" w:hAnsi="宋体" w:cs="宋体"/>
                <w:color w:val="auto"/>
                <w:sz w:val="21"/>
                <w:szCs w:val="21"/>
              </w:rPr>
            </w:pPr>
          </w:p>
        </w:tc>
        <w:tc>
          <w:tcPr>
            <w:tcW w:w="4054" w:type="pct"/>
            <w:tcBorders>
              <w:top w:val="single" w:color="000000" w:sz="4" w:space="0"/>
              <w:left w:val="single" w:color="000000" w:sz="4" w:space="0"/>
              <w:bottom w:val="single" w:color="000000" w:sz="4" w:space="0"/>
              <w:right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color w:val="auto"/>
                <w:sz w:val="21"/>
                <w:szCs w:val="21"/>
              </w:rPr>
              <w:t>设计应留有一定的安全系统。</w:t>
            </w:r>
          </w:p>
        </w:tc>
      </w:tr>
      <w:tr>
        <w:tblPrEx>
          <w:tblCellMar>
            <w:top w:w="0" w:type="dxa"/>
            <w:left w:w="0" w:type="dxa"/>
            <w:bottom w:w="0" w:type="dxa"/>
            <w:right w:w="0" w:type="dxa"/>
          </w:tblCellMar>
        </w:tblPrEx>
        <w:trPr>
          <w:trHeight w:val="320" w:hRule="exact"/>
        </w:trPr>
        <w:tc>
          <w:tcPr>
            <w:tcW w:w="945" w:type="pct"/>
            <w:vMerge w:val="continue"/>
            <w:tcBorders>
              <w:left w:val="nil"/>
              <w:right w:val="single" w:color="000000" w:sz="4" w:space="0"/>
            </w:tcBorders>
            <w:vAlign w:val="center"/>
          </w:tcPr>
          <w:p>
            <w:pPr>
              <w:pStyle w:val="42"/>
              <w:adjustRightInd/>
              <w:snapToGrid/>
              <w:spacing w:line="240" w:lineRule="auto"/>
              <w:ind w:firstLine="0" w:firstLineChars="0"/>
              <w:jc w:val="center"/>
              <w:rPr>
                <w:rFonts w:ascii="宋体" w:hAnsi="宋体" w:cs="宋体"/>
                <w:color w:val="auto"/>
                <w:sz w:val="21"/>
                <w:szCs w:val="21"/>
              </w:rPr>
            </w:pPr>
          </w:p>
        </w:tc>
        <w:tc>
          <w:tcPr>
            <w:tcW w:w="4054" w:type="pct"/>
            <w:tcBorders>
              <w:top w:val="single" w:color="000000" w:sz="4" w:space="0"/>
              <w:left w:val="single" w:color="000000" w:sz="4" w:space="0"/>
              <w:bottom w:val="single" w:color="000000" w:sz="4" w:space="0"/>
              <w:right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color w:val="auto"/>
                <w:sz w:val="21"/>
                <w:szCs w:val="21"/>
              </w:rPr>
              <w:t>加强对系统设备和密封单元的维护保养，严防泄漏。</w:t>
            </w:r>
          </w:p>
        </w:tc>
      </w:tr>
      <w:tr>
        <w:tblPrEx>
          <w:tblCellMar>
            <w:top w:w="0" w:type="dxa"/>
            <w:left w:w="0" w:type="dxa"/>
            <w:bottom w:w="0" w:type="dxa"/>
            <w:right w:w="0" w:type="dxa"/>
          </w:tblCellMar>
        </w:tblPrEx>
        <w:trPr>
          <w:trHeight w:val="632" w:hRule="exact"/>
        </w:trPr>
        <w:tc>
          <w:tcPr>
            <w:tcW w:w="945" w:type="pct"/>
            <w:vMerge w:val="continue"/>
            <w:tcBorders>
              <w:left w:val="nil"/>
              <w:right w:val="single" w:color="000000" w:sz="4" w:space="0"/>
            </w:tcBorders>
            <w:vAlign w:val="center"/>
          </w:tcPr>
          <w:p>
            <w:pPr>
              <w:pStyle w:val="42"/>
              <w:adjustRightInd/>
              <w:snapToGrid/>
              <w:spacing w:line="240" w:lineRule="auto"/>
              <w:ind w:firstLine="0" w:firstLineChars="0"/>
              <w:jc w:val="center"/>
              <w:rPr>
                <w:rFonts w:ascii="宋体" w:hAnsi="宋体" w:cs="宋体"/>
                <w:color w:val="auto"/>
                <w:sz w:val="21"/>
                <w:szCs w:val="21"/>
              </w:rPr>
            </w:pPr>
          </w:p>
        </w:tc>
        <w:tc>
          <w:tcPr>
            <w:tcW w:w="4054" w:type="pct"/>
            <w:tcBorders>
              <w:top w:val="single" w:color="000000" w:sz="4" w:space="0"/>
              <w:left w:val="single" w:color="000000" w:sz="4" w:space="0"/>
              <w:bottom w:val="single" w:color="000000" w:sz="4" w:space="0"/>
              <w:right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color w:val="auto"/>
                <w:sz w:val="21"/>
                <w:szCs w:val="21"/>
              </w:rPr>
              <w:t>管道设防腐层、降低管道腐蚀风险，并定期进行管道壁厚的测量，对严重</w:t>
            </w:r>
          </w:p>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color w:val="auto"/>
                <w:sz w:val="21"/>
                <w:szCs w:val="21"/>
              </w:rPr>
              <w:t>管壁减薄的管段，及时维修更换，避免爆管、泄漏事故发生。</w:t>
            </w:r>
          </w:p>
        </w:tc>
      </w:tr>
      <w:tr>
        <w:tblPrEx>
          <w:tblCellMar>
            <w:top w:w="0" w:type="dxa"/>
            <w:left w:w="0" w:type="dxa"/>
            <w:bottom w:w="0" w:type="dxa"/>
            <w:right w:w="0" w:type="dxa"/>
          </w:tblCellMar>
        </w:tblPrEx>
        <w:trPr>
          <w:trHeight w:val="770" w:hRule="exact"/>
        </w:trPr>
        <w:tc>
          <w:tcPr>
            <w:tcW w:w="945" w:type="pct"/>
            <w:vMerge w:val="continue"/>
            <w:tcBorders>
              <w:left w:val="nil"/>
              <w:right w:val="single" w:color="000000" w:sz="4" w:space="0"/>
            </w:tcBorders>
            <w:vAlign w:val="center"/>
          </w:tcPr>
          <w:p>
            <w:pPr>
              <w:pStyle w:val="42"/>
              <w:adjustRightInd/>
              <w:snapToGrid/>
              <w:spacing w:line="240" w:lineRule="auto"/>
              <w:ind w:firstLine="0" w:firstLineChars="0"/>
              <w:jc w:val="center"/>
              <w:rPr>
                <w:rFonts w:ascii="宋体" w:hAnsi="宋体" w:cs="宋体"/>
                <w:color w:val="auto"/>
                <w:sz w:val="21"/>
                <w:szCs w:val="21"/>
              </w:rPr>
            </w:pPr>
          </w:p>
        </w:tc>
        <w:tc>
          <w:tcPr>
            <w:tcW w:w="4054" w:type="pct"/>
            <w:tcBorders>
              <w:top w:val="single" w:color="000000" w:sz="4" w:space="0"/>
              <w:left w:val="single" w:color="000000" w:sz="4" w:space="0"/>
              <w:bottom w:val="single" w:color="000000" w:sz="4" w:space="0"/>
              <w:right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color w:val="auto"/>
                <w:sz w:val="21"/>
                <w:szCs w:val="21"/>
              </w:rPr>
              <w:t>做好各区的防渗工作，严格按照规范要求进行防渗层的铺设，他投入运行 前对污水处理站的防渗层的防渗效果进行全面的检查</w:t>
            </w:r>
          </w:p>
        </w:tc>
      </w:tr>
      <w:tr>
        <w:tblPrEx>
          <w:tblCellMar>
            <w:top w:w="0" w:type="dxa"/>
            <w:left w:w="0" w:type="dxa"/>
            <w:bottom w:w="0" w:type="dxa"/>
            <w:right w:w="0" w:type="dxa"/>
          </w:tblCellMar>
        </w:tblPrEx>
        <w:trPr>
          <w:trHeight w:val="695" w:hRule="exact"/>
        </w:trPr>
        <w:tc>
          <w:tcPr>
            <w:tcW w:w="945" w:type="pct"/>
            <w:vMerge w:val="continue"/>
            <w:tcBorders>
              <w:left w:val="nil"/>
              <w:right w:val="single" w:color="000000" w:sz="4" w:space="0"/>
            </w:tcBorders>
            <w:vAlign w:val="center"/>
          </w:tcPr>
          <w:p>
            <w:pPr>
              <w:pStyle w:val="42"/>
              <w:adjustRightInd/>
              <w:snapToGrid/>
              <w:spacing w:line="240" w:lineRule="auto"/>
              <w:ind w:firstLine="0" w:firstLineChars="0"/>
              <w:jc w:val="center"/>
              <w:rPr>
                <w:rFonts w:ascii="宋体" w:hAnsi="宋体" w:cs="宋体"/>
                <w:color w:val="auto"/>
                <w:sz w:val="21"/>
                <w:szCs w:val="21"/>
              </w:rPr>
            </w:pPr>
          </w:p>
        </w:tc>
        <w:tc>
          <w:tcPr>
            <w:tcW w:w="4054" w:type="pct"/>
            <w:tcBorders>
              <w:top w:val="single" w:color="000000" w:sz="4" w:space="0"/>
              <w:left w:val="single" w:color="000000" w:sz="4" w:space="0"/>
              <w:bottom w:val="single" w:color="000000" w:sz="4" w:space="0"/>
              <w:right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color w:val="auto"/>
                <w:sz w:val="21"/>
                <w:szCs w:val="21"/>
              </w:rPr>
              <w:t>具有火灾、爆炸等危害的作业区，应设计事故状态时能延时工作的事故照 明灯，装置内潮湿和高温等危险环境采用安全电压。</w:t>
            </w:r>
          </w:p>
        </w:tc>
      </w:tr>
      <w:tr>
        <w:tblPrEx>
          <w:tblCellMar>
            <w:top w:w="0" w:type="dxa"/>
            <w:left w:w="0" w:type="dxa"/>
            <w:bottom w:w="0" w:type="dxa"/>
            <w:right w:w="0" w:type="dxa"/>
          </w:tblCellMar>
        </w:tblPrEx>
        <w:trPr>
          <w:trHeight w:val="321" w:hRule="exact"/>
        </w:trPr>
        <w:tc>
          <w:tcPr>
            <w:tcW w:w="945" w:type="pct"/>
            <w:vMerge w:val="continue"/>
            <w:tcBorders>
              <w:left w:val="nil"/>
              <w:right w:val="single" w:color="000000" w:sz="4" w:space="0"/>
            </w:tcBorders>
            <w:vAlign w:val="center"/>
          </w:tcPr>
          <w:p>
            <w:pPr>
              <w:pStyle w:val="42"/>
              <w:adjustRightInd/>
              <w:snapToGrid/>
              <w:spacing w:line="240" w:lineRule="auto"/>
              <w:ind w:firstLine="0" w:firstLineChars="0"/>
              <w:jc w:val="center"/>
              <w:rPr>
                <w:rFonts w:ascii="宋体" w:hAnsi="宋体" w:cs="宋体"/>
                <w:color w:val="auto"/>
                <w:sz w:val="21"/>
                <w:szCs w:val="21"/>
              </w:rPr>
            </w:pPr>
          </w:p>
        </w:tc>
        <w:tc>
          <w:tcPr>
            <w:tcW w:w="4054" w:type="pct"/>
            <w:tcBorders>
              <w:top w:val="single" w:color="000000" w:sz="4" w:space="0"/>
              <w:left w:val="single" w:color="000000" w:sz="4" w:space="0"/>
              <w:bottom w:val="single" w:color="000000" w:sz="4" w:space="0"/>
              <w:right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color w:val="auto"/>
                <w:sz w:val="21"/>
                <w:szCs w:val="21"/>
              </w:rPr>
              <w:t>配备足够的消防设施，个人防护设备。</w:t>
            </w:r>
          </w:p>
        </w:tc>
      </w:tr>
      <w:tr>
        <w:tblPrEx>
          <w:tblCellMar>
            <w:top w:w="0" w:type="dxa"/>
            <w:left w:w="0" w:type="dxa"/>
            <w:bottom w:w="0" w:type="dxa"/>
            <w:right w:w="0" w:type="dxa"/>
          </w:tblCellMar>
        </w:tblPrEx>
        <w:trPr>
          <w:trHeight w:val="347" w:hRule="exact"/>
        </w:trPr>
        <w:tc>
          <w:tcPr>
            <w:tcW w:w="945" w:type="pct"/>
            <w:vMerge w:val="continue"/>
            <w:tcBorders>
              <w:left w:val="nil"/>
              <w:bottom w:val="single" w:color="000000" w:sz="4" w:space="0"/>
              <w:right w:val="single" w:color="000000" w:sz="4" w:space="0"/>
            </w:tcBorders>
            <w:vAlign w:val="center"/>
          </w:tcPr>
          <w:p>
            <w:pPr>
              <w:pStyle w:val="42"/>
              <w:adjustRightInd/>
              <w:snapToGrid/>
              <w:spacing w:line="240" w:lineRule="auto"/>
              <w:ind w:firstLine="0" w:firstLineChars="0"/>
              <w:jc w:val="center"/>
              <w:rPr>
                <w:rFonts w:ascii="宋体" w:hAnsi="宋体" w:cs="宋体"/>
                <w:color w:val="auto"/>
                <w:sz w:val="21"/>
                <w:szCs w:val="21"/>
              </w:rPr>
            </w:pPr>
          </w:p>
        </w:tc>
        <w:tc>
          <w:tcPr>
            <w:tcW w:w="4054" w:type="pct"/>
            <w:tcBorders>
              <w:top w:val="single" w:color="000000" w:sz="4" w:space="0"/>
              <w:left w:val="single" w:color="000000" w:sz="4" w:space="0"/>
              <w:bottom w:val="single" w:color="000000" w:sz="4" w:space="0"/>
              <w:right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color w:val="auto"/>
                <w:sz w:val="21"/>
                <w:szCs w:val="21"/>
              </w:rPr>
              <w:t>建筑物采取防雷措施，安装避雷针。</w:t>
            </w:r>
          </w:p>
        </w:tc>
      </w:tr>
      <w:tr>
        <w:tblPrEx>
          <w:tblCellMar>
            <w:top w:w="0" w:type="dxa"/>
            <w:left w:w="0" w:type="dxa"/>
            <w:bottom w:w="0" w:type="dxa"/>
            <w:right w:w="0" w:type="dxa"/>
          </w:tblCellMar>
        </w:tblPrEx>
        <w:trPr>
          <w:trHeight w:val="284" w:hRule="exact"/>
        </w:trPr>
        <w:tc>
          <w:tcPr>
            <w:tcW w:w="945" w:type="pct"/>
            <w:vMerge w:val="restart"/>
            <w:tcBorders>
              <w:top w:val="single" w:color="000000" w:sz="4" w:space="0"/>
              <w:left w:val="nil"/>
              <w:right w:val="single" w:color="000000" w:sz="4" w:space="0"/>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color w:val="auto"/>
                <w:sz w:val="21"/>
                <w:szCs w:val="21"/>
              </w:rPr>
              <w:t>工程设计</w:t>
            </w:r>
          </w:p>
        </w:tc>
        <w:tc>
          <w:tcPr>
            <w:tcW w:w="4054" w:type="pct"/>
            <w:tcBorders>
              <w:top w:val="single" w:color="000000" w:sz="4" w:space="0"/>
              <w:left w:val="single" w:color="000000" w:sz="4" w:space="0"/>
              <w:bottom w:val="single" w:color="000000" w:sz="4" w:space="0"/>
              <w:right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color w:val="auto"/>
                <w:sz w:val="21"/>
                <w:szCs w:val="21"/>
              </w:rPr>
              <w:t>严格执行防火、防雷等设计规范。</w:t>
            </w:r>
          </w:p>
        </w:tc>
      </w:tr>
      <w:tr>
        <w:tblPrEx>
          <w:tblCellMar>
            <w:top w:w="0" w:type="dxa"/>
            <w:left w:w="0" w:type="dxa"/>
            <w:bottom w:w="0" w:type="dxa"/>
            <w:right w:w="0" w:type="dxa"/>
          </w:tblCellMar>
        </w:tblPrEx>
        <w:trPr>
          <w:trHeight w:val="309" w:hRule="exact"/>
        </w:trPr>
        <w:tc>
          <w:tcPr>
            <w:tcW w:w="945" w:type="pct"/>
            <w:vMerge w:val="continue"/>
            <w:tcBorders>
              <w:left w:val="nil"/>
              <w:bottom w:val="single" w:color="000000" w:sz="4" w:space="0"/>
              <w:right w:val="single" w:color="000000" w:sz="4" w:space="0"/>
            </w:tcBorders>
            <w:vAlign w:val="center"/>
          </w:tcPr>
          <w:p>
            <w:pPr>
              <w:pStyle w:val="42"/>
              <w:adjustRightInd/>
              <w:snapToGrid/>
              <w:spacing w:line="240" w:lineRule="auto"/>
              <w:ind w:firstLine="0" w:firstLineChars="0"/>
              <w:jc w:val="center"/>
              <w:rPr>
                <w:rFonts w:ascii="宋体" w:hAnsi="宋体" w:cs="宋体"/>
                <w:color w:val="auto"/>
                <w:sz w:val="21"/>
                <w:szCs w:val="21"/>
              </w:rPr>
            </w:pPr>
          </w:p>
        </w:tc>
        <w:tc>
          <w:tcPr>
            <w:tcW w:w="4054" w:type="pct"/>
            <w:tcBorders>
              <w:top w:val="single" w:color="000000" w:sz="4" w:space="0"/>
              <w:left w:val="single" w:color="000000" w:sz="4" w:space="0"/>
              <w:bottom w:val="single" w:color="000000" w:sz="4" w:space="0"/>
              <w:right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color w:val="auto"/>
                <w:sz w:val="21"/>
                <w:szCs w:val="21"/>
              </w:rPr>
              <w:t>严把工程质量关，验收合格后方能投入使用。</w:t>
            </w:r>
          </w:p>
        </w:tc>
      </w:tr>
      <w:tr>
        <w:tblPrEx>
          <w:tblCellMar>
            <w:top w:w="0" w:type="dxa"/>
            <w:left w:w="0" w:type="dxa"/>
            <w:bottom w:w="0" w:type="dxa"/>
            <w:right w:w="0" w:type="dxa"/>
          </w:tblCellMar>
        </w:tblPrEx>
        <w:trPr>
          <w:trHeight w:val="359" w:hRule="exact"/>
        </w:trPr>
        <w:tc>
          <w:tcPr>
            <w:tcW w:w="945" w:type="pct"/>
            <w:vMerge w:val="restart"/>
            <w:tcBorders>
              <w:top w:val="single" w:color="000000" w:sz="4" w:space="0"/>
              <w:left w:val="nil"/>
              <w:right w:val="single" w:color="000000" w:sz="4" w:space="0"/>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color w:val="auto"/>
                <w:sz w:val="21"/>
                <w:szCs w:val="21"/>
              </w:rPr>
              <w:t>安全制度</w:t>
            </w:r>
          </w:p>
        </w:tc>
        <w:tc>
          <w:tcPr>
            <w:tcW w:w="4054" w:type="pct"/>
            <w:tcBorders>
              <w:top w:val="single" w:color="000000" w:sz="4" w:space="0"/>
              <w:left w:val="single" w:color="000000" w:sz="4" w:space="0"/>
              <w:bottom w:val="single" w:color="000000" w:sz="4" w:space="0"/>
              <w:right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ascii="宋体" w:hAnsi="宋体" w:cs="宋体"/>
                <w:color w:val="auto"/>
                <w:sz w:val="21"/>
                <w:szCs w:val="21"/>
              </w:rPr>
              <w:t>加强岗位培训，落实规范操作及安全生产责任制。</w:t>
            </w:r>
          </w:p>
        </w:tc>
      </w:tr>
      <w:tr>
        <w:tblPrEx>
          <w:tblCellMar>
            <w:top w:w="0" w:type="dxa"/>
            <w:left w:w="0" w:type="dxa"/>
            <w:bottom w:w="0" w:type="dxa"/>
            <w:right w:w="0" w:type="dxa"/>
          </w:tblCellMar>
        </w:tblPrEx>
        <w:trPr>
          <w:trHeight w:val="328" w:hRule="exact"/>
        </w:trPr>
        <w:tc>
          <w:tcPr>
            <w:tcW w:w="945" w:type="pct"/>
            <w:vMerge w:val="continue"/>
            <w:tcBorders>
              <w:left w:val="nil"/>
              <w:bottom w:val="single" w:color="000000" w:sz="2" w:space="0"/>
              <w:right w:val="single" w:color="000000" w:sz="4" w:space="0"/>
            </w:tcBorders>
            <w:vAlign w:val="center"/>
          </w:tcPr>
          <w:p>
            <w:pPr>
              <w:pStyle w:val="42"/>
              <w:adjustRightInd/>
              <w:snapToGrid/>
              <w:spacing w:line="240" w:lineRule="auto"/>
              <w:ind w:firstLine="0" w:firstLineChars="0"/>
              <w:jc w:val="center"/>
              <w:rPr>
                <w:rFonts w:ascii="宋体" w:hAnsi="宋体" w:cs="宋体"/>
                <w:color w:val="auto"/>
                <w:sz w:val="21"/>
                <w:szCs w:val="21"/>
              </w:rPr>
            </w:pPr>
          </w:p>
        </w:tc>
        <w:tc>
          <w:tcPr>
            <w:tcW w:w="4054" w:type="pct"/>
            <w:tcBorders>
              <w:top w:val="single" w:color="000000" w:sz="4" w:space="0"/>
              <w:left w:val="single" w:color="000000" w:sz="4" w:space="0"/>
              <w:bottom w:val="single" w:color="000000" w:sz="2" w:space="0"/>
              <w:right w:val="nil"/>
            </w:tcBorders>
            <w:vAlign w:val="center"/>
          </w:tcPr>
          <w:p>
            <w:pPr>
              <w:pStyle w:val="42"/>
              <w:adjustRightInd/>
              <w:snapToGrid/>
              <w:spacing w:line="240" w:lineRule="auto"/>
              <w:ind w:firstLine="0" w:firstLineChars="0"/>
              <w:jc w:val="center"/>
              <w:rPr>
                <w:rFonts w:ascii="宋体" w:hAnsi="宋体" w:cs="宋体"/>
                <w:color w:val="auto"/>
                <w:sz w:val="21"/>
                <w:szCs w:val="21"/>
              </w:rPr>
            </w:pPr>
            <w:r>
              <w:rPr>
                <w:rFonts w:hint="eastAsia" w:ascii="宋体" w:hAnsi="宋体" w:cs="宋体"/>
                <w:color w:val="auto"/>
                <w:sz w:val="21"/>
                <w:szCs w:val="21"/>
              </w:rPr>
              <w:t>厂区</w:t>
            </w:r>
            <w:r>
              <w:rPr>
                <w:rFonts w:ascii="宋体" w:hAnsi="宋体" w:cs="宋体"/>
                <w:color w:val="auto"/>
                <w:sz w:val="21"/>
                <w:szCs w:val="21"/>
              </w:rPr>
              <w:t>内严禁烟火。</w:t>
            </w:r>
          </w:p>
        </w:tc>
      </w:tr>
    </w:tbl>
    <w:p>
      <w:pPr>
        <w:keepNext/>
        <w:keepLines/>
        <w:ind w:firstLine="480"/>
        <w:outlineLvl w:val="2"/>
        <w:rPr>
          <w:rFonts w:eastAsia="黑体"/>
          <w:bCs/>
          <w:color w:val="auto"/>
        </w:rPr>
      </w:pPr>
      <w:r>
        <w:rPr>
          <w:rFonts w:hint="eastAsia" w:eastAsia="黑体"/>
          <w:bCs/>
          <w:color w:val="auto"/>
        </w:rPr>
        <w:t>9.2.5向社会公开的内容</w:t>
      </w:r>
      <w:bookmarkEnd w:id="750"/>
    </w:p>
    <w:p>
      <w:pPr>
        <w:ind w:firstLine="480"/>
        <w:rPr>
          <w:bCs/>
          <w:color w:val="auto"/>
        </w:rPr>
      </w:pPr>
      <w:r>
        <w:rPr>
          <w:rFonts w:hint="eastAsia"/>
          <w:bCs/>
          <w:color w:val="auto"/>
        </w:rPr>
        <w:t>濮阳县牧原农牧有限公司拟投资</w:t>
      </w:r>
      <w:r>
        <w:rPr>
          <w:rFonts w:hint="eastAsia"/>
          <w:bCs/>
          <w:iCs/>
          <w:color w:val="auto"/>
        </w:rPr>
        <w:t>3442.89</w:t>
      </w:r>
      <w:r>
        <w:rPr>
          <w:rFonts w:hint="eastAsia"/>
          <w:bCs/>
          <w:color w:val="auto"/>
        </w:rPr>
        <w:t>万元，在</w:t>
      </w:r>
      <w:r>
        <w:rPr>
          <w:rFonts w:hint="eastAsia"/>
          <w:color w:val="auto"/>
        </w:rPr>
        <w:t>濮阳市濮阳县五星乡于屯村</w:t>
      </w:r>
      <w:r>
        <w:rPr>
          <w:rFonts w:hint="eastAsia"/>
          <w:bCs/>
          <w:color w:val="auto"/>
        </w:rPr>
        <w:t>征地70.068亩，建设濮阳县牧原农牧有限公司濮阳县三厂生猪养殖项目（年出栏5万头生猪），设计规模为年出栏育成猪5万头。</w:t>
      </w:r>
    </w:p>
    <w:p>
      <w:pPr>
        <w:pStyle w:val="3"/>
        <w:numPr>
          <w:ilvl w:val="0"/>
          <w:numId w:val="12"/>
        </w:numPr>
        <w:ind w:firstLineChars="200"/>
        <w:rPr>
          <w:bCs/>
          <w:color w:val="auto"/>
          <w:sz w:val="24"/>
          <w:szCs w:val="24"/>
        </w:rPr>
      </w:pPr>
      <w:r>
        <w:rPr>
          <w:bCs/>
          <w:color w:val="auto"/>
          <w:sz w:val="24"/>
          <w:szCs w:val="24"/>
        </w:rPr>
        <w:t>本项目废水主要为养殖废水和生活废水，经采取“干清粪+</w:t>
      </w:r>
      <w:r>
        <w:rPr>
          <w:rFonts w:hint="eastAsia"/>
          <w:bCs/>
          <w:color w:val="auto"/>
          <w:sz w:val="24"/>
          <w:szCs w:val="24"/>
        </w:rPr>
        <w:t>黑膜沼气池</w:t>
      </w:r>
      <w:r>
        <w:rPr>
          <w:bCs/>
          <w:color w:val="auto"/>
          <w:sz w:val="24"/>
          <w:szCs w:val="24"/>
        </w:rPr>
        <w:t>、沼气沼液综合利用”处理工艺，养殖废水和生活污水进入配套污水处理站，经无害化处理后，全部综合利用零排放。</w:t>
      </w:r>
    </w:p>
    <w:p>
      <w:pPr>
        <w:pStyle w:val="3"/>
        <w:numPr>
          <w:ilvl w:val="0"/>
          <w:numId w:val="12"/>
        </w:numPr>
        <w:ind w:firstLineChars="200"/>
        <w:rPr>
          <w:bCs/>
          <w:color w:val="auto"/>
          <w:sz w:val="24"/>
          <w:szCs w:val="24"/>
        </w:rPr>
      </w:pPr>
      <w:r>
        <w:rPr>
          <w:rFonts w:hint="eastAsia"/>
          <w:bCs/>
          <w:color w:val="auto"/>
          <w:sz w:val="24"/>
          <w:szCs w:val="24"/>
        </w:rPr>
        <w:t>本</w:t>
      </w:r>
      <w:r>
        <w:rPr>
          <w:bCs/>
          <w:color w:val="auto"/>
          <w:sz w:val="24"/>
          <w:szCs w:val="24"/>
        </w:rPr>
        <w:t>项目大气污染物主要为</w:t>
      </w:r>
      <w:r>
        <w:rPr>
          <w:rFonts w:hint="eastAsia"/>
          <w:bCs/>
          <w:color w:val="auto"/>
          <w:sz w:val="24"/>
          <w:szCs w:val="24"/>
        </w:rPr>
        <w:t>养殖过程、污水处理过程、粪污处理过程、产生的恶臭气体、沼气燃烧废气、无害化处理及食堂油烟。</w:t>
      </w:r>
    </w:p>
    <w:p>
      <w:pPr>
        <w:pStyle w:val="3"/>
        <w:numPr>
          <w:ilvl w:val="0"/>
          <w:numId w:val="0"/>
        </w:numPr>
        <w:ind w:firstLine="480" w:firstLineChars="200"/>
        <w:rPr>
          <w:bCs/>
          <w:color w:val="auto"/>
          <w:sz w:val="24"/>
          <w:szCs w:val="24"/>
        </w:rPr>
      </w:pPr>
      <w:r>
        <w:rPr>
          <w:rFonts w:hint="eastAsia"/>
          <w:bCs/>
          <w:color w:val="auto"/>
          <w:sz w:val="24"/>
          <w:szCs w:val="24"/>
        </w:rPr>
        <w:t>恶臭气体</w:t>
      </w:r>
      <w:r>
        <w:rPr>
          <w:bCs/>
          <w:color w:val="auto"/>
          <w:sz w:val="24"/>
          <w:szCs w:val="24"/>
        </w:rPr>
        <w:t>根据不同产生单元，采取相应的处理方式</w:t>
      </w:r>
      <w:r>
        <w:rPr>
          <w:rFonts w:hint="eastAsia"/>
          <w:bCs/>
          <w:color w:val="auto"/>
          <w:sz w:val="24"/>
          <w:szCs w:val="24"/>
        </w:rPr>
        <w:t>：</w:t>
      </w:r>
      <w:r>
        <w:rPr>
          <w:rFonts w:hint="eastAsia"/>
          <w:color w:val="auto"/>
          <w:sz w:val="24"/>
          <w:szCs w:val="24"/>
        </w:rPr>
        <w:t>①</w:t>
      </w:r>
      <w:r>
        <w:rPr>
          <w:color w:val="auto"/>
          <w:sz w:val="24"/>
          <w:szCs w:val="24"/>
        </w:rPr>
        <w:t>猪舍：控制饲养密度、加强通风、定期冲洗、</w:t>
      </w:r>
      <w:r>
        <w:rPr>
          <w:rFonts w:hint="eastAsia"/>
          <w:color w:val="auto"/>
          <w:sz w:val="24"/>
          <w:szCs w:val="24"/>
        </w:rPr>
        <w:t>调整饲料配方，猪舍出风口处设置风机，将臭气引至除臭棚处理，除臭棚墙内填充填料吸附，同时除臭棚顶部有喷淋水装置；②污水处理系统喷洒除臭剂、周边绿化；③固粪处理区：设置风机，将臭气引至除臭棚处理，除臭棚墙内填充填料吸附，同时除臭棚顶部有喷淋水装置，定期喷洒除臭剂；加强厂区绿化等；</w:t>
      </w:r>
      <w:r>
        <w:rPr>
          <w:color w:val="auto"/>
          <w:sz w:val="24"/>
          <w:szCs w:val="24"/>
        </w:rPr>
        <w:fldChar w:fldCharType="begin"/>
      </w:r>
      <w:r>
        <w:rPr>
          <w:color w:val="auto"/>
          <w:sz w:val="24"/>
          <w:szCs w:val="24"/>
        </w:rPr>
        <w:instrText xml:space="preserve"> </w:instrText>
      </w:r>
      <w:r>
        <w:rPr>
          <w:rFonts w:hint="eastAsia"/>
          <w:color w:val="auto"/>
          <w:sz w:val="24"/>
          <w:szCs w:val="24"/>
        </w:rPr>
        <w:instrText xml:space="preserve">= 4 \* GB3</w:instrText>
      </w:r>
      <w:r>
        <w:rPr>
          <w:color w:val="auto"/>
          <w:sz w:val="24"/>
          <w:szCs w:val="24"/>
        </w:rPr>
        <w:instrText xml:space="preserve"> </w:instrText>
      </w:r>
      <w:r>
        <w:rPr>
          <w:color w:val="auto"/>
          <w:sz w:val="24"/>
          <w:szCs w:val="24"/>
        </w:rPr>
        <w:fldChar w:fldCharType="separate"/>
      </w:r>
      <w:r>
        <w:rPr>
          <w:rFonts w:hint="eastAsia"/>
          <w:color w:val="auto"/>
          <w:sz w:val="24"/>
          <w:szCs w:val="24"/>
        </w:rPr>
        <w:t>④</w:t>
      </w:r>
      <w:r>
        <w:rPr>
          <w:color w:val="auto"/>
          <w:sz w:val="24"/>
          <w:szCs w:val="24"/>
        </w:rPr>
        <w:fldChar w:fldCharType="end"/>
      </w:r>
      <w:r>
        <w:rPr>
          <w:color w:val="auto"/>
          <w:sz w:val="24"/>
          <w:szCs w:val="24"/>
        </w:rPr>
        <w:t>病死猪高温无害化处理废气经</w:t>
      </w:r>
      <w:r>
        <w:rPr>
          <w:rFonts w:hint="eastAsia"/>
          <w:color w:val="auto"/>
          <w:sz w:val="24"/>
          <w:szCs w:val="24"/>
        </w:rPr>
        <w:t>设置风机，将臭气引至除臭棚处理，除臭棚墙内填充填料吸附，同时除臭棚顶部有喷淋水装置</w:t>
      </w:r>
      <w:r>
        <w:rPr>
          <w:color w:val="auto"/>
          <w:sz w:val="24"/>
          <w:szCs w:val="24"/>
        </w:rPr>
        <w:t>。</w:t>
      </w:r>
      <w:r>
        <w:rPr>
          <w:rFonts w:hint="eastAsia"/>
          <w:bCs/>
          <w:color w:val="auto"/>
          <w:sz w:val="24"/>
          <w:szCs w:val="24"/>
        </w:rPr>
        <w:t>通过各项防护措施后，预测厂界废气均能达标排放，厂区周围各敏感目标处</w:t>
      </w:r>
      <w:r>
        <w:rPr>
          <w:bCs/>
          <w:color w:val="auto"/>
          <w:sz w:val="24"/>
          <w:szCs w:val="24"/>
        </w:rPr>
        <w:t>可</w:t>
      </w:r>
      <w:r>
        <w:rPr>
          <w:color w:val="auto"/>
          <w:sz w:val="24"/>
          <w:szCs w:val="24"/>
        </w:rPr>
        <w:t xml:space="preserve">满足《环境影响评价技术导则 </w:t>
      </w:r>
      <w:r>
        <w:rPr>
          <w:color w:val="auto"/>
          <w:spacing w:val="-7"/>
          <w:sz w:val="24"/>
          <w:szCs w:val="24"/>
        </w:rPr>
        <w:t>大气环境》（</w:t>
      </w:r>
      <w:r>
        <w:rPr>
          <w:rFonts w:eastAsia="Times New Roman"/>
          <w:color w:val="auto"/>
          <w:spacing w:val="-7"/>
          <w:sz w:val="24"/>
          <w:szCs w:val="24"/>
        </w:rPr>
        <w:t>HJ2.2-2018</w:t>
      </w:r>
      <w:r>
        <w:rPr>
          <w:color w:val="auto"/>
          <w:spacing w:val="-7"/>
          <w:sz w:val="24"/>
          <w:szCs w:val="24"/>
        </w:rPr>
        <w:t>）附录</w:t>
      </w:r>
      <w:r>
        <w:rPr>
          <w:color w:val="auto"/>
          <w:spacing w:val="-60"/>
          <w:sz w:val="24"/>
          <w:szCs w:val="24"/>
        </w:rPr>
        <w:t xml:space="preserve"> </w:t>
      </w:r>
      <w:r>
        <w:rPr>
          <w:rFonts w:eastAsia="Times New Roman"/>
          <w:color w:val="auto"/>
          <w:sz w:val="24"/>
          <w:szCs w:val="24"/>
        </w:rPr>
        <w:t>D</w:t>
      </w:r>
      <w:r>
        <w:rPr>
          <w:color w:val="auto"/>
          <w:sz w:val="24"/>
          <w:szCs w:val="24"/>
        </w:rPr>
        <w:t>，其他污染物空气质量浓度参考限值浓度要求</w:t>
      </w:r>
      <w:r>
        <w:rPr>
          <w:rFonts w:hint="eastAsia"/>
          <w:bCs/>
          <w:color w:val="auto"/>
          <w:sz w:val="24"/>
          <w:szCs w:val="24"/>
        </w:rPr>
        <w:t>。</w:t>
      </w:r>
    </w:p>
    <w:p>
      <w:pPr>
        <w:pStyle w:val="3"/>
        <w:numPr>
          <w:ilvl w:val="0"/>
          <w:numId w:val="0"/>
        </w:numPr>
        <w:ind w:firstLine="480" w:firstLineChars="200"/>
        <w:rPr>
          <w:bCs/>
          <w:color w:val="auto"/>
          <w:sz w:val="24"/>
          <w:szCs w:val="24"/>
        </w:rPr>
      </w:pPr>
      <w:r>
        <w:rPr>
          <w:rFonts w:hint="eastAsia"/>
          <w:bCs/>
          <w:color w:val="auto"/>
          <w:sz w:val="24"/>
          <w:szCs w:val="24"/>
        </w:rPr>
        <w:t>项目</w:t>
      </w:r>
      <w:r>
        <w:rPr>
          <w:bCs/>
          <w:color w:val="auto"/>
          <w:sz w:val="24"/>
          <w:szCs w:val="24"/>
        </w:rPr>
        <w:t>沼气通过脱硫处理后H</w:t>
      </w:r>
      <w:r>
        <w:rPr>
          <w:bCs/>
          <w:color w:val="auto"/>
          <w:sz w:val="24"/>
          <w:szCs w:val="24"/>
          <w:vertAlign w:val="subscript"/>
        </w:rPr>
        <w:t>2</w:t>
      </w:r>
      <w:r>
        <w:rPr>
          <w:bCs/>
          <w:color w:val="auto"/>
          <w:sz w:val="24"/>
          <w:szCs w:val="24"/>
        </w:rPr>
        <w:t>S</w:t>
      </w:r>
      <w:r>
        <w:rPr>
          <w:rFonts w:hint="eastAsia"/>
          <w:bCs/>
          <w:color w:val="auto"/>
          <w:sz w:val="24"/>
          <w:szCs w:val="24"/>
        </w:rPr>
        <w:t>含量较低，沼气主要成分为CH</w:t>
      </w:r>
      <w:r>
        <w:rPr>
          <w:rFonts w:hint="eastAsia"/>
          <w:bCs/>
          <w:color w:val="auto"/>
          <w:sz w:val="24"/>
          <w:szCs w:val="24"/>
          <w:vertAlign w:val="subscript"/>
        </w:rPr>
        <w:t>4</w:t>
      </w:r>
      <w:r>
        <w:rPr>
          <w:rFonts w:hint="eastAsia"/>
          <w:bCs/>
          <w:color w:val="auto"/>
          <w:sz w:val="24"/>
          <w:szCs w:val="24"/>
        </w:rPr>
        <w:t>，属于清洁能源，燃烧后主要产物为CO</w:t>
      </w:r>
      <w:r>
        <w:rPr>
          <w:rFonts w:hint="eastAsia"/>
          <w:bCs/>
          <w:color w:val="auto"/>
          <w:sz w:val="24"/>
          <w:szCs w:val="24"/>
          <w:vertAlign w:val="subscript"/>
        </w:rPr>
        <w:t>2</w:t>
      </w:r>
      <w:r>
        <w:rPr>
          <w:rFonts w:hint="eastAsia"/>
          <w:bCs/>
          <w:color w:val="auto"/>
          <w:sz w:val="24"/>
          <w:szCs w:val="24"/>
        </w:rPr>
        <w:t>、H</w:t>
      </w:r>
      <w:r>
        <w:rPr>
          <w:rFonts w:hint="eastAsia"/>
          <w:bCs/>
          <w:color w:val="auto"/>
          <w:sz w:val="24"/>
          <w:szCs w:val="24"/>
          <w:vertAlign w:val="subscript"/>
        </w:rPr>
        <w:t>2</w:t>
      </w:r>
      <w:r>
        <w:rPr>
          <w:rFonts w:hint="eastAsia"/>
          <w:bCs/>
          <w:color w:val="auto"/>
          <w:sz w:val="24"/>
          <w:szCs w:val="24"/>
        </w:rPr>
        <w:t>O，火炬燃烧放空。</w:t>
      </w:r>
    </w:p>
    <w:p>
      <w:pPr>
        <w:pStyle w:val="11"/>
        <w:spacing w:before="7" w:line="367" w:lineRule="auto"/>
        <w:ind w:left="217" w:right="109" w:firstLine="480"/>
        <w:jc w:val="left"/>
        <w:rPr>
          <w:color w:val="auto"/>
        </w:rPr>
      </w:pPr>
      <w:r>
        <w:rPr>
          <w:color w:val="auto"/>
        </w:rPr>
        <w:t>食堂烹饪过程中产生油烟的废气</w:t>
      </w:r>
      <w:r>
        <w:rPr>
          <w:color w:val="auto"/>
          <w:spacing w:val="-46"/>
        </w:rPr>
        <w:t>，</w:t>
      </w:r>
      <w:r>
        <w:rPr>
          <w:color w:val="auto"/>
        </w:rPr>
        <w:t>经油烟净化器处理满</w:t>
      </w:r>
      <w:r>
        <w:rPr>
          <w:color w:val="auto"/>
          <w:spacing w:val="-44"/>
        </w:rPr>
        <w:t>足</w:t>
      </w:r>
      <w:r>
        <w:rPr>
          <w:color w:val="auto"/>
        </w:rPr>
        <w:t>《餐饮业油烟污染物排放标准</w:t>
      </w:r>
      <w:r>
        <w:rPr>
          <w:color w:val="auto"/>
          <w:spacing w:val="-197"/>
        </w:rPr>
        <w:t>》</w:t>
      </w:r>
      <w:r>
        <w:rPr>
          <w:color w:val="auto"/>
        </w:rPr>
        <w:t>（试行</w:t>
      </w:r>
      <w:r>
        <w:rPr>
          <w:color w:val="auto"/>
          <w:spacing w:val="-195"/>
        </w:rPr>
        <w:t>）</w:t>
      </w:r>
      <w:r>
        <w:rPr>
          <w:color w:val="auto"/>
        </w:rPr>
        <w:t>（</w:t>
      </w:r>
      <w:r>
        <w:rPr>
          <w:rFonts w:eastAsia="Times New Roman"/>
          <w:color w:val="auto"/>
          <w:spacing w:val="-1"/>
        </w:rPr>
        <w:t>D</w:t>
      </w:r>
      <w:r>
        <w:rPr>
          <w:rFonts w:eastAsia="Times New Roman"/>
          <w:color w:val="auto"/>
          <w:spacing w:val="-2"/>
          <w:w w:val="99"/>
        </w:rPr>
        <w:t>B</w:t>
      </w:r>
      <w:r>
        <w:rPr>
          <w:rFonts w:eastAsia="Times New Roman"/>
          <w:color w:val="auto"/>
        </w:rPr>
        <w:t>41</w:t>
      </w:r>
      <w:r>
        <w:rPr>
          <w:rFonts w:eastAsia="Times New Roman"/>
          <w:color w:val="auto"/>
          <w:w w:val="99"/>
        </w:rPr>
        <w:t>/</w:t>
      </w:r>
      <w:r>
        <w:rPr>
          <w:rFonts w:eastAsia="Times New Roman"/>
          <w:color w:val="auto"/>
        </w:rPr>
        <w:t>1604</w:t>
      </w:r>
      <w:r>
        <w:rPr>
          <w:rFonts w:eastAsia="Times New Roman"/>
          <w:color w:val="auto"/>
          <w:spacing w:val="-1"/>
        </w:rPr>
        <w:t>-</w:t>
      </w:r>
      <w:r>
        <w:rPr>
          <w:rFonts w:eastAsia="Times New Roman"/>
          <w:color w:val="auto"/>
        </w:rPr>
        <w:t>201</w:t>
      </w:r>
      <w:r>
        <w:rPr>
          <w:rFonts w:eastAsia="Times New Roman"/>
          <w:color w:val="auto"/>
          <w:spacing w:val="2"/>
        </w:rPr>
        <w:t>8</w:t>
      </w:r>
      <w:r>
        <w:rPr>
          <w:color w:val="auto"/>
          <w:spacing w:val="-75"/>
        </w:rPr>
        <w:t>）</w:t>
      </w:r>
      <w:r>
        <w:rPr>
          <w:color w:val="auto"/>
        </w:rPr>
        <w:t>油烟最高</w:t>
      </w:r>
      <w:r>
        <w:rPr>
          <w:color w:val="auto"/>
          <w:spacing w:val="2"/>
        </w:rPr>
        <w:t>允</w:t>
      </w:r>
      <w:r>
        <w:rPr>
          <w:color w:val="auto"/>
        </w:rPr>
        <w:t>许排放浓度标</w:t>
      </w:r>
      <w:r>
        <w:rPr>
          <w:color w:val="auto"/>
          <w:spacing w:val="-77"/>
        </w:rPr>
        <w:t>准</w:t>
      </w:r>
      <w:r>
        <w:rPr>
          <w:rFonts w:hint="eastAsia"/>
          <w:color w:val="auto"/>
        </w:rPr>
        <w:t>（</w:t>
      </w:r>
      <w:r>
        <w:rPr>
          <w:rFonts w:eastAsia="Times New Roman"/>
          <w:color w:val="auto"/>
        </w:rPr>
        <w:t>1.5</w:t>
      </w:r>
      <w:r>
        <w:rPr>
          <w:rFonts w:eastAsia="Times New Roman"/>
          <w:color w:val="auto"/>
          <w:w w:val="99"/>
        </w:rPr>
        <w:t>m</w:t>
      </w:r>
      <w:r>
        <w:rPr>
          <w:rFonts w:eastAsia="Times New Roman"/>
          <w:color w:val="auto"/>
          <w:spacing w:val="-3"/>
        </w:rPr>
        <w:t>g</w:t>
      </w:r>
      <w:r>
        <w:rPr>
          <w:rFonts w:eastAsia="Times New Roman"/>
          <w:color w:val="auto"/>
          <w:w w:val="99"/>
        </w:rPr>
        <w:t>/m</w:t>
      </w:r>
      <w:r>
        <w:rPr>
          <w:rFonts w:eastAsia="Times New Roman"/>
          <w:color w:val="auto"/>
          <w:spacing w:val="1"/>
          <w:w w:val="104"/>
          <w:position w:val="8"/>
          <w:sz w:val="15"/>
          <w:szCs w:val="15"/>
        </w:rPr>
        <w:t>3</w:t>
      </w:r>
      <w:r>
        <w:rPr>
          <w:rFonts w:hint="eastAsia"/>
          <w:color w:val="auto"/>
        </w:rPr>
        <w:t>）</w:t>
      </w:r>
      <w:r>
        <w:rPr>
          <w:color w:val="auto"/>
        </w:rPr>
        <w:t>油烟去除效率大于等于</w:t>
      </w:r>
      <w:r>
        <w:rPr>
          <w:rFonts w:eastAsia="Times New Roman"/>
          <w:color w:val="auto"/>
          <w:spacing w:val="-5"/>
        </w:rPr>
        <w:t>90%</w:t>
      </w:r>
      <w:r>
        <w:rPr>
          <w:color w:val="auto"/>
          <w:spacing w:val="-5"/>
        </w:rPr>
        <w:t>的去除效率的要求，可实现达标排放，对周边环境影</w:t>
      </w:r>
      <w:r>
        <w:rPr>
          <w:color w:val="auto"/>
          <w:spacing w:val="-118"/>
        </w:rPr>
        <w:t xml:space="preserve"> </w:t>
      </w:r>
      <w:r>
        <w:rPr>
          <w:color w:val="auto"/>
        </w:rPr>
        <w:t>响不大。</w:t>
      </w:r>
    </w:p>
    <w:p>
      <w:pPr>
        <w:pStyle w:val="3"/>
        <w:numPr>
          <w:ilvl w:val="0"/>
          <w:numId w:val="0"/>
        </w:numPr>
        <w:ind w:firstLine="464" w:firstLineChars="200"/>
        <w:rPr>
          <w:rFonts w:hAnsi="宋体"/>
          <w:bCs/>
          <w:color w:val="auto"/>
          <w:sz w:val="24"/>
          <w:szCs w:val="24"/>
        </w:rPr>
      </w:pPr>
      <w:r>
        <w:rPr>
          <w:rFonts w:hint="eastAsia" w:hAnsi="宋体"/>
          <w:bCs/>
          <w:color w:val="auto"/>
          <w:spacing w:val="-4"/>
          <w:sz w:val="24"/>
          <w:szCs w:val="24"/>
        </w:rPr>
        <w:t>（3）</w:t>
      </w:r>
      <w:r>
        <w:rPr>
          <w:rFonts w:hAnsi="宋体"/>
          <w:bCs/>
          <w:color w:val="auto"/>
          <w:sz w:val="24"/>
          <w:szCs w:val="24"/>
        </w:rPr>
        <w:t>噪声主要为</w:t>
      </w:r>
      <w:r>
        <w:rPr>
          <w:rFonts w:hint="eastAsia" w:hAnsi="宋体"/>
          <w:bCs/>
          <w:color w:val="auto"/>
          <w:sz w:val="24"/>
          <w:szCs w:val="24"/>
        </w:rPr>
        <w:t>猪叫声、猪舍降温配套负压风机、粪污处理设施等设备运行时产生的</w:t>
      </w:r>
      <w:r>
        <w:rPr>
          <w:rFonts w:hAnsi="宋体"/>
          <w:bCs/>
          <w:color w:val="auto"/>
          <w:sz w:val="24"/>
          <w:szCs w:val="24"/>
        </w:rPr>
        <w:t>噪声，根据类比调查，其源强为70～</w:t>
      </w:r>
      <w:r>
        <w:rPr>
          <w:rFonts w:hint="eastAsia" w:hAnsi="宋体"/>
          <w:bCs/>
          <w:color w:val="auto"/>
          <w:sz w:val="24"/>
          <w:szCs w:val="24"/>
        </w:rPr>
        <w:t>95</w:t>
      </w:r>
      <w:r>
        <w:rPr>
          <w:rFonts w:hAnsi="宋体"/>
          <w:bCs/>
          <w:color w:val="auto"/>
          <w:sz w:val="24"/>
          <w:szCs w:val="24"/>
        </w:rPr>
        <w:t>dB(A)。在采取相应的隔声减振措施后，</w:t>
      </w:r>
      <w:r>
        <w:rPr>
          <w:rFonts w:hint="eastAsia" w:hAnsi="宋体"/>
          <w:bCs/>
          <w:color w:val="auto"/>
          <w:sz w:val="24"/>
          <w:szCs w:val="24"/>
        </w:rPr>
        <w:t>经距离衰减</w:t>
      </w:r>
      <w:r>
        <w:rPr>
          <w:bCs/>
          <w:color w:val="auto"/>
          <w:sz w:val="24"/>
          <w:szCs w:val="24"/>
        </w:rPr>
        <w:t>各</w:t>
      </w:r>
      <w:r>
        <w:rPr>
          <w:rFonts w:hint="eastAsia"/>
          <w:bCs/>
          <w:color w:val="auto"/>
          <w:sz w:val="24"/>
          <w:szCs w:val="24"/>
        </w:rPr>
        <w:t>厂界</w:t>
      </w:r>
      <w:r>
        <w:rPr>
          <w:bCs/>
          <w:color w:val="auto"/>
          <w:sz w:val="24"/>
          <w:szCs w:val="24"/>
        </w:rPr>
        <w:t>噪声均能够满足《工业企业厂界环境噪声排放标准》（GB12348</w:t>
      </w:r>
      <w:r>
        <w:rPr>
          <w:rFonts w:hint="eastAsia"/>
          <w:bCs/>
          <w:color w:val="auto"/>
          <w:sz w:val="24"/>
          <w:szCs w:val="24"/>
        </w:rPr>
        <w:t>-</w:t>
      </w:r>
      <w:r>
        <w:rPr>
          <w:bCs/>
          <w:color w:val="auto"/>
          <w:sz w:val="24"/>
          <w:szCs w:val="24"/>
        </w:rPr>
        <w:t>2008）</w:t>
      </w:r>
      <w:r>
        <w:rPr>
          <w:rFonts w:hint="eastAsia"/>
          <w:bCs/>
          <w:color w:val="auto"/>
          <w:sz w:val="24"/>
          <w:szCs w:val="24"/>
        </w:rPr>
        <w:t>2</w:t>
      </w:r>
      <w:r>
        <w:rPr>
          <w:bCs/>
          <w:color w:val="auto"/>
          <w:sz w:val="24"/>
          <w:szCs w:val="24"/>
        </w:rPr>
        <w:t>类标准</w:t>
      </w:r>
      <w:r>
        <w:rPr>
          <w:rFonts w:hint="eastAsia" w:hAnsi="宋体"/>
          <w:bCs/>
          <w:color w:val="auto"/>
          <w:sz w:val="24"/>
          <w:szCs w:val="24"/>
        </w:rPr>
        <w:t>（</w:t>
      </w:r>
      <w:r>
        <w:rPr>
          <w:bCs/>
          <w:color w:val="auto"/>
          <w:sz w:val="24"/>
          <w:szCs w:val="24"/>
        </w:rPr>
        <w:t>昼间</w:t>
      </w:r>
      <w:r>
        <w:rPr>
          <w:rFonts w:hint="eastAsia"/>
          <w:bCs/>
          <w:color w:val="auto"/>
          <w:sz w:val="24"/>
          <w:szCs w:val="24"/>
        </w:rPr>
        <w:t>60</w:t>
      </w:r>
      <w:r>
        <w:rPr>
          <w:bCs/>
          <w:color w:val="auto"/>
          <w:sz w:val="24"/>
          <w:szCs w:val="24"/>
        </w:rPr>
        <w:t>dB(A)；夜间</w:t>
      </w:r>
      <w:r>
        <w:rPr>
          <w:rFonts w:hint="eastAsia"/>
          <w:bCs/>
          <w:color w:val="auto"/>
          <w:sz w:val="24"/>
          <w:szCs w:val="24"/>
        </w:rPr>
        <w:t>50</w:t>
      </w:r>
      <w:r>
        <w:rPr>
          <w:bCs/>
          <w:color w:val="auto"/>
          <w:sz w:val="24"/>
          <w:szCs w:val="24"/>
        </w:rPr>
        <w:t>dB(A)</w:t>
      </w:r>
      <w:r>
        <w:rPr>
          <w:rFonts w:hint="eastAsia" w:hAnsi="宋体"/>
          <w:bCs/>
          <w:color w:val="auto"/>
          <w:sz w:val="24"/>
          <w:szCs w:val="24"/>
        </w:rPr>
        <w:t>）</w:t>
      </w:r>
      <w:r>
        <w:rPr>
          <w:bCs/>
          <w:color w:val="auto"/>
          <w:sz w:val="24"/>
          <w:szCs w:val="24"/>
        </w:rPr>
        <w:t>要求</w:t>
      </w:r>
      <w:r>
        <w:rPr>
          <w:rFonts w:hAnsi="宋体"/>
          <w:bCs/>
          <w:color w:val="auto"/>
          <w:sz w:val="24"/>
          <w:szCs w:val="24"/>
        </w:rPr>
        <w:t>。</w:t>
      </w:r>
    </w:p>
    <w:p>
      <w:pPr>
        <w:pStyle w:val="3"/>
        <w:numPr>
          <w:ilvl w:val="0"/>
          <w:numId w:val="0"/>
        </w:numPr>
        <w:ind w:firstLine="464" w:firstLineChars="200"/>
        <w:rPr>
          <w:bCs/>
          <w:color w:val="auto"/>
          <w:sz w:val="24"/>
          <w:szCs w:val="24"/>
        </w:rPr>
      </w:pPr>
      <w:r>
        <w:rPr>
          <w:rFonts w:hint="eastAsia" w:hAnsi="宋体"/>
          <w:bCs/>
          <w:color w:val="auto"/>
          <w:spacing w:val="-4"/>
          <w:sz w:val="24"/>
          <w:szCs w:val="24"/>
        </w:rPr>
        <w:t>（4）</w:t>
      </w:r>
      <w:r>
        <w:rPr>
          <w:rFonts w:hAnsi="宋体"/>
          <w:bCs/>
          <w:color w:val="auto"/>
          <w:sz w:val="24"/>
          <w:szCs w:val="24"/>
        </w:rPr>
        <w:t>本项目产生的固体废物主要包括疾病防疫产生的医疗废物、养殖过程产生的少量病死猪尸</w:t>
      </w:r>
      <w:r>
        <w:rPr>
          <w:rFonts w:hint="eastAsia" w:hAnsi="宋体"/>
          <w:bCs/>
          <w:color w:val="auto"/>
          <w:sz w:val="24"/>
          <w:szCs w:val="24"/>
        </w:rPr>
        <w:t>、</w:t>
      </w:r>
      <w:r>
        <w:rPr>
          <w:rFonts w:hAnsi="宋体"/>
          <w:bCs/>
          <w:color w:val="auto"/>
          <w:sz w:val="24"/>
          <w:szCs w:val="24"/>
        </w:rPr>
        <w:t>猪粪固形物、</w:t>
      </w:r>
      <w:r>
        <w:rPr>
          <w:rFonts w:hint="eastAsia" w:hAnsi="宋体"/>
          <w:bCs/>
          <w:color w:val="auto"/>
          <w:sz w:val="24"/>
          <w:szCs w:val="24"/>
        </w:rPr>
        <w:t>废导热油</w:t>
      </w:r>
      <w:r>
        <w:rPr>
          <w:rFonts w:hAnsi="宋体"/>
          <w:bCs/>
          <w:color w:val="auto"/>
          <w:sz w:val="24"/>
          <w:szCs w:val="24"/>
        </w:rPr>
        <w:t>、</w:t>
      </w:r>
      <w:r>
        <w:rPr>
          <w:rFonts w:hint="eastAsia" w:hAnsi="宋体"/>
          <w:bCs/>
          <w:color w:val="auto"/>
          <w:sz w:val="24"/>
          <w:szCs w:val="24"/>
        </w:rPr>
        <w:t>废脱硫剂、沼渣及</w:t>
      </w:r>
      <w:r>
        <w:rPr>
          <w:rFonts w:hAnsi="宋体"/>
          <w:bCs/>
          <w:color w:val="auto"/>
          <w:sz w:val="24"/>
          <w:szCs w:val="24"/>
        </w:rPr>
        <w:t>职工生活垃圾</w:t>
      </w:r>
      <w:r>
        <w:rPr>
          <w:rFonts w:hint="eastAsia" w:hAnsi="宋体"/>
          <w:bCs/>
          <w:color w:val="auto"/>
          <w:sz w:val="24"/>
          <w:szCs w:val="24"/>
        </w:rPr>
        <w:t>等。其中</w:t>
      </w:r>
      <w:r>
        <w:rPr>
          <w:rFonts w:hAnsi="宋体"/>
          <w:bCs/>
          <w:color w:val="auto"/>
          <w:sz w:val="24"/>
          <w:szCs w:val="24"/>
        </w:rPr>
        <w:t>医疗废物</w:t>
      </w:r>
      <w:r>
        <w:rPr>
          <w:rFonts w:hint="eastAsia" w:hAnsi="宋体"/>
          <w:bCs/>
          <w:color w:val="auto"/>
          <w:sz w:val="24"/>
          <w:szCs w:val="24"/>
        </w:rPr>
        <w:t>定期交由有资质单位处置；</w:t>
      </w:r>
      <w:r>
        <w:rPr>
          <w:rFonts w:hAnsi="宋体"/>
          <w:bCs/>
          <w:color w:val="auto"/>
          <w:sz w:val="24"/>
          <w:szCs w:val="24"/>
        </w:rPr>
        <w:t>病死猪尸</w:t>
      </w:r>
      <w:r>
        <w:rPr>
          <w:rFonts w:hint="eastAsia" w:hAnsi="宋体"/>
          <w:bCs/>
          <w:color w:val="auto"/>
          <w:sz w:val="24"/>
          <w:szCs w:val="24"/>
        </w:rPr>
        <w:t>体</w:t>
      </w:r>
      <w:r>
        <w:rPr>
          <w:bCs/>
          <w:color w:val="auto"/>
          <w:spacing w:val="3"/>
          <w:sz w:val="24"/>
          <w:szCs w:val="24"/>
        </w:rPr>
        <w:t>处理后残渣外售给有机肥</w:t>
      </w:r>
      <w:r>
        <w:rPr>
          <w:bCs/>
          <w:color w:val="auto"/>
          <w:spacing w:val="-3"/>
          <w:sz w:val="24"/>
          <w:szCs w:val="24"/>
        </w:rPr>
        <w:t>厂</w:t>
      </w:r>
      <w:r>
        <w:rPr>
          <w:rFonts w:hint="eastAsia" w:hAnsi="宋体"/>
          <w:bCs/>
          <w:color w:val="auto"/>
          <w:sz w:val="24"/>
          <w:szCs w:val="24"/>
        </w:rPr>
        <w:t>；</w:t>
      </w:r>
      <w:r>
        <w:rPr>
          <w:bCs/>
          <w:color w:val="auto"/>
          <w:sz w:val="24"/>
          <w:szCs w:val="24"/>
        </w:rPr>
        <w:t>猪粪固形物</w:t>
      </w:r>
      <w:r>
        <w:rPr>
          <w:rFonts w:hint="eastAsia"/>
          <w:bCs/>
          <w:color w:val="auto"/>
          <w:sz w:val="24"/>
          <w:szCs w:val="24"/>
        </w:rPr>
        <w:t>经发酵处理后</w:t>
      </w:r>
      <w:r>
        <w:rPr>
          <w:bCs/>
          <w:color w:val="auto"/>
          <w:sz w:val="24"/>
          <w:szCs w:val="24"/>
        </w:rPr>
        <w:t>制成有机肥</w:t>
      </w:r>
      <w:r>
        <w:rPr>
          <w:rFonts w:hint="eastAsia"/>
          <w:bCs/>
          <w:color w:val="auto"/>
          <w:sz w:val="24"/>
          <w:szCs w:val="24"/>
        </w:rPr>
        <w:t>基料</w:t>
      </w:r>
      <w:r>
        <w:rPr>
          <w:bCs/>
          <w:color w:val="auto"/>
          <w:sz w:val="24"/>
          <w:szCs w:val="24"/>
        </w:rPr>
        <w:t>外售</w:t>
      </w:r>
      <w:r>
        <w:rPr>
          <w:rFonts w:hint="eastAsia" w:hAnsi="宋体"/>
          <w:bCs/>
          <w:color w:val="auto"/>
          <w:sz w:val="24"/>
          <w:szCs w:val="24"/>
        </w:rPr>
        <w:t>；废脱硫剂由厂家回收、废导热油交由有资质单位集中处置；</w:t>
      </w:r>
      <w:r>
        <w:rPr>
          <w:rFonts w:hAnsi="宋体"/>
          <w:bCs/>
          <w:color w:val="auto"/>
          <w:sz w:val="24"/>
          <w:szCs w:val="24"/>
        </w:rPr>
        <w:t>职工生活垃圾</w:t>
      </w:r>
      <w:r>
        <w:rPr>
          <w:rFonts w:hint="eastAsia" w:hAnsi="宋体"/>
          <w:bCs/>
          <w:color w:val="auto"/>
          <w:sz w:val="24"/>
          <w:szCs w:val="24"/>
        </w:rPr>
        <w:t>集中收集后送当地垃圾处理厂集中处置。</w:t>
      </w:r>
    </w:p>
    <w:p>
      <w:pPr>
        <w:ind w:firstLine="480"/>
        <w:rPr>
          <w:bCs/>
          <w:color w:val="auto"/>
        </w:rPr>
      </w:pPr>
      <w:r>
        <w:rPr>
          <w:rFonts w:hAnsi="宋体"/>
          <w:bCs/>
          <w:color w:val="auto"/>
        </w:rPr>
        <w:t>综上所述，项目产生的各类污染物均能得到有效处理，实现达标排放或综合利用。</w:t>
      </w:r>
    </w:p>
    <w:p>
      <w:pPr>
        <w:pStyle w:val="5"/>
        <w:numPr>
          <w:ilvl w:val="1"/>
          <w:numId w:val="0"/>
        </w:numPr>
        <w:tabs>
          <w:tab w:val="left" w:pos="105"/>
        </w:tabs>
        <w:spacing w:before="0" w:after="0"/>
        <w:jc w:val="left"/>
        <w:textAlignment w:val="baseline"/>
        <w:rPr>
          <w:color w:val="auto"/>
          <w:sz w:val="24"/>
          <w:szCs w:val="24"/>
        </w:rPr>
      </w:pPr>
      <w:bookmarkStart w:id="751" w:name="_Toc468115484"/>
      <w:bookmarkStart w:id="752" w:name="_Toc19151"/>
      <w:bookmarkStart w:id="753" w:name="_Toc485580808"/>
      <w:bookmarkStart w:id="754" w:name="_Toc17201"/>
      <w:bookmarkStart w:id="755" w:name="_Toc413834602"/>
      <w:bookmarkStart w:id="756" w:name="_Toc17362"/>
      <w:bookmarkStart w:id="757" w:name="_Toc31268"/>
      <w:bookmarkStart w:id="758" w:name="_Toc445457761"/>
      <w:r>
        <w:rPr>
          <w:rFonts w:hint="eastAsia"/>
          <w:color w:val="auto"/>
          <w:sz w:val="24"/>
          <w:szCs w:val="24"/>
        </w:rPr>
        <w:t>9</w:t>
      </w:r>
      <w:r>
        <w:rPr>
          <w:color w:val="auto"/>
          <w:sz w:val="24"/>
          <w:szCs w:val="24"/>
        </w:rPr>
        <w:t>.</w:t>
      </w:r>
      <w:r>
        <w:rPr>
          <w:rFonts w:hint="eastAsia"/>
          <w:color w:val="auto"/>
          <w:sz w:val="24"/>
          <w:szCs w:val="24"/>
        </w:rPr>
        <w:t>3</w:t>
      </w:r>
      <w:r>
        <w:rPr>
          <w:color w:val="auto"/>
          <w:sz w:val="24"/>
          <w:szCs w:val="24"/>
        </w:rPr>
        <w:t xml:space="preserve"> 环境监测制度建议</w:t>
      </w:r>
      <w:bookmarkEnd w:id="751"/>
      <w:bookmarkEnd w:id="752"/>
      <w:bookmarkEnd w:id="753"/>
      <w:bookmarkEnd w:id="754"/>
      <w:bookmarkEnd w:id="755"/>
      <w:bookmarkEnd w:id="756"/>
      <w:bookmarkEnd w:id="757"/>
      <w:bookmarkEnd w:id="758"/>
    </w:p>
    <w:p>
      <w:pPr>
        <w:keepNext/>
        <w:keepLines/>
        <w:ind w:firstLine="480"/>
        <w:outlineLvl w:val="2"/>
        <w:rPr>
          <w:rFonts w:eastAsia="黑体"/>
          <w:bCs/>
          <w:color w:val="auto"/>
        </w:rPr>
      </w:pPr>
      <w:bookmarkStart w:id="759" w:name="_Toc27375"/>
      <w:bookmarkStart w:id="760" w:name="_Toc468115485"/>
      <w:r>
        <w:rPr>
          <w:rFonts w:hint="eastAsia" w:eastAsia="黑体"/>
          <w:bCs/>
          <w:color w:val="auto"/>
        </w:rPr>
        <w:t>9</w:t>
      </w:r>
      <w:r>
        <w:rPr>
          <w:rFonts w:eastAsia="黑体"/>
          <w:bCs/>
          <w:color w:val="auto"/>
        </w:rPr>
        <w:t>.</w:t>
      </w:r>
      <w:r>
        <w:rPr>
          <w:rFonts w:hint="eastAsia" w:eastAsia="黑体"/>
          <w:bCs/>
          <w:color w:val="auto"/>
        </w:rPr>
        <w:t>3</w:t>
      </w:r>
      <w:r>
        <w:rPr>
          <w:rFonts w:eastAsia="黑体"/>
          <w:bCs/>
          <w:color w:val="auto"/>
        </w:rPr>
        <w:t>.1 环境监测目的</w:t>
      </w:r>
      <w:bookmarkEnd w:id="759"/>
      <w:bookmarkEnd w:id="760"/>
    </w:p>
    <w:p>
      <w:pPr>
        <w:ind w:firstLine="480"/>
        <w:rPr>
          <w:bCs/>
          <w:color w:val="auto"/>
        </w:rPr>
      </w:pPr>
      <w:r>
        <w:rPr>
          <w:bCs/>
          <w:color w:val="auto"/>
        </w:rPr>
        <w:t>环境监测是环境管理技术的支持。同时，环境监测还是企业搞好环境管理，促进污染治理设施正常运行的主要保障。通过定期的环境监测，了解当地的环境质量状况，可以及时发现问题、解决问题，从而有利于监督各项环保措施的落实，并根据监测结果适时调整环境保护计划。</w:t>
      </w:r>
    </w:p>
    <w:p>
      <w:pPr>
        <w:keepNext/>
        <w:keepLines/>
        <w:ind w:firstLine="480"/>
        <w:outlineLvl w:val="2"/>
        <w:rPr>
          <w:rFonts w:eastAsia="黑体"/>
          <w:bCs/>
          <w:color w:val="auto"/>
        </w:rPr>
      </w:pPr>
      <w:bookmarkStart w:id="761" w:name="_Toc468115486"/>
      <w:bookmarkStart w:id="762" w:name="_Toc9129"/>
      <w:r>
        <w:rPr>
          <w:rFonts w:hint="eastAsia" w:eastAsia="黑体"/>
          <w:bCs/>
          <w:color w:val="auto"/>
        </w:rPr>
        <w:t>9</w:t>
      </w:r>
      <w:r>
        <w:rPr>
          <w:rFonts w:eastAsia="黑体"/>
          <w:bCs/>
          <w:color w:val="auto"/>
        </w:rPr>
        <w:t>.</w:t>
      </w:r>
      <w:r>
        <w:rPr>
          <w:rFonts w:hint="eastAsia" w:eastAsia="黑体"/>
          <w:bCs/>
          <w:color w:val="auto"/>
        </w:rPr>
        <w:t>3</w:t>
      </w:r>
      <w:r>
        <w:rPr>
          <w:rFonts w:eastAsia="黑体"/>
          <w:bCs/>
          <w:color w:val="auto"/>
        </w:rPr>
        <w:t>.2 环境监测机构</w:t>
      </w:r>
      <w:bookmarkEnd w:id="761"/>
      <w:bookmarkEnd w:id="762"/>
    </w:p>
    <w:p>
      <w:pPr>
        <w:ind w:firstLine="480"/>
        <w:rPr>
          <w:bCs/>
          <w:color w:val="auto"/>
        </w:rPr>
      </w:pPr>
      <w:r>
        <w:rPr>
          <w:bCs/>
          <w:color w:val="auto"/>
        </w:rPr>
        <w:t>建议该项目营运期的环境监测工作委托有资质的环境监测站承担，日常的生产例行监测则由企业内部执行。评价建议养殖场配备1名专职环境监测人员，负责养殖场运行期环境监测工作，仪器设备配置污水计量装置、污水比例采样器、COD检测仪、生化培养箱等。</w:t>
      </w:r>
    </w:p>
    <w:p>
      <w:pPr>
        <w:keepNext/>
        <w:keepLines/>
        <w:ind w:firstLine="480"/>
        <w:outlineLvl w:val="2"/>
        <w:rPr>
          <w:rFonts w:eastAsia="黑体"/>
          <w:bCs/>
          <w:color w:val="auto"/>
        </w:rPr>
      </w:pPr>
      <w:bookmarkStart w:id="763" w:name="_Toc5084"/>
      <w:bookmarkStart w:id="764" w:name="_Toc468115487"/>
      <w:r>
        <w:rPr>
          <w:rFonts w:hint="eastAsia" w:eastAsia="黑体"/>
          <w:bCs/>
          <w:color w:val="auto"/>
        </w:rPr>
        <w:t>9</w:t>
      </w:r>
      <w:r>
        <w:rPr>
          <w:rFonts w:eastAsia="黑体"/>
          <w:bCs/>
          <w:color w:val="auto"/>
        </w:rPr>
        <w:t>.</w:t>
      </w:r>
      <w:r>
        <w:rPr>
          <w:rFonts w:hint="eastAsia" w:eastAsia="黑体"/>
          <w:bCs/>
          <w:color w:val="auto"/>
        </w:rPr>
        <w:t>3</w:t>
      </w:r>
      <w:r>
        <w:rPr>
          <w:rFonts w:eastAsia="黑体"/>
          <w:bCs/>
          <w:color w:val="auto"/>
        </w:rPr>
        <w:t>.3 监测项目及监测计划</w:t>
      </w:r>
      <w:bookmarkEnd w:id="763"/>
      <w:bookmarkEnd w:id="764"/>
    </w:p>
    <w:p>
      <w:pPr>
        <w:ind w:firstLine="480"/>
        <w:rPr>
          <w:bCs/>
          <w:color w:val="auto"/>
        </w:rPr>
      </w:pPr>
      <w:r>
        <w:rPr>
          <w:bCs/>
          <w:color w:val="auto"/>
        </w:rPr>
        <w:t>本项目环境监测主要包括废气、废水、噪声、固体废物等污染源监测及</w:t>
      </w:r>
      <w:r>
        <w:rPr>
          <w:rFonts w:hint="eastAsia"/>
          <w:bCs/>
          <w:color w:val="auto"/>
        </w:rPr>
        <w:t>厂区</w:t>
      </w:r>
      <w:r>
        <w:rPr>
          <w:bCs/>
          <w:color w:val="auto"/>
        </w:rPr>
        <w:t>周围环境质量的定期监测。环境监测内容一览表见表</w:t>
      </w:r>
      <w:r>
        <w:rPr>
          <w:rFonts w:hint="eastAsia"/>
          <w:bCs/>
          <w:color w:val="auto"/>
        </w:rPr>
        <w:t>9.3</w:t>
      </w:r>
      <w:r>
        <w:rPr>
          <w:bCs/>
          <w:color w:val="auto"/>
        </w:rPr>
        <w:t>-</w:t>
      </w:r>
      <w:r>
        <w:rPr>
          <w:rFonts w:hint="eastAsia"/>
          <w:bCs/>
          <w:color w:val="auto"/>
        </w:rPr>
        <w:t>1</w:t>
      </w:r>
      <w:r>
        <w:rPr>
          <w:bCs/>
          <w:color w:val="auto"/>
        </w:rPr>
        <w:t>。</w:t>
      </w:r>
    </w:p>
    <w:p>
      <w:pPr>
        <w:ind w:firstLine="482"/>
        <w:jc w:val="left"/>
        <w:rPr>
          <w:b/>
          <w:color w:val="auto"/>
          <w:szCs w:val="21"/>
        </w:rPr>
      </w:pPr>
      <w:r>
        <w:rPr>
          <w:b/>
          <w:color w:val="auto"/>
          <w:szCs w:val="21"/>
        </w:rPr>
        <w:t>表</w:t>
      </w:r>
      <w:r>
        <w:rPr>
          <w:rFonts w:hint="eastAsia"/>
          <w:b/>
          <w:color w:val="auto"/>
          <w:szCs w:val="21"/>
        </w:rPr>
        <w:t>9.3</w:t>
      </w:r>
      <w:r>
        <w:rPr>
          <w:b/>
          <w:color w:val="auto"/>
          <w:szCs w:val="21"/>
        </w:rPr>
        <w:t>-</w:t>
      </w:r>
      <w:r>
        <w:rPr>
          <w:rFonts w:hint="eastAsia"/>
          <w:b/>
          <w:color w:val="auto"/>
          <w:szCs w:val="21"/>
        </w:rPr>
        <w:t>1</w:t>
      </w:r>
      <w:r>
        <w:rPr>
          <w:b/>
          <w:color w:val="auto"/>
          <w:szCs w:val="21"/>
        </w:rPr>
        <w:t xml:space="preserve"> </w:t>
      </w:r>
      <w:r>
        <w:rPr>
          <w:rFonts w:hint="eastAsia"/>
          <w:b/>
          <w:color w:val="auto"/>
          <w:szCs w:val="21"/>
        </w:rPr>
        <w:t xml:space="preserve">              </w:t>
      </w:r>
      <w:r>
        <w:rPr>
          <w:b/>
          <w:color w:val="auto"/>
          <w:szCs w:val="21"/>
        </w:rPr>
        <w:t xml:space="preserve">   环境监测内容一览表</w:t>
      </w:r>
    </w:p>
    <w:tbl>
      <w:tblPr>
        <w:tblStyle w:val="27"/>
        <w:tblW w:w="0" w:type="auto"/>
        <w:tblInd w:w="0" w:type="dxa"/>
        <w:tblBorders>
          <w:top w:val="single" w:color="auto" w:sz="2" w:space="0"/>
          <w:left w:val="none" w:color="auto" w:sz="0" w:space="0"/>
          <w:bottom w:val="single" w:color="auto" w:sz="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5"/>
        <w:gridCol w:w="3431"/>
        <w:gridCol w:w="2835"/>
        <w:gridCol w:w="2128"/>
      </w:tblGrid>
      <w:tr>
        <w:tblPrEx>
          <w:tblBorders>
            <w:top w:val="single" w:color="auto" w:sz="2" w:space="0"/>
            <w:left w:val="none" w:color="auto" w:sz="0" w:space="0"/>
            <w:bottom w:val="sing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645" w:type="dxa"/>
            <w:vAlign w:val="center"/>
          </w:tcPr>
          <w:p>
            <w:pPr>
              <w:spacing w:line="240" w:lineRule="auto"/>
              <w:ind w:firstLine="0" w:firstLineChars="0"/>
              <w:jc w:val="center"/>
              <w:rPr>
                <w:bCs/>
                <w:color w:val="auto"/>
                <w:sz w:val="21"/>
                <w:szCs w:val="21"/>
              </w:rPr>
            </w:pPr>
            <w:r>
              <w:rPr>
                <w:rFonts w:hAnsi="宋体"/>
                <w:bCs/>
                <w:color w:val="auto"/>
                <w:sz w:val="21"/>
                <w:szCs w:val="21"/>
              </w:rPr>
              <w:t>项目</w:t>
            </w:r>
          </w:p>
        </w:tc>
        <w:tc>
          <w:tcPr>
            <w:tcW w:w="3431" w:type="dxa"/>
            <w:vAlign w:val="center"/>
          </w:tcPr>
          <w:p>
            <w:pPr>
              <w:spacing w:line="240" w:lineRule="auto"/>
              <w:ind w:firstLine="0" w:firstLineChars="0"/>
              <w:jc w:val="center"/>
              <w:rPr>
                <w:bCs/>
                <w:color w:val="auto"/>
                <w:sz w:val="21"/>
                <w:szCs w:val="21"/>
              </w:rPr>
            </w:pPr>
            <w:r>
              <w:rPr>
                <w:rFonts w:hAnsi="宋体"/>
                <w:bCs/>
                <w:color w:val="auto"/>
                <w:sz w:val="21"/>
                <w:szCs w:val="21"/>
              </w:rPr>
              <w:t>监测点位</w:t>
            </w:r>
          </w:p>
        </w:tc>
        <w:tc>
          <w:tcPr>
            <w:tcW w:w="2835" w:type="dxa"/>
            <w:vAlign w:val="center"/>
          </w:tcPr>
          <w:p>
            <w:pPr>
              <w:spacing w:line="240" w:lineRule="auto"/>
              <w:ind w:firstLine="0" w:firstLineChars="0"/>
              <w:jc w:val="center"/>
              <w:rPr>
                <w:bCs/>
                <w:color w:val="auto"/>
                <w:sz w:val="21"/>
                <w:szCs w:val="21"/>
              </w:rPr>
            </w:pPr>
            <w:r>
              <w:rPr>
                <w:rFonts w:hAnsi="宋体"/>
                <w:bCs/>
                <w:color w:val="auto"/>
                <w:sz w:val="21"/>
                <w:szCs w:val="21"/>
              </w:rPr>
              <w:t>监测内容</w:t>
            </w:r>
          </w:p>
        </w:tc>
        <w:tc>
          <w:tcPr>
            <w:tcW w:w="2128" w:type="dxa"/>
            <w:vAlign w:val="center"/>
          </w:tcPr>
          <w:p>
            <w:pPr>
              <w:spacing w:line="240" w:lineRule="auto"/>
              <w:ind w:firstLine="0" w:firstLineChars="0"/>
              <w:jc w:val="center"/>
              <w:rPr>
                <w:bCs/>
                <w:color w:val="auto"/>
                <w:sz w:val="21"/>
                <w:szCs w:val="21"/>
              </w:rPr>
            </w:pPr>
            <w:r>
              <w:rPr>
                <w:rFonts w:hAnsi="宋体"/>
                <w:bCs/>
                <w:color w:val="auto"/>
                <w:sz w:val="21"/>
                <w:szCs w:val="21"/>
              </w:rPr>
              <w:t>监测频次</w:t>
            </w:r>
          </w:p>
        </w:tc>
      </w:tr>
      <w:tr>
        <w:tblPrEx>
          <w:tblBorders>
            <w:top w:val="single" w:color="auto" w:sz="2" w:space="0"/>
            <w:left w:val="none" w:color="auto" w:sz="0" w:space="0"/>
            <w:bottom w:val="sing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4" w:hRule="atLeast"/>
          <w:tblHeader/>
        </w:trPr>
        <w:tc>
          <w:tcPr>
            <w:tcW w:w="645" w:type="dxa"/>
            <w:vAlign w:val="center"/>
          </w:tcPr>
          <w:p>
            <w:pPr>
              <w:spacing w:line="240" w:lineRule="auto"/>
              <w:ind w:firstLine="0" w:firstLineChars="0"/>
              <w:jc w:val="center"/>
              <w:rPr>
                <w:bCs/>
                <w:color w:val="auto"/>
                <w:sz w:val="21"/>
                <w:szCs w:val="21"/>
              </w:rPr>
            </w:pPr>
            <w:r>
              <w:rPr>
                <w:rFonts w:hAnsi="宋体"/>
                <w:bCs/>
                <w:color w:val="auto"/>
                <w:sz w:val="21"/>
                <w:szCs w:val="21"/>
              </w:rPr>
              <w:t>废气</w:t>
            </w:r>
          </w:p>
        </w:tc>
        <w:tc>
          <w:tcPr>
            <w:tcW w:w="3431" w:type="dxa"/>
            <w:tcBorders>
              <w:bottom w:val="single" w:color="000000" w:sz="2" w:space="0"/>
            </w:tcBorders>
            <w:vAlign w:val="center"/>
          </w:tcPr>
          <w:p>
            <w:pPr>
              <w:spacing w:line="240" w:lineRule="auto"/>
              <w:ind w:firstLine="0" w:firstLineChars="0"/>
              <w:jc w:val="center"/>
              <w:rPr>
                <w:bCs/>
                <w:color w:val="auto"/>
                <w:sz w:val="21"/>
                <w:szCs w:val="21"/>
              </w:rPr>
            </w:pPr>
            <w:r>
              <w:rPr>
                <w:rFonts w:hint="eastAsia" w:hAnsi="宋体"/>
                <w:bCs/>
                <w:color w:val="auto"/>
                <w:sz w:val="21"/>
                <w:szCs w:val="21"/>
              </w:rPr>
              <w:t>厂区</w:t>
            </w:r>
            <w:r>
              <w:rPr>
                <w:rFonts w:hAnsi="宋体"/>
                <w:bCs/>
                <w:color w:val="auto"/>
                <w:sz w:val="21"/>
                <w:szCs w:val="21"/>
              </w:rPr>
              <w:t>四周</w:t>
            </w:r>
            <w:r>
              <w:rPr>
                <w:rFonts w:hint="eastAsia" w:hAnsi="宋体"/>
                <w:bCs/>
                <w:color w:val="auto"/>
                <w:sz w:val="21"/>
                <w:szCs w:val="21"/>
              </w:rPr>
              <w:t>厂界</w:t>
            </w:r>
          </w:p>
        </w:tc>
        <w:tc>
          <w:tcPr>
            <w:tcW w:w="2835" w:type="dxa"/>
            <w:vAlign w:val="center"/>
          </w:tcPr>
          <w:p>
            <w:pPr>
              <w:spacing w:line="240" w:lineRule="auto"/>
              <w:ind w:firstLine="0" w:firstLineChars="0"/>
              <w:jc w:val="center"/>
              <w:rPr>
                <w:bCs/>
                <w:color w:val="auto"/>
                <w:sz w:val="21"/>
                <w:szCs w:val="21"/>
              </w:rPr>
            </w:pPr>
            <w:r>
              <w:rPr>
                <w:bCs/>
                <w:color w:val="auto"/>
                <w:sz w:val="21"/>
                <w:szCs w:val="21"/>
              </w:rPr>
              <w:t>H</w:t>
            </w:r>
            <w:r>
              <w:rPr>
                <w:bCs/>
                <w:color w:val="auto"/>
                <w:sz w:val="21"/>
                <w:szCs w:val="21"/>
                <w:vertAlign w:val="subscript"/>
              </w:rPr>
              <w:t>2</w:t>
            </w:r>
            <w:r>
              <w:rPr>
                <w:bCs/>
                <w:color w:val="auto"/>
                <w:sz w:val="21"/>
                <w:szCs w:val="21"/>
              </w:rPr>
              <w:t>S</w:t>
            </w:r>
            <w:r>
              <w:rPr>
                <w:rFonts w:hAnsi="宋体"/>
                <w:bCs/>
                <w:color w:val="auto"/>
                <w:sz w:val="21"/>
                <w:szCs w:val="21"/>
              </w:rPr>
              <w:t>、</w:t>
            </w:r>
            <w:r>
              <w:rPr>
                <w:rFonts w:hint="eastAsia" w:hAnsi="宋体"/>
                <w:bCs/>
                <w:color w:val="auto"/>
                <w:sz w:val="21"/>
                <w:szCs w:val="21"/>
              </w:rPr>
              <w:t>NH</w:t>
            </w:r>
            <w:r>
              <w:rPr>
                <w:rFonts w:hint="eastAsia" w:hAnsi="宋体"/>
                <w:bCs/>
                <w:color w:val="auto"/>
                <w:sz w:val="21"/>
                <w:szCs w:val="21"/>
                <w:vertAlign w:val="subscript"/>
              </w:rPr>
              <w:t>3</w:t>
            </w:r>
          </w:p>
        </w:tc>
        <w:tc>
          <w:tcPr>
            <w:tcW w:w="2128" w:type="dxa"/>
            <w:vAlign w:val="center"/>
          </w:tcPr>
          <w:p>
            <w:pPr>
              <w:spacing w:line="240" w:lineRule="auto"/>
              <w:ind w:firstLine="0" w:firstLineChars="0"/>
              <w:jc w:val="center"/>
              <w:rPr>
                <w:bCs/>
                <w:color w:val="auto"/>
                <w:sz w:val="21"/>
                <w:szCs w:val="21"/>
              </w:rPr>
            </w:pPr>
            <w:r>
              <w:rPr>
                <w:rFonts w:ascii="宋体" w:hAnsi="宋体" w:cs="宋体"/>
                <w:color w:val="auto"/>
                <w:sz w:val="21"/>
                <w:szCs w:val="21"/>
              </w:rPr>
              <w:t>每年监测一次</w:t>
            </w:r>
          </w:p>
        </w:tc>
      </w:tr>
      <w:tr>
        <w:tblPrEx>
          <w:tblBorders>
            <w:top w:val="single" w:color="auto" w:sz="2" w:space="0"/>
            <w:left w:val="none" w:color="auto" w:sz="0" w:space="0"/>
            <w:bottom w:val="sing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645" w:type="dxa"/>
            <w:vAlign w:val="center"/>
          </w:tcPr>
          <w:p>
            <w:pPr>
              <w:spacing w:line="240" w:lineRule="auto"/>
              <w:ind w:firstLine="0" w:firstLineChars="0"/>
              <w:jc w:val="center"/>
              <w:rPr>
                <w:bCs/>
                <w:color w:val="auto"/>
                <w:sz w:val="21"/>
                <w:szCs w:val="21"/>
              </w:rPr>
            </w:pPr>
            <w:r>
              <w:rPr>
                <w:rFonts w:hAnsi="宋体"/>
                <w:bCs/>
                <w:color w:val="auto"/>
                <w:sz w:val="21"/>
                <w:szCs w:val="21"/>
              </w:rPr>
              <w:t>废水</w:t>
            </w:r>
          </w:p>
        </w:tc>
        <w:tc>
          <w:tcPr>
            <w:tcW w:w="3431" w:type="dxa"/>
            <w:vAlign w:val="center"/>
          </w:tcPr>
          <w:p>
            <w:pPr>
              <w:spacing w:line="240" w:lineRule="auto"/>
              <w:ind w:firstLine="0" w:firstLineChars="0"/>
              <w:jc w:val="center"/>
              <w:rPr>
                <w:bCs/>
                <w:color w:val="auto"/>
                <w:sz w:val="21"/>
                <w:szCs w:val="21"/>
              </w:rPr>
            </w:pPr>
            <w:r>
              <w:rPr>
                <w:rFonts w:hAnsi="宋体"/>
                <w:bCs/>
                <w:color w:val="auto"/>
                <w:sz w:val="21"/>
                <w:szCs w:val="21"/>
              </w:rPr>
              <w:t>养殖场污水处理设施进、出口</w:t>
            </w:r>
          </w:p>
        </w:tc>
        <w:tc>
          <w:tcPr>
            <w:tcW w:w="2835" w:type="dxa"/>
            <w:vAlign w:val="center"/>
          </w:tcPr>
          <w:p>
            <w:pPr>
              <w:spacing w:line="240" w:lineRule="auto"/>
              <w:ind w:firstLine="0" w:firstLineChars="0"/>
              <w:jc w:val="center"/>
              <w:rPr>
                <w:rFonts w:hAnsi="宋体"/>
                <w:bCs/>
                <w:color w:val="auto"/>
                <w:sz w:val="21"/>
                <w:szCs w:val="21"/>
              </w:rPr>
            </w:pPr>
            <w:r>
              <w:rPr>
                <w:bCs/>
                <w:color w:val="auto"/>
                <w:sz w:val="21"/>
                <w:szCs w:val="21"/>
              </w:rPr>
              <w:t>BOD</w:t>
            </w:r>
            <w:r>
              <w:rPr>
                <w:bCs/>
                <w:color w:val="auto"/>
                <w:sz w:val="21"/>
                <w:szCs w:val="21"/>
                <w:vertAlign w:val="subscript"/>
              </w:rPr>
              <w:t>5</w:t>
            </w:r>
            <w:r>
              <w:rPr>
                <w:rFonts w:hAnsi="宋体"/>
                <w:bCs/>
                <w:color w:val="auto"/>
                <w:sz w:val="21"/>
                <w:szCs w:val="21"/>
              </w:rPr>
              <w:t>、</w:t>
            </w:r>
            <w:r>
              <w:rPr>
                <w:bCs/>
                <w:color w:val="auto"/>
                <w:sz w:val="21"/>
                <w:szCs w:val="21"/>
              </w:rPr>
              <w:t>COD</w:t>
            </w:r>
            <w:r>
              <w:rPr>
                <w:rFonts w:hAnsi="宋体"/>
                <w:bCs/>
                <w:color w:val="auto"/>
                <w:sz w:val="21"/>
                <w:szCs w:val="21"/>
              </w:rPr>
              <w:t>、氨氮</w:t>
            </w:r>
            <w:r>
              <w:rPr>
                <w:rFonts w:hint="eastAsia" w:hAnsi="宋体"/>
                <w:bCs/>
                <w:color w:val="auto"/>
                <w:sz w:val="21"/>
                <w:szCs w:val="21"/>
              </w:rPr>
              <w:t>、总氮、粪大肠菌群</w:t>
            </w:r>
          </w:p>
        </w:tc>
        <w:tc>
          <w:tcPr>
            <w:tcW w:w="2128" w:type="dxa"/>
            <w:vAlign w:val="center"/>
          </w:tcPr>
          <w:p>
            <w:pPr>
              <w:spacing w:line="240" w:lineRule="auto"/>
              <w:ind w:firstLine="0" w:firstLineChars="0"/>
              <w:jc w:val="center"/>
              <w:rPr>
                <w:bCs/>
                <w:color w:val="auto"/>
                <w:sz w:val="21"/>
                <w:szCs w:val="21"/>
              </w:rPr>
            </w:pPr>
            <w:r>
              <w:rPr>
                <w:rFonts w:ascii="宋体" w:hAnsi="宋体" w:cs="宋体"/>
                <w:color w:val="auto"/>
                <w:sz w:val="21"/>
                <w:szCs w:val="21"/>
              </w:rPr>
              <w:t>每年监测一次</w:t>
            </w:r>
          </w:p>
        </w:tc>
      </w:tr>
      <w:tr>
        <w:tblPrEx>
          <w:tblBorders>
            <w:top w:val="single" w:color="auto" w:sz="2" w:space="0"/>
            <w:left w:val="none" w:color="auto" w:sz="0" w:space="0"/>
            <w:bottom w:val="sing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3" w:hRule="atLeast"/>
          <w:tblHeader/>
        </w:trPr>
        <w:tc>
          <w:tcPr>
            <w:tcW w:w="645" w:type="dxa"/>
            <w:vMerge w:val="restart"/>
            <w:vAlign w:val="center"/>
          </w:tcPr>
          <w:p>
            <w:pPr>
              <w:spacing w:line="240" w:lineRule="auto"/>
              <w:ind w:firstLine="0" w:firstLineChars="0"/>
              <w:jc w:val="center"/>
              <w:rPr>
                <w:bCs/>
                <w:color w:val="auto"/>
                <w:sz w:val="21"/>
                <w:szCs w:val="21"/>
              </w:rPr>
            </w:pPr>
            <w:r>
              <w:rPr>
                <w:rFonts w:hAnsi="宋体"/>
                <w:bCs/>
                <w:color w:val="auto"/>
                <w:sz w:val="21"/>
                <w:szCs w:val="21"/>
              </w:rPr>
              <w:t>地下水</w:t>
            </w:r>
          </w:p>
        </w:tc>
        <w:tc>
          <w:tcPr>
            <w:tcW w:w="3431" w:type="dxa"/>
            <w:vAlign w:val="center"/>
          </w:tcPr>
          <w:p>
            <w:pPr>
              <w:spacing w:line="240" w:lineRule="auto"/>
              <w:ind w:firstLine="0" w:firstLineChars="0"/>
              <w:jc w:val="center"/>
              <w:rPr>
                <w:bCs/>
                <w:color w:val="auto"/>
                <w:sz w:val="21"/>
                <w:szCs w:val="21"/>
              </w:rPr>
            </w:pPr>
            <w:r>
              <w:rPr>
                <w:rFonts w:hint="eastAsia"/>
                <w:bCs/>
                <w:color w:val="auto"/>
                <w:sz w:val="21"/>
                <w:szCs w:val="21"/>
              </w:rPr>
              <w:t>沼液消纳地上游、下游</w:t>
            </w:r>
            <w:r>
              <w:rPr>
                <w:bCs/>
                <w:color w:val="auto"/>
                <w:sz w:val="21"/>
                <w:szCs w:val="21"/>
              </w:rPr>
              <w:t>各</w:t>
            </w:r>
            <w:r>
              <w:rPr>
                <w:rFonts w:hint="eastAsia"/>
                <w:bCs/>
                <w:color w:val="auto"/>
                <w:sz w:val="21"/>
                <w:szCs w:val="21"/>
              </w:rPr>
              <w:t>一处</w:t>
            </w:r>
          </w:p>
        </w:tc>
        <w:tc>
          <w:tcPr>
            <w:tcW w:w="2835" w:type="dxa"/>
            <w:vMerge w:val="restart"/>
            <w:vAlign w:val="center"/>
          </w:tcPr>
          <w:p>
            <w:pPr>
              <w:spacing w:line="240" w:lineRule="auto"/>
              <w:ind w:firstLine="0" w:firstLineChars="0"/>
              <w:jc w:val="center"/>
              <w:rPr>
                <w:bCs/>
                <w:color w:val="auto"/>
                <w:sz w:val="21"/>
                <w:szCs w:val="21"/>
              </w:rPr>
            </w:pPr>
            <w:r>
              <w:rPr>
                <w:bCs/>
                <w:color w:val="auto"/>
                <w:sz w:val="21"/>
                <w:szCs w:val="21"/>
              </w:rPr>
              <w:t>pH</w:t>
            </w:r>
            <w:r>
              <w:rPr>
                <w:rFonts w:hAnsi="宋体"/>
                <w:bCs/>
                <w:color w:val="auto"/>
                <w:sz w:val="21"/>
                <w:szCs w:val="21"/>
              </w:rPr>
              <w:t>、高锰酸盐指数、氨氮、总硬度、硝酸盐、亚硝酸盐、总大肠菌群等</w:t>
            </w:r>
          </w:p>
        </w:tc>
        <w:tc>
          <w:tcPr>
            <w:tcW w:w="2128" w:type="dxa"/>
            <w:vMerge w:val="restart"/>
            <w:vAlign w:val="center"/>
          </w:tcPr>
          <w:p>
            <w:pPr>
              <w:spacing w:line="240" w:lineRule="auto"/>
              <w:ind w:firstLine="0" w:firstLineChars="0"/>
              <w:jc w:val="center"/>
              <w:rPr>
                <w:color w:val="auto"/>
                <w:sz w:val="21"/>
                <w:szCs w:val="21"/>
              </w:rPr>
            </w:pPr>
            <w:r>
              <w:rPr>
                <w:rFonts w:ascii="宋体" w:hAnsi="宋体" w:cs="宋体"/>
                <w:color w:val="auto"/>
                <w:sz w:val="21"/>
                <w:szCs w:val="21"/>
              </w:rPr>
              <w:t>每年监测一次</w:t>
            </w:r>
          </w:p>
        </w:tc>
      </w:tr>
      <w:tr>
        <w:tblPrEx>
          <w:tblBorders>
            <w:top w:val="single" w:color="auto" w:sz="2" w:space="0"/>
            <w:left w:val="none" w:color="auto" w:sz="0" w:space="0"/>
            <w:bottom w:val="sing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blHeader/>
        </w:trPr>
        <w:tc>
          <w:tcPr>
            <w:tcW w:w="645" w:type="dxa"/>
            <w:vMerge w:val="continue"/>
            <w:vAlign w:val="center"/>
          </w:tcPr>
          <w:p>
            <w:pPr>
              <w:spacing w:line="240" w:lineRule="auto"/>
              <w:ind w:firstLine="0" w:firstLineChars="0"/>
              <w:jc w:val="center"/>
              <w:rPr>
                <w:rFonts w:hAnsi="宋体"/>
                <w:bCs/>
                <w:color w:val="auto"/>
                <w:sz w:val="21"/>
                <w:szCs w:val="21"/>
              </w:rPr>
            </w:pPr>
          </w:p>
        </w:tc>
        <w:tc>
          <w:tcPr>
            <w:tcW w:w="3431" w:type="dxa"/>
            <w:vAlign w:val="center"/>
          </w:tcPr>
          <w:p>
            <w:pPr>
              <w:spacing w:line="240" w:lineRule="auto"/>
              <w:ind w:firstLine="0" w:firstLineChars="0"/>
              <w:jc w:val="center"/>
              <w:rPr>
                <w:bCs/>
                <w:color w:val="auto"/>
                <w:sz w:val="21"/>
                <w:szCs w:val="21"/>
              </w:rPr>
            </w:pPr>
            <w:r>
              <w:rPr>
                <w:rFonts w:hint="eastAsia"/>
                <w:bCs/>
                <w:color w:val="auto"/>
                <w:sz w:val="21"/>
                <w:szCs w:val="21"/>
              </w:rPr>
              <w:t>厂址（厂区</w:t>
            </w:r>
            <w:r>
              <w:rPr>
                <w:bCs/>
                <w:color w:val="auto"/>
                <w:sz w:val="21"/>
                <w:szCs w:val="21"/>
              </w:rPr>
              <w:t>下游位置</w:t>
            </w:r>
            <w:r>
              <w:rPr>
                <w:rFonts w:hint="eastAsia"/>
                <w:bCs/>
                <w:color w:val="auto"/>
                <w:sz w:val="21"/>
                <w:szCs w:val="21"/>
              </w:rPr>
              <w:t>）</w:t>
            </w:r>
          </w:p>
        </w:tc>
        <w:tc>
          <w:tcPr>
            <w:tcW w:w="2835" w:type="dxa"/>
            <w:vMerge w:val="continue"/>
            <w:vAlign w:val="center"/>
          </w:tcPr>
          <w:p>
            <w:pPr>
              <w:spacing w:line="240" w:lineRule="auto"/>
              <w:ind w:firstLine="0" w:firstLineChars="0"/>
              <w:jc w:val="center"/>
              <w:rPr>
                <w:bCs/>
                <w:color w:val="auto"/>
                <w:sz w:val="21"/>
                <w:szCs w:val="21"/>
              </w:rPr>
            </w:pPr>
          </w:p>
        </w:tc>
        <w:tc>
          <w:tcPr>
            <w:tcW w:w="2128" w:type="dxa"/>
            <w:vMerge w:val="continue"/>
            <w:vAlign w:val="center"/>
          </w:tcPr>
          <w:p>
            <w:pPr>
              <w:spacing w:line="240" w:lineRule="auto"/>
              <w:ind w:firstLine="0" w:firstLineChars="0"/>
              <w:jc w:val="center"/>
              <w:rPr>
                <w:rFonts w:hAnsi="宋体"/>
                <w:bCs/>
                <w:color w:val="auto"/>
                <w:sz w:val="21"/>
                <w:szCs w:val="21"/>
              </w:rPr>
            </w:pPr>
          </w:p>
        </w:tc>
      </w:tr>
      <w:tr>
        <w:tblPrEx>
          <w:tblBorders>
            <w:top w:val="single" w:color="auto" w:sz="2" w:space="0"/>
            <w:left w:val="none" w:color="auto" w:sz="0" w:space="0"/>
            <w:bottom w:val="sing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645" w:type="dxa"/>
            <w:vMerge w:val="continue"/>
            <w:vAlign w:val="center"/>
          </w:tcPr>
          <w:p>
            <w:pPr>
              <w:spacing w:line="240" w:lineRule="auto"/>
              <w:ind w:firstLine="0" w:firstLineChars="0"/>
              <w:jc w:val="center"/>
              <w:rPr>
                <w:rFonts w:hAnsi="宋体"/>
                <w:bCs/>
                <w:color w:val="auto"/>
                <w:sz w:val="21"/>
                <w:szCs w:val="21"/>
              </w:rPr>
            </w:pPr>
          </w:p>
        </w:tc>
        <w:tc>
          <w:tcPr>
            <w:tcW w:w="3431" w:type="dxa"/>
            <w:vAlign w:val="center"/>
          </w:tcPr>
          <w:p>
            <w:pPr>
              <w:spacing w:line="240" w:lineRule="auto"/>
              <w:ind w:firstLine="0" w:firstLineChars="0"/>
              <w:jc w:val="center"/>
              <w:rPr>
                <w:bCs/>
                <w:color w:val="auto"/>
                <w:sz w:val="21"/>
                <w:szCs w:val="21"/>
              </w:rPr>
            </w:pPr>
            <w:r>
              <w:rPr>
                <w:rFonts w:hint="eastAsia"/>
                <w:bCs/>
                <w:color w:val="auto"/>
                <w:sz w:val="21"/>
                <w:szCs w:val="21"/>
              </w:rPr>
              <w:t>柳寨村</w:t>
            </w:r>
          </w:p>
        </w:tc>
        <w:tc>
          <w:tcPr>
            <w:tcW w:w="2835" w:type="dxa"/>
            <w:vMerge w:val="continue"/>
            <w:vAlign w:val="center"/>
          </w:tcPr>
          <w:p>
            <w:pPr>
              <w:spacing w:line="240" w:lineRule="auto"/>
              <w:ind w:firstLine="0" w:firstLineChars="0"/>
              <w:jc w:val="center"/>
              <w:rPr>
                <w:bCs/>
                <w:color w:val="auto"/>
                <w:sz w:val="21"/>
                <w:szCs w:val="21"/>
              </w:rPr>
            </w:pPr>
          </w:p>
        </w:tc>
        <w:tc>
          <w:tcPr>
            <w:tcW w:w="2128" w:type="dxa"/>
            <w:vMerge w:val="continue"/>
            <w:vAlign w:val="center"/>
          </w:tcPr>
          <w:p>
            <w:pPr>
              <w:spacing w:line="240" w:lineRule="auto"/>
              <w:ind w:firstLine="0" w:firstLineChars="0"/>
              <w:jc w:val="center"/>
              <w:rPr>
                <w:rFonts w:hAnsi="宋体"/>
                <w:bCs/>
                <w:color w:val="auto"/>
                <w:sz w:val="21"/>
                <w:szCs w:val="21"/>
              </w:rPr>
            </w:pPr>
          </w:p>
        </w:tc>
      </w:tr>
      <w:tr>
        <w:tblPrEx>
          <w:tblBorders>
            <w:top w:val="single" w:color="auto" w:sz="2" w:space="0"/>
            <w:left w:val="none" w:color="auto" w:sz="0" w:space="0"/>
            <w:bottom w:val="sing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645" w:type="dxa"/>
            <w:vAlign w:val="center"/>
          </w:tcPr>
          <w:p>
            <w:pPr>
              <w:spacing w:line="240" w:lineRule="auto"/>
              <w:ind w:firstLine="0" w:firstLineChars="0"/>
              <w:jc w:val="center"/>
              <w:rPr>
                <w:bCs/>
                <w:color w:val="auto"/>
                <w:sz w:val="21"/>
                <w:szCs w:val="21"/>
              </w:rPr>
            </w:pPr>
            <w:r>
              <w:rPr>
                <w:rFonts w:hAnsi="宋体"/>
                <w:bCs/>
                <w:color w:val="auto"/>
                <w:sz w:val="21"/>
                <w:szCs w:val="21"/>
              </w:rPr>
              <w:t>噪声</w:t>
            </w:r>
          </w:p>
        </w:tc>
        <w:tc>
          <w:tcPr>
            <w:tcW w:w="3431" w:type="dxa"/>
            <w:vAlign w:val="center"/>
          </w:tcPr>
          <w:p>
            <w:pPr>
              <w:spacing w:line="240" w:lineRule="auto"/>
              <w:ind w:firstLine="0" w:firstLineChars="0"/>
              <w:jc w:val="center"/>
              <w:rPr>
                <w:bCs/>
                <w:color w:val="auto"/>
                <w:sz w:val="21"/>
                <w:szCs w:val="21"/>
              </w:rPr>
            </w:pPr>
            <w:r>
              <w:rPr>
                <w:rFonts w:hAnsi="宋体"/>
                <w:bCs/>
                <w:color w:val="auto"/>
                <w:sz w:val="21"/>
                <w:szCs w:val="21"/>
              </w:rPr>
              <w:t>四周</w:t>
            </w:r>
            <w:r>
              <w:rPr>
                <w:rFonts w:hint="eastAsia" w:hAnsi="宋体"/>
                <w:bCs/>
                <w:color w:val="auto"/>
                <w:sz w:val="21"/>
                <w:szCs w:val="21"/>
              </w:rPr>
              <w:t>厂界</w:t>
            </w:r>
            <w:r>
              <w:rPr>
                <w:rFonts w:hAnsi="宋体"/>
                <w:bCs/>
                <w:color w:val="auto"/>
                <w:sz w:val="21"/>
                <w:szCs w:val="21"/>
              </w:rPr>
              <w:t>外</w:t>
            </w:r>
            <w:r>
              <w:rPr>
                <w:bCs/>
                <w:color w:val="auto"/>
                <w:sz w:val="21"/>
                <w:szCs w:val="21"/>
              </w:rPr>
              <w:t>1m</w:t>
            </w:r>
          </w:p>
        </w:tc>
        <w:tc>
          <w:tcPr>
            <w:tcW w:w="2835" w:type="dxa"/>
            <w:vAlign w:val="center"/>
          </w:tcPr>
          <w:p>
            <w:pPr>
              <w:spacing w:line="240" w:lineRule="auto"/>
              <w:ind w:firstLine="0" w:firstLineChars="0"/>
              <w:jc w:val="center"/>
              <w:rPr>
                <w:bCs/>
                <w:color w:val="auto"/>
                <w:sz w:val="21"/>
                <w:szCs w:val="21"/>
              </w:rPr>
            </w:pPr>
            <w:r>
              <w:rPr>
                <w:rFonts w:hAnsi="宋体"/>
                <w:bCs/>
                <w:color w:val="auto"/>
                <w:sz w:val="21"/>
                <w:szCs w:val="21"/>
              </w:rPr>
              <w:t>噪声值</w:t>
            </w:r>
          </w:p>
        </w:tc>
        <w:tc>
          <w:tcPr>
            <w:tcW w:w="2128" w:type="dxa"/>
            <w:vAlign w:val="center"/>
          </w:tcPr>
          <w:p>
            <w:pPr>
              <w:spacing w:line="240" w:lineRule="auto"/>
              <w:ind w:firstLine="0" w:firstLineChars="0"/>
              <w:jc w:val="center"/>
              <w:rPr>
                <w:bCs/>
                <w:color w:val="auto"/>
                <w:sz w:val="21"/>
                <w:szCs w:val="21"/>
              </w:rPr>
            </w:pPr>
            <w:r>
              <w:rPr>
                <w:rFonts w:hint="eastAsia" w:ascii="宋体" w:hAnsi="宋体" w:cs="宋体"/>
                <w:color w:val="auto"/>
                <w:sz w:val="21"/>
                <w:szCs w:val="21"/>
              </w:rPr>
              <w:t>每季度</w:t>
            </w:r>
            <w:r>
              <w:rPr>
                <w:rFonts w:ascii="宋体" w:hAnsi="宋体" w:cs="宋体"/>
                <w:color w:val="auto"/>
                <w:sz w:val="21"/>
                <w:szCs w:val="21"/>
              </w:rPr>
              <w:t>监测一次</w:t>
            </w:r>
          </w:p>
        </w:tc>
      </w:tr>
      <w:tr>
        <w:tblPrEx>
          <w:tblBorders>
            <w:top w:val="single" w:color="auto" w:sz="2" w:space="0"/>
            <w:left w:val="none" w:color="auto" w:sz="0" w:space="0"/>
            <w:bottom w:val="sing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645" w:type="dxa"/>
            <w:vAlign w:val="center"/>
          </w:tcPr>
          <w:p>
            <w:pPr>
              <w:spacing w:line="240" w:lineRule="auto"/>
              <w:ind w:firstLine="0" w:firstLineChars="0"/>
              <w:jc w:val="center"/>
              <w:rPr>
                <w:bCs/>
                <w:color w:val="auto"/>
                <w:sz w:val="21"/>
                <w:szCs w:val="21"/>
              </w:rPr>
            </w:pPr>
            <w:r>
              <w:rPr>
                <w:rFonts w:hAnsi="宋体"/>
                <w:bCs/>
                <w:color w:val="auto"/>
                <w:sz w:val="21"/>
                <w:szCs w:val="21"/>
              </w:rPr>
              <w:t>土壤</w:t>
            </w:r>
          </w:p>
        </w:tc>
        <w:tc>
          <w:tcPr>
            <w:tcW w:w="3431" w:type="dxa"/>
            <w:vAlign w:val="center"/>
          </w:tcPr>
          <w:p>
            <w:pPr>
              <w:spacing w:line="240" w:lineRule="auto"/>
              <w:ind w:firstLine="0" w:firstLineChars="0"/>
              <w:jc w:val="center"/>
              <w:rPr>
                <w:bCs/>
                <w:color w:val="auto"/>
                <w:sz w:val="21"/>
                <w:szCs w:val="21"/>
              </w:rPr>
            </w:pPr>
            <w:r>
              <w:rPr>
                <w:rFonts w:hAnsi="宋体"/>
                <w:bCs/>
                <w:color w:val="auto"/>
                <w:sz w:val="21"/>
                <w:szCs w:val="21"/>
              </w:rPr>
              <w:t>配套农田</w:t>
            </w:r>
          </w:p>
        </w:tc>
        <w:tc>
          <w:tcPr>
            <w:tcW w:w="2835" w:type="dxa"/>
            <w:vAlign w:val="center"/>
          </w:tcPr>
          <w:p>
            <w:pPr>
              <w:spacing w:line="240" w:lineRule="auto"/>
              <w:ind w:firstLine="0" w:firstLineChars="0"/>
              <w:jc w:val="center"/>
              <w:rPr>
                <w:rFonts w:hAnsi="宋体"/>
                <w:bCs/>
                <w:color w:val="auto"/>
                <w:sz w:val="21"/>
                <w:szCs w:val="21"/>
              </w:rPr>
            </w:pPr>
            <w:r>
              <w:rPr>
                <w:rFonts w:hAnsi="宋体"/>
                <w:bCs/>
                <w:color w:val="auto"/>
                <w:sz w:val="21"/>
                <w:szCs w:val="21"/>
              </w:rPr>
              <w:t>pH、</w:t>
            </w:r>
            <w:r>
              <w:rPr>
                <w:rFonts w:hint="eastAsia" w:hAnsi="宋体"/>
                <w:bCs/>
                <w:color w:val="auto"/>
                <w:sz w:val="21"/>
                <w:szCs w:val="21"/>
              </w:rPr>
              <w:t>镉、汞、</w:t>
            </w:r>
            <w:r>
              <w:rPr>
                <w:rFonts w:hAnsi="宋体"/>
                <w:bCs/>
                <w:color w:val="auto"/>
                <w:sz w:val="21"/>
                <w:szCs w:val="21"/>
              </w:rPr>
              <w:t>铜、砷、锌</w:t>
            </w:r>
            <w:r>
              <w:rPr>
                <w:rFonts w:hint="eastAsia" w:hAnsi="宋体"/>
                <w:bCs/>
                <w:color w:val="auto"/>
                <w:sz w:val="21"/>
                <w:szCs w:val="21"/>
              </w:rPr>
              <w:t>等重金属及氮、磷、钾等土壤养分的跟踪监测</w:t>
            </w:r>
          </w:p>
        </w:tc>
        <w:tc>
          <w:tcPr>
            <w:tcW w:w="2128" w:type="dxa"/>
            <w:vAlign w:val="center"/>
          </w:tcPr>
          <w:p>
            <w:pPr>
              <w:spacing w:line="240" w:lineRule="auto"/>
              <w:ind w:firstLine="0" w:firstLineChars="0"/>
              <w:jc w:val="center"/>
              <w:rPr>
                <w:bCs/>
                <w:color w:val="auto"/>
                <w:sz w:val="21"/>
                <w:szCs w:val="21"/>
              </w:rPr>
            </w:pPr>
            <w:r>
              <w:rPr>
                <w:rFonts w:ascii="宋体" w:hAnsi="宋体" w:cs="宋体"/>
                <w:color w:val="auto"/>
                <w:sz w:val="21"/>
                <w:szCs w:val="21"/>
              </w:rPr>
              <w:t>建议</w:t>
            </w:r>
            <w:r>
              <w:rPr>
                <w:rFonts w:eastAsia="新宋体"/>
                <w:color w:val="auto"/>
                <w:sz w:val="21"/>
                <w:szCs w:val="21"/>
              </w:rPr>
              <w:t>每5年</w:t>
            </w:r>
            <w:r>
              <w:rPr>
                <w:rFonts w:ascii="宋体" w:hAnsi="宋体" w:cs="宋体"/>
                <w:color w:val="auto"/>
                <w:sz w:val="21"/>
                <w:szCs w:val="21"/>
              </w:rPr>
              <w:t>监测一次</w:t>
            </w:r>
          </w:p>
        </w:tc>
      </w:tr>
    </w:tbl>
    <w:p>
      <w:pPr>
        <w:ind w:firstLine="480"/>
        <w:rPr>
          <w:bCs/>
          <w:color w:val="auto"/>
        </w:rPr>
      </w:pPr>
      <w:r>
        <w:rPr>
          <w:bCs/>
          <w:color w:val="auto"/>
        </w:rPr>
        <w:t>上述监测任务也可委托当地有资质的单位进行监测。本项目应有专人负责联系监测和保存监测资料。对于本项目沼液消纳地还需跟踪监测土壤养分变化范围及变化规律，分析养料供需平衡，以达到沼液长期施用、增加土壤养分含量的目的。</w:t>
      </w:r>
    </w:p>
    <w:p>
      <w:pPr>
        <w:pStyle w:val="5"/>
        <w:numPr>
          <w:ilvl w:val="1"/>
          <w:numId w:val="0"/>
        </w:numPr>
        <w:tabs>
          <w:tab w:val="left" w:pos="105"/>
        </w:tabs>
        <w:spacing w:before="0" w:after="0"/>
        <w:jc w:val="left"/>
        <w:textAlignment w:val="baseline"/>
        <w:rPr>
          <w:color w:val="auto"/>
          <w:sz w:val="24"/>
          <w:szCs w:val="24"/>
        </w:rPr>
      </w:pPr>
      <w:bookmarkStart w:id="765" w:name="_Toc468115488"/>
      <w:bookmarkStart w:id="766" w:name="_Toc22379"/>
      <w:bookmarkStart w:id="767" w:name="_Toc413834603"/>
      <w:bookmarkStart w:id="768" w:name="_Toc23763"/>
      <w:bookmarkStart w:id="769" w:name="_Toc29006"/>
      <w:bookmarkStart w:id="770" w:name="_Toc485580809"/>
      <w:bookmarkStart w:id="771" w:name="_Toc27087"/>
      <w:bookmarkStart w:id="772" w:name="_Toc445457762"/>
      <w:r>
        <w:rPr>
          <w:rFonts w:hint="eastAsia"/>
          <w:color w:val="auto"/>
          <w:sz w:val="24"/>
          <w:szCs w:val="24"/>
        </w:rPr>
        <w:t>9</w:t>
      </w:r>
      <w:r>
        <w:rPr>
          <w:color w:val="auto"/>
          <w:sz w:val="24"/>
          <w:szCs w:val="24"/>
        </w:rPr>
        <w:t>.</w:t>
      </w:r>
      <w:r>
        <w:rPr>
          <w:rFonts w:hint="eastAsia"/>
          <w:color w:val="auto"/>
          <w:sz w:val="24"/>
          <w:szCs w:val="24"/>
        </w:rPr>
        <w:t>4</w:t>
      </w:r>
      <w:r>
        <w:rPr>
          <w:color w:val="auto"/>
          <w:sz w:val="24"/>
          <w:szCs w:val="24"/>
        </w:rPr>
        <w:t xml:space="preserve"> 环保竣工验收内容</w:t>
      </w:r>
      <w:bookmarkEnd w:id="765"/>
      <w:bookmarkEnd w:id="766"/>
      <w:bookmarkEnd w:id="767"/>
      <w:bookmarkEnd w:id="768"/>
      <w:bookmarkEnd w:id="769"/>
      <w:bookmarkEnd w:id="770"/>
      <w:bookmarkEnd w:id="771"/>
      <w:bookmarkEnd w:id="772"/>
    </w:p>
    <w:p>
      <w:pPr>
        <w:ind w:firstLine="480"/>
        <w:rPr>
          <w:color w:val="auto"/>
          <w:kern w:val="0"/>
        </w:rPr>
      </w:pPr>
      <w:r>
        <w:rPr>
          <w:rFonts w:hint="eastAsia"/>
          <w:color w:val="auto"/>
          <w:kern w:val="0"/>
        </w:rPr>
        <w:t>项目“三同时”环保竣工验收见表 9.4-1</w:t>
      </w:r>
      <w:r>
        <w:rPr>
          <w:color w:val="auto"/>
          <w:kern w:val="0"/>
        </w:rPr>
        <w:t>。</w:t>
      </w:r>
    </w:p>
    <w:p>
      <w:pPr>
        <w:ind w:firstLine="482"/>
        <w:rPr>
          <w:b/>
          <w:color w:val="auto"/>
          <w:szCs w:val="21"/>
        </w:rPr>
      </w:pPr>
      <w:r>
        <w:rPr>
          <w:rFonts w:hint="eastAsia"/>
          <w:b/>
          <w:color w:val="auto"/>
          <w:szCs w:val="21"/>
        </w:rPr>
        <w:t>表9.4-1</w:t>
      </w:r>
      <w:r>
        <w:rPr>
          <w:b/>
          <w:color w:val="auto"/>
          <w:szCs w:val="21"/>
        </w:rPr>
        <w:t xml:space="preserve">    </w:t>
      </w:r>
      <w:r>
        <w:rPr>
          <w:rFonts w:hint="eastAsia"/>
          <w:b/>
          <w:color w:val="auto"/>
          <w:szCs w:val="21"/>
        </w:rPr>
        <w:t xml:space="preserve">                </w:t>
      </w:r>
      <w:r>
        <w:rPr>
          <w:b/>
          <w:color w:val="auto"/>
          <w:szCs w:val="21"/>
        </w:rPr>
        <w:t xml:space="preserve"> </w:t>
      </w:r>
      <w:r>
        <w:rPr>
          <w:rFonts w:hint="eastAsia"/>
          <w:b/>
          <w:color w:val="auto"/>
          <w:szCs w:val="21"/>
        </w:rPr>
        <w:t>环境保护“三同时”</w:t>
      </w:r>
      <w:r>
        <w:rPr>
          <w:b/>
          <w:color w:val="auto"/>
          <w:szCs w:val="21"/>
        </w:rPr>
        <w:t>验收一览表</w:t>
      </w:r>
    </w:p>
    <w:bookmarkEnd w:id="737"/>
    <w:bookmarkEnd w:id="738"/>
    <w:bookmarkEnd w:id="739"/>
    <w:bookmarkEnd w:id="740"/>
    <w:bookmarkEnd w:id="741"/>
    <w:tbl>
      <w:tblPr>
        <w:tblStyle w:val="27"/>
        <w:tblW w:w="0" w:type="auto"/>
        <w:jc w:val="center"/>
        <w:tblBorders>
          <w:top w:val="single" w:color="000000" w:sz="2" w:space="0"/>
          <w:left w:val="none" w:color="auto" w:sz="0" w:space="0"/>
          <w:bottom w:val="single" w:color="000000" w:sz="2" w:space="0"/>
          <w:right w:val="none" w:color="auto" w:sz="0" w:space="0"/>
          <w:insideH w:val="single" w:color="000000" w:sz="2" w:space="0"/>
          <w:insideV w:val="single" w:color="000000" w:sz="6" w:space="0"/>
        </w:tblBorders>
        <w:tblLayout w:type="fixed"/>
        <w:tblCellMar>
          <w:top w:w="0" w:type="dxa"/>
          <w:left w:w="0" w:type="dxa"/>
          <w:bottom w:w="0" w:type="dxa"/>
          <w:right w:w="0" w:type="dxa"/>
        </w:tblCellMar>
      </w:tblPr>
      <w:tblGrid>
        <w:gridCol w:w="431"/>
        <w:gridCol w:w="493"/>
        <w:gridCol w:w="682"/>
        <w:gridCol w:w="1786"/>
        <w:gridCol w:w="835"/>
        <w:gridCol w:w="2399"/>
        <w:gridCol w:w="2332"/>
      </w:tblGrid>
      <w:tr>
        <w:tblPrEx>
          <w:tblBorders>
            <w:top w:val="single" w:color="000000" w:sz="2" w:space="0"/>
            <w:left w:val="none" w:color="auto" w:sz="0" w:space="0"/>
            <w:bottom w:val="single" w:color="000000" w:sz="2" w:space="0"/>
            <w:right w:val="none" w:color="auto" w:sz="0" w:space="0"/>
            <w:insideH w:val="single" w:color="000000" w:sz="2" w:space="0"/>
            <w:insideV w:val="single" w:color="000000" w:sz="6" w:space="0"/>
          </w:tblBorders>
          <w:tblCellMar>
            <w:top w:w="0" w:type="dxa"/>
            <w:left w:w="0" w:type="dxa"/>
            <w:bottom w:w="0" w:type="dxa"/>
            <w:right w:w="0" w:type="dxa"/>
          </w:tblCellMar>
        </w:tblPrEx>
        <w:trPr>
          <w:trHeight w:val="705" w:hRule="exact"/>
          <w:jc w:val="center"/>
        </w:trPr>
        <w:tc>
          <w:tcPr>
            <w:tcW w:w="431" w:type="dxa"/>
            <w:tcBorders>
              <w:tl2br w:val="nil"/>
              <w:tr2bl w:val="nil"/>
            </w:tcBorders>
            <w:vAlign w:val="center"/>
          </w:tcPr>
          <w:p>
            <w:pPr>
              <w:pStyle w:val="42"/>
              <w:adjustRightInd/>
              <w:snapToGrid/>
              <w:spacing w:line="240" w:lineRule="auto"/>
              <w:ind w:firstLine="0" w:firstLineChars="0"/>
              <w:jc w:val="center"/>
              <w:rPr>
                <w:color w:val="auto"/>
                <w:sz w:val="21"/>
                <w:szCs w:val="21"/>
              </w:rPr>
            </w:pPr>
            <w:bookmarkStart w:id="773" w:name="_Toc477187662"/>
            <w:bookmarkStart w:id="774" w:name="_Toc485580810"/>
            <w:bookmarkStart w:id="775" w:name="_Toc13257"/>
            <w:bookmarkStart w:id="776" w:name="_Toc19362"/>
            <w:bookmarkStart w:id="777" w:name="_Toc476923088"/>
            <w:bookmarkStart w:id="778" w:name="_Toc477187614"/>
            <w:bookmarkStart w:id="779" w:name="_Toc366760522"/>
            <w:bookmarkStart w:id="780" w:name="_Toc295122029"/>
            <w:r>
              <w:rPr>
                <w:b/>
                <w:bCs/>
                <w:color w:val="auto"/>
                <w:sz w:val="21"/>
                <w:szCs w:val="21"/>
              </w:rPr>
              <w:t>项</w:t>
            </w:r>
            <w:r>
              <w:rPr>
                <w:b/>
                <w:bCs/>
                <w:color w:val="auto"/>
                <w:w w:val="99"/>
                <w:sz w:val="21"/>
                <w:szCs w:val="21"/>
              </w:rPr>
              <w:t xml:space="preserve"> </w:t>
            </w:r>
            <w:r>
              <w:rPr>
                <w:b/>
                <w:bCs/>
                <w:color w:val="auto"/>
                <w:sz w:val="21"/>
                <w:szCs w:val="21"/>
              </w:rPr>
              <w:t>目</w:t>
            </w:r>
          </w:p>
        </w:tc>
        <w:tc>
          <w:tcPr>
            <w:tcW w:w="1175" w:type="dxa"/>
            <w:gridSpan w:val="2"/>
            <w:tcBorders>
              <w:tl2br w:val="nil"/>
              <w:tr2bl w:val="nil"/>
            </w:tcBorders>
            <w:vAlign w:val="center"/>
          </w:tcPr>
          <w:p>
            <w:pPr>
              <w:pStyle w:val="42"/>
              <w:adjustRightInd/>
              <w:snapToGrid/>
              <w:spacing w:line="240" w:lineRule="auto"/>
              <w:ind w:firstLine="0" w:firstLineChars="0"/>
              <w:jc w:val="center"/>
              <w:rPr>
                <w:color w:val="auto"/>
                <w:sz w:val="21"/>
                <w:szCs w:val="21"/>
              </w:rPr>
            </w:pPr>
            <w:r>
              <w:rPr>
                <w:b/>
                <w:bCs/>
                <w:color w:val="auto"/>
                <w:sz w:val="21"/>
                <w:szCs w:val="21"/>
              </w:rPr>
              <w:t>产污</w:t>
            </w:r>
            <w:r>
              <w:rPr>
                <w:b/>
                <w:bCs/>
                <w:color w:val="auto"/>
                <w:w w:val="99"/>
                <w:sz w:val="21"/>
                <w:szCs w:val="21"/>
              </w:rPr>
              <w:t xml:space="preserve"> </w:t>
            </w:r>
            <w:r>
              <w:rPr>
                <w:b/>
                <w:bCs/>
                <w:color w:val="auto"/>
                <w:sz w:val="21"/>
                <w:szCs w:val="21"/>
              </w:rPr>
              <w:t>环节</w:t>
            </w:r>
          </w:p>
        </w:tc>
        <w:tc>
          <w:tcPr>
            <w:tcW w:w="1786" w:type="dxa"/>
            <w:tcBorders>
              <w:tl2br w:val="nil"/>
              <w:tr2bl w:val="nil"/>
            </w:tcBorders>
            <w:vAlign w:val="center"/>
          </w:tcPr>
          <w:p>
            <w:pPr>
              <w:pStyle w:val="42"/>
              <w:adjustRightInd/>
              <w:snapToGrid/>
              <w:spacing w:line="240" w:lineRule="auto"/>
              <w:ind w:firstLine="0" w:firstLineChars="0"/>
              <w:jc w:val="center"/>
              <w:rPr>
                <w:color w:val="auto"/>
                <w:sz w:val="21"/>
                <w:szCs w:val="21"/>
              </w:rPr>
            </w:pPr>
            <w:r>
              <w:rPr>
                <w:b/>
                <w:bCs/>
                <w:color w:val="auto"/>
                <w:sz w:val="21"/>
                <w:szCs w:val="21"/>
              </w:rPr>
              <w:t>防治措施</w:t>
            </w:r>
          </w:p>
        </w:tc>
        <w:tc>
          <w:tcPr>
            <w:tcW w:w="3234" w:type="dxa"/>
            <w:gridSpan w:val="2"/>
            <w:tcBorders>
              <w:tl2br w:val="nil"/>
              <w:tr2bl w:val="nil"/>
            </w:tcBorders>
            <w:vAlign w:val="center"/>
          </w:tcPr>
          <w:p>
            <w:pPr>
              <w:pStyle w:val="42"/>
              <w:adjustRightInd/>
              <w:snapToGrid/>
              <w:spacing w:line="240" w:lineRule="auto"/>
              <w:ind w:firstLine="0" w:firstLineChars="0"/>
              <w:jc w:val="center"/>
              <w:rPr>
                <w:color w:val="auto"/>
                <w:sz w:val="21"/>
                <w:szCs w:val="21"/>
              </w:rPr>
            </w:pPr>
            <w:r>
              <w:rPr>
                <w:b/>
                <w:bCs/>
                <w:color w:val="auto"/>
                <w:sz w:val="21"/>
                <w:szCs w:val="21"/>
              </w:rPr>
              <w:t>验收内容</w:t>
            </w:r>
          </w:p>
        </w:tc>
        <w:tc>
          <w:tcPr>
            <w:tcW w:w="2332" w:type="dxa"/>
            <w:tcBorders>
              <w:tl2br w:val="nil"/>
              <w:tr2bl w:val="nil"/>
            </w:tcBorders>
            <w:vAlign w:val="center"/>
          </w:tcPr>
          <w:p>
            <w:pPr>
              <w:pStyle w:val="42"/>
              <w:adjustRightInd/>
              <w:snapToGrid/>
              <w:spacing w:line="240" w:lineRule="auto"/>
              <w:ind w:firstLine="0" w:firstLineChars="0"/>
              <w:jc w:val="center"/>
              <w:rPr>
                <w:color w:val="auto"/>
                <w:sz w:val="21"/>
                <w:szCs w:val="21"/>
              </w:rPr>
            </w:pPr>
            <w:r>
              <w:rPr>
                <w:b/>
                <w:bCs/>
                <w:color w:val="auto"/>
                <w:sz w:val="21"/>
                <w:szCs w:val="21"/>
              </w:rPr>
              <w:t>满足标准</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6" w:space="0"/>
          </w:tblBorders>
          <w:tblCellMar>
            <w:top w:w="0" w:type="dxa"/>
            <w:left w:w="0" w:type="dxa"/>
            <w:bottom w:w="0" w:type="dxa"/>
            <w:right w:w="0" w:type="dxa"/>
          </w:tblCellMar>
        </w:tblPrEx>
        <w:trPr>
          <w:trHeight w:val="1547" w:hRule="exact"/>
          <w:jc w:val="center"/>
        </w:trPr>
        <w:tc>
          <w:tcPr>
            <w:tcW w:w="431" w:type="dxa"/>
            <w:vMerge w:val="restart"/>
            <w:tcBorders>
              <w:tl2br w:val="nil"/>
              <w:tr2bl w:val="nil"/>
            </w:tcBorders>
            <w:vAlign w:val="center"/>
          </w:tcPr>
          <w:p>
            <w:pPr>
              <w:pStyle w:val="42"/>
              <w:adjustRightInd/>
              <w:snapToGrid/>
              <w:spacing w:line="240" w:lineRule="auto"/>
              <w:ind w:firstLine="0" w:firstLineChars="0"/>
              <w:jc w:val="center"/>
              <w:rPr>
                <w:color w:val="auto"/>
                <w:sz w:val="21"/>
                <w:szCs w:val="21"/>
              </w:rPr>
            </w:pPr>
            <w:r>
              <w:rPr>
                <w:color w:val="auto"/>
                <w:sz w:val="21"/>
                <w:szCs w:val="21"/>
              </w:rPr>
              <w:t>废水</w:t>
            </w:r>
          </w:p>
        </w:tc>
        <w:tc>
          <w:tcPr>
            <w:tcW w:w="1175" w:type="dxa"/>
            <w:gridSpan w:val="2"/>
            <w:vMerge w:val="restart"/>
            <w:tcBorders>
              <w:tl2br w:val="nil"/>
              <w:tr2bl w:val="nil"/>
            </w:tcBorders>
            <w:vAlign w:val="center"/>
          </w:tcPr>
          <w:p>
            <w:pPr>
              <w:pStyle w:val="42"/>
              <w:adjustRightInd/>
              <w:snapToGrid/>
              <w:spacing w:line="240" w:lineRule="auto"/>
              <w:ind w:firstLine="0" w:firstLineChars="0"/>
              <w:jc w:val="center"/>
              <w:rPr>
                <w:color w:val="auto"/>
                <w:sz w:val="21"/>
                <w:szCs w:val="21"/>
              </w:rPr>
            </w:pPr>
            <w:r>
              <w:rPr>
                <w:color w:val="auto"/>
                <w:sz w:val="21"/>
                <w:szCs w:val="21"/>
              </w:rPr>
              <w:t>养殖废水生活污水</w:t>
            </w:r>
          </w:p>
        </w:tc>
        <w:tc>
          <w:tcPr>
            <w:tcW w:w="1786" w:type="dxa"/>
            <w:vMerge w:val="restart"/>
            <w:tcBorders>
              <w:tl2br w:val="nil"/>
              <w:tr2bl w:val="nil"/>
            </w:tcBorders>
            <w:vAlign w:val="center"/>
          </w:tcPr>
          <w:p>
            <w:pPr>
              <w:pStyle w:val="42"/>
              <w:adjustRightInd/>
              <w:snapToGrid/>
              <w:spacing w:line="240" w:lineRule="auto"/>
              <w:ind w:firstLine="0" w:firstLineChars="0"/>
              <w:jc w:val="center"/>
              <w:rPr>
                <w:color w:val="auto"/>
                <w:sz w:val="21"/>
                <w:szCs w:val="21"/>
              </w:rPr>
            </w:pPr>
            <w:r>
              <w:rPr>
                <w:color w:val="auto"/>
                <w:sz w:val="21"/>
                <w:szCs w:val="21"/>
              </w:rPr>
              <w:t>养殖废水与生活污水混合后经</w:t>
            </w:r>
            <w:r>
              <w:rPr>
                <w:rFonts w:hint="eastAsia"/>
                <w:color w:val="auto"/>
                <w:sz w:val="21"/>
                <w:szCs w:val="21"/>
              </w:rPr>
              <w:t>厂区</w:t>
            </w:r>
            <w:r>
              <w:rPr>
                <w:color w:val="auto"/>
                <w:sz w:val="21"/>
                <w:szCs w:val="21"/>
              </w:rPr>
              <w:t>黑膜沼气工程处理，定期经过配套农肥系统用于农田综合利用</w:t>
            </w:r>
          </w:p>
        </w:tc>
        <w:tc>
          <w:tcPr>
            <w:tcW w:w="835" w:type="dxa"/>
            <w:tcBorders>
              <w:tl2br w:val="nil"/>
              <w:tr2bl w:val="nil"/>
            </w:tcBorders>
            <w:vAlign w:val="center"/>
          </w:tcPr>
          <w:p>
            <w:pPr>
              <w:pStyle w:val="42"/>
              <w:adjustRightInd/>
              <w:snapToGrid/>
              <w:spacing w:line="240" w:lineRule="auto"/>
              <w:ind w:firstLine="0" w:firstLineChars="0"/>
              <w:jc w:val="center"/>
              <w:rPr>
                <w:color w:val="auto"/>
                <w:sz w:val="21"/>
                <w:szCs w:val="21"/>
              </w:rPr>
            </w:pPr>
            <w:r>
              <w:rPr>
                <w:color w:val="auto"/>
                <w:sz w:val="21"/>
                <w:szCs w:val="21"/>
              </w:rPr>
              <w:t>污水处理设施</w:t>
            </w:r>
          </w:p>
        </w:tc>
        <w:tc>
          <w:tcPr>
            <w:tcW w:w="2399" w:type="dxa"/>
            <w:tcBorders>
              <w:tl2br w:val="nil"/>
              <w:tr2bl w:val="nil"/>
            </w:tcBorders>
            <w:vAlign w:val="center"/>
          </w:tcPr>
          <w:p>
            <w:pPr>
              <w:pStyle w:val="42"/>
              <w:adjustRightInd/>
              <w:snapToGrid/>
              <w:spacing w:line="240" w:lineRule="auto"/>
              <w:ind w:firstLine="0" w:firstLineChars="0"/>
              <w:jc w:val="center"/>
              <w:rPr>
                <w:color w:val="auto"/>
                <w:sz w:val="21"/>
                <w:szCs w:val="21"/>
              </w:rPr>
            </w:pPr>
            <w:r>
              <w:rPr>
                <w:rFonts w:hint="eastAsia"/>
                <w:color w:val="auto"/>
                <w:sz w:val="21"/>
                <w:szCs w:val="21"/>
              </w:rPr>
              <w:t>黑膜沼气-沼液储存池</w:t>
            </w:r>
            <w:r>
              <w:rPr>
                <w:color w:val="auto"/>
                <w:sz w:val="21"/>
                <w:szCs w:val="21"/>
              </w:rPr>
              <w:t>：</w:t>
            </w:r>
            <w:r>
              <w:rPr>
                <w:rFonts w:eastAsia="Times New Roman"/>
                <w:color w:val="auto"/>
                <w:sz w:val="21"/>
                <w:szCs w:val="21"/>
              </w:rPr>
              <w:t>1</w:t>
            </w:r>
            <w:r>
              <w:rPr>
                <w:color w:val="auto"/>
                <w:sz w:val="21"/>
                <w:szCs w:val="21"/>
              </w:rPr>
              <w:t>座</w:t>
            </w:r>
            <w:r>
              <w:rPr>
                <w:rFonts w:hint="eastAsia"/>
                <w:color w:val="auto"/>
                <w:sz w:val="21"/>
                <w:szCs w:val="21"/>
              </w:rPr>
              <w:t>17633</w:t>
            </w:r>
            <w:r>
              <w:rPr>
                <w:rFonts w:eastAsia="Times New Roman"/>
                <w:color w:val="auto"/>
                <w:sz w:val="21"/>
                <w:szCs w:val="21"/>
              </w:rPr>
              <w:t>m</w:t>
            </w:r>
            <w:r>
              <w:rPr>
                <w:color w:val="auto"/>
                <w:sz w:val="21"/>
                <w:szCs w:val="21"/>
                <w:vertAlign w:val="superscript"/>
              </w:rPr>
              <w:t>3</w:t>
            </w:r>
            <w:r>
              <w:rPr>
                <w:color w:val="auto"/>
                <w:sz w:val="21"/>
                <w:szCs w:val="21"/>
              </w:rPr>
              <w:t>；</w:t>
            </w:r>
          </w:p>
          <w:p>
            <w:pPr>
              <w:pStyle w:val="42"/>
              <w:adjustRightInd/>
              <w:snapToGrid/>
              <w:spacing w:line="240" w:lineRule="auto"/>
              <w:ind w:firstLine="0" w:firstLineChars="0"/>
              <w:jc w:val="center"/>
              <w:rPr>
                <w:color w:val="auto"/>
                <w:sz w:val="21"/>
                <w:szCs w:val="21"/>
              </w:rPr>
            </w:pPr>
            <w:r>
              <w:rPr>
                <w:color w:val="auto"/>
                <w:sz w:val="21"/>
                <w:szCs w:val="21"/>
              </w:rPr>
              <w:t>固液分离机：</w:t>
            </w:r>
            <w:r>
              <w:rPr>
                <w:rFonts w:eastAsia="Times New Roman"/>
                <w:color w:val="auto"/>
                <w:sz w:val="21"/>
                <w:szCs w:val="21"/>
              </w:rPr>
              <w:t>1</w:t>
            </w:r>
            <w:r>
              <w:rPr>
                <w:color w:val="auto"/>
                <w:sz w:val="21"/>
                <w:szCs w:val="21"/>
              </w:rPr>
              <w:t>台</w:t>
            </w:r>
          </w:p>
        </w:tc>
        <w:tc>
          <w:tcPr>
            <w:tcW w:w="2332" w:type="dxa"/>
            <w:vMerge w:val="restart"/>
            <w:tcBorders>
              <w:tl2br w:val="nil"/>
              <w:tr2bl w:val="nil"/>
            </w:tcBorders>
            <w:vAlign w:val="center"/>
          </w:tcPr>
          <w:p>
            <w:pPr>
              <w:pStyle w:val="42"/>
              <w:adjustRightInd/>
              <w:snapToGrid/>
              <w:spacing w:line="240" w:lineRule="auto"/>
              <w:ind w:firstLine="0" w:firstLineChars="0"/>
              <w:jc w:val="center"/>
              <w:rPr>
                <w:color w:val="auto"/>
                <w:sz w:val="21"/>
                <w:szCs w:val="21"/>
              </w:rPr>
            </w:pPr>
            <w:r>
              <w:rPr>
                <w:color w:val="auto"/>
                <w:sz w:val="21"/>
                <w:szCs w:val="21"/>
              </w:rPr>
              <w:t>全部综合利用，不外排</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6" w:space="0"/>
          </w:tblBorders>
          <w:tblCellMar>
            <w:top w:w="0" w:type="dxa"/>
            <w:left w:w="0" w:type="dxa"/>
            <w:bottom w:w="0" w:type="dxa"/>
            <w:right w:w="0" w:type="dxa"/>
          </w:tblCellMar>
        </w:tblPrEx>
        <w:trPr>
          <w:trHeight w:val="2024" w:hRule="exact"/>
          <w:jc w:val="center"/>
        </w:trPr>
        <w:tc>
          <w:tcPr>
            <w:tcW w:w="431" w:type="dxa"/>
            <w:vMerge w:val="continue"/>
            <w:tcBorders>
              <w:tl2br w:val="nil"/>
              <w:tr2bl w:val="nil"/>
            </w:tcBorders>
            <w:vAlign w:val="center"/>
          </w:tcPr>
          <w:p>
            <w:pPr>
              <w:adjustRightInd/>
              <w:snapToGrid/>
              <w:spacing w:line="240" w:lineRule="auto"/>
              <w:ind w:firstLine="0" w:firstLineChars="0"/>
              <w:jc w:val="center"/>
              <w:rPr>
                <w:color w:val="auto"/>
                <w:sz w:val="21"/>
                <w:szCs w:val="21"/>
              </w:rPr>
            </w:pPr>
          </w:p>
        </w:tc>
        <w:tc>
          <w:tcPr>
            <w:tcW w:w="1175" w:type="dxa"/>
            <w:gridSpan w:val="2"/>
            <w:vMerge w:val="continue"/>
            <w:tcBorders>
              <w:tl2br w:val="nil"/>
              <w:tr2bl w:val="nil"/>
            </w:tcBorders>
            <w:vAlign w:val="center"/>
          </w:tcPr>
          <w:p>
            <w:pPr>
              <w:adjustRightInd/>
              <w:snapToGrid/>
              <w:spacing w:line="240" w:lineRule="auto"/>
              <w:ind w:firstLine="0" w:firstLineChars="0"/>
              <w:jc w:val="center"/>
              <w:rPr>
                <w:color w:val="auto"/>
                <w:sz w:val="21"/>
                <w:szCs w:val="21"/>
              </w:rPr>
            </w:pPr>
          </w:p>
        </w:tc>
        <w:tc>
          <w:tcPr>
            <w:tcW w:w="1786" w:type="dxa"/>
            <w:vMerge w:val="continue"/>
            <w:tcBorders>
              <w:tl2br w:val="nil"/>
              <w:tr2bl w:val="nil"/>
            </w:tcBorders>
            <w:vAlign w:val="center"/>
          </w:tcPr>
          <w:p>
            <w:pPr>
              <w:adjustRightInd/>
              <w:snapToGrid/>
              <w:spacing w:line="240" w:lineRule="auto"/>
              <w:ind w:firstLine="0" w:firstLineChars="0"/>
              <w:jc w:val="center"/>
              <w:rPr>
                <w:color w:val="auto"/>
                <w:sz w:val="21"/>
                <w:szCs w:val="21"/>
              </w:rPr>
            </w:pPr>
          </w:p>
        </w:tc>
        <w:tc>
          <w:tcPr>
            <w:tcW w:w="835" w:type="dxa"/>
            <w:tcBorders>
              <w:tl2br w:val="nil"/>
              <w:tr2bl w:val="nil"/>
            </w:tcBorders>
            <w:vAlign w:val="center"/>
          </w:tcPr>
          <w:p>
            <w:pPr>
              <w:pStyle w:val="42"/>
              <w:adjustRightInd/>
              <w:snapToGrid/>
              <w:spacing w:line="240" w:lineRule="auto"/>
              <w:ind w:firstLine="0" w:firstLineChars="0"/>
              <w:jc w:val="center"/>
              <w:rPr>
                <w:color w:val="auto"/>
                <w:sz w:val="21"/>
                <w:szCs w:val="21"/>
              </w:rPr>
            </w:pPr>
            <w:r>
              <w:rPr>
                <w:color w:val="auto"/>
                <w:sz w:val="21"/>
                <w:szCs w:val="21"/>
              </w:rPr>
              <w:t>施肥系统</w:t>
            </w:r>
          </w:p>
        </w:tc>
        <w:tc>
          <w:tcPr>
            <w:tcW w:w="2399" w:type="dxa"/>
            <w:tcBorders>
              <w:tl2br w:val="nil"/>
              <w:tr2bl w:val="nil"/>
            </w:tcBorders>
            <w:vAlign w:val="center"/>
          </w:tcPr>
          <w:p>
            <w:pPr>
              <w:pStyle w:val="42"/>
              <w:adjustRightInd/>
              <w:snapToGrid/>
              <w:spacing w:line="240" w:lineRule="auto"/>
              <w:ind w:firstLine="0" w:firstLineChars="0"/>
              <w:jc w:val="center"/>
              <w:rPr>
                <w:color w:val="auto"/>
                <w:sz w:val="21"/>
                <w:szCs w:val="21"/>
              </w:rPr>
            </w:pPr>
            <w:r>
              <w:rPr>
                <w:color w:val="auto"/>
                <w:sz w:val="21"/>
                <w:szCs w:val="21"/>
              </w:rPr>
              <w:t>主干管长度为</w:t>
            </w:r>
            <w:r>
              <w:rPr>
                <w:rFonts w:hint="eastAsia"/>
                <w:color w:val="auto"/>
                <w:sz w:val="21"/>
                <w:szCs w:val="21"/>
                <w:lang w:val="en-US" w:eastAsia="zh-CN"/>
              </w:rPr>
              <w:t>2</w:t>
            </w:r>
            <w:r>
              <w:rPr>
                <w:rFonts w:hint="eastAsia"/>
                <w:color w:val="auto"/>
                <w:sz w:val="21"/>
                <w:szCs w:val="21"/>
              </w:rPr>
              <w:t>k</w:t>
            </w:r>
            <w:r>
              <w:rPr>
                <w:color w:val="auto"/>
                <w:sz w:val="21"/>
                <w:szCs w:val="21"/>
              </w:rPr>
              <w:t>m，支管长度为</w:t>
            </w:r>
            <w:r>
              <w:rPr>
                <w:rFonts w:hint="eastAsia"/>
                <w:color w:val="auto"/>
                <w:sz w:val="21"/>
                <w:szCs w:val="21"/>
                <w:lang w:val="en-US" w:eastAsia="zh-CN"/>
              </w:rPr>
              <w:t>3800</w:t>
            </w:r>
            <w:r>
              <w:rPr>
                <w:color w:val="auto"/>
                <w:sz w:val="21"/>
                <w:szCs w:val="21"/>
              </w:rPr>
              <w:t>m，主干管直径为160mm，支管直径分别为110mm和75mm</w:t>
            </w:r>
            <w:r>
              <w:rPr>
                <w:rFonts w:hint="eastAsia"/>
                <w:color w:val="auto"/>
                <w:sz w:val="21"/>
                <w:szCs w:val="21"/>
              </w:rPr>
              <w:t>，主管网不超过2km</w:t>
            </w:r>
            <w:r>
              <w:rPr>
                <w:color w:val="auto"/>
                <w:sz w:val="21"/>
                <w:szCs w:val="21"/>
              </w:rPr>
              <w:t>。</w:t>
            </w:r>
          </w:p>
        </w:tc>
        <w:tc>
          <w:tcPr>
            <w:tcW w:w="2332" w:type="dxa"/>
            <w:vMerge w:val="continue"/>
            <w:tcBorders>
              <w:tl2br w:val="nil"/>
              <w:tr2bl w:val="nil"/>
            </w:tcBorders>
            <w:vAlign w:val="center"/>
          </w:tcPr>
          <w:p>
            <w:pPr>
              <w:adjustRightInd/>
              <w:snapToGrid/>
              <w:spacing w:line="240" w:lineRule="auto"/>
              <w:ind w:firstLine="0" w:firstLineChars="0"/>
              <w:jc w:val="center"/>
              <w:rPr>
                <w:color w:val="auto"/>
                <w:sz w:val="21"/>
                <w:szCs w:val="21"/>
              </w:rPr>
            </w:pP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6" w:space="0"/>
          </w:tblBorders>
          <w:tblCellMar>
            <w:top w:w="0" w:type="dxa"/>
            <w:left w:w="0" w:type="dxa"/>
            <w:bottom w:w="0" w:type="dxa"/>
            <w:right w:w="0" w:type="dxa"/>
          </w:tblCellMar>
        </w:tblPrEx>
        <w:trPr>
          <w:trHeight w:val="992" w:hRule="exact"/>
          <w:jc w:val="center"/>
        </w:trPr>
        <w:tc>
          <w:tcPr>
            <w:tcW w:w="431" w:type="dxa"/>
            <w:vMerge w:val="continue"/>
            <w:tcBorders>
              <w:tl2br w:val="nil"/>
              <w:tr2bl w:val="nil"/>
            </w:tcBorders>
            <w:vAlign w:val="center"/>
          </w:tcPr>
          <w:p>
            <w:pPr>
              <w:adjustRightInd/>
              <w:snapToGrid/>
              <w:spacing w:line="240" w:lineRule="auto"/>
              <w:ind w:firstLine="0" w:firstLineChars="0"/>
              <w:jc w:val="center"/>
              <w:rPr>
                <w:color w:val="auto"/>
                <w:sz w:val="21"/>
                <w:szCs w:val="21"/>
              </w:rPr>
            </w:pPr>
          </w:p>
        </w:tc>
        <w:tc>
          <w:tcPr>
            <w:tcW w:w="1175" w:type="dxa"/>
            <w:gridSpan w:val="2"/>
            <w:tcBorders>
              <w:tl2br w:val="nil"/>
              <w:tr2bl w:val="nil"/>
            </w:tcBorders>
            <w:vAlign w:val="center"/>
          </w:tcPr>
          <w:p>
            <w:pPr>
              <w:pStyle w:val="42"/>
              <w:adjustRightInd/>
              <w:snapToGrid/>
              <w:spacing w:line="240" w:lineRule="auto"/>
              <w:ind w:firstLine="0" w:firstLineChars="0"/>
              <w:jc w:val="center"/>
              <w:rPr>
                <w:color w:val="auto"/>
                <w:sz w:val="21"/>
                <w:szCs w:val="21"/>
              </w:rPr>
            </w:pPr>
            <w:r>
              <w:rPr>
                <w:color w:val="auto"/>
                <w:sz w:val="21"/>
                <w:szCs w:val="21"/>
              </w:rPr>
              <w:t>雨水</w:t>
            </w:r>
          </w:p>
        </w:tc>
        <w:tc>
          <w:tcPr>
            <w:tcW w:w="1786" w:type="dxa"/>
            <w:tcBorders>
              <w:tl2br w:val="nil"/>
              <w:tr2bl w:val="nil"/>
            </w:tcBorders>
            <w:vAlign w:val="center"/>
          </w:tcPr>
          <w:p>
            <w:pPr>
              <w:pStyle w:val="42"/>
              <w:adjustRightInd/>
              <w:snapToGrid/>
              <w:spacing w:line="240" w:lineRule="auto"/>
              <w:ind w:firstLine="0" w:firstLineChars="0"/>
              <w:jc w:val="center"/>
              <w:rPr>
                <w:rFonts w:eastAsia="Times New Roman"/>
                <w:color w:val="auto"/>
                <w:sz w:val="21"/>
                <w:szCs w:val="21"/>
              </w:rPr>
            </w:pPr>
            <w:r>
              <w:rPr>
                <w:color w:val="auto"/>
                <w:w w:val="99"/>
                <w:sz w:val="21"/>
                <w:szCs w:val="21"/>
              </w:rPr>
              <w:t>/</w:t>
            </w:r>
          </w:p>
        </w:tc>
        <w:tc>
          <w:tcPr>
            <w:tcW w:w="835" w:type="dxa"/>
            <w:tcBorders>
              <w:tl2br w:val="nil"/>
              <w:tr2bl w:val="nil"/>
            </w:tcBorders>
            <w:vAlign w:val="center"/>
          </w:tcPr>
          <w:p>
            <w:pPr>
              <w:pStyle w:val="42"/>
              <w:adjustRightInd/>
              <w:snapToGrid/>
              <w:spacing w:line="240" w:lineRule="auto"/>
              <w:ind w:firstLine="0" w:firstLineChars="0"/>
              <w:jc w:val="center"/>
              <w:rPr>
                <w:color w:val="auto"/>
                <w:sz w:val="21"/>
                <w:szCs w:val="21"/>
              </w:rPr>
            </w:pPr>
            <w:r>
              <w:rPr>
                <w:color w:val="auto"/>
                <w:sz w:val="21"/>
                <w:szCs w:val="21"/>
              </w:rPr>
              <w:t>雨水管理</w:t>
            </w:r>
          </w:p>
        </w:tc>
        <w:tc>
          <w:tcPr>
            <w:tcW w:w="2399" w:type="dxa"/>
            <w:tcBorders>
              <w:tl2br w:val="nil"/>
              <w:tr2bl w:val="nil"/>
            </w:tcBorders>
            <w:vAlign w:val="center"/>
          </w:tcPr>
          <w:p>
            <w:pPr>
              <w:pStyle w:val="42"/>
              <w:adjustRightInd/>
              <w:snapToGrid/>
              <w:spacing w:line="240" w:lineRule="auto"/>
              <w:ind w:firstLine="0" w:firstLineChars="0"/>
              <w:jc w:val="center"/>
              <w:rPr>
                <w:color w:val="auto"/>
                <w:sz w:val="21"/>
                <w:szCs w:val="21"/>
              </w:rPr>
            </w:pPr>
            <w:r>
              <w:rPr>
                <w:rFonts w:hint="eastAsia"/>
                <w:color w:val="auto"/>
                <w:sz w:val="21"/>
                <w:szCs w:val="21"/>
              </w:rPr>
              <w:t>厂区</w:t>
            </w:r>
            <w:r>
              <w:rPr>
                <w:color w:val="auto"/>
                <w:sz w:val="21"/>
                <w:szCs w:val="21"/>
              </w:rPr>
              <w:t>内设置雨、污分流管网</w:t>
            </w:r>
          </w:p>
        </w:tc>
        <w:tc>
          <w:tcPr>
            <w:tcW w:w="2332" w:type="dxa"/>
            <w:tcBorders>
              <w:tl2br w:val="nil"/>
              <w:tr2bl w:val="nil"/>
            </w:tcBorders>
            <w:vAlign w:val="center"/>
          </w:tcPr>
          <w:p>
            <w:pPr>
              <w:pStyle w:val="42"/>
              <w:adjustRightInd/>
              <w:snapToGrid/>
              <w:spacing w:line="240" w:lineRule="auto"/>
              <w:ind w:firstLine="0" w:firstLineChars="0"/>
              <w:jc w:val="center"/>
              <w:rPr>
                <w:color w:val="auto"/>
                <w:sz w:val="21"/>
                <w:szCs w:val="21"/>
              </w:rPr>
            </w:pPr>
            <w:r>
              <w:rPr>
                <w:color w:val="auto"/>
                <w:sz w:val="21"/>
                <w:szCs w:val="21"/>
              </w:rPr>
              <w:t>《畜禽养殖业污染防治</w:t>
            </w:r>
          </w:p>
          <w:p>
            <w:pPr>
              <w:pStyle w:val="42"/>
              <w:adjustRightInd/>
              <w:snapToGrid/>
              <w:spacing w:line="240" w:lineRule="auto"/>
              <w:ind w:firstLine="0" w:firstLineChars="0"/>
              <w:jc w:val="center"/>
              <w:rPr>
                <w:color w:val="auto"/>
                <w:sz w:val="21"/>
                <w:szCs w:val="21"/>
              </w:rPr>
            </w:pPr>
            <w:r>
              <w:rPr>
                <w:color w:val="auto"/>
                <w:spacing w:val="-4"/>
                <w:sz w:val="21"/>
                <w:szCs w:val="21"/>
              </w:rPr>
              <w:t>技术规范》</w:t>
            </w:r>
            <w:r>
              <w:rPr>
                <w:rFonts w:eastAsia="Times New Roman"/>
                <w:color w:val="auto"/>
                <w:spacing w:val="-4"/>
                <w:sz w:val="21"/>
                <w:szCs w:val="21"/>
              </w:rPr>
              <w:t>HJ/T81-2001</w:t>
            </w:r>
            <w:r>
              <w:rPr>
                <w:color w:val="auto"/>
                <w:sz w:val="21"/>
                <w:szCs w:val="21"/>
              </w:rPr>
              <w:t>要求</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6" w:space="0"/>
          </w:tblBorders>
          <w:tblCellMar>
            <w:top w:w="0" w:type="dxa"/>
            <w:left w:w="0" w:type="dxa"/>
            <w:bottom w:w="0" w:type="dxa"/>
            <w:right w:w="0" w:type="dxa"/>
          </w:tblCellMar>
        </w:tblPrEx>
        <w:trPr>
          <w:trHeight w:val="3739" w:hRule="exact"/>
          <w:jc w:val="center"/>
        </w:trPr>
        <w:tc>
          <w:tcPr>
            <w:tcW w:w="431" w:type="dxa"/>
            <w:vMerge w:val="restart"/>
            <w:tcBorders>
              <w:tl2br w:val="nil"/>
              <w:tr2bl w:val="nil"/>
            </w:tcBorders>
            <w:vAlign w:val="center"/>
          </w:tcPr>
          <w:p>
            <w:pPr>
              <w:pStyle w:val="42"/>
              <w:adjustRightInd/>
              <w:snapToGrid/>
              <w:spacing w:line="240" w:lineRule="auto"/>
              <w:ind w:firstLine="0" w:firstLineChars="0"/>
              <w:jc w:val="center"/>
              <w:rPr>
                <w:color w:val="auto"/>
                <w:sz w:val="21"/>
                <w:szCs w:val="21"/>
              </w:rPr>
            </w:pPr>
            <w:r>
              <w:rPr>
                <w:color w:val="auto"/>
                <w:sz w:val="21"/>
                <w:szCs w:val="21"/>
              </w:rPr>
              <w:t>废气</w:t>
            </w:r>
          </w:p>
        </w:tc>
        <w:tc>
          <w:tcPr>
            <w:tcW w:w="1175" w:type="dxa"/>
            <w:gridSpan w:val="2"/>
            <w:tcBorders>
              <w:tl2br w:val="nil"/>
              <w:tr2bl w:val="nil"/>
            </w:tcBorders>
            <w:vAlign w:val="center"/>
          </w:tcPr>
          <w:p>
            <w:pPr>
              <w:pStyle w:val="42"/>
              <w:adjustRightInd/>
              <w:snapToGrid/>
              <w:spacing w:line="240" w:lineRule="auto"/>
              <w:ind w:firstLine="0" w:firstLineChars="0"/>
              <w:jc w:val="center"/>
              <w:rPr>
                <w:color w:val="auto"/>
                <w:sz w:val="21"/>
                <w:szCs w:val="21"/>
              </w:rPr>
            </w:pPr>
            <w:r>
              <w:rPr>
                <w:color w:val="auto"/>
                <w:sz w:val="21"/>
                <w:szCs w:val="21"/>
              </w:rPr>
              <w:t>猪舍</w:t>
            </w:r>
          </w:p>
        </w:tc>
        <w:tc>
          <w:tcPr>
            <w:tcW w:w="1786" w:type="dxa"/>
            <w:tcBorders>
              <w:tl2br w:val="nil"/>
              <w:tr2bl w:val="nil"/>
            </w:tcBorders>
            <w:vAlign w:val="center"/>
          </w:tcPr>
          <w:p>
            <w:pPr>
              <w:adjustRightInd/>
              <w:snapToGrid/>
              <w:spacing w:line="240" w:lineRule="auto"/>
              <w:ind w:firstLine="0" w:firstLineChars="0"/>
              <w:rPr>
                <w:color w:val="auto"/>
                <w:sz w:val="21"/>
                <w:szCs w:val="21"/>
                <w:highlight w:val="yellow"/>
              </w:rPr>
            </w:pPr>
            <w:r>
              <w:rPr>
                <w:bCs/>
                <w:color w:val="auto"/>
                <w:sz w:val="21"/>
                <w:szCs w:val="21"/>
              </w:rPr>
              <w:t>控制饲养密度，</w:t>
            </w:r>
            <w:r>
              <w:rPr>
                <w:rFonts w:hint="eastAsia"/>
                <w:bCs/>
                <w:color w:val="auto"/>
                <w:sz w:val="21"/>
                <w:szCs w:val="21"/>
              </w:rPr>
              <w:t>调整饲料配方</w:t>
            </w:r>
            <w:r>
              <w:rPr>
                <w:bCs/>
                <w:color w:val="auto"/>
                <w:sz w:val="21"/>
                <w:szCs w:val="21"/>
              </w:rPr>
              <w:t>、采用节水型饮水器、全漏缝地板并及时清粪</w:t>
            </w:r>
            <w:r>
              <w:rPr>
                <w:rFonts w:hint="eastAsia"/>
                <w:bCs/>
                <w:color w:val="auto"/>
                <w:sz w:val="21"/>
                <w:szCs w:val="21"/>
              </w:rPr>
              <w:t>、喷洒除臭剂、猪舍出风口设置风机，将臭气引至除臭棚处理，除臭棚墙内填充填料吸附，同时除臭棚顶部有喷淋水装置</w:t>
            </w:r>
          </w:p>
        </w:tc>
        <w:tc>
          <w:tcPr>
            <w:tcW w:w="3234" w:type="dxa"/>
            <w:gridSpan w:val="2"/>
            <w:tcBorders>
              <w:tl2br w:val="nil"/>
              <w:tr2bl w:val="nil"/>
            </w:tcBorders>
            <w:vAlign w:val="center"/>
          </w:tcPr>
          <w:p>
            <w:pPr>
              <w:adjustRightInd/>
              <w:snapToGrid/>
              <w:spacing w:line="240" w:lineRule="auto"/>
              <w:ind w:firstLine="420"/>
              <w:jc w:val="center"/>
              <w:rPr>
                <w:rFonts w:eastAsia="Times New Roman"/>
                <w:color w:val="auto"/>
                <w:sz w:val="21"/>
                <w:szCs w:val="21"/>
                <w:highlight w:val="yellow"/>
              </w:rPr>
            </w:pPr>
            <w:r>
              <w:rPr>
                <w:bCs/>
                <w:color w:val="auto"/>
                <w:sz w:val="21"/>
                <w:szCs w:val="21"/>
              </w:rPr>
              <w:t>控制饲养密度，</w:t>
            </w:r>
            <w:r>
              <w:rPr>
                <w:rFonts w:hint="eastAsia"/>
                <w:bCs/>
                <w:color w:val="auto"/>
                <w:sz w:val="21"/>
                <w:szCs w:val="21"/>
              </w:rPr>
              <w:t>调整饲料配方</w:t>
            </w:r>
            <w:r>
              <w:rPr>
                <w:bCs/>
                <w:color w:val="auto"/>
                <w:sz w:val="21"/>
                <w:szCs w:val="21"/>
              </w:rPr>
              <w:t>、采用节水型饮水器、全漏缝地板并及时清粪</w:t>
            </w:r>
            <w:r>
              <w:rPr>
                <w:rFonts w:hint="eastAsia"/>
                <w:bCs/>
                <w:color w:val="auto"/>
                <w:sz w:val="21"/>
                <w:szCs w:val="21"/>
              </w:rPr>
              <w:t>、喷洒除臭剂、猪舍出风口设置风机，将臭气引至除臭棚处理，除臭棚墙内填充填料吸附，同时除臭棚顶部有喷淋水装置</w:t>
            </w:r>
          </w:p>
        </w:tc>
        <w:tc>
          <w:tcPr>
            <w:tcW w:w="2332" w:type="dxa"/>
            <w:vMerge w:val="restart"/>
            <w:tcBorders>
              <w:tl2br w:val="nil"/>
              <w:tr2bl w:val="nil"/>
            </w:tcBorders>
            <w:vAlign w:val="center"/>
          </w:tcPr>
          <w:p>
            <w:pPr>
              <w:pStyle w:val="42"/>
              <w:adjustRightInd/>
              <w:snapToGrid/>
              <w:spacing w:line="240" w:lineRule="auto"/>
              <w:ind w:firstLine="0" w:firstLineChars="0"/>
              <w:jc w:val="center"/>
              <w:rPr>
                <w:color w:val="auto"/>
                <w:sz w:val="21"/>
                <w:szCs w:val="21"/>
              </w:rPr>
            </w:pPr>
            <w:r>
              <w:rPr>
                <w:color w:val="auto"/>
                <w:sz w:val="21"/>
                <w:szCs w:val="21"/>
              </w:rPr>
              <w:t>《恶臭污染物排放标</w:t>
            </w:r>
            <w:r>
              <w:rPr>
                <w:color w:val="auto"/>
                <w:spacing w:val="-13"/>
                <w:sz w:val="21"/>
                <w:szCs w:val="21"/>
              </w:rPr>
              <w:t>准》（</w:t>
            </w:r>
            <w:r>
              <w:rPr>
                <w:rFonts w:eastAsia="Times New Roman"/>
                <w:color w:val="auto"/>
                <w:spacing w:val="-13"/>
                <w:sz w:val="21"/>
                <w:szCs w:val="21"/>
              </w:rPr>
              <w:t>GB14554-93</w:t>
            </w:r>
            <w:r>
              <w:rPr>
                <w:color w:val="auto"/>
                <w:spacing w:val="-13"/>
                <w:sz w:val="21"/>
                <w:szCs w:val="21"/>
              </w:rPr>
              <w:t>）表</w:t>
            </w:r>
            <w:r>
              <w:rPr>
                <w:color w:val="auto"/>
                <w:spacing w:val="-56"/>
                <w:sz w:val="21"/>
                <w:szCs w:val="21"/>
              </w:rPr>
              <w:t xml:space="preserve"> </w:t>
            </w:r>
            <w:r>
              <w:rPr>
                <w:rFonts w:eastAsia="Times New Roman"/>
                <w:color w:val="auto"/>
                <w:sz w:val="21"/>
                <w:szCs w:val="21"/>
              </w:rPr>
              <w:t>1</w:t>
            </w:r>
            <w:r>
              <w:rPr>
                <w:color w:val="auto"/>
                <w:sz w:val="21"/>
                <w:szCs w:val="21"/>
              </w:rPr>
              <w:t>厂界标准值中二级标准</w:t>
            </w:r>
            <w:r>
              <w:rPr>
                <w:color w:val="auto"/>
                <w:spacing w:val="-13"/>
                <w:sz w:val="21"/>
                <w:szCs w:val="21"/>
              </w:rPr>
              <w:t>要求（无组织）：</w:t>
            </w:r>
            <w:r>
              <w:rPr>
                <w:rFonts w:eastAsia="Times New Roman"/>
                <w:color w:val="auto"/>
                <w:position w:val="2"/>
                <w:sz w:val="21"/>
                <w:szCs w:val="21"/>
              </w:rPr>
              <w:t>NH</w:t>
            </w:r>
            <w:r>
              <w:rPr>
                <w:rFonts w:eastAsia="Times New Roman"/>
                <w:color w:val="auto"/>
                <w:sz w:val="21"/>
                <w:szCs w:val="21"/>
                <w:vertAlign w:val="subscript"/>
              </w:rPr>
              <w:t>3</w:t>
            </w:r>
            <w:r>
              <w:rPr>
                <w:rFonts w:eastAsia="Times New Roman"/>
                <w:color w:val="auto"/>
                <w:position w:val="2"/>
                <w:sz w:val="21"/>
                <w:szCs w:val="21"/>
              </w:rPr>
              <w:t>≤1.5mg/m</w:t>
            </w:r>
            <w:r>
              <w:rPr>
                <w:rFonts w:hint="eastAsia"/>
                <w:color w:val="auto"/>
                <w:position w:val="2"/>
                <w:sz w:val="21"/>
                <w:szCs w:val="21"/>
                <w:vertAlign w:val="superscript"/>
              </w:rPr>
              <w:t>3</w:t>
            </w:r>
            <w:r>
              <w:rPr>
                <w:color w:val="auto"/>
                <w:position w:val="2"/>
                <w:sz w:val="21"/>
                <w:szCs w:val="21"/>
              </w:rPr>
              <w:t>、</w:t>
            </w:r>
            <w:r>
              <w:rPr>
                <w:rFonts w:eastAsia="Times New Roman"/>
                <w:color w:val="auto"/>
                <w:position w:val="2"/>
                <w:sz w:val="21"/>
                <w:szCs w:val="21"/>
              </w:rPr>
              <w:t>H</w:t>
            </w:r>
            <w:r>
              <w:rPr>
                <w:rFonts w:eastAsia="Times New Roman"/>
                <w:color w:val="auto"/>
                <w:sz w:val="21"/>
                <w:szCs w:val="21"/>
                <w:vertAlign w:val="subscript"/>
              </w:rPr>
              <w:t>2</w:t>
            </w:r>
            <w:r>
              <w:rPr>
                <w:rFonts w:eastAsia="Times New Roman"/>
                <w:color w:val="auto"/>
                <w:position w:val="2"/>
                <w:sz w:val="21"/>
                <w:szCs w:val="21"/>
              </w:rPr>
              <w:t>S≤0.06mg/m</w:t>
            </w:r>
            <w:r>
              <w:rPr>
                <w:rFonts w:hint="eastAsia"/>
                <w:color w:val="auto"/>
                <w:position w:val="2"/>
                <w:sz w:val="21"/>
                <w:szCs w:val="21"/>
                <w:vertAlign w:val="superscript"/>
              </w:rPr>
              <w:t>3</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6" w:space="0"/>
          </w:tblBorders>
          <w:tblCellMar>
            <w:top w:w="0" w:type="dxa"/>
            <w:left w:w="0" w:type="dxa"/>
            <w:bottom w:w="0" w:type="dxa"/>
            <w:right w:w="0" w:type="dxa"/>
          </w:tblCellMar>
        </w:tblPrEx>
        <w:trPr>
          <w:trHeight w:val="979" w:hRule="exact"/>
          <w:jc w:val="center"/>
        </w:trPr>
        <w:tc>
          <w:tcPr>
            <w:tcW w:w="431" w:type="dxa"/>
            <w:vMerge w:val="continue"/>
            <w:tcBorders>
              <w:tl2br w:val="nil"/>
              <w:tr2bl w:val="nil"/>
            </w:tcBorders>
            <w:vAlign w:val="center"/>
          </w:tcPr>
          <w:p>
            <w:pPr>
              <w:adjustRightInd/>
              <w:snapToGrid/>
              <w:spacing w:line="240" w:lineRule="auto"/>
              <w:ind w:firstLine="0" w:firstLineChars="0"/>
              <w:jc w:val="center"/>
              <w:rPr>
                <w:color w:val="auto"/>
                <w:sz w:val="21"/>
                <w:szCs w:val="21"/>
              </w:rPr>
            </w:pPr>
          </w:p>
        </w:tc>
        <w:tc>
          <w:tcPr>
            <w:tcW w:w="1175" w:type="dxa"/>
            <w:gridSpan w:val="2"/>
            <w:tcBorders>
              <w:tl2br w:val="nil"/>
              <w:tr2bl w:val="nil"/>
            </w:tcBorders>
            <w:vAlign w:val="center"/>
          </w:tcPr>
          <w:p>
            <w:pPr>
              <w:pStyle w:val="42"/>
              <w:adjustRightInd/>
              <w:snapToGrid/>
              <w:spacing w:line="240" w:lineRule="auto"/>
              <w:ind w:firstLine="0" w:firstLineChars="0"/>
              <w:jc w:val="center"/>
              <w:rPr>
                <w:color w:val="auto"/>
                <w:sz w:val="21"/>
                <w:szCs w:val="21"/>
              </w:rPr>
            </w:pPr>
            <w:r>
              <w:rPr>
                <w:color w:val="auto"/>
                <w:sz w:val="21"/>
                <w:szCs w:val="21"/>
              </w:rPr>
              <w:t>污水处理系统</w:t>
            </w:r>
          </w:p>
        </w:tc>
        <w:tc>
          <w:tcPr>
            <w:tcW w:w="1786" w:type="dxa"/>
            <w:tcBorders>
              <w:tl2br w:val="nil"/>
              <w:tr2bl w:val="nil"/>
            </w:tcBorders>
            <w:vAlign w:val="center"/>
          </w:tcPr>
          <w:p>
            <w:pPr>
              <w:pStyle w:val="42"/>
              <w:adjustRightInd/>
              <w:snapToGrid/>
              <w:spacing w:line="240" w:lineRule="auto"/>
              <w:ind w:firstLine="0" w:firstLineChars="0"/>
              <w:jc w:val="center"/>
              <w:rPr>
                <w:color w:val="auto"/>
                <w:sz w:val="21"/>
                <w:szCs w:val="21"/>
              </w:rPr>
            </w:pPr>
            <w:r>
              <w:rPr>
                <w:color w:val="auto"/>
                <w:sz w:val="21"/>
                <w:szCs w:val="21"/>
              </w:rPr>
              <w:t>喷洒除臭剂</w:t>
            </w:r>
          </w:p>
        </w:tc>
        <w:tc>
          <w:tcPr>
            <w:tcW w:w="3234" w:type="dxa"/>
            <w:gridSpan w:val="2"/>
            <w:tcBorders>
              <w:tl2br w:val="nil"/>
              <w:tr2bl w:val="nil"/>
            </w:tcBorders>
            <w:vAlign w:val="center"/>
          </w:tcPr>
          <w:p>
            <w:pPr>
              <w:pStyle w:val="42"/>
              <w:adjustRightInd/>
              <w:snapToGrid/>
              <w:spacing w:line="240" w:lineRule="auto"/>
              <w:ind w:firstLine="0" w:firstLineChars="0"/>
              <w:jc w:val="center"/>
              <w:rPr>
                <w:color w:val="auto"/>
                <w:sz w:val="21"/>
                <w:szCs w:val="21"/>
              </w:rPr>
            </w:pPr>
            <w:r>
              <w:rPr>
                <w:color w:val="auto"/>
                <w:spacing w:val="-6"/>
                <w:sz w:val="21"/>
                <w:szCs w:val="21"/>
              </w:rPr>
              <w:t>各处理池进行密闭，喷洒除臭</w:t>
            </w:r>
            <w:r>
              <w:rPr>
                <w:color w:val="auto"/>
                <w:sz w:val="21"/>
                <w:szCs w:val="21"/>
              </w:rPr>
              <w:t>剂</w:t>
            </w:r>
          </w:p>
        </w:tc>
        <w:tc>
          <w:tcPr>
            <w:tcW w:w="2332" w:type="dxa"/>
            <w:vMerge w:val="continue"/>
            <w:tcBorders>
              <w:tl2br w:val="nil"/>
              <w:tr2bl w:val="nil"/>
            </w:tcBorders>
            <w:vAlign w:val="center"/>
          </w:tcPr>
          <w:p>
            <w:pPr>
              <w:adjustRightInd/>
              <w:snapToGrid/>
              <w:spacing w:line="240" w:lineRule="auto"/>
              <w:ind w:firstLine="0" w:firstLineChars="0"/>
              <w:jc w:val="center"/>
              <w:rPr>
                <w:color w:val="auto"/>
                <w:sz w:val="21"/>
                <w:szCs w:val="21"/>
              </w:rPr>
            </w:pP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6" w:space="0"/>
          </w:tblBorders>
          <w:tblCellMar>
            <w:top w:w="0" w:type="dxa"/>
            <w:left w:w="0" w:type="dxa"/>
            <w:bottom w:w="0" w:type="dxa"/>
            <w:right w:w="0" w:type="dxa"/>
          </w:tblCellMar>
        </w:tblPrEx>
        <w:trPr>
          <w:trHeight w:val="1869" w:hRule="exact"/>
          <w:jc w:val="center"/>
        </w:trPr>
        <w:tc>
          <w:tcPr>
            <w:tcW w:w="431" w:type="dxa"/>
            <w:vMerge w:val="continue"/>
            <w:tcBorders>
              <w:tl2br w:val="nil"/>
              <w:tr2bl w:val="nil"/>
            </w:tcBorders>
            <w:vAlign w:val="center"/>
          </w:tcPr>
          <w:p>
            <w:pPr>
              <w:adjustRightInd/>
              <w:snapToGrid/>
              <w:spacing w:line="240" w:lineRule="auto"/>
              <w:ind w:firstLine="0" w:firstLineChars="0"/>
              <w:jc w:val="center"/>
              <w:rPr>
                <w:color w:val="auto"/>
                <w:sz w:val="21"/>
                <w:szCs w:val="21"/>
              </w:rPr>
            </w:pPr>
          </w:p>
        </w:tc>
        <w:tc>
          <w:tcPr>
            <w:tcW w:w="1175" w:type="dxa"/>
            <w:gridSpan w:val="2"/>
            <w:tcBorders>
              <w:tl2br w:val="nil"/>
              <w:tr2bl w:val="nil"/>
            </w:tcBorders>
            <w:vAlign w:val="center"/>
          </w:tcPr>
          <w:p>
            <w:pPr>
              <w:pStyle w:val="42"/>
              <w:adjustRightInd/>
              <w:snapToGrid/>
              <w:spacing w:line="240" w:lineRule="auto"/>
              <w:ind w:firstLine="0" w:firstLineChars="0"/>
              <w:jc w:val="center"/>
              <w:rPr>
                <w:color w:val="auto"/>
                <w:sz w:val="21"/>
                <w:szCs w:val="21"/>
              </w:rPr>
            </w:pPr>
            <w:r>
              <w:rPr>
                <w:color w:val="auto"/>
                <w:sz w:val="21"/>
                <w:szCs w:val="21"/>
              </w:rPr>
              <w:t>固粪处理区</w:t>
            </w:r>
          </w:p>
        </w:tc>
        <w:tc>
          <w:tcPr>
            <w:tcW w:w="1786" w:type="dxa"/>
            <w:tcBorders>
              <w:tl2br w:val="nil"/>
              <w:tr2bl w:val="nil"/>
            </w:tcBorders>
            <w:vAlign w:val="center"/>
          </w:tcPr>
          <w:p>
            <w:pPr>
              <w:adjustRightInd/>
              <w:snapToGrid/>
              <w:spacing w:line="240" w:lineRule="auto"/>
              <w:ind w:firstLine="0" w:firstLineChars="0"/>
              <w:rPr>
                <w:color w:val="auto"/>
                <w:sz w:val="21"/>
                <w:szCs w:val="21"/>
                <w:highlight w:val="yellow"/>
              </w:rPr>
            </w:pPr>
            <w:r>
              <w:rPr>
                <w:rFonts w:hint="eastAsia"/>
                <w:bCs/>
                <w:color w:val="auto"/>
                <w:sz w:val="21"/>
                <w:szCs w:val="21"/>
              </w:rPr>
              <w:t>设置风机，将臭气引至除臭棚处理，除臭棚墙内填充填料吸附，同时除臭棚顶部有喷淋水装置</w:t>
            </w:r>
          </w:p>
        </w:tc>
        <w:tc>
          <w:tcPr>
            <w:tcW w:w="3234" w:type="dxa"/>
            <w:gridSpan w:val="2"/>
            <w:tcBorders>
              <w:tl2br w:val="nil"/>
              <w:tr2bl w:val="nil"/>
            </w:tcBorders>
            <w:vAlign w:val="center"/>
          </w:tcPr>
          <w:p>
            <w:pPr>
              <w:adjustRightInd/>
              <w:snapToGrid/>
              <w:spacing w:line="240" w:lineRule="auto"/>
              <w:ind w:firstLine="420"/>
              <w:jc w:val="center"/>
              <w:rPr>
                <w:color w:val="auto"/>
                <w:sz w:val="21"/>
                <w:szCs w:val="21"/>
                <w:highlight w:val="yellow"/>
              </w:rPr>
            </w:pPr>
            <w:r>
              <w:rPr>
                <w:rFonts w:hint="eastAsia"/>
                <w:bCs/>
                <w:color w:val="auto"/>
                <w:sz w:val="21"/>
                <w:szCs w:val="21"/>
              </w:rPr>
              <w:t>设置风机，将臭气引至除臭棚处理，除臭棚墙内填充填料吸附，同时除臭棚顶部有喷淋水装置</w:t>
            </w:r>
          </w:p>
        </w:tc>
        <w:tc>
          <w:tcPr>
            <w:tcW w:w="2332" w:type="dxa"/>
            <w:vMerge w:val="continue"/>
            <w:tcBorders>
              <w:tl2br w:val="nil"/>
              <w:tr2bl w:val="nil"/>
            </w:tcBorders>
            <w:vAlign w:val="center"/>
          </w:tcPr>
          <w:p>
            <w:pPr>
              <w:adjustRightInd/>
              <w:snapToGrid/>
              <w:spacing w:line="240" w:lineRule="auto"/>
              <w:ind w:firstLine="0" w:firstLineChars="0"/>
              <w:jc w:val="center"/>
              <w:rPr>
                <w:color w:val="auto"/>
                <w:sz w:val="21"/>
                <w:szCs w:val="21"/>
              </w:rPr>
            </w:pP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6" w:space="0"/>
          </w:tblBorders>
          <w:tblCellMar>
            <w:top w:w="0" w:type="dxa"/>
            <w:left w:w="0" w:type="dxa"/>
            <w:bottom w:w="0" w:type="dxa"/>
            <w:right w:w="0" w:type="dxa"/>
          </w:tblCellMar>
        </w:tblPrEx>
        <w:trPr>
          <w:trHeight w:val="1879" w:hRule="exact"/>
          <w:jc w:val="center"/>
        </w:trPr>
        <w:tc>
          <w:tcPr>
            <w:tcW w:w="431" w:type="dxa"/>
            <w:vMerge w:val="continue"/>
            <w:tcBorders>
              <w:tl2br w:val="nil"/>
              <w:tr2bl w:val="nil"/>
            </w:tcBorders>
            <w:vAlign w:val="center"/>
          </w:tcPr>
          <w:p>
            <w:pPr>
              <w:adjustRightInd/>
              <w:snapToGrid/>
              <w:spacing w:line="240" w:lineRule="auto"/>
              <w:ind w:firstLine="0" w:firstLineChars="0"/>
              <w:jc w:val="center"/>
              <w:rPr>
                <w:color w:val="auto"/>
                <w:sz w:val="21"/>
                <w:szCs w:val="21"/>
              </w:rPr>
            </w:pPr>
          </w:p>
        </w:tc>
        <w:tc>
          <w:tcPr>
            <w:tcW w:w="1175" w:type="dxa"/>
            <w:gridSpan w:val="2"/>
            <w:tcBorders>
              <w:tl2br w:val="nil"/>
              <w:tr2bl w:val="nil"/>
            </w:tcBorders>
            <w:vAlign w:val="center"/>
          </w:tcPr>
          <w:p>
            <w:pPr>
              <w:pStyle w:val="42"/>
              <w:adjustRightInd/>
              <w:snapToGrid/>
              <w:spacing w:line="240" w:lineRule="auto"/>
              <w:ind w:firstLine="0" w:firstLineChars="0"/>
              <w:jc w:val="center"/>
              <w:rPr>
                <w:color w:val="auto"/>
                <w:sz w:val="21"/>
                <w:szCs w:val="21"/>
              </w:rPr>
            </w:pPr>
            <w:r>
              <w:rPr>
                <w:color w:val="auto"/>
                <w:sz w:val="21"/>
                <w:szCs w:val="21"/>
              </w:rPr>
              <w:t>病死猪无</w:t>
            </w:r>
          </w:p>
          <w:p>
            <w:pPr>
              <w:pStyle w:val="42"/>
              <w:adjustRightInd/>
              <w:snapToGrid/>
              <w:spacing w:line="240" w:lineRule="auto"/>
              <w:ind w:firstLine="0" w:firstLineChars="0"/>
              <w:jc w:val="center"/>
              <w:rPr>
                <w:color w:val="auto"/>
                <w:sz w:val="21"/>
                <w:szCs w:val="21"/>
              </w:rPr>
            </w:pPr>
            <w:r>
              <w:rPr>
                <w:color w:val="auto"/>
                <w:sz w:val="21"/>
                <w:szCs w:val="21"/>
              </w:rPr>
              <w:t>害化</w:t>
            </w:r>
            <w:r>
              <w:rPr>
                <w:rFonts w:hint="eastAsia"/>
                <w:color w:val="auto"/>
                <w:sz w:val="21"/>
                <w:szCs w:val="21"/>
              </w:rPr>
              <w:t>高温化制</w:t>
            </w:r>
            <w:r>
              <w:rPr>
                <w:color w:val="auto"/>
                <w:sz w:val="21"/>
                <w:szCs w:val="21"/>
              </w:rPr>
              <w:t>机</w:t>
            </w:r>
          </w:p>
        </w:tc>
        <w:tc>
          <w:tcPr>
            <w:tcW w:w="1786" w:type="dxa"/>
            <w:tcBorders>
              <w:tl2br w:val="nil"/>
              <w:tr2bl w:val="nil"/>
            </w:tcBorders>
            <w:vAlign w:val="center"/>
          </w:tcPr>
          <w:p>
            <w:pPr>
              <w:adjustRightInd/>
              <w:snapToGrid/>
              <w:spacing w:line="240" w:lineRule="auto"/>
              <w:ind w:firstLine="0" w:firstLineChars="0"/>
              <w:rPr>
                <w:color w:val="auto"/>
                <w:sz w:val="21"/>
                <w:szCs w:val="21"/>
                <w:highlight w:val="yellow"/>
              </w:rPr>
            </w:pPr>
            <w:r>
              <w:rPr>
                <w:rFonts w:hint="eastAsia"/>
                <w:bCs/>
                <w:color w:val="auto"/>
                <w:sz w:val="21"/>
                <w:szCs w:val="21"/>
              </w:rPr>
              <w:t>设置风机，将臭气引至除臭棚处理，除臭棚墙内填充填料吸附，同时除臭棚顶部有喷淋水装置</w:t>
            </w:r>
          </w:p>
        </w:tc>
        <w:tc>
          <w:tcPr>
            <w:tcW w:w="3234" w:type="dxa"/>
            <w:gridSpan w:val="2"/>
            <w:tcBorders>
              <w:tl2br w:val="nil"/>
              <w:tr2bl w:val="nil"/>
            </w:tcBorders>
            <w:vAlign w:val="center"/>
          </w:tcPr>
          <w:p>
            <w:pPr>
              <w:adjustRightInd/>
              <w:snapToGrid/>
              <w:spacing w:line="240" w:lineRule="auto"/>
              <w:ind w:firstLine="420"/>
              <w:jc w:val="center"/>
              <w:rPr>
                <w:color w:val="auto"/>
                <w:sz w:val="21"/>
                <w:szCs w:val="21"/>
                <w:highlight w:val="yellow"/>
              </w:rPr>
            </w:pPr>
            <w:r>
              <w:rPr>
                <w:rFonts w:hint="eastAsia"/>
                <w:bCs/>
                <w:color w:val="auto"/>
                <w:sz w:val="21"/>
                <w:szCs w:val="21"/>
              </w:rPr>
              <w:t>设置风机，将臭气引至除臭棚处理，除臭棚墙内填充填料吸附，同时除臭棚顶部有喷淋水装置</w:t>
            </w:r>
          </w:p>
        </w:tc>
        <w:tc>
          <w:tcPr>
            <w:tcW w:w="2332" w:type="dxa"/>
            <w:vMerge w:val="continue"/>
            <w:tcBorders>
              <w:tl2br w:val="nil"/>
              <w:tr2bl w:val="nil"/>
            </w:tcBorders>
            <w:vAlign w:val="center"/>
          </w:tcPr>
          <w:p>
            <w:pPr>
              <w:adjustRightInd/>
              <w:snapToGrid/>
              <w:spacing w:line="240" w:lineRule="auto"/>
              <w:ind w:firstLine="0" w:firstLineChars="0"/>
              <w:jc w:val="center"/>
              <w:rPr>
                <w:color w:val="auto"/>
                <w:sz w:val="21"/>
                <w:szCs w:val="21"/>
              </w:rPr>
            </w:pP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6" w:space="0"/>
          </w:tblBorders>
          <w:tblCellMar>
            <w:top w:w="0" w:type="dxa"/>
            <w:left w:w="0" w:type="dxa"/>
            <w:bottom w:w="0" w:type="dxa"/>
            <w:right w:w="0" w:type="dxa"/>
          </w:tblCellMar>
        </w:tblPrEx>
        <w:trPr>
          <w:trHeight w:val="841" w:hRule="exact"/>
          <w:jc w:val="center"/>
        </w:trPr>
        <w:tc>
          <w:tcPr>
            <w:tcW w:w="431" w:type="dxa"/>
            <w:vMerge w:val="continue"/>
            <w:tcBorders>
              <w:tl2br w:val="nil"/>
              <w:tr2bl w:val="nil"/>
            </w:tcBorders>
            <w:vAlign w:val="center"/>
          </w:tcPr>
          <w:p>
            <w:pPr>
              <w:adjustRightInd/>
              <w:snapToGrid/>
              <w:spacing w:line="240" w:lineRule="auto"/>
              <w:ind w:firstLine="0" w:firstLineChars="0"/>
              <w:jc w:val="center"/>
              <w:rPr>
                <w:color w:val="auto"/>
                <w:sz w:val="21"/>
                <w:szCs w:val="21"/>
              </w:rPr>
            </w:pPr>
          </w:p>
        </w:tc>
        <w:tc>
          <w:tcPr>
            <w:tcW w:w="1175" w:type="dxa"/>
            <w:gridSpan w:val="2"/>
            <w:tcBorders>
              <w:tl2br w:val="nil"/>
              <w:tr2bl w:val="nil"/>
            </w:tcBorders>
            <w:vAlign w:val="center"/>
          </w:tcPr>
          <w:p>
            <w:pPr>
              <w:pStyle w:val="42"/>
              <w:spacing w:line="240" w:lineRule="auto"/>
              <w:ind w:firstLine="0" w:firstLineChars="0"/>
              <w:jc w:val="center"/>
              <w:rPr>
                <w:color w:val="auto"/>
                <w:sz w:val="21"/>
                <w:szCs w:val="21"/>
              </w:rPr>
            </w:pPr>
            <w:r>
              <w:rPr>
                <w:color w:val="auto"/>
                <w:sz w:val="21"/>
                <w:szCs w:val="21"/>
              </w:rPr>
              <w:t>食堂油烟</w:t>
            </w:r>
          </w:p>
        </w:tc>
        <w:tc>
          <w:tcPr>
            <w:tcW w:w="1786" w:type="dxa"/>
            <w:tcBorders>
              <w:tl2br w:val="nil"/>
              <w:tr2bl w:val="nil"/>
            </w:tcBorders>
            <w:vAlign w:val="center"/>
          </w:tcPr>
          <w:p>
            <w:pPr>
              <w:pStyle w:val="42"/>
              <w:spacing w:line="240" w:lineRule="auto"/>
              <w:ind w:firstLine="0" w:firstLineChars="0"/>
              <w:jc w:val="center"/>
              <w:rPr>
                <w:color w:val="auto"/>
                <w:sz w:val="21"/>
                <w:szCs w:val="21"/>
              </w:rPr>
            </w:pPr>
            <w:r>
              <w:rPr>
                <w:color w:val="auto"/>
                <w:sz w:val="21"/>
                <w:szCs w:val="21"/>
              </w:rPr>
              <w:t>油烟净化装置</w:t>
            </w:r>
            <w:r>
              <w:rPr>
                <w:rFonts w:eastAsia="Times New Roman"/>
                <w:color w:val="auto"/>
                <w:sz w:val="21"/>
                <w:szCs w:val="21"/>
              </w:rPr>
              <w:t>+</w:t>
            </w:r>
            <w:r>
              <w:rPr>
                <w:color w:val="auto"/>
                <w:sz w:val="21"/>
                <w:szCs w:val="21"/>
              </w:rPr>
              <w:t>高于屋顶的专用烟道</w:t>
            </w:r>
          </w:p>
        </w:tc>
        <w:tc>
          <w:tcPr>
            <w:tcW w:w="3234" w:type="dxa"/>
            <w:gridSpan w:val="2"/>
            <w:tcBorders>
              <w:tl2br w:val="nil"/>
              <w:tr2bl w:val="nil"/>
            </w:tcBorders>
            <w:vAlign w:val="center"/>
          </w:tcPr>
          <w:p>
            <w:pPr>
              <w:pStyle w:val="42"/>
              <w:spacing w:line="240" w:lineRule="auto"/>
              <w:ind w:firstLine="0" w:firstLineChars="0"/>
              <w:jc w:val="center"/>
              <w:rPr>
                <w:color w:val="auto"/>
                <w:w w:val="99"/>
                <w:sz w:val="21"/>
                <w:szCs w:val="21"/>
              </w:rPr>
            </w:pPr>
            <w:r>
              <w:rPr>
                <w:color w:val="auto"/>
                <w:sz w:val="21"/>
                <w:szCs w:val="21"/>
              </w:rPr>
              <w:t>处理效率</w:t>
            </w:r>
            <w:r>
              <w:rPr>
                <w:color w:val="auto"/>
                <w:spacing w:val="-56"/>
                <w:sz w:val="21"/>
                <w:szCs w:val="21"/>
              </w:rPr>
              <w:t xml:space="preserve"> </w:t>
            </w:r>
            <w:r>
              <w:rPr>
                <w:rFonts w:eastAsia="Times New Roman"/>
                <w:color w:val="auto"/>
                <w:sz w:val="21"/>
                <w:szCs w:val="21"/>
              </w:rPr>
              <w:t>90%</w:t>
            </w:r>
            <w:r>
              <w:rPr>
                <w:color w:val="auto"/>
                <w:sz w:val="21"/>
                <w:szCs w:val="21"/>
              </w:rPr>
              <w:t>的油烟净化器</w:t>
            </w:r>
            <w:r>
              <w:rPr>
                <w:rFonts w:eastAsia="Times New Roman"/>
                <w:color w:val="auto"/>
                <w:sz w:val="21"/>
                <w:szCs w:val="21"/>
              </w:rPr>
              <w:t>1</w:t>
            </w:r>
            <w:r>
              <w:rPr>
                <w:color w:val="auto"/>
                <w:sz w:val="21"/>
                <w:szCs w:val="21"/>
              </w:rPr>
              <w:t>套</w:t>
            </w:r>
            <w:r>
              <w:rPr>
                <w:rFonts w:eastAsia="Times New Roman"/>
                <w:color w:val="auto"/>
                <w:sz w:val="21"/>
                <w:szCs w:val="21"/>
              </w:rPr>
              <w:t>+1</w:t>
            </w:r>
            <w:r>
              <w:rPr>
                <w:color w:val="auto"/>
                <w:sz w:val="21"/>
                <w:szCs w:val="21"/>
              </w:rPr>
              <w:t>根高于屋顶的专用烟道</w:t>
            </w:r>
          </w:p>
        </w:tc>
        <w:tc>
          <w:tcPr>
            <w:tcW w:w="2332" w:type="dxa"/>
            <w:tcBorders>
              <w:tl2br w:val="nil"/>
              <w:tr2bl w:val="nil"/>
            </w:tcBorders>
          </w:tcPr>
          <w:p>
            <w:pPr>
              <w:pStyle w:val="42"/>
              <w:spacing w:line="240" w:lineRule="auto"/>
              <w:ind w:firstLine="0" w:firstLineChars="0"/>
              <w:jc w:val="center"/>
              <w:rPr>
                <w:color w:val="auto"/>
                <w:sz w:val="21"/>
                <w:szCs w:val="21"/>
              </w:rPr>
            </w:pPr>
            <w:r>
              <w:rPr>
                <w:color w:val="auto"/>
                <w:sz w:val="21"/>
                <w:szCs w:val="21"/>
              </w:rPr>
              <w:t>《餐饮业油烟污染物排 放标准》（试行）</w:t>
            </w:r>
          </w:p>
          <w:p>
            <w:pPr>
              <w:pStyle w:val="42"/>
              <w:spacing w:line="240" w:lineRule="auto"/>
              <w:ind w:firstLine="0" w:firstLineChars="0"/>
              <w:jc w:val="center"/>
              <w:rPr>
                <w:color w:val="auto"/>
                <w:sz w:val="21"/>
                <w:szCs w:val="21"/>
              </w:rPr>
            </w:pPr>
            <w:r>
              <w:rPr>
                <w:color w:val="auto"/>
                <w:sz w:val="21"/>
                <w:szCs w:val="21"/>
              </w:rPr>
              <w:t>（DB41/1604-2018）</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6" w:space="0"/>
          </w:tblBorders>
          <w:tblCellMar>
            <w:top w:w="0" w:type="dxa"/>
            <w:left w:w="0" w:type="dxa"/>
            <w:bottom w:w="0" w:type="dxa"/>
            <w:right w:w="0" w:type="dxa"/>
          </w:tblCellMar>
        </w:tblPrEx>
        <w:trPr>
          <w:trHeight w:val="1207" w:hRule="exact"/>
          <w:jc w:val="center"/>
        </w:trPr>
        <w:tc>
          <w:tcPr>
            <w:tcW w:w="431" w:type="dxa"/>
            <w:vMerge w:val="restart"/>
            <w:tcBorders>
              <w:tl2br w:val="nil"/>
              <w:tr2bl w:val="nil"/>
            </w:tcBorders>
            <w:vAlign w:val="center"/>
          </w:tcPr>
          <w:p>
            <w:pPr>
              <w:pStyle w:val="42"/>
              <w:spacing w:line="240" w:lineRule="auto"/>
              <w:ind w:firstLine="0" w:firstLineChars="0"/>
              <w:jc w:val="center"/>
              <w:rPr>
                <w:color w:val="auto"/>
                <w:sz w:val="21"/>
                <w:szCs w:val="21"/>
              </w:rPr>
            </w:pPr>
            <w:r>
              <w:rPr>
                <w:color w:val="auto"/>
                <w:sz w:val="21"/>
                <w:szCs w:val="21"/>
              </w:rPr>
              <w:t>固废</w:t>
            </w:r>
          </w:p>
        </w:tc>
        <w:tc>
          <w:tcPr>
            <w:tcW w:w="1175" w:type="dxa"/>
            <w:gridSpan w:val="2"/>
            <w:tcBorders>
              <w:tl2br w:val="nil"/>
              <w:tr2bl w:val="nil"/>
            </w:tcBorders>
            <w:vAlign w:val="center"/>
          </w:tcPr>
          <w:p>
            <w:pPr>
              <w:pStyle w:val="42"/>
              <w:adjustRightInd/>
              <w:snapToGrid/>
              <w:spacing w:line="240" w:lineRule="auto"/>
              <w:ind w:firstLine="0" w:firstLineChars="0"/>
              <w:jc w:val="center"/>
              <w:rPr>
                <w:color w:val="auto"/>
                <w:sz w:val="21"/>
                <w:szCs w:val="21"/>
              </w:rPr>
            </w:pPr>
            <w:r>
              <w:rPr>
                <w:color w:val="auto"/>
                <w:sz w:val="21"/>
                <w:szCs w:val="21"/>
              </w:rPr>
              <w:t>猪粪</w:t>
            </w:r>
          </w:p>
        </w:tc>
        <w:tc>
          <w:tcPr>
            <w:tcW w:w="1786" w:type="dxa"/>
            <w:tcBorders>
              <w:tl2br w:val="nil"/>
              <w:tr2bl w:val="nil"/>
            </w:tcBorders>
            <w:vAlign w:val="center"/>
          </w:tcPr>
          <w:p>
            <w:pPr>
              <w:pStyle w:val="42"/>
              <w:adjustRightInd/>
              <w:snapToGrid/>
              <w:spacing w:line="240" w:lineRule="auto"/>
              <w:ind w:firstLine="0" w:firstLineChars="0"/>
              <w:jc w:val="center"/>
              <w:rPr>
                <w:color w:val="auto"/>
                <w:sz w:val="21"/>
                <w:szCs w:val="21"/>
              </w:rPr>
            </w:pPr>
            <w:r>
              <w:rPr>
                <w:color w:val="auto"/>
                <w:sz w:val="21"/>
                <w:szCs w:val="21"/>
              </w:rPr>
              <w:t>粪便送至</w:t>
            </w:r>
          </w:p>
          <w:p>
            <w:pPr>
              <w:pStyle w:val="42"/>
              <w:adjustRightInd/>
              <w:snapToGrid/>
              <w:spacing w:line="240" w:lineRule="auto"/>
              <w:ind w:firstLine="0" w:firstLineChars="0"/>
              <w:jc w:val="center"/>
              <w:rPr>
                <w:color w:val="auto"/>
                <w:sz w:val="21"/>
                <w:szCs w:val="21"/>
              </w:rPr>
            </w:pPr>
            <w:r>
              <w:rPr>
                <w:color w:val="auto"/>
                <w:sz w:val="21"/>
                <w:szCs w:val="21"/>
              </w:rPr>
              <w:t>固粪处理区堆肥处理</w:t>
            </w:r>
          </w:p>
        </w:tc>
        <w:tc>
          <w:tcPr>
            <w:tcW w:w="3234" w:type="dxa"/>
            <w:gridSpan w:val="2"/>
            <w:tcBorders>
              <w:tl2br w:val="nil"/>
              <w:tr2bl w:val="nil"/>
            </w:tcBorders>
            <w:vAlign w:val="center"/>
          </w:tcPr>
          <w:p>
            <w:pPr>
              <w:pStyle w:val="42"/>
              <w:adjustRightInd/>
              <w:snapToGrid/>
              <w:spacing w:line="240" w:lineRule="auto"/>
              <w:ind w:firstLine="0" w:firstLineChars="0"/>
              <w:jc w:val="center"/>
              <w:rPr>
                <w:color w:val="auto"/>
                <w:sz w:val="21"/>
                <w:szCs w:val="21"/>
              </w:rPr>
            </w:pPr>
            <w:r>
              <w:rPr>
                <w:color w:val="auto"/>
                <w:spacing w:val="-10"/>
                <w:sz w:val="21"/>
                <w:szCs w:val="21"/>
              </w:rPr>
              <w:t>固粪处理区</w:t>
            </w:r>
            <w:r>
              <w:rPr>
                <w:rFonts w:eastAsia="Times New Roman"/>
                <w:color w:val="auto"/>
                <w:sz w:val="21"/>
                <w:szCs w:val="21"/>
              </w:rPr>
              <w:t>1</w:t>
            </w:r>
            <w:r>
              <w:rPr>
                <w:color w:val="auto"/>
                <w:spacing w:val="-13"/>
                <w:sz w:val="21"/>
                <w:szCs w:val="21"/>
              </w:rPr>
              <w:t>个</w:t>
            </w:r>
            <w:r>
              <w:rPr>
                <w:rFonts w:hint="eastAsia"/>
                <w:color w:val="auto"/>
                <w:spacing w:val="-13"/>
                <w:sz w:val="21"/>
                <w:szCs w:val="21"/>
              </w:rPr>
              <w:t>，占地392m</w:t>
            </w:r>
            <w:r>
              <w:rPr>
                <w:rFonts w:hint="eastAsia"/>
                <w:color w:val="auto"/>
                <w:spacing w:val="-13"/>
                <w:sz w:val="21"/>
                <w:szCs w:val="21"/>
                <w:vertAlign w:val="superscript"/>
              </w:rPr>
              <w:t>2</w:t>
            </w:r>
          </w:p>
        </w:tc>
        <w:tc>
          <w:tcPr>
            <w:tcW w:w="2332" w:type="dxa"/>
            <w:tcBorders>
              <w:tl2br w:val="nil"/>
              <w:tr2bl w:val="nil"/>
            </w:tcBorders>
            <w:vAlign w:val="center"/>
          </w:tcPr>
          <w:p>
            <w:pPr>
              <w:pStyle w:val="42"/>
              <w:adjustRightInd/>
              <w:snapToGrid/>
              <w:spacing w:line="240" w:lineRule="auto"/>
              <w:ind w:firstLine="0" w:firstLineChars="0"/>
              <w:jc w:val="center"/>
              <w:rPr>
                <w:color w:val="auto"/>
                <w:sz w:val="21"/>
                <w:szCs w:val="21"/>
              </w:rPr>
            </w:pPr>
            <w:r>
              <w:rPr>
                <w:color w:val="auto"/>
                <w:sz w:val="21"/>
                <w:szCs w:val="21"/>
              </w:rPr>
              <w:t>发酵后作为有机肥半成品外售</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6" w:space="0"/>
          </w:tblBorders>
          <w:tblCellMar>
            <w:top w:w="0" w:type="dxa"/>
            <w:left w:w="0" w:type="dxa"/>
            <w:bottom w:w="0" w:type="dxa"/>
            <w:right w:w="0" w:type="dxa"/>
          </w:tblCellMar>
        </w:tblPrEx>
        <w:trPr>
          <w:trHeight w:val="662" w:hRule="exact"/>
          <w:jc w:val="center"/>
        </w:trPr>
        <w:tc>
          <w:tcPr>
            <w:tcW w:w="431" w:type="dxa"/>
            <w:vMerge w:val="continue"/>
            <w:tcBorders>
              <w:tl2br w:val="nil"/>
              <w:tr2bl w:val="nil"/>
            </w:tcBorders>
            <w:vAlign w:val="center"/>
          </w:tcPr>
          <w:p>
            <w:pPr>
              <w:spacing w:line="240" w:lineRule="auto"/>
              <w:ind w:firstLine="0" w:firstLineChars="0"/>
              <w:jc w:val="center"/>
              <w:rPr>
                <w:color w:val="auto"/>
                <w:sz w:val="21"/>
                <w:szCs w:val="21"/>
              </w:rPr>
            </w:pPr>
          </w:p>
        </w:tc>
        <w:tc>
          <w:tcPr>
            <w:tcW w:w="1175" w:type="dxa"/>
            <w:gridSpan w:val="2"/>
            <w:tcBorders>
              <w:tl2br w:val="nil"/>
              <w:tr2bl w:val="nil"/>
            </w:tcBorders>
            <w:vAlign w:val="center"/>
          </w:tcPr>
          <w:p>
            <w:pPr>
              <w:pStyle w:val="42"/>
              <w:adjustRightInd/>
              <w:snapToGrid/>
              <w:spacing w:line="240" w:lineRule="auto"/>
              <w:ind w:firstLine="0" w:firstLineChars="0"/>
              <w:jc w:val="center"/>
              <w:rPr>
                <w:color w:val="auto"/>
                <w:sz w:val="21"/>
                <w:szCs w:val="21"/>
              </w:rPr>
            </w:pPr>
            <w:r>
              <w:rPr>
                <w:color w:val="auto"/>
                <w:sz w:val="21"/>
                <w:szCs w:val="21"/>
              </w:rPr>
              <w:t>废脱硫剂</w:t>
            </w:r>
          </w:p>
        </w:tc>
        <w:tc>
          <w:tcPr>
            <w:tcW w:w="1786" w:type="dxa"/>
            <w:tcBorders>
              <w:tl2br w:val="nil"/>
              <w:tr2bl w:val="nil"/>
            </w:tcBorders>
            <w:vAlign w:val="center"/>
          </w:tcPr>
          <w:p>
            <w:pPr>
              <w:pStyle w:val="42"/>
              <w:adjustRightInd/>
              <w:snapToGrid/>
              <w:spacing w:line="240" w:lineRule="auto"/>
              <w:ind w:firstLine="0" w:firstLineChars="0"/>
              <w:jc w:val="center"/>
              <w:rPr>
                <w:color w:val="auto"/>
                <w:sz w:val="21"/>
                <w:szCs w:val="21"/>
              </w:rPr>
            </w:pPr>
            <w:r>
              <w:rPr>
                <w:rFonts w:hint="eastAsia"/>
                <w:color w:val="auto"/>
                <w:sz w:val="21"/>
                <w:szCs w:val="21"/>
              </w:rPr>
              <w:t>及时</w:t>
            </w:r>
            <w:r>
              <w:rPr>
                <w:color w:val="auto"/>
                <w:sz w:val="21"/>
                <w:szCs w:val="21"/>
              </w:rPr>
              <w:t>交由厂家回收</w:t>
            </w:r>
          </w:p>
        </w:tc>
        <w:tc>
          <w:tcPr>
            <w:tcW w:w="3234" w:type="dxa"/>
            <w:gridSpan w:val="2"/>
            <w:tcBorders>
              <w:tl2br w:val="nil"/>
              <w:tr2bl w:val="nil"/>
            </w:tcBorders>
            <w:vAlign w:val="center"/>
          </w:tcPr>
          <w:p>
            <w:pPr>
              <w:pStyle w:val="42"/>
              <w:adjustRightInd/>
              <w:snapToGrid/>
              <w:spacing w:line="240" w:lineRule="auto"/>
              <w:ind w:firstLine="0" w:firstLineChars="0"/>
              <w:jc w:val="center"/>
              <w:rPr>
                <w:color w:val="auto"/>
                <w:sz w:val="21"/>
                <w:szCs w:val="21"/>
              </w:rPr>
            </w:pPr>
            <w:r>
              <w:rPr>
                <w:color w:val="auto"/>
                <w:sz w:val="21"/>
                <w:szCs w:val="21"/>
              </w:rPr>
              <w:t>生产厂家统一回收处置</w:t>
            </w:r>
          </w:p>
        </w:tc>
        <w:tc>
          <w:tcPr>
            <w:tcW w:w="2332" w:type="dxa"/>
            <w:vMerge w:val="restart"/>
            <w:tcBorders>
              <w:tl2br w:val="nil"/>
              <w:tr2bl w:val="nil"/>
            </w:tcBorders>
            <w:vAlign w:val="center"/>
          </w:tcPr>
          <w:p>
            <w:pPr>
              <w:pStyle w:val="42"/>
              <w:adjustRightInd/>
              <w:snapToGrid/>
              <w:spacing w:line="240" w:lineRule="auto"/>
              <w:ind w:firstLine="0" w:firstLineChars="0"/>
              <w:jc w:val="center"/>
              <w:rPr>
                <w:color w:val="auto"/>
                <w:sz w:val="21"/>
                <w:szCs w:val="21"/>
              </w:rPr>
            </w:pPr>
            <w:r>
              <w:rPr>
                <w:color w:val="auto"/>
                <w:sz w:val="21"/>
                <w:szCs w:val="21"/>
              </w:rPr>
              <w:t>《一般工业固体废物贮 存、污染控制标准》</w:t>
            </w:r>
          </w:p>
          <w:p>
            <w:pPr>
              <w:pStyle w:val="42"/>
              <w:adjustRightInd/>
              <w:snapToGrid/>
              <w:spacing w:line="240" w:lineRule="auto"/>
              <w:ind w:firstLine="0" w:firstLineChars="0"/>
              <w:jc w:val="center"/>
              <w:rPr>
                <w:color w:val="auto"/>
                <w:sz w:val="21"/>
                <w:szCs w:val="21"/>
              </w:rPr>
            </w:pPr>
            <w:r>
              <w:rPr>
                <w:color w:val="auto"/>
                <w:sz w:val="21"/>
                <w:szCs w:val="21"/>
              </w:rPr>
              <w:t>（GB18599-2001)</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6" w:space="0"/>
          </w:tblBorders>
          <w:tblCellMar>
            <w:top w:w="0" w:type="dxa"/>
            <w:left w:w="0" w:type="dxa"/>
            <w:bottom w:w="0" w:type="dxa"/>
            <w:right w:w="0" w:type="dxa"/>
          </w:tblCellMar>
        </w:tblPrEx>
        <w:trPr>
          <w:trHeight w:val="700" w:hRule="exact"/>
          <w:jc w:val="center"/>
        </w:trPr>
        <w:tc>
          <w:tcPr>
            <w:tcW w:w="431" w:type="dxa"/>
            <w:vMerge w:val="continue"/>
            <w:tcBorders>
              <w:tl2br w:val="nil"/>
              <w:tr2bl w:val="nil"/>
            </w:tcBorders>
            <w:vAlign w:val="center"/>
          </w:tcPr>
          <w:p>
            <w:pPr>
              <w:spacing w:line="240" w:lineRule="auto"/>
              <w:ind w:firstLine="0" w:firstLineChars="0"/>
              <w:jc w:val="center"/>
              <w:rPr>
                <w:color w:val="auto"/>
                <w:sz w:val="21"/>
                <w:szCs w:val="21"/>
              </w:rPr>
            </w:pPr>
          </w:p>
        </w:tc>
        <w:tc>
          <w:tcPr>
            <w:tcW w:w="1175" w:type="dxa"/>
            <w:gridSpan w:val="2"/>
            <w:tcBorders>
              <w:tl2br w:val="nil"/>
              <w:tr2bl w:val="nil"/>
            </w:tcBorders>
            <w:vAlign w:val="center"/>
          </w:tcPr>
          <w:p>
            <w:pPr>
              <w:pStyle w:val="42"/>
              <w:adjustRightInd/>
              <w:snapToGrid/>
              <w:spacing w:line="240" w:lineRule="auto"/>
              <w:ind w:firstLine="0" w:firstLineChars="0"/>
              <w:jc w:val="center"/>
              <w:rPr>
                <w:color w:val="auto"/>
                <w:sz w:val="21"/>
                <w:szCs w:val="21"/>
              </w:rPr>
            </w:pPr>
            <w:r>
              <w:rPr>
                <w:color w:val="auto"/>
                <w:sz w:val="21"/>
                <w:szCs w:val="21"/>
              </w:rPr>
              <w:t>生活垃圾</w:t>
            </w:r>
          </w:p>
        </w:tc>
        <w:tc>
          <w:tcPr>
            <w:tcW w:w="1786" w:type="dxa"/>
            <w:tcBorders>
              <w:tl2br w:val="nil"/>
              <w:tr2bl w:val="nil"/>
            </w:tcBorders>
            <w:vAlign w:val="center"/>
          </w:tcPr>
          <w:p>
            <w:pPr>
              <w:pStyle w:val="42"/>
              <w:adjustRightInd/>
              <w:snapToGrid/>
              <w:spacing w:line="240" w:lineRule="auto"/>
              <w:ind w:firstLine="0" w:firstLineChars="0"/>
              <w:jc w:val="center"/>
              <w:rPr>
                <w:color w:val="auto"/>
                <w:sz w:val="21"/>
                <w:szCs w:val="21"/>
              </w:rPr>
            </w:pPr>
            <w:r>
              <w:rPr>
                <w:color w:val="auto"/>
                <w:sz w:val="21"/>
                <w:szCs w:val="21"/>
              </w:rPr>
              <w:t>生活区设置若干</w:t>
            </w:r>
          </w:p>
          <w:p>
            <w:pPr>
              <w:pStyle w:val="42"/>
              <w:adjustRightInd/>
              <w:snapToGrid/>
              <w:spacing w:line="240" w:lineRule="auto"/>
              <w:ind w:firstLine="0" w:firstLineChars="0"/>
              <w:jc w:val="center"/>
              <w:rPr>
                <w:color w:val="auto"/>
                <w:sz w:val="21"/>
                <w:szCs w:val="21"/>
              </w:rPr>
            </w:pPr>
            <w:r>
              <w:rPr>
                <w:color w:val="auto"/>
                <w:sz w:val="21"/>
                <w:szCs w:val="21"/>
              </w:rPr>
              <w:t>垃圾桶</w:t>
            </w:r>
          </w:p>
        </w:tc>
        <w:tc>
          <w:tcPr>
            <w:tcW w:w="3234" w:type="dxa"/>
            <w:gridSpan w:val="2"/>
            <w:tcBorders>
              <w:tl2br w:val="nil"/>
              <w:tr2bl w:val="nil"/>
            </w:tcBorders>
            <w:vAlign w:val="center"/>
          </w:tcPr>
          <w:p>
            <w:pPr>
              <w:pStyle w:val="42"/>
              <w:adjustRightInd/>
              <w:snapToGrid/>
              <w:spacing w:line="240" w:lineRule="auto"/>
              <w:ind w:firstLine="0" w:firstLineChars="0"/>
              <w:jc w:val="center"/>
              <w:rPr>
                <w:color w:val="auto"/>
                <w:sz w:val="21"/>
                <w:szCs w:val="21"/>
              </w:rPr>
            </w:pPr>
            <w:r>
              <w:rPr>
                <w:rFonts w:hint="eastAsia"/>
                <w:color w:val="auto"/>
                <w:sz w:val="21"/>
                <w:szCs w:val="21"/>
              </w:rPr>
              <w:t>厂区</w:t>
            </w:r>
            <w:r>
              <w:rPr>
                <w:color w:val="auto"/>
                <w:sz w:val="21"/>
                <w:szCs w:val="21"/>
              </w:rPr>
              <w:t>设置垃圾桶，定期由当地</w:t>
            </w:r>
          </w:p>
          <w:p>
            <w:pPr>
              <w:pStyle w:val="42"/>
              <w:adjustRightInd/>
              <w:snapToGrid/>
              <w:spacing w:line="240" w:lineRule="auto"/>
              <w:ind w:firstLine="0" w:firstLineChars="0"/>
              <w:jc w:val="center"/>
              <w:rPr>
                <w:color w:val="auto"/>
                <w:sz w:val="21"/>
                <w:szCs w:val="21"/>
              </w:rPr>
            </w:pPr>
            <w:r>
              <w:rPr>
                <w:color w:val="auto"/>
                <w:sz w:val="21"/>
                <w:szCs w:val="21"/>
              </w:rPr>
              <w:t>环卫部门收运</w:t>
            </w:r>
          </w:p>
        </w:tc>
        <w:tc>
          <w:tcPr>
            <w:tcW w:w="2332" w:type="dxa"/>
            <w:vMerge w:val="continue"/>
            <w:tcBorders>
              <w:tl2br w:val="nil"/>
              <w:tr2bl w:val="nil"/>
            </w:tcBorders>
            <w:vAlign w:val="center"/>
          </w:tcPr>
          <w:p>
            <w:pPr>
              <w:adjustRightInd/>
              <w:snapToGrid/>
              <w:spacing w:line="240" w:lineRule="auto"/>
              <w:ind w:firstLine="0" w:firstLineChars="0"/>
              <w:jc w:val="center"/>
              <w:rPr>
                <w:color w:val="auto"/>
                <w:sz w:val="21"/>
                <w:szCs w:val="21"/>
              </w:rPr>
            </w:pP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6" w:space="0"/>
          </w:tblBorders>
          <w:tblCellMar>
            <w:top w:w="0" w:type="dxa"/>
            <w:left w:w="0" w:type="dxa"/>
            <w:bottom w:w="0" w:type="dxa"/>
            <w:right w:w="0" w:type="dxa"/>
          </w:tblCellMar>
        </w:tblPrEx>
        <w:trPr>
          <w:trHeight w:val="1302" w:hRule="exact"/>
          <w:jc w:val="center"/>
        </w:trPr>
        <w:tc>
          <w:tcPr>
            <w:tcW w:w="431" w:type="dxa"/>
            <w:vMerge w:val="continue"/>
            <w:tcBorders>
              <w:tl2br w:val="nil"/>
              <w:tr2bl w:val="nil"/>
            </w:tcBorders>
            <w:vAlign w:val="center"/>
          </w:tcPr>
          <w:p>
            <w:pPr>
              <w:spacing w:line="240" w:lineRule="auto"/>
              <w:ind w:firstLine="0" w:firstLineChars="0"/>
              <w:jc w:val="center"/>
              <w:rPr>
                <w:color w:val="auto"/>
                <w:sz w:val="21"/>
                <w:szCs w:val="21"/>
              </w:rPr>
            </w:pPr>
          </w:p>
        </w:tc>
        <w:tc>
          <w:tcPr>
            <w:tcW w:w="1175" w:type="dxa"/>
            <w:gridSpan w:val="2"/>
            <w:tcBorders>
              <w:tl2br w:val="nil"/>
              <w:tr2bl w:val="nil"/>
            </w:tcBorders>
            <w:vAlign w:val="center"/>
          </w:tcPr>
          <w:p>
            <w:pPr>
              <w:pStyle w:val="42"/>
              <w:adjustRightInd/>
              <w:snapToGrid/>
              <w:spacing w:line="240" w:lineRule="auto"/>
              <w:ind w:firstLine="0" w:firstLineChars="0"/>
              <w:jc w:val="center"/>
              <w:rPr>
                <w:color w:val="auto"/>
                <w:sz w:val="21"/>
                <w:szCs w:val="21"/>
              </w:rPr>
            </w:pPr>
            <w:r>
              <w:rPr>
                <w:color w:val="auto"/>
                <w:sz w:val="21"/>
                <w:szCs w:val="21"/>
              </w:rPr>
              <w:t>病死猪</w:t>
            </w:r>
          </w:p>
        </w:tc>
        <w:tc>
          <w:tcPr>
            <w:tcW w:w="1786" w:type="dxa"/>
            <w:tcBorders>
              <w:tl2br w:val="nil"/>
              <w:tr2bl w:val="nil"/>
            </w:tcBorders>
            <w:vAlign w:val="center"/>
          </w:tcPr>
          <w:p>
            <w:pPr>
              <w:pStyle w:val="42"/>
              <w:adjustRightInd/>
              <w:snapToGrid/>
              <w:spacing w:line="240" w:lineRule="auto"/>
              <w:ind w:firstLine="0" w:firstLineChars="0"/>
              <w:jc w:val="center"/>
              <w:rPr>
                <w:color w:val="auto"/>
                <w:spacing w:val="-23"/>
                <w:sz w:val="21"/>
                <w:szCs w:val="21"/>
              </w:rPr>
            </w:pPr>
            <w:r>
              <w:rPr>
                <w:color w:val="auto"/>
                <w:spacing w:val="-23"/>
                <w:sz w:val="21"/>
                <w:szCs w:val="21"/>
              </w:rPr>
              <w:t>集中收集，无害化</w:t>
            </w:r>
          </w:p>
          <w:p>
            <w:pPr>
              <w:pStyle w:val="42"/>
              <w:adjustRightInd/>
              <w:snapToGrid/>
              <w:spacing w:line="240" w:lineRule="auto"/>
              <w:ind w:firstLine="0" w:firstLineChars="0"/>
              <w:jc w:val="center"/>
              <w:rPr>
                <w:color w:val="auto"/>
                <w:sz w:val="21"/>
                <w:szCs w:val="21"/>
              </w:rPr>
            </w:pPr>
            <w:r>
              <w:rPr>
                <w:color w:val="auto"/>
                <w:spacing w:val="-14"/>
                <w:sz w:val="21"/>
                <w:szCs w:val="21"/>
              </w:rPr>
              <w:t>处理后定期外售</w:t>
            </w:r>
          </w:p>
        </w:tc>
        <w:tc>
          <w:tcPr>
            <w:tcW w:w="3234" w:type="dxa"/>
            <w:gridSpan w:val="2"/>
            <w:tcBorders>
              <w:tl2br w:val="nil"/>
              <w:tr2bl w:val="nil"/>
            </w:tcBorders>
            <w:vAlign w:val="center"/>
          </w:tcPr>
          <w:p>
            <w:pPr>
              <w:pStyle w:val="42"/>
              <w:adjustRightInd/>
              <w:snapToGrid/>
              <w:spacing w:line="240" w:lineRule="auto"/>
              <w:ind w:firstLine="0" w:firstLineChars="0"/>
              <w:jc w:val="center"/>
              <w:rPr>
                <w:color w:val="auto"/>
                <w:sz w:val="21"/>
                <w:szCs w:val="21"/>
              </w:rPr>
            </w:pPr>
            <w:r>
              <w:rPr>
                <w:rFonts w:hint="eastAsia"/>
                <w:color w:val="auto"/>
                <w:sz w:val="21"/>
                <w:szCs w:val="21"/>
              </w:rPr>
              <w:t>1</w:t>
            </w:r>
            <w:r>
              <w:rPr>
                <w:rFonts w:hint="eastAsia"/>
                <w:color w:val="auto"/>
                <w:sz w:val="21"/>
                <w:szCs w:val="21"/>
                <w:lang w:val="en-US" w:eastAsia="zh-CN"/>
              </w:rPr>
              <w:t>5</w:t>
            </w:r>
            <w:r>
              <w:rPr>
                <w:rFonts w:eastAsia="Times New Roman"/>
                <w:color w:val="auto"/>
                <w:sz w:val="21"/>
                <w:szCs w:val="21"/>
              </w:rPr>
              <w:t>m</w:t>
            </w:r>
            <w:r>
              <w:rPr>
                <w:color w:val="auto"/>
                <w:sz w:val="21"/>
                <w:szCs w:val="21"/>
                <w:vertAlign w:val="superscript"/>
              </w:rPr>
              <w:t>3</w:t>
            </w:r>
            <w:r>
              <w:rPr>
                <w:rFonts w:eastAsia="Times New Roman"/>
                <w:color w:val="auto"/>
                <w:spacing w:val="-2"/>
                <w:position w:val="7"/>
                <w:sz w:val="21"/>
                <w:szCs w:val="21"/>
              </w:rPr>
              <w:t xml:space="preserve"> </w:t>
            </w:r>
            <w:r>
              <w:rPr>
                <w:color w:val="auto"/>
                <w:sz w:val="21"/>
                <w:szCs w:val="21"/>
              </w:rPr>
              <w:t>病死猪暂存间</w:t>
            </w:r>
            <w:r>
              <w:rPr>
                <w:rFonts w:eastAsia="Times New Roman"/>
                <w:color w:val="auto"/>
                <w:sz w:val="21"/>
                <w:szCs w:val="21"/>
              </w:rPr>
              <w:t>1</w:t>
            </w:r>
            <w:r>
              <w:rPr>
                <w:color w:val="auto"/>
                <w:spacing w:val="-8"/>
                <w:sz w:val="21"/>
                <w:szCs w:val="21"/>
              </w:rPr>
              <w:t>间</w:t>
            </w:r>
          </w:p>
        </w:tc>
        <w:tc>
          <w:tcPr>
            <w:tcW w:w="2332" w:type="dxa"/>
            <w:vMerge w:val="restart"/>
            <w:tcBorders>
              <w:tl2br w:val="nil"/>
              <w:tr2bl w:val="nil"/>
            </w:tcBorders>
            <w:vAlign w:val="center"/>
          </w:tcPr>
          <w:p>
            <w:pPr>
              <w:pStyle w:val="42"/>
              <w:adjustRightInd/>
              <w:snapToGrid/>
              <w:spacing w:line="240" w:lineRule="auto"/>
              <w:ind w:firstLine="0" w:firstLineChars="0"/>
              <w:jc w:val="center"/>
              <w:rPr>
                <w:color w:val="auto"/>
                <w:sz w:val="21"/>
                <w:szCs w:val="21"/>
              </w:rPr>
            </w:pPr>
            <w:r>
              <w:rPr>
                <w:color w:val="auto"/>
                <w:sz w:val="21"/>
                <w:szCs w:val="21"/>
              </w:rPr>
              <w:t>《危险废物贮存污染控 制标准》</w:t>
            </w:r>
          </w:p>
          <w:p>
            <w:pPr>
              <w:pStyle w:val="42"/>
              <w:adjustRightInd/>
              <w:snapToGrid/>
              <w:spacing w:line="240" w:lineRule="auto"/>
              <w:ind w:firstLine="0" w:firstLineChars="0"/>
              <w:jc w:val="center"/>
              <w:rPr>
                <w:color w:val="auto"/>
                <w:sz w:val="21"/>
                <w:szCs w:val="21"/>
              </w:rPr>
            </w:pPr>
            <w:r>
              <w:rPr>
                <w:color w:val="auto"/>
                <w:sz w:val="21"/>
                <w:szCs w:val="21"/>
              </w:rPr>
              <w:t>（GB18597-2001）</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6" w:space="0"/>
          </w:tblBorders>
          <w:tblCellMar>
            <w:top w:w="0" w:type="dxa"/>
            <w:left w:w="0" w:type="dxa"/>
            <w:bottom w:w="0" w:type="dxa"/>
            <w:right w:w="0" w:type="dxa"/>
          </w:tblCellMar>
        </w:tblPrEx>
        <w:trPr>
          <w:trHeight w:val="1104" w:hRule="exact"/>
          <w:jc w:val="center"/>
        </w:trPr>
        <w:tc>
          <w:tcPr>
            <w:tcW w:w="431" w:type="dxa"/>
            <w:vMerge w:val="continue"/>
            <w:tcBorders>
              <w:tl2br w:val="nil"/>
              <w:tr2bl w:val="nil"/>
            </w:tcBorders>
            <w:vAlign w:val="center"/>
          </w:tcPr>
          <w:p>
            <w:pPr>
              <w:spacing w:line="240" w:lineRule="auto"/>
              <w:ind w:firstLine="0" w:firstLineChars="0"/>
              <w:jc w:val="center"/>
              <w:rPr>
                <w:color w:val="auto"/>
                <w:sz w:val="21"/>
                <w:szCs w:val="21"/>
              </w:rPr>
            </w:pPr>
          </w:p>
        </w:tc>
        <w:tc>
          <w:tcPr>
            <w:tcW w:w="1175" w:type="dxa"/>
            <w:gridSpan w:val="2"/>
            <w:tcBorders>
              <w:tl2br w:val="nil"/>
              <w:tr2bl w:val="nil"/>
            </w:tcBorders>
            <w:vAlign w:val="center"/>
          </w:tcPr>
          <w:p>
            <w:pPr>
              <w:pStyle w:val="42"/>
              <w:adjustRightInd/>
              <w:snapToGrid/>
              <w:spacing w:line="240" w:lineRule="auto"/>
              <w:ind w:firstLine="0" w:firstLineChars="0"/>
              <w:jc w:val="center"/>
              <w:rPr>
                <w:color w:val="auto"/>
                <w:sz w:val="21"/>
                <w:szCs w:val="21"/>
              </w:rPr>
            </w:pPr>
            <w:r>
              <w:rPr>
                <w:color w:val="auto"/>
                <w:sz w:val="21"/>
                <w:szCs w:val="21"/>
              </w:rPr>
              <w:t>医疗固废</w:t>
            </w:r>
            <w:r>
              <w:rPr>
                <w:rFonts w:hint="eastAsia"/>
                <w:color w:val="auto"/>
                <w:sz w:val="21"/>
                <w:szCs w:val="21"/>
              </w:rPr>
              <w:t>、废导热油</w:t>
            </w:r>
          </w:p>
        </w:tc>
        <w:tc>
          <w:tcPr>
            <w:tcW w:w="1786" w:type="dxa"/>
            <w:tcBorders>
              <w:tl2br w:val="nil"/>
              <w:tr2bl w:val="nil"/>
            </w:tcBorders>
            <w:vAlign w:val="center"/>
          </w:tcPr>
          <w:p>
            <w:pPr>
              <w:pStyle w:val="42"/>
              <w:adjustRightInd/>
              <w:snapToGrid/>
              <w:spacing w:line="240" w:lineRule="auto"/>
              <w:ind w:firstLine="0" w:firstLineChars="0"/>
              <w:jc w:val="center"/>
              <w:rPr>
                <w:color w:val="auto"/>
                <w:sz w:val="21"/>
                <w:szCs w:val="21"/>
              </w:rPr>
            </w:pPr>
            <w:r>
              <w:rPr>
                <w:color w:val="auto"/>
                <w:spacing w:val="-11"/>
                <w:sz w:val="21"/>
                <w:szCs w:val="21"/>
              </w:rPr>
              <w:t>暂存于危废暂存间，定期交有资</w:t>
            </w:r>
            <w:r>
              <w:rPr>
                <w:color w:val="auto"/>
                <w:spacing w:val="-4"/>
                <w:sz w:val="21"/>
                <w:szCs w:val="21"/>
              </w:rPr>
              <w:t>质处置</w:t>
            </w:r>
          </w:p>
        </w:tc>
        <w:tc>
          <w:tcPr>
            <w:tcW w:w="3234" w:type="dxa"/>
            <w:gridSpan w:val="2"/>
            <w:tcBorders>
              <w:tl2br w:val="nil"/>
              <w:tr2bl w:val="nil"/>
            </w:tcBorders>
            <w:vAlign w:val="center"/>
          </w:tcPr>
          <w:p>
            <w:pPr>
              <w:pStyle w:val="42"/>
              <w:adjustRightInd/>
              <w:snapToGrid/>
              <w:spacing w:line="240" w:lineRule="auto"/>
              <w:ind w:firstLine="0" w:firstLineChars="0"/>
              <w:jc w:val="center"/>
              <w:rPr>
                <w:color w:val="auto"/>
                <w:sz w:val="21"/>
                <w:szCs w:val="21"/>
              </w:rPr>
            </w:pPr>
            <w:r>
              <w:rPr>
                <w:color w:val="auto"/>
                <w:sz w:val="21"/>
                <w:szCs w:val="21"/>
              </w:rPr>
              <w:t>危废暂存间</w:t>
            </w:r>
            <w:r>
              <w:rPr>
                <w:rFonts w:eastAsia="Times New Roman"/>
                <w:color w:val="auto"/>
                <w:sz w:val="21"/>
                <w:szCs w:val="21"/>
              </w:rPr>
              <w:t>1</w:t>
            </w:r>
            <w:r>
              <w:rPr>
                <w:color w:val="auto"/>
                <w:sz w:val="21"/>
                <w:szCs w:val="21"/>
              </w:rPr>
              <w:t>个</w:t>
            </w:r>
            <w:r>
              <w:rPr>
                <w:rFonts w:hint="eastAsia"/>
                <w:color w:val="auto"/>
                <w:sz w:val="21"/>
                <w:szCs w:val="21"/>
              </w:rPr>
              <w:t>5</w:t>
            </w:r>
            <w:r>
              <w:rPr>
                <w:rFonts w:eastAsia="Times New Roman"/>
                <w:color w:val="auto"/>
                <w:spacing w:val="-12"/>
                <w:sz w:val="21"/>
                <w:szCs w:val="21"/>
              </w:rPr>
              <w:t>m</w:t>
            </w:r>
            <w:r>
              <w:rPr>
                <w:color w:val="auto"/>
                <w:spacing w:val="-12"/>
                <w:sz w:val="21"/>
                <w:szCs w:val="21"/>
                <w:vertAlign w:val="superscript"/>
              </w:rPr>
              <w:t>2</w:t>
            </w:r>
            <w:r>
              <w:rPr>
                <w:color w:val="auto"/>
                <w:spacing w:val="-12"/>
                <w:sz w:val="21"/>
                <w:szCs w:val="21"/>
              </w:rPr>
              <w:t>，具备</w:t>
            </w:r>
            <w:r>
              <w:rPr>
                <w:rFonts w:eastAsia="Times New Roman"/>
                <w:color w:val="auto"/>
                <w:spacing w:val="-12"/>
                <w:sz w:val="21"/>
                <w:szCs w:val="21"/>
              </w:rPr>
              <w:t>“</w:t>
            </w:r>
            <w:r>
              <w:rPr>
                <w:color w:val="auto"/>
                <w:spacing w:val="-12"/>
                <w:sz w:val="21"/>
                <w:szCs w:val="21"/>
              </w:rPr>
              <w:t>防</w:t>
            </w:r>
          </w:p>
          <w:p>
            <w:pPr>
              <w:pStyle w:val="42"/>
              <w:adjustRightInd/>
              <w:snapToGrid/>
              <w:spacing w:line="240" w:lineRule="auto"/>
              <w:ind w:firstLine="0" w:firstLineChars="0"/>
              <w:jc w:val="center"/>
              <w:rPr>
                <w:color w:val="auto"/>
                <w:sz w:val="21"/>
                <w:szCs w:val="21"/>
              </w:rPr>
            </w:pPr>
            <w:r>
              <w:rPr>
                <w:color w:val="auto"/>
                <w:spacing w:val="-5"/>
                <w:sz w:val="21"/>
                <w:szCs w:val="21"/>
              </w:rPr>
              <w:t>渗漏、防扬散、防流失</w:t>
            </w:r>
            <w:r>
              <w:rPr>
                <w:rFonts w:eastAsia="Times New Roman"/>
                <w:color w:val="auto"/>
                <w:spacing w:val="-5"/>
                <w:sz w:val="21"/>
                <w:szCs w:val="21"/>
              </w:rPr>
              <w:t>”</w:t>
            </w:r>
            <w:r>
              <w:rPr>
                <w:color w:val="auto"/>
                <w:spacing w:val="-5"/>
                <w:sz w:val="21"/>
                <w:szCs w:val="21"/>
              </w:rPr>
              <w:t>三防措</w:t>
            </w:r>
            <w:r>
              <w:rPr>
                <w:color w:val="auto"/>
                <w:sz w:val="21"/>
                <w:szCs w:val="21"/>
              </w:rPr>
              <w:t>施，在明显处设置危险废物的警示标志</w:t>
            </w:r>
          </w:p>
        </w:tc>
        <w:tc>
          <w:tcPr>
            <w:tcW w:w="2332" w:type="dxa"/>
            <w:vMerge w:val="continue"/>
            <w:tcBorders>
              <w:tl2br w:val="nil"/>
              <w:tr2bl w:val="nil"/>
            </w:tcBorders>
            <w:vAlign w:val="center"/>
          </w:tcPr>
          <w:p>
            <w:pPr>
              <w:adjustRightInd/>
              <w:snapToGrid/>
              <w:spacing w:line="240" w:lineRule="auto"/>
              <w:ind w:firstLine="0" w:firstLineChars="0"/>
              <w:jc w:val="center"/>
              <w:rPr>
                <w:color w:val="auto"/>
                <w:sz w:val="21"/>
                <w:szCs w:val="21"/>
              </w:rPr>
            </w:pP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6" w:space="0"/>
          </w:tblBorders>
          <w:tblCellMar>
            <w:top w:w="0" w:type="dxa"/>
            <w:left w:w="0" w:type="dxa"/>
            <w:bottom w:w="0" w:type="dxa"/>
            <w:right w:w="0" w:type="dxa"/>
          </w:tblCellMar>
        </w:tblPrEx>
        <w:trPr>
          <w:trHeight w:val="1668" w:hRule="exact"/>
          <w:jc w:val="center"/>
        </w:trPr>
        <w:tc>
          <w:tcPr>
            <w:tcW w:w="431" w:type="dxa"/>
            <w:tcBorders>
              <w:tl2br w:val="nil"/>
              <w:tr2bl w:val="nil"/>
            </w:tcBorders>
            <w:vAlign w:val="center"/>
          </w:tcPr>
          <w:p>
            <w:pPr>
              <w:pStyle w:val="42"/>
              <w:spacing w:line="240" w:lineRule="auto"/>
              <w:ind w:firstLine="0" w:firstLineChars="0"/>
              <w:jc w:val="center"/>
              <w:rPr>
                <w:color w:val="auto"/>
                <w:sz w:val="21"/>
                <w:szCs w:val="21"/>
              </w:rPr>
            </w:pPr>
            <w:r>
              <w:rPr>
                <w:color w:val="auto"/>
                <w:sz w:val="21"/>
                <w:szCs w:val="21"/>
              </w:rPr>
              <w:t>噪</w:t>
            </w:r>
            <w:r>
              <w:rPr>
                <w:color w:val="auto"/>
                <w:w w:val="99"/>
                <w:sz w:val="21"/>
                <w:szCs w:val="21"/>
              </w:rPr>
              <w:t xml:space="preserve"> </w:t>
            </w:r>
            <w:r>
              <w:rPr>
                <w:color w:val="auto"/>
                <w:sz w:val="21"/>
                <w:szCs w:val="21"/>
              </w:rPr>
              <w:t>声</w:t>
            </w:r>
          </w:p>
        </w:tc>
        <w:tc>
          <w:tcPr>
            <w:tcW w:w="1175" w:type="dxa"/>
            <w:gridSpan w:val="2"/>
            <w:tcBorders>
              <w:tl2br w:val="nil"/>
              <w:tr2bl w:val="nil"/>
            </w:tcBorders>
            <w:vAlign w:val="center"/>
          </w:tcPr>
          <w:p>
            <w:pPr>
              <w:pStyle w:val="42"/>
              <w:adjustRightInd/>
              <w:snapToGrid/>
              <w:spacing w:line="240" w:lineRule="auto"/>
              <w:ind w:firstLine="0" w:firstLineChars="0"/>
              <w:jc w:val="center"/>
              <w:rPr>
                <w:color w:val="auto"/>
                <w:sz w:val="21"/>
                <w:szCs w:val="21"/>
              </w:rPr>
            </w:pPr>
            <w:r>
              <w:rPr>
                <w:color w:val="auto"/>
                <w:sz w:val="21"/>
                <w:szCs w:val="21"/>
              </w:rPr>
              <w:t>粪污处理</w:t>
            </w:r>
          </w:p>
          <w:p>
            <w:pPr>
              <w:pStyle w:val="42"/>
              <w:adjustRightInd/>
              <w:snapToGrid/>
              <w:spacing w:line="240" w:lineRule="auto"/>
              <w:ind w:firstLine="0" w:firstLineChars="0"/>
              <w:jc w:val="center"/>
              <w:rPr>
                <w:color w:val="auto"/>
                <w:sz w:val="21"/>
                <w:szCs w:val="21"/>
              </w:rPr>
            </w:pPr>
            <w:r>
              <w:rPr>
                <w:color w:val="auto"/>
                <w:sz w:val="21"/>
                <w:szCs w:val="21"/>
              </w:rPr>
              <w:t>区</w:t>
            </w:r>
          </w:p>
        </w:tc>
        <w:tc>
          <w:tcPr>
            <w:tcW w:w="1786" w:type="dxa"/>
            <w:tcBorders>
              <w:tl2br w:val="nil"/>
              <w:tr2bl w:val="nil"/>
            </w:tcBorders>
            <w:vAlign w:val="center"/>
          </w:tcPr>
          <w:p>
            <w:pPr>
              <w:pStyle w:val="42"/>
              <w:adjustRightInd/>
              <w:snapToGrid/>
              <w:spacing w:line="240" w:lineRule="auto"/>
              <w:ind w:firstLine="0" w:firstLineChars="0"/>
              <w:jc w:val="center"/>
              <w:rPr>
                <w:color w:val="auto"/>
                <w:sz w:val="21"/>
                <w:szCs w:val="21"/>
              </w:rPr>
            </w:pPr>
            <w:r>
              <w:rPr>
                <w:color w:val="auto"/>
                <w:sz w:val="21"/>
                <w:szCs w:val="21"/>
              </w:rPr>
              <w:t>隔声、减振</w:t>
            </w:r>
          </w:p>
        </w:tc>
        <w:tc>
          <w:tcPr>
            <w:tcW w:w="3234" w:type="dxa"/>
            <w:gridSpan w:val="2"/>
            <w:tcBorders>
              <w:tl2br w:val="nil"/>
              <w:tr2bl w:val="nil"/>
            </w:tcBorders>
            <w:vAlign w:val="center"/>
          </w:tcPr>
          <w:p>
            <w:pPr>
              <w:pStyle w:val="42"/>
              <w:adjustRightInd/>
              <w:snapToGrid/>
              <w:spacing w:line="240" w:lineRule="auto"/>
              <w:ind w:firstLine="0" w:firstLineChars="0"/>
              <w:jc w:val="center"/>
              <w:rPr>
                <w:color w:val="auto"/>
                <w:spacing w:val="-5"/>
                <w:sz w:val="21"/>
                <w:szCs w:val="21"/>
              </w:rPr>
            </w:pPr>
            <w:r>
              <w:rPr>
                <w:color w:val="auto"/>
                <w:spacing w:val="-5"/>
                <w:sz w:val="21"/>
                <w:szCs w:val="21"/>
              </w:rPr>
              <w:t>设备基础减振，隔声消声降噪，</w:t>
            </w:r>
          </w:p>
          <w:p>
            <w:pPr>
              <w:pStyle w:val="42"/>
              <w:adjustRightInd/>
              <w:snapToGrid/>
              <w:spacing w:line="240" w:lineRule="auto"/>
              <w:ind w:firstLine="0" w:firstLineChars="0"/>
              <w:jc w:val="center"/>
              <w:rPr>
                <w:color w:val="auto"/>
                <w:sz w:val="21"/>
                <w:szCs w:val="21"/>
              </w:rPr>
            </w:pPr>
            <w:r>
              <w:rPr>
                <w:color w:val="auto"/>
                <w:sz w:val="21"/>
                <w:szCs w:val="21"/>
              </w:rPr>
              <w:t>草地、灌木、乔木等间隔立体</w:t>
            </w:r>
          </w:p>
          <w:p>
            <w:pPr>
              <w:pStyle w:val="42"/>
              <w:adjustRightInd/>
              <w:snapToGrid/>
              <w:spacing w:line="240" w:lineRule="auto"/>
              <w:ind w:firstLine="0" w:firstLineChars="0"/>
              <w:jc w:val="center"/>
              <w:rPr>
                <w:color w:val="auto"/>
                <w:sz w:val="21"/>
                <w:szCs w:val="21"/>
              </w:rPr>
            </w:pPr>
            <w:r>
              <w:rPr>
                <w:color w:val="auto"/>
                <w:sz w:val="21"/>
                <w:szCs w:val="21"/>
              </w:rPr>
              <w:t>绿化</w:t>
            </w:r>
          </w:p>
        </w:tc>
        <w:tc>
          <w:tcPr>
            <w:tcW w:w="2332" w:type="dxa"/>
            <w:tcBorders>
              <w:tl2br w:val="nil"/>
              <w:tr2bl w:val="nil"/>
            </w:tcBorders>
            <w:vAlign w:val="center"/>
          </w:tcPr>
          <w:p>
            <w:pPr>
              <w:pStyle w:val="42"/>
              <w:adjustRightInd/>
              <w:snapToGrid/>
              <w:spacing w:line="240" w:lineRule="auto"/>
              <w:ind w:firstLine="0" w:firstLineChars="0"/>
              <w:jc w:val="center"/>
              <w:rPr>
                <w:color w:val="auto"/>
                <w:spacing w:val="-19"/>
                <w:sz w:val="21"/>
                <w:szCs w:val="21"/>
              </w:rPr>
            </w:pPr>
            <w:r>
              <w:rPr>
                <w:color w:val="auto"/>
                <w:spacing w:val="-19"/>
                <w:sz w:val="21"/>
                <w:szCs w:val="21"/>
              </w:rPr>
              <w:t>《工业企业厂界环境噪声</w:t>
            </w:r>
          </w:p>
          <w:p>
            <w:pPr>
              <w:pStyle w:val="42"/>
              <w:adjustRightInd/>
              <w:snapToGrid/>
              <w:spacing w:line="240" w:lineRule="auto"/>
              <w:ind w:firstLine="0" w:firstLineChars="0"/>
              <w:jc w:val="center"/>
              <w:rPr>
                <w:color w:val="auto"/>
                <w:sz w:val="21"/>
                <w:szCs w:val="21"/>
              </w:rPr>
            </w:pPr>
            <w:r>
              <w:rPr>
                <w:color w:val="auto"/>
                <w:spacing w:val="-17"/>
                <w:sz w:val="21"/>
                <w:szCs w:val="21"/>
              </w:rPr>
              <w:t>排放标准》</w:t>
            </w:r>
          </w:p>
          <w:p>
            <w:pPr>
              <w:pStyle w:val="42"/>
              <w:adjustRightInd/>
              <w:snapToGrid/>
              <w:spacing w:line="240" w:lineRule="auto"/>
              <w:ind w:firstLine="0" w:firstLineChars="0"/>
              <w:jc w:val="center"/>
              <w:rPr>
                <w:color w:val="auto"/>
                <w:sz w:val="21"/>
                <w:szCs w:val="21"/>
              </w:rPr>
            </w:pPr>
            <w:r>
              <w:rPr>
                <w:color w:val="auto"/>
                <w:spacing w:val="-12"/>
                <w:sz w:val="21"/>
                <w:szCs w:val="21"/>
              </w:rPr>
              <w:t>（</w:t>
            </w:r>
            <w:r>
              <w:rPr>
                <w:rFonts w:eastAsia="Times New Roman"/>
                <w:color w:val="auto"/>
                <w:spacing w:val="-12"/>
                <w:sz w:val="21"/>
                <w:szCs w:val="21"/>
              </w:rPr>
              <w:t>GB12348—2008</w:t>
            </w:r>
            <w:r>
              <w:rPr>
                <w:color w:val="auto"/>
                <w:spacing w:val="-12"/>
                <w:sz w:val="21"/>
                <w:szCs w:val="21"/>
              </w:rPr>
              <w:t>）2</w:t>
            </w:r>
            <w:r>
              <w:rPr>
                <w:color w:val="auto"/>
                <w:sz w:val="21"/>
                <w:szCs w:val="21"/>
              </w:rPr>
              <w:t>类</w:t>
            </w:r>
          </w:p>
          <w:p>
            <w:pPr>
              <w:pStyle w:val="42"/>
              <w:adjustRightInd/>
              <w:snapToGrid/>
              <w:spacing w:line="240" w:lineRule="auto"/>
              <w:ind w:firstLine="0" w:firstLineChars="0"/>
              <w:jc w:val="center"/>
              <w:rPr>
                <w:color w:val="auto"/>
                <w:sz w:val="21"/>
                <w:szCs w:val="21"/>
              </w:rPr>
            </w:pPr>
            <w:r>
              <w:rPr>
                <w:color w:val="auto"/>
                <w:spacing w:val="-15"/>
                <w:sz w:val="21"/>
                <w:szCs w:val="21"/>
              </w:rPr>
              <w:t>标准昼间</w:t>
            </w:r>
            <w:r>
              <w:rPr>
                <w:rFonts w:eastAsia="Times New Roman"/>
                <w:color w:val="auto"/>
                <w:spacing w:val="-15"/>
                <w:sz w:val="21"/>
                <w:szCs w:val="21"/>
              </w:rPr>
              <w:t>≤</w:t>
            </w:r>
            <w:r>
              <w:rPr>
                <w:color w:val="auto"/>
                <w:spacing w:val="-15"/>
                <w:sz w:val="21"/>
                <w:szCs w:val="21"/>
              </w:rPr>
              <w:t>60</w:t>
            </w:r>
            <w:r>
              <w:rPr>
                <w:rFonts w:eastAsia="Times New Roman"/>
                <w:color w:val="auto"/>
                <w:spacing w:val="-19"/>
                <w:sz w:val="21"/>
                <w:szCs w:val="21"/>
              </w:rPr>
              <w:t xml:space="preserve"> </w:t>
            </w:r>
            <w:r>
              <w:rPr>
                <w:rFonts w:eastAsia="Times New Roman"/>
                <w:color w:val="auto"/>
                <w:spacing w:val="-30"/>
                <w:sz w:val="21"/>
                <w:szCs w:val="21"/>
              </w:rPr>
              <w:t>dB</w:t>
            </w:r>
            <w:r>
              <w:rPr>
                <w:color w:val="auto"/>
                <w:spacing w:val="-30"/>
                <w:sz w:val="21"/>
                <w:szCs w:val="21"/>
              </w:rPr>
              <w:t>（</w:t>
            </w:r>
            <w:r>
              <w:rPr>
                <w:rFonts w:eastAsia="Times New Roman"/>
                <w:color w:val="auto"/>
                <w:spacing w:val="-30"/>
                <w:sz w:val="21"/>
                <w:szCs w:val="21"/>
              </w:rPr>
              <w:t>A</w:t>
            </w:r>
            <w:r>
              <w:rPr>
                <w:color w:val="auto"/>
                <w:spacing w:val="-30"/>
                <w:sz w:val="21"/>
                <w:szCs w:val="21"/>
              </w:rPr>
              <w:t>）、夜</w:t>
            </w:r>
          </w:p>
          <w:p>
            <w:pPr>
              <w:pStyle w:val="42"/>
              <w:adjustRightInd/>
              <w:snapToGrid/>
              <w:spacing w:line="240" w:lineRule="auto"/>
              <w:ind w:firstLine="0" w:firstLineChars="0"/>
              <w:jc w:val="center"/>
              <w:rPr>
                <w:color w:val="auto"/>
                <w:sz w:val="21"/>
                <w:szCs w:val="21"/>
              </w:rPr>
            </w:pPr>
            <w:r>
              <w:rPr>
                <w:color w:val="auto"/>
                <w:spacing w:val="-10"/>
                <w:sz w:val="21"/>
                <w:szCs w:val="21"/>
              </w:rPr>
              <w:t>间</w:t>
            </w:r>
            <w:r>
              <w:rPr>
                <w:rFonts w:eastAsia="Times New Roman"/>
                <w:color w:val="auto"/>
                <w:spacing w:val="-10"/>
                <w:sz w:val="21"/>
                <w:szCs w:val="21"/>
              </w:rPr>
              <w:t>≤</w:t>
            </w:r>
            <w:r>
              <w:rPr>
                <w:color w:val="auto"/>
                <w:spacing w:val="-10"/>
                <w:sz w:val="21"/>
                <w:szCs w:val="21"/>
              </w:rPr>
              <w:t>50</w:t>
            </w:r>
            <w:r>
              <w:rPr>
                <w:rFonts w:eastAsia="Times New Roman"/>
                <w:color w:val="auto"/>
                <w:spacing w:val="-11"/>
                <w:sz w:val="21"/>
                <w:szCs w:val="21"/>
              </w:rPr>
              <w:t>dB</w:t>
            </w:r>
            <w:r>
              <w:rPr>
                <w:color w:val="auto"/>
                <w:spacing w:val="-11"/>
                <w:sz w:val="21"/>
                <w:szCs w:val="21"/>
              </w:rPr>
              <w:t>（</w:t>
            </w:r>
            <w:r>
              <w:rPr>
                <w:rFonts w:eastAsia="Times New Roman"/>
                <w:color w:val="auto"/>
                <w:spacing w:val="-11"/>
                <w:sz w:val="21"/>
                <w:szCs w:val="21"/>
              </w:rPr>
              <w:t>A</w:t>
            </w:r>
            <w:r>
              <w:rPr>
                <w:color w:val="auto"/>
                <w:spacing w:val="-11"/>
                <w:sz w:val="21"/>
                <w:szCs w:val="21"/>
              </w:rPr>
              <w:t>）</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6" w:space="0"/>
          </w:tblBorders>
          <w:tblCellMar>
            <w:top w:w="0" w:type="dxa"/>
            <w:left w:w="0" w:type="dxa"/>
            <w:bottom w:w="0" w:type="dxa"/>
            <w:right w:w="0" w:type="dxa"/>
          </w:tblCellMar>
        </w:tblPrEx>
        <w:trPr>
          <w:trHeight w:val="1083" w:hRule="exact"/>
          <w:jc w:val="center"/>
        </w:trPr>
        <w:tc>
          <w:tcPr>
            <w:tcW w:w="431" w:type="dxa"/>
            <w:tcBorders>
              <w:tl2br w:val="nil"/>
              <w:tr2bl w:val="nil"/>
            </w:tcBorders>
            <w:vAlign w:val="center"/>
          </w:tcPr>
          <w:p>
            <w:pPr>
              <w:pStyle w:val="42"/>
              <w:spacing w:line="240" w:lineRule="auto"/>
              <w:ind w:firstLine="0" w:firstLineChars="0"/>
              <w:jc w:val="center"/>
              <w:rPr>
                <w:color w:val="auto"/>
                <w:sz w:val="21"/>
                <w:szCs w:val="21"/>
              </w:rPr>
            </w:pPr>
            <w:r>
              <w:rPr>
                <w:color w:val="auto"/>
                <w:w w:val="99"/>
                <w:sz w:val="21"/>
                <w:szCs w:val="21"/>
              </w:rPr>
              <w:t>风</w:t>
            </w:r>
          </w:p>
          <w:p>
            <w:pPr>
              <w:pStyle w:val="42"/>
              <w:spacing w:line="240" w:lineRule="auto"/>
              <w:ind w:firstLine="0" w:firstLineChars="0"/>
              <w:jc w:val="center"/>
              <w:rPr>
                <w:color w:val="auto"/>
                <w:sz w:val="21"/>
                <w:szCs w:val="21"/>
              </w:rPr>
            </w:pPr>
            <w:r>
              <w:rPr>
                <w:color w:val="auto"/>
                <w:w w:val="99"/>
                <w:sz w:val="21"/>
                <w:szCs w:val="21"/>
              </w:rPr>
              <w:t>险</w:t>
            </w:r>
          </w:p>
        </w:tc>
        <w:tc>
          <w:tcPr>
            <w:tcW w:w="1175" w:type="dxa"/>
            <w:gridSpan w:val="2"/>
            <w:tcBorders>
              <w:tl2br w:val="nil"/>
              <w:tr2bl w:val="nil"/>
            </w:tcBorders>
            <w:vAlign w:val="center"/>
          </w:tcPr>
          <w:p>
            <w:pPr>
              <w:pStyle w:val="42"/>
              <w:adjustRightInd/>
              <w:snapToGrid/>
              <w:spacing w:line="240" w:lineRule="auto"/>
              <w:ind w:firstLine="0" w:firstLineChars="0"/>
              <w:jc w:val="center"/>
              <w:rPr>
                <w:color w:val="auto"/>
                <w:sz w:val="21"/>
                <w:szCs w:val="21"/>
              </w:rPr>
            </w:pPr>
            <w:r>
              <w:rPr>
                <w:color w:val="auto"/>
                <w:sz w:val="21"/>
                <w:szCs w:val="21"/>
              </w:rPr>
              <w:t>沼气储</w:t>
            </w:r>
          </w:p>
          <w:p>
            <w:pPr>
              <w:pStyle w:val="42"/>
              <w:adjustRightInd/>
              <w:snapToGrid/>
              <w:spacing w:line="240" w:lineRule="auto"/>
              <w:ind w:firstLine="0" w:firstLineChars="0"/>
              <w:jc w:val="center"/>
              <w:rPr>
                <w:color w:val="auto"/>
                <w:sz w:val="21"/>
                <w:szCs w:val="21"/>
              </w:rPr>
            </w:pPr>
            <w:r>
              <w:rPr>
                <w:color w:val="auto"/>
                <w:sz w:val="21"/>
                <w:szCs w:val="21"/>
              </w:rPr>
              <w:t>存、利用</w:t>
            </w:r>
          </w:p>
        </w:tc>
        <w:tc>
          <w:tcPr>
            <w:tcW w:w="1786" w:type="dxa"/>
            <w:tcBorders>
              <w:tl2br w:val="nil"/>
              <w:tr2bl w:val="nil"/>
            </w:tcBorders>
            <w:vAlign w:val="center"/>
          </w:tcPr>
          <w:p>
            <w:pPr>
              <w:pStyle w:val="42"/>
              <w:adjustRightInd/>
              <w:snapToGrid/>
              <w:spacing w:line="240" w:lineRule="auto"/>
              <w:ind w:firstLine="0" w:firstLineChars="0"/>
              <w:jc w:val="center"/>
              <w:rPr>
                <w:color w:val="auto"/>
                <w:sz w:val="21"/>
                <w:szCs w:val="21"/>
              </w:rPr>
            </w:pPr>
            <w:r>
              <w:rPr>
                <w:color w:val="auto"/>
                <w:sz w:val="21"/>
                <w:szCs w:val="21"/>
              </w:rPr>
              <w:t>安装阻火器、配</w:t>
            </w:r>
          </w:p>
          <w:p>
            <w:pPr>
              <w:pStyle w:val="42"/>
              <w:adjustRightInd/>
              <w:snapToGrid/>
              <w:spacing w:line="240" w:lineRule="auto"/>
              <w:ind w:firstLine="0" w:firstLineChars="0"/>
              <w:jc w:val="center"/>
              <w:rPr>
                <w:color w:val="auto"/>
                <w:sz w:val="21"/>
                <w:szCs w:val="21"/>
              </w:rPr>
            </w:pPr>
            <w:r>
              <w:rPr>
                <w:color w:val="auto"/>
                <w:sz w:val="21"/>
                <w:szCs w:val="21"/>
              </w:rPr>
              <w:t>备消防器器材</w:t>
            </w:r>
          </w:p>
        </w:tc>
        <w:tc>
          <w:tcPr>
            <w:tcW w:w="3234" w:type="dxa"/>
            <w:gridSpan w:val="2"/>
            <w:tcBorders>
              <w:tl2br w:val="nil"/>
              <w:tr2bl w:val="nil"/>
            </w:tcBorders>
            <w:vAlign w:val="center"/>
          </w:tcPr>
          <w:p>
            <w:pPr>
              <w:pStyle w:val="42"/>
              <w:adjustRightInd/>
              <w:snapToGrid/>
              <w:spacing w:line="240" w:lineRule="auto"/>
              <w:ind w:firstLine="0" w:firstLineChars="0"/>
              <w:jc w:val="center"/>
              <w:rPr>
                <w:color w:val="auto"/>
                <w:sz w:val="21"/>
                <w:szCs w:val="21"/>
              </w:rPr>
            </w:pPr>
            <w:r>
              <w:rPr>
                <w:color w:val="auto"/>
                <w:sz w:val="21"/>
                <w:szCs w:val="21"/>
              </w:rPr>
              <w:t>消防器材若干，阻火器</w:t>
            </w:r>
            <w:r>
              <w:rPr>
                <w:rFonts w:hint="eastAsia"/>
                <w:color w:val="auto"/>
                <w:sz w:val="21"/>
                <w:szCs w:val="21"/>
                <w:lang w:val="en-US" w:eastAsia="zh-CN"/>
              </w:rPr>
              <w:t>1</w:t>
            </w:r>
            <w:r>
              <w:rPr>
                <w:color w:val="auto"/>
                <w:sz w:val="21"/>
                <w:szCs w:val="21"/>
              </w:rPr>
              <w:t>个</w:t>
            </w:r>
          </w:p>
        </w:tc>
        <w:tc>
          <w:tcPr>
            <w:tcW w:w="2332" w:type="dxa"/>
            <w:tcBorders>
              <w:tl2br w:val="nil"/>
              <w:tr2bl w:val="nil"/>
            </w:tcBorders>
            <w:vAlign w:val="center"/>
          </w:tcPr>
          <w:p>
            <w:pPr>
              <w:pStyle w:val="42"/>
              <w:adjustRightInd/>
              <w:snapToGrid/>
              <w:spacing w:line="240" w:lineRule="auto"/>
              <w:ind w:firstLine="0" w:firstLineChars="0"/>
              <w:jc w:val="center"/>
              <w:rPr>
                <w:rFonts w:eastAsia="Times New Roman"/>
                <w:color w:val="auto"/>
                <w:sz w:val="21"/>
                <w:szCs w:val="21"/>
              </w:rPr>
            </w:pPr>
            <w:r>
              <w:rPr>
                <w:b/>
                <w:color w:val="auto"/>
                <w:w w:val="99"/>
                <w:sz w:val="21"/>
                <w:szCs w:val="21"/>
              </w:rPr>
              <w:t>/</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6" w:space="0"/>
          </w:tblBorders>
          <w:tblCellMar>
            <w:top w:w="0" w:type="dxa"/>
            <w:left w:w="0" w:type="dxa"/>
            <w:bottom w:w="0" w:type="dxa"/>
            <w:right w:w="0" w:type="dxa"/>
          </w:tblCellMar>
        </w:tblPrEx>
        <w:trPr>
          <w:trHeight w:val="2227" w:hRule="exact"/>
          <w:jc w:val="center"/>
        </w:trPr>
        <w:tc>
          <w:tcPr>
            <w:tcW w:w="431" w:type="dxa"/>
            <w:vMerge w:val="restart"/>
            <w:tcBorders>
              <w:top w:val="single" w:color="auto" w:sz="4" w:space="0"/>
              <w:tl2br w:val="nil"/>
              <w:tr2bl w:val="nil"/>
            </w:tcBorders>
            <w:vAlign w:val="center"/>
          </w:tcPr>
          <w:p>
            <w:pPr>
              <w:spacing w:line="240" w:lineRule="auto"/>
              <w:ind w:firstLine="0" w:firstLineChars="0"/>
              <w:jc w:val="center"/>
              <w:rPr>
                <w:color w:val="auto"/>
                <w:sz w:val="21"/>
                <w:szCs w:val="21"/>
              </w:rPr>
            </w:pPr>
            <w:r>
              <w:rPr>
                <w:color w:val="auto"/>
                <w:sz w:val="21"/>
                <w:szCs w:val="21"/>
              </w:rPr>
              <w:t>防渗措施</w:t>
            </w:r>
          </w:p>
        </w:tc>
        <w:tc>
          <w:tcPr>
            <w:tcW w:w="493" w:type="dxa"/>
            <w:vMerge w:val="restart"/>
            <w:tcBorders>
              <w:top w:val="single" w:color="auto" w:sz="4" w:space="0"/>
              <w:bottom w:val="single" w:color="auto" w:sz="4" w:space="0"/>
              <w:tl2br w:val="nil"/>
              <w:tr2bl w:val="nil"/>
            </w:tcBorders>
            <w:vAlign w:val="center"/>
          </w:tcPr>
          <w:p>
            <w:pPr>
              <w:pStyle w:val="42"/>
              <w:adjustRightInd/>
              <w:snapToGrid/>
              <w:spacing w:line="240" w:lineRule="auto"/>
              <w:ind w:firstLine="0" w:firstLineChars="0"/>
              <w:jc w:val="center"/>
              <w:rPr>
                <w:color w:val="auto"/>
                <w:sz w:val="21"/>
                <w:szCs w:val="21"/>
              </w:rPr>
            </w:pPr>
            <w:r>
              <w:rPr>
                <w:rFonts w:hint="eastAsia"/>
                <w:color w:val="auto"/>
                <w:sz w:val="21"/>
                <w:szCs w:val="21"/>
              </w:rPr>
              <w:t>厂区</w:t>
            </w:r>
            <w:r>
              <w:rPr>
                <w:color w:val="auto"/>
                <w:w w:val="99"/>
                <w:sz w:val="21"/>
                <w:szCs w:val="21"/>
              </w:rPr>
              <w:t xml:space="preserve"> </w:t>
            </w:r>
            <w:r>
              <w:rPr>
                <w:color w:val="auto"/>
                <w:sz w:val="21"/>
                <w:szCs w:val="21"/>
              </w:rPr>
              <w:t>防渗</w:t>
            </w:r>
          </w:p>
        </w:tc>
        <w:tc>
          <w:tcPr>
            <w:tcW w:w="682" w:type="dxa"/>
            <w:tcBorders>
              <w:top w:val="single" w:color="auto" w:sz="4" w:space="0"/>
              <w:bottom w:val="single" w:color="auto" w:sz="4" w:space="0"/>
              <w:tl2br w:val="nil"/>
              <w:tr2bl w:val="nil"/>
            </w:tcBorders>
            <w:vAlign w:val="center"/>
          </w:tcPr>
          <w:p>
            <w:pPr>
              <w:pStyle w:val="42"/>
              <w:adjustRightInd/>
              <w:snapToGrid/>
              <w:spacing w:line="240" w:lineRule="auto"/>
              <w:ind w:firstLine="0" w:firstLineChars="0"/>
              <w:jc w:val="center"/>
              <w:rPr>
                <w:color w:val="auto"/>
                <w:sz w:val="21"/>
                <w:szCs w:val="21"/>
              </w:rPr>
            </w:pPr>
            <w:r>
              <w:rPr>
                <w:color w:val="auto"/>
                <w:sz w:val="21"/>
                <w:szCs w:val="21"/>
              </w:rPr>
              <w:t>污水处理区</w:t>
            </w:r>
          </w:p>
        </w:tc>
        <w:tc>
          <w:tcPr>
            <w:tcW w:w="1786" w:type="dxa"/>
            <w:tcBorders>
              <w:tl2br w:val="nil"/>
              <w:tr2bl w:val="nil"/>
            </w:tcBorders>
            <w:vAlign w:val="center"/>
          </w:tcPr>
          <w:p>
            <w:pPr>
              <w:pStyle w:val="42"/>
              <w:adjustRightInd/>
              <w:snapToGrid/>
              <w:spacing w:line="240" w:lineRule="auto"/>
              <w:ind w:firstLine="0" w:firstLineChars="0"/>
              <w:jc w:val="center"/>
              <w:rPr>
                <w:color w:val="auto"/>
                <w:sz w:val="21"/>
                <w:szCs w:val="21"/>
              </w:rPr>
            </w:pPr>
            <w:r>
              <w:rPr>
                <w:color w:val="auto"/>
                <w:sz w:val="21"/>
                <w:szCs w:val="21"/>
              </w:rPr>
              <w:t>做好防渗措施</w:t>
            </w:r>
          </w:p>
        </w:tc>
        <w:tc>
          <w:tcPr>
            <w:tcW w:w="3234" w:type="dxa"/>
            <w:gridSpan w:val="2"/>
            <w:tcBorders>
              <w:tl2br w:val="nil"/>
              <w:tr2bl w:val="nil"/>
            </w:tcBorders>
            <w:vAlign w:val="center"/>
          </w:tcPr>
          <w:p>
            <w:pPr>
              <w:pStyle w:val="42"/>
              <w:adjustRightInd/>
              <w:snapToGrid/>
              <w:spacing w:line="240" w:lineRule="auto"/>
              <w:ind w:firstLine="0" w:firstLineChars="0"/>
              <w:jc w:val="center"/>
              <w:rPr>
                <w:color w:val="auto"/>
                <w:sz w:val="21"/>
                <w:szCs w:val="21"/>
              </w:rPr>
            </w:pPr>
            <w:r>
              <w:rPr>
                <w:color w:val="auto"/>
                <w:sz w:val="21"/>
                <w:szCs w:val="21"/>
              </w:rPr>
              <w:t>黑膜沼气池采用</w:t>
            </w:r>
            <w:r>
              <w:rPr>
                <w:rFonts w:hint="eastAsia"/>
                <w:color w:val="auto"/>
                <w:sz w:val="21"/>
                <w:szCs w:val="21"/>
              </w:rPr>
              <w:t>土膜</w:t>
            </w:r>
            <w:r>
              <w:rPr>
                <w:color w:val="auto"/>
                <w:sz w:val="21"/>
                <w:szCs w:val="21"/>
              </w:rPr>
              <w:t>夯实</w:t>
            </w:r>
            <w:r>
              <w:rPr>
                <w:rFonts w:eastAsia="Times New Roman"/>
                <w:color w:val="auto"/>
                <w:sz w:val="21"/>
                <w:szCs w:val="21"/>
              </w:rPr>
              <w:t>+HDPE</w:t>
            </w:r>
            <w:r>
              <w:rPr>
                <w:color w:val="auto"/>
                <w:spacing w:val="-6"/>
                <w:sz w:val="21"/>
                <w:szCs w:val="21"/>
              </w:rPr>
              <w:t>防渗膜。防渗要求达到</w:t>
            </w:r>
            <w:r>
              <w:rPr>
                <w:color w:val="auto"/>
                <w:sz w:val="21"/>
                <w:szCs w:val="21"/>
              </w:rPr>
              <w:t>等效黏土防渗层</w:t>
            </w:r>
            <w:r>
              <w:rPr>
                <w:color w:val="auto"/>
                <w:spacing w:val="-56"/>
                <w:sz w:val="21"/>
                <w:szCs w:val="21"/>
              </w:rPr>
              <w:t xml:space="preserve"> </w:t>
            </w:r>
            <w:r>
              <w:rPr>
                <w:rFonts w:eastAsia="Times New Roman"/>
                <w:color w:val="auto"/>
                <w:sz w:val="21"/>
                <w:szCs w:val="21"/>
              </w:rPr>
              <w:t>Mb≥1.5m</w:t>
            </w:r>
            <w:r>
              <w:rPr>
                <w:color w:val="auto"/>
                <w:sz w:val="21"/>
                <w:szCs w:val="21"/>
              </w:rPr>
              <w:t>，</w:t>
            </w:r>
            <w:r>
              <w:rPr>
                <w:rFonts w:eastAsia="Times New Roman"/>
                <w:color w:val="auto"/>
                <w:sz w:val="21"/>
                <w:szCs w:val="21"/>
              </w:rPr>
              <w:t>K≤1×10</w:t>
            </w:r>
            <w:r>
              <w:rPr>
                <w:rFonts w:hint="eastAsia"/>
                <w:color w:val="auto"/>
                <w:sz w:val="21"/>
                <w:szCs w:val="21"/>
                <w:vertAlign w:val="superscript"/>
              </w:rPr>
              <w:t>-7</w:t>
            </w:r>
            <w:r>
              <w:rPr>
                <w:rFonts w:eastAsia="Times New Roman"/>
                <w:color w:val="auto"/>
                <w:sz w:val="21"/>
                <w:szCs w:val="21"/>
              </w:rPr>
              <w:t>cm/s</w:t>
            </w:r>
          </w:p>
        </w:tc>
        <w:tc>
          <w:tcPr>
            <w:tcW w:w="2332" w:type="dxa"/>
            <w:tcBorders>
              <w:top w:val="single" w:color="auto" w:sz="4" w:space="0"/>
              <w:tl2br w:val="nil"/>
              <w:tr2bl w:val="nil"/>
            </w:tcBorders>
            <w:vAlign w:val="center"/>
          </w:tcPr>
          <w:p>
            <w:pPr>
              <w:pStyle w:val="42"/>
              <w:adjustRightInd/>
              <w:snapToGrid/>
              <w:spacing w:line="240" w:lineRule="auto"/>
              <w:ind w:firstLine="0" w:firstLineChars="0"/>
              <w:jc w:val="center"/>
              <w:rPr>
                <w:color w:val="auto"/>
                <w:sz w:val="21"/>
                <w:szCs w:val="21"/>
              </w:rPr>
            </w:pPr>
            <w:r>
              <w:rPr>
                <w:color w:val="auto"/>
                <w:sz w:val="21"/>
                <w:szCs w:val="21"/>
              </w:rPr>
              <w:t>符合《规模化畜禽养殖</w:t>
            </w:r>
            <w:r>
              <w:rPr>
                <w:color w:val="auto"/>
                <w:spacing w:val="-101"/>
                <w:sz w:val="21"/>
                <w:szCs w:val="21"/>
              </w:rPr>
              <w:t xml:space="preserve"> </w:t>
            </w:r>
            <w:r>
              <w:rPr>
                <w:color w:val="auto"/>
                <w:spacing w:val="11"/>
                <w:sz w:val="21"/>
                <w:szCs w:val="21"/>
              </w:rPr>
              <w:t>场沼气工程设计规范》</w:t>
            </w:r>
          </w:p>
          <w:p>
            <w:pPr>
              <w:pStyle w:val="42"/>
              <w:adjustRightInd/>
              <w:snapToGrid/>
              <w:spacing w:line="240" w:lineRule="auto"/>
              <w:ind w:firstLine="0" w:firstLineChars="0"/>
              <w:jc w:val="center"/>
              <w:rPr>
                <w:color w:val="auto"/>
                <w:sz w:val="21"/>
                <w:szCs w:val="21"/>
              </w:rPr>
            </w:pPr>
            <w:r>
              <w:rPr>
                <w:color w:val="auto"/>
                <w:spacing w:val="-5"/>
                <w:sz w:val="21"/>
                <w:szCs w:val="21"/>
              </w:rPr>
              <w:t>（</w:t>
            </w:r>
            <w:r>
              <w:rPr>
                <w:rFonts w:eastAsia="Times New Roman"/>
                <w:color w:val="auto"/>
                <w:spacing w:val="-5"/>
                <w:sz w:val="21"/>
                <w:szCs w:val="21"/>
              </w:rPr>
              <w:t>NY/T1222</w:t>
            </w:r>
            <w:r>
              <w:rPr>
                <w:color w:val="auto"/>
                <w:spacing w:val="-5"/>
                <w:sz w:val="21"/>
                <w:szCs w:val="21"/>
              </w:rPr>
              <w:t>）和《混凝</w:t>
            </w:r>
          </w:p>
          <w:p>
            <w:pPr>
              <w:pStyle w:val="42"/>
              <w:spacing w:line="240" w:lineRule="auto"/>
              <w:ind w:firstLine="0" w:firstLineChars="0"/>
              <w:jc w:val="center"/>
              <w:rPr>
                <w:color w:val="auto"/>
                <w:sz w:val="21"/>
                <w:szCs w:val="21"/>
              </w:rPr>
            </w:pPr>
            <w:r>
              <w:rPr>
                <w:color w:val="auto"/>
                <w:sz w:val="21"/>
                <w:szCs w:val="21"/>
              </w:rPr>
              <w:t>土结构设计规范》</w:t>
            </w:r>
          </w:p>
          <w:p>
            <w:pPr>
              <w:pStyle w:val="42"/>
              <w:spacing w:line="240" w:lineRule="auto"/>
              <w:ind w:firstLine="0" w:firstLineChars="0"/>
              <w:jc w:val="center"/>
              <w:rPr>
                <w:color w:val="auto"/>
                <w:sz w:val="21"/>
                <w:szCs w:val="21"/>
              </w:rPr>
            </w:pPr>
            <w:r>
              <w:rPr>
                <w:color w:val="auto"/>
                <w:spacing w:val="2"/>
                <w:sz w:val="21"/>
                <w:szCs w:val="21"/>
              </w:rPr>
              <w:t>（</w:t>
            </w:r>
            <w:r>
              <w:rPr>
                <w:rFonts w:eastAsia="Times New Roman"/>
                <w:color w:val="auto"/>
                <w:spacing w:val="2"/>
                <w:sz w:val="21"/>
                <w:szCs w:val="21"/>
              </w:rPr>
              <w:t>GB50010</w:t>
            </w:r>
            <w:r>
              <w:rPr>
                <w:color w:val="auto"/>
                <w:spacing w:val="2"/>
                <w:sz w:val="21"/>
                <w:szCs w:val="21"/>
              </w:rPr>
              <w:t>）的要求，</w:t>
            </w:r>
            <w:r>
              <w:rPr>
                <w:color w:val="auto"/>
                <w:spacing w:val="-15"/>
                <w:sz w:val="21"/>
                <w:szCs w:val="21"/>
              </w:rPr>
              <w:t>具备</w:t>
            </w:r>
            <w:r>
              <w:rPr>
                <w:rFonts w:eastAsia="Times New Roman"/>
                <w:color w:val="auto"/>
                <w:spacing w:val="-15"/>
                <w:sz w:val="21"/>
                <w:szCs w:val="21"/>
              </w:rPr>
              <w:t>“</w:t>
            </w:r>
            <w:r>
              <w:rPr>
                <w:color w:val="auto"/>
                <w:spacing w:val="-15"/>
                <w:sz w:val="21"/>
                <w:szCs w:val="21"/>
              </w:rPr>
              <w:t>防渗、防雨、防溢</w:t>
            </w:r>
            <w:r>
              <w:rPr>
                <w:rFonts w:eastAsia="Times New Roman"/>
                <w:color w:val="auto"/>
                <w:spacing w:val="-15"/>
                <w:sz w:val="21"/>
                <w:szCs w:val="21"/>
              </w:rPr>
              <w:t>”</w:t>
            </w:r>
            <w:r>
              <w:rPr>
                <w:color w:val="auto"/>
                <w:sz w:val="21"/>
                <w:szCs w:val="21"/>
              </w:rPr>
              <w:t>的三防措施。</w:t>
            </w:r>
          </w:p>
          <w:p>
            <w:pPr>
              <w:pStyle w:val="42"/>
              <w:adjustRightInd/>
              <w:snapToGrid/>
              <w:spacing w:line="240" w:lineRule="auto"/>
              <w:ind w:firstLine="0" w:firstLineChars="0"/>
              <w:jc w:val="center"/>
              <w:rPr>
                <w:color w:val="auto"/>
                <w:sz w:val="21"/>
                <w:szCs w:val="21"/>
              </w:rPr>
            </w:pP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6" w:space="0"/>
          </w:tblBorders>
          <w:tblCellMar>
            <w:top w:w="0" w:type="dxa"/>
            <w:left w:w="0" w:type="dxa"/>
            <w:bottom w:w="0" w:type="dxa"/>
            <w:right w:w="0" w:type="dxa"/>
          </w:tblCellMar>
        </w:tblPrEx>
        <w:trPr>
          <w:trHeight w:val="827" w:hRule="exact"/>
          <w:jc w:val="center"/>
        </w:trPr>
        <w:tc>
          <w:tcPr>
            <w:tcW w:w="431" w:type="dxa"/>
            <w:vMerge w:val="continue"/>
            <w:tcBorders>
              <w:top w:val="single" w:color="auto" w:sz="4" w:space="0"/>
              <w:tl2br w:val="nil"/>
              <w:tr2bl w:val="nil"/>
            </w:tcBorders>
          </w:tcPr>
          <w:p>
            <w:pPr>
              <w:spacing w:line="240" w:lineRule="auto"/>
              <w:ind w:firstLine="0" w:firstLineChars="0"/>
              <w:jc w:val="center"/>
              <w:rPr>
                <w:color w:val="auto"/>
                <w:sz w:val="21"/>
                <w:szCs w:val="21"/>
              </w:rPr>
            </w:pPr>
          </w:p>
        </w:tc>
        <w:tc>
          <w:tcPr>
            <w:tcW w:w="493" w:type="dxa"/>
            <w:vMerge w:val="continue"/>
            <w:tcBorders>
              <w:top w:val="single" w:color="auto" w:sz="4" w:space="0"/>
              <w:tl2br w:val="nil"/>
              <w:tr2bl w:val="nil"/>
            </w:tcBorders>
          </w:tcPr>
          <w:p>
            <w:pPr>
              <w:spacing w:line="240" w:lineRule="auto"/>
              <w:ind w:firstLine="0" w:firstLineChars="0"/>
              <w:jc w:val="center"/>
              <w:rPr>
                <w:color w:val="auto"/>
                <w:sz w:val="21"/>
                <w:szCs w:val="21"/>
              </w:rPr>
            </w:pPr>
          </w:p>
        </w:tc>
        <w:tc>
          <w:tcPr>
            <w:tcW w:w="682" w:type="dxa"/>
            <w:tcBorders>
              <w:top w:val="single" w:color="auto" w:sz="4" w:space="0"/>
              <w:tl2br w:val="nil"/>
              <w:tr2bl w:val="nil"/>
            </w:tcBorders>
            <w:vAlign w:val="center"/>
          </w:tcPr>
          <w:p>
            <w:pPr>
              <w:pStyle w:val="42"/>
              <w:spacing w:line="240" w:lineRule="auto"/>
              <w:ind w:firstLine="0" w:firstLineChars="0"/>
              <w:jc w:val="center"/>
              <w:rPr>
                <w:color w:val="auto"/>
                <w:sz w:val="21"/>
                <w:szCs w:val="21"/>
              </w:rPr>
            </w:pPr>
            <w:r>
              <w:rPr>
                <w:color w:val="auto"/>
                <w:sz w:val="21"/>
                <w:szCs w:val="21"/>
              </w:rPr>
              <w:t>养殖区</w:t>
            </w:r>
          </w:p>
        </w:tc>
        <w:tc>
          <w:tcPr>
            <w:tcW w:w="1786" w:type="dxa"/>
            <w:tcBorders>
              <w:tl2br w:val="nil"/>
              <w:tr2bl w:val="nil"/>
            </w:tcBorders>
            <w:vAlign w:val="center"/>
          </w:tcPr>
          <w:p>
            <w:pPr>
              <w:pStyle w:val="42"/>
              <w:adjustRightInd/>
              <w:snapToGrid/>
              <w:spacing w:line="240" w:lineRule="auto"/>
              <w:ind w:firstLine="0" w:firstLineChars="0"/>
              <w:jc w:val="center"/>
              <w:rPr>
                <w:color w:val="auto"/>
                <w:sz w:val="21"/>
                <w:szCs w:val="21"/>
              </w:rPr>
            </w:pPr>
            <w:r>
              <w:rPr>
                <w:color w:val="auto"/>
                <w:sz w:val="21"/>
                <w:szCs w:val="21"/>
              </w:rPr>
              <w:t>做好混凝土防渗</w:t>
            </w:r>
          </w:p>
          <w:p>
            <w:pPr>
              <w:pStyle w:val="42"/>
              <w:adjustRightInd/>
              <w:snapToGrid/>
              <w:spacing w:line="240" w:lineRule="auto"/>
              <w:ind w:firstLine="0" w:firstLineChars="0"/>
              <w:jc w:val="center"/>
              <w:rPr>
                <w:color w:val="auto"/>
                <w:sz w:val="21"/>
                <w:szCs w:val="21"/>
              </w:rPr>
            </w:pPr>
            <w:r>
              <w:rPr>
                <w:color w:val="auto"/>
                <w:sz w:val="21"/>
                <w:szCs w:val="21"/>
              </w:rPr>
              <w:t>措施</w:t>
            </w:r>
          </w:p>
        </w:tc>
        <w:tc>
          <w:tcPr>
            <w:tcW w:w="3234" w:type="dxa"/>
            <w:gridSpan w:val="2"/>
            <w:tcBorders>
              <w:tl2br w:val="nil"/>
              <w:tr2bl w:val="nil"/>
            </w:tcBorders>
            <w:vAlign w:val="center"/>
          </w:tcPr>
          <w:p>
            <w:pPr>
              <w:pStyle w:val="42"/>
              <w:adjustRightInd/>
              <w:snapToGrid/>
              <w:spacing w:line="240" w:lineRule="auto"/>
              <w:ind w:firstLine="0" w:firstLineChars="0"/>
              <w:jc w:val="center"/>
              <w:rPr>
                <w:color w:val="auto"/>
                <w:sz w:val="21"/>
                <w:szCs w:val="21"/>
              </w:rPr>
            </w:pPr>
            <w:r>
              <w:rPr>
                <w:color w:val="auto"/>
                <w:sz w:val="21"/>
                <w:szCs w:val="21"/>
              </w:rPr>
              <w:t>养殖</w:t>
            </w:r>
            <w:r>
              <w:rPr>
                <w:rFonts w:hint="eastAsia"/>
                <w:color w:val="auto"/>
                <w:sz w:val="21"/>
                <w:szCs w:val="21"/>
              </w:rPr>
              <w:t>厂区</w:t>
            </w:r>
            <w:r>
              <w:rPr>
                <w:color w:val="auto"/>
                <w:sz w:val="21"/>
                <w:szCs w:val="21"/>
              </w:rPr>
              <w:t>底部铺设混凝土</w:t>
            </w:r>
          </w:p>
        </w:tc>
        <w:tc>
          <w:tcPr>
            <w:tcW w:w="2332" w:type="dxa"/>
            <w:vMerge w:val="restart"/>
            <w:tcBorders>
              <w:tl2br w:val="nil"/>
              <w:tr2bl w:val="nil"/>
            </w:tcBorders>
          </w:tcPr>
          <w:p>
            <w:pPr>
              <w:pStyle w:val="42"/>
              <w:spacing w:line="240" w:lineRule="auto"/>
              <w:ind w:firstLine="0" w:firstLineChars="0"/>
              <w:jc w:val="center"/>
              <w:rPr>
                <w:rFonts w:eastAsia="Times New Roman"/>
                <w:color w:val="auto"/>
                <w:sz w:val="21"/>
                <w:szCs w:val="21"/>
              </w:rPr>
            </w:pPr>
          </w:p>
          <w:p>
            <w:pPr>
              <w:pStyle w:val="42"/>
              <w:spacing w:line="240" w:lineRule="auto"/>
              <w:ind w:firstLine="0" w:firstLineChars="0"/>
              <w:jc w:val="center"/>
              <w:rPr>
                <w:rFonts w:eastAsia="Times New Roman"/>
                <w:color w:val="auto"/>
                <w:sz w:val="21"/>
                <w:szCs w:val="21"/>
              </w:rPr>
            </w:pPr>
            <w:r>
              <w:rPr>
                <w:color w:val="auto"/>
                <w:sz w:val="21"/>
                <w:szCs w:val="21"/>
              </w:rPr>
              <w:t>满足《畜禽养殖业污染</w:t>
            </w:r>
            <w:r>
              <w:rPr>
                <w:color w:val="auto"/>
                <w:w w:val="99"/>
                <w:sz w:val="21"/>
                <w:szCs w:val="21"/>
              </w:rPr>
              <w:t xml:space="preserve"> </w:t>
            </w:r>
            <w:r>
              <w:rPr>
                <w:color w:val="auto"/>
                <w:spacing w:val="-15"/>
                <w:sz w:val="21"/>
                <w:szCs w:val="21"/>
              </w:rPr>
              <w:t>防治技术规范》（</w:t>
            </w:r>
            <w:r>
              <w:rPr>
                <w:rFonts w:eastAsia="Times New Roman"/>
                <w:color w:val="auto"/>
                <w:spacing w:val="-15"/>
                <w:sz w:val="21"/>
                <w:szCs w:val="21"/>
              </w:rPr>
              <w:t>HJ/T81</w:t>
            </w:r>
          </w:p>
          <w:p>
            <w:pPr>
              <w:pStyle w:val="42"/>
              <w:spacing w:line="240" w:lineRule="auto"/>
              <w:ind w:firstLine="0" w:firstLineChars="0"/>
              <w:jc w:val="center"/>
              <w:rPr>
                <w:color w:val="auto"/>
                <w:sz w:val="21"/>
                <w:szCs w:val="21"/>
              </w:rPr>
            </w:pPr>
            <w:r>
              <w:rPr>
                <w:color w:val="auto"/>
                <w:sz w:val="21"/>
                <w:szCs w:val="21"/>
              </w:rPr>
              <w:t>－</w:t>
            </w:r>
            <w:r>
              <w:rPr>
                <w:rFonts w:eastAsia="Times New Roman"/>
                <w:color w:val="auto"/>
                <w:sz w:val="21"/>
                <w:szCs w:val="21"/>
              </w:rPr>
              <w:t>2001</w:t>
            </w:r>
            <w:r>
              <w:rPr>
                <w:color w:val="auto"/>
                <w:sz w:val="21"/>
                <w:szCs w:val="21"/>
              </w:rPr>
              <w:t>）中畜禽粪便的贮存相关要求，应具备</w:t>
            </w:r>
            <w:r>
              <w:rPr>
                <w:color w:val="auto"/>
                <w:spacing w:val="-8"/>
                <w:sz w:val="21"/>
                <w:szCs w:val="21"/>
              </w:rPr>
              <w:t>防渗、防风、防雨的</w:t>
            </w:r>
            <w:r>
              <w:rPr>
                <w:rFonts w:eastAsia="Times New Roman"/>
                <w:color w:val="auto"/>
                <w:spacing w:val="-8"/>
                <w:sz w:val="21"/>
                <w:szCs w:val="21"/>
              </w:rPr>
              <w:t>“</w:t>
            </w:r>
            <w:r>
              <w:rPr>
                <w:color w:val="auto"/>
                <w:spacing w:val="-8"/>
                <w:sz w:val="21"/>
                <w:szCs w:val="21"/>
              </w:rPr>
              <w:t>三</w:t>
            </w:r>
            <w:r>
              <w:rPr>
                <w:color w:val="auto"/>
                <w:sz w:val="21"/>
                <w:szCs w:val="21"/>
              </w:rPr>
              <w:t>防</w:t>
            </w:r>
            <w:r>
              <w:rPr>
                <w:rFonts w:eastAsia="Times New Roman"/>
                <w:color w:val="auto"/>
                <w:sz w:val="21"/>
                <w:szCs w:val="21"/>
              </w:rPr>
              <w:t>”</w:t>
            </w:r>
            <w:r>
              <w:rPr>
                <w:color w:val="auto"/>
                <w:sz w:val="21"/>
                <w:szCs w:val="21"/>
              </w:rPr>
              <w:t>措施。</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6" w:space="0"/>
          </w:tblBorders>
          <w:tblCellMar>
            <w:top w:w="0" w:type="dxa"/>
            <w:left w:w="0" w:type="dxa"/>
            <w:bottom w:w="0" w:type="dxa"/>
            <w:right w:w="0" w:type="dxa"/>
          </w:tblCellMar>
        </w:tblPrEx>
        <w:trPr>
          <w:trHeight w:val="560" w:hRule="exact"/>
          <w:jc w:val="center"/>
        </w:trPr>
        <w:tc>
          <w:tcPr>
            <w:tcW w:w="431" w:type="dxa"/>
            <w:vMerge w:val="continue"/>
            <w:tcBorders>
              <w:tl2br w:val="nil"/>
              <w:tr2bl w:val="nil"/>
            </w:tcBorders>
          </w:tcPr>
          <w:p>
            <w:pPr>
              <w:spacing w:line="240" w:lineRule="auto"/>
              <w:ind w:firstLine="0" w:firstLineChars="0"/>
              <w:jc w:val="center"/>
              <w:rPr>
                <w:color w:val="auto"/>
                <w:sz w:val="21"/>
                <w:szCs w:val="21"/>
              </w:rPr>
            </w:pPr>
          </w:p>
        </w:tc>
        <w:tc>
          <w:tcPr>
            <w:tcW w:w="493" w:type="dxa"/>
            <w:vMerge w:val="continue"/>
            <w:tcBorders>
              <w:tl2br w:val="nil"/>
              <w:tr2bl w:val="nil"/>
            </w:tcBorders>
          </w:tcPr>
          <w:p>
            <w:pPr>
              <w:spacing w:line="240" w:lineRule="auto"/>
              <w:ind w:firstLine="0" w:firstLineChars="0"/>
              <w:jc w:val="center"/>
              <w:rPr>
                <w:color w:val="auto"/>
                <w:sz w:val="21"/>
                <w:szCs w:val="21"/>
              </w:rPr>
            </w:pPr>
          </w:p>
        </w:tc>
        <w:tc>
          <w:tcPr>
            <w:tcW w:w="682" w:type="dxa"/>
            <w:tcBorders>
              <w:tl2br w:val="nil"/>
              <w:tr2bl w:val="nil"/>
            </w:tcBorders>
            <w:vAlign w:val="center"/>
          </w:tcPr>
          <w:p>
            <w:pPr>
              <w:pStyle w:val="42"/>
              <w:spacing w:line="240" w:lineRule="auto"/>
              <w:ind w:firstLine="0" w:firstLineChars="0"/>
              <w:jc w:val="center"/>
              <w:rPr>
                <w:color w:val="auto"/>
                <w:sz w:val="21"/>
                <w:szCs w:val="21"/>
              </w:rPr>
            </w:pPr>
            <w:r>
              <w:rPr>
                <w:color w:val="auto"/>
                <w:sz w:val="21"/>
                <w:szCs w:val="21"/>
              </w:rPr>
              <w:t>固粪</w:t>
            </w:r>
          </w:p>
          <w:p>
            <w:pPr>
              <w:pStyle w:val="42"/>
              <w:spacing w:line="240" w:lineRule="auto"/>
              <w:ind w:firstLine="0" w:firstLineChars="0"/>
              <w:jc w:val="center"/>
              <w:rPr>
                <w:color w:val="auto"/>
                <w:sz w:val="21"/>
                <w:szCs w:val="21"/>
              </w:rPr>
            </w:pPr>
            <w:r>
              <w:rPr>
                <w:color w:val="auto"/>
                <w:sz w:val="21"/>
                <w:szCs w:val="21"/>
              </w:rPr>
              <w:t>处理区</w:t>
            </w:r>
          </w:p>
        </w:tc>
        <w:tc>
          <w:tcPr>
            <w:tcW w:w="1786" w:type="dxa"/>
            <w:tcBorders>
              <w:tl2br w:val="nil"/>
              <w:tr2bl w:val="nil"/>
            </w:tcBorders>
            <w:vAlign w:val="center"/>
          </w:tcPr>
          <w:p>
            <w:pPr>
              <w:pStyle w:val="42"/>
              <w:adjustRightInd/>
              <w:snapToGrid/>
              <w:spacing w:line="240" w:lineRule="auto"/>
              <w:ind w:firstLine="0" w:firstLineChars="0"/>
              <w:jc w:val="center"/>
              <w:rPr>
                <w:color w:val="auto"/>
                <w:sz w:val="21"/>
                <w:szCs w:val="21"/>
              </w:rPr>
            </w:pPr>
            <w:r>
              <w:rPr>
                <w:color w:val="auto"/>
                <w:sz w:val="21"/>
                <w:szCs w:val="21"/>
              </w:rPr>
              <w:t>做好混凝土防渗</w:t>
            </w:r>
          </w:p>
          <w:p>
            <w:pPr>
              <w:pStyle w:val="42"/>
              <w:adjustRightInd/>
              <w:snapToGrid/>
              <w:spacing w:line="240" w:lineRule="auto"/>
              <w:ind w:firstLine="0" w:firstLineChars="0"/>
              <w:jc w:val="center"/>
              <w:rPr>
                <w:color w:val="auto"/>
                <w:sz w:val="21"/>
                <w:szCs w:val="21"/>
              </w:rPr>
            </w:pPr>
            <w:r>
              <w:rPr>
                <w:color w:val="auto"/>
                <w:sz w:val="21"/>
                <w:szCs w:val="21"/>
              </w:rPr>
              <w:t>措施</w:t>
            </w:r>
          </w:p>
        </w:tc>
        <w:tc>
          <w:tcPr>
            <w:tcW w:w="3234" w:type="dxa"/>
            <w:gridSpan w:val="2"/>
            <w:tcBorders>
              <w:tl2br w:val="nil"/>
              <w:tr2bl w:val="nil"/>
            </w:tcBorders>
            <w:vAlign w:val="center"/>
          </w:tcPr>
          <w:p>
            <w:pPr>
              <w:pStyle w:val="42"/>
              <w:adjustRightInd/>
              <w:snapToGrid/>
              <w:spacing w:line="240" w:lineRule="auto"/>
              <w:ind w:firstLine="0" w:firstLineChars="0"/>
              <w:jc w:val="center"/>
              <w:rPr>
                <w:color w:val="auto"/>
                <w:sz w:val="21"/>
                <w:szCs w:val="21"/>
              </w:rPr>
            </w:pPr>
            <w:r>
              <w:rPr>
                <w:color w:val="auto"/>
                <w:sz w:val="21"/>
                <w:szCs w:val="21"/>
              </w:rPr>
              <w:t>地面铺设混凝土</w:t>
            </w:r>
          </w:p>
        </w:tc>
        <w:tc>
          <w:tcPr>
            <w:tcW w:w="2332" w:type="dxa"/>
            <w:vMerge w:val="continue"/>
            <w:tcBorders>
              <w:tl2br w:val="nil"/>
              <w:tr2bl w:val="nil"/>
            </w:tcBorders>
          </w:tcPr>
          <w:p>
            <w:pPr>
              <w:spacing w:line="240" w:lineRule="auto"/>
              <w:ind w:firstLine="0" w:firstLineChars="0"/>
              <w:jc w:val="center"/>
              <w:rPr>
                <w:color w:val="auto"/>
                <w:sz w:val="21"/>
                <w:szCs w:val="21"/>
              </w:rPr>
            </w:pP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6" w:space="0"/>
          </w:tblBorders>
          <w:tblCellMar>
            <w:top w:w="0" w:type="dxa"/>
            <w:left w:w="0" w:type="dxa"/>
            <w:bottom w:w="0" w:type="dxa"/>
            <w:right w:w="0" w:type="dxa"/>
          </w:tblCellMar>
        </w:tblPrEx>
        <w:trPr>
          <w:trHeight w:val="827" w:hRule="exact"/>
          <w:jc w:val="center"/>
        </w:trPr>
        <w:tc>
          <w:tcPr>
            <w:tcW w:w="431" w:type="dxa"/>
            <w:vMerge w:val="continue"/>
            <w:tcBorders>
              <w:tl2br w:val="nil"/>
              <w:tr2bl w:val="nil"/>
            </w:tcBorders>
          </w:tcPr>
          <w:p>
            <w:pPr>
              <w:spacing w:line="240" w:lineRule="auto"/>
              <w:ind w:firstLine="0" w:firstLineChars="0"/>
              <w:jc w:val="center"/>
              <w:rPr>
                <w:color w:val="auto"/>
                <w:sz w:val="21"/>
                <w:szCs w:val="21"/>
              </w:rPr>
            </w:pPr>
          </w:p>
        </w:tc>
        <w:tc>
          <w:tcPr>
            <w:tcW w:w="493" w:type="dxa"/>
            <w:vMerge w:val="continue"/>
            <w:tcBorders>
              <w:tl2br w:val="nil"/>
              <w:tr2bl w:val="nil"/>
            </w:tcBorders>
          </w:tcPr>
          <w:p>
            <w:pPr>
              <w:spacing w:line="240" w:lineRule="auto"/>
              <w:ind w:firstLine="0" w:firstLineChars="0"/>
              <w:jc w:val="center"/>
              <w:rPr>
                <w:color w:val="auto"/>
                <w:sz w:val="21"/>
                <w:szCs w:val="21"/>
              </w:rPr>
            </w:pPr>
          </w:p>
        </w:tc>
        <w:tc>
          <w:tcPr>
            <w:tcW w:w="682" w:type="dxa"/>
            <w:tcBorders>
              <w:tl2br w:val="nil"/>
              <w:tr2bl w:val="nil"/>
            </w:tcBorders>
            <w:vAlign w:val="center"/>
          </w:tcPr>
          <w:p>
            <w:pPr>
              <w:pStyle w:val="42"/>
              <w:spacing w:line="240" w:lineRule="auto"/>
              <w:ind w:firstLine="0" w:firstLineChars="0"/>
              <w:jc w:val="center"/>
              <w:rPr>
                <w:rFonts w:eastAsia="Times New Roman"/>
                <w:color w:val="auto"/>
                <w:sz w:val="21"/>
                <w:szCs w:val="21"/>
              </w:rPr>
            </w:pPr>
          </w:p>
          <w:p>
            <w:pPr>
              <w:pStyle w:val="42"/>
              <w:spacing w:line="240" w:lineRule="auto"/>
              <w:ind w:firstLine="0" w:firstLineChars="0"/>
              <w:jc w:val="center"/>
              <w:rPr>
                <w:color w:val="auto"/>
                <w:sz w:val="21"/>
                <w:szCs w:val="21"/>
              </w:rPr>
            </w:pPr>
            <w:r>
              <w:rPr>
                <w:color w:val="auto"/>
                <w:sz w:val="21"/>
                <w:szCs w:val="21"/>
              </w:rPr>
              <w:t>管线</w:t>
            </w:r>
          </w:p>
        </w:tc>
        <w:tc>
          <w:tcPr>
            <w:tcW w:w="1786" w:type="dxa"/>
            <w:tcBorders>
              <w:tl2br w:val="nil"/>
              <w:tr2bl w:val="nil"/>
            </w:tcBorders>
            <w:vAlign w:val="center"/>
          </w:tcPr>
          <w:p>
            <w:pPr>
              <w:pStyle w:val="42"/>
              <w:spacing w:line="240" w:lineRule="auto"/>
              <w:ind w:firstLine="0" w:firstLineChars="0"/>
              <w:jc w:val="center"/>
              <w:rPr>
                <w:color w:val="auto"/>
                <w:sz w:val="21"/>
                <w:szCs w:val="21"/>
              </w:rPr>
            </w:pPr>
            <w:r>
              <w:rPr>
                <w:color w:val="auto"/>
                <w:sz w:val="21"/>
                <w:szCs w:val="21"/>
              </w:rPr>
              <w:t>做好混凝土防渗措施</w:t>
            </w:r>
          </w:p>
        </w:tc>
        <w:tc>
          <w:tcPr>
            <w:tcW w:w="3234" w:type="dxa"/>
            <w:gridSpan w:val="2"/>
            <w:tcBorders>
              <w:tl2br w:val="nil"/>
              <w:tr2bl w:val="nil"/>
            </w:tcBorders>
            <w:vAlign w:val="center"/>
          </w:tcPr>
          <w:p>
            <w:pPr>
              <w:pStyle w:val="42"/>
              <w:spacing w:line="240" w:lineRule="auto"/>
              <w:ind w:firstLine="0" w:firstLineChars="0"/>
              <w:jc w:val="center"/>
              <w:rPr>
                <w:color w:val="auto"/>
                <w:sz w:val="21"/>
                <w:szCs w:val="21"/>
              </w:rPr>
            </w:pPr>
            <w:r>
              <w:rPr>
                <w:color w:val="auto"/>
                <w:spacing w:val="5"/>
                <w:sz w:val="21"/>
                <w:szCs w:val="21"/>
              </w:rPr>
              <w:t>粪污水是通过</w:t>
            </w:r>
            <w:r>
              <w:rPr>
                <w:rFonts w:eastAsia="Times New Roman"/>
                <w:color w:val="auto"/>
                <w:sz w:val="21"/>
                <w:szCs w:val="21"/>
              </w:rPr>
              <w:t>PVC</w:t>
            </w:r>
            <w:r>
              <w:rPr>
                <w:color w:val="auto"/>
                <w:spacing w:val="3"/>
                <w:sz w:val="21"/>
                <w:szCs w:val="21"/>
              </w:rPr>
              <w:t>管、</w:t>
            </w:r>
            <w:r>
              <w:rPr>
                <w:rFonts w:eastAsia="Times New Roman"/>
                <w:color w:val="auto"/>
                <w:spacing w:val="3"/>
                <w:sz w:val="21"/>
                <w:szCs w:val="21"/>
              </w:rPr>
              <w:t>PE</w:t>
            </w:r>
            <w:r>
              <w:rPr>
                <w:color w:val="auto"/>
                <w:sz w:val="21"/>
                <w:szCs w:val="21"/>
              </w:rPr>
              <w:t>管</w:t>
            </w:r>
          </w:p>
          <w:p>
            <w:pPr>
              <w:pStyle w:val="42"/>
              <w:spacing w:line="240" w:lineRule="auto"/>
              <w:ind w:firstLine="0" w:firstLineChars="0"/>
              <w:jc w:val="center"/>
              <w:rPr>
                <w:color w:val="auto"/>
                <w:sz w:val="21"/>
                <w:szCs w:val="21"/>
              </w:rPr>
            </w:pPr>
            <w:r>
              <w:rPr>
                <w:color w:val="auto"/>
                <w:spacing w:val="2"/>
                <w:sz w:val="21"/>
                <w:szCs w:val="21"/>
              </w:rPr>
              <w:t>地埋输送，雨水明渠是混凝土</w:t>
            </w:r>
            <w:r>
              <w:rPr>
                <w:color w:val="auto"/>
                <w:sz w:val="21"/>
                <w:szCs w:val="21"/>
              </w:rPr>
              <w:t>防渗</w:t>
            </w:r>
          </w:p>
        </w:tc>
        <w:tc>
          <w:tcPr>
            <w:tcW w:w="2332" w:type="dxa"/>
            <w:vMerge w:val="continue"/>
            <w:tcBorders>
              <w:tl2br w:val="nil"/>
              <w:tr2bl w:val="nil"/>
            </w:tcBorders>
          </w:tcPr>
          <w:p>
            <w:pPr>
              <w:spacing w:line="240" w:lineRule="auto"/>
              <w:ind w:firstLine="0" w:firstLineChars="0"/>
              <w:jc w:val="center"/>
              <w:rPr>
                <w:color w:val="auto"/>
                <w:sz w:val="21"/>
                <w:szCs w:val="21"/>
              </w:rPr>
            </w:pPr>
          </w:p>
        </w:tc>
      </w:tr>
    </w:tbl>
    <w:p>
      <w:pPr>
        <w:pStyle w:val="5"/>
        <w:numPr>
          <w:ilvl w:val="1"/>
          <w:numId w:val="0"/>
        </w:numPr>
        <w:tabs>
          <w:tab w:val="left" w:pos="105"/>
        </w:tabs>
        <w:jc w:val="left"/>
        <w:textAlignment w:val="baseline"/>
        <w:rPr>
          <w:color w:val="auto"/>
          <w:sz w:val="24"/>
          <w:szCs w:val="24"/>
        </w:rPr>
      </w:pPr>
      <w:r>
        <w:rPr>
          <w:rFonts w:hint="eastAsia"/>
          <w:color w:val="auto"/>
          <w:sz w:val="24"/>
          <w:szCs w:val="24"/>
        </w:rPr>
        <w:t>9.5污染物排放总量管理</w:t>
      </w:r>
      <w:bookmarkEnd w:id="773"/>
      <w:bookmarkEnd w:id="774"/>
      <w:bookmarkEnd w:id="775"/>
      <w:bookmarkEnd w:id="776"/>
      <w:bookmarkEnd w:id="777"/>
      <w:bookmarkEnd w:id="778"/>
    </w:p>
    <w:p>
      <w:pPr>
        <w:ind w:firstLine="480"/>
        <w:rPr>
          <w:rFonts w:hAnsi="宋体"/>
          <w:color w:val="auto"/>
        </w:rPr>
      </w:pPr>
      <w:r>
        <w:rPr>
          <w:rFonts w:hAnsi="宋体"/>
          <w:color w:val="auto"/>
        </w:rPr>
        <w:t>根据</w:t>
      </w:r>
      <w:r>
        <w:rPr>
          <w:rFonts w:hAnsi="宋体"/>
          <w:bCs/>
          <w:color w:val="auto"/>
        </w:rPr>
        <w:t>河南省环保厅关于贯彻落实《建设项目主要污染物排放总量指标审核及管理暂行办法》（豫环文【2015】18号）的通知，及环境保护部关于印发建设项目污染物排放总量指标审核及管理办法的通知</w:t>
      </w:r>
      <w:r>
        <w:rPr>
          <w:rFonts w:hAnsi="宋体"/>
          <w:color w:val="auto"/>
        </w:rPr>
        <w:t>（</w:t>
      </w:r>
      <w:r>
        <w:rPr>
          <w:rFonts w:hAnsi="宋体"/>
          <w:bCs/>
          <w:color w:val="auto"/>
        </w:rPr>
        <w:t>环发【2014】197号）的相关规定，对本项目污染物排放总量进行计算，并建议本项目污染物总量控制指标。</w:t>
      </w:r>
    </w:p>
    <w:p>
      <w:pPr>
        <w:keepNext/>
        <w:keepLines/>
        <w:ind w:firstLine="480"/>
        <w:outlineLvl w:val="2"/>
        <w:rPr>
          <w:bCs/>
          <w:color w:val="auto"/>
        </w:rPr>
      </w:pPr>
      <w:r>
        <w:rPr>
          <w:rFonts w:hint="eastAsia"/>
          <w:bCs/>
          <w:color w:val="auto"/>
        </w:rPr>
        <w:t>9.5.1废气污染物</w:t>
      </w:r>
    </w:p>
    <w:p>
      <w:pPr>
        <w:pStyle w:val="3"/>
        <w:numPr>
          <w:ilvl w:val="0"/>
          <w:numId w:val="0"/>
        </w:numPr>
        <w:ind w:firstLine="480" w:firstLineChars="200"/>
        <w:rPr>
          <w:color w:val="auto"/>
          <w:sz w:val="24"/>
          <w:szCs w:val="24"/>
        </w:rPr>
      </w:pPr>
      <w:r>
        <w:rPr>
          <w:rFonts w:hint="eastAsia"/>
          <w:color w:val="auto"/>
          <w:sz w:val="24"/>
          <w:szCs w:val="24"/>
        </w:rPr>
        <w:t>本</w:t>
      </w:r>
      <w:r>
        <w:rPr>
          <w:color w:val="auto"/>
          <w:sz w:val="24"/>
          <w:szCs w:val="24"/>
        </w:rPr>
        <w:t>项目沼气中H</w:t>
      </w:r>
      <w:r>
        <w:rPr>
          <w:color w:val="auto"/>
          <w:sz w:val="24"/>
          <w:szCs w:val="24"/>
          <w:vertAlign w:val="subscript"/>
        </w:rPr>
        <w:t>2</w:t>
      </w:r>
      <w:r>
        <w:rPr>
          <w:color w:val="auto"/>
          <w:sz w:val="24"/>
          <w:szCs w:val="24"/>
        </w:rPr>
        <w:t>S含量为0.034%，沼气通过脱硫处理后H</w:t>
      </w:r>
      <w:r>
        <w:rPr>
          <w:color w:val="auto"/>
          <w:sz w:val="24"/>
          <w:szCs w:val="24"/>
          <w:vertAlign w:val="subscript"/>
        </w:rPr>
        <w:t>2</w:t>
      </w:r>
      <w:r>
        <w:rPr>
          <w:color w:val="auto"/>
          <w:sz w:val="24"/>
          <w:szCs w:val="24"/>
        </w:rPr>
        <w:t>S去除率可达到95%以上，脱硫后沼气</w:t>
      </w:r>
      <w:r>
        <w:rPr>
          <w:rFonts w:hint="eastAsia"/>
          <w:color w:val="auto"/>
          <w:sz w:val="24"/>
          <w:szCs w:val="24"/>
        </w:rPr>
        <w:t>中H</w:t>
      </w:r>
      <w:r>
        <w:rPr>
          <w:rFonts w:hint="eastAsia"/>
          <w:color w:val="auto"/>
          <w:sz w:val="24"/>
          <w:szCs w:val="24"/>
          <w:vertAlign w:val="subscript"/>
        </w:rPr>
        <w:t>2</w:t>
      </w:r>
      <w:r>
        <w:rPr>
          <w:rFonts w:hint="eastAsia"/>
          <w:color w:val="auto"/>
          <w:sz w:val="24"/>
          <w:szCs w:val="24"/>
        </w:rPr>
        <w:t>S含量较低。沼气主要成分为CH</w:t>
      </w:r>
      <w:r>
        <w:rPr>
          <w:rFonts w:hint="eastAsia"/>
          <w:color w:val="auto"/>
          <w:sz w:val="24"/>
          <w:szCs w:val="24"/>
          <w:vertAlign w:val="subscript"/>
        </w:rPr>
        <w:t>4</w:t>
      </w:r>
      <w:r>
        <w:rPr>
          <w:rFonts w:hint="eastAsia"/>
          <w:color w:val="auto"/>
          <w:sz w:val="24"/>
          <w:szCs w:val="24"/>
        </w:rPr>
        <w:t>，属于清洁能源，燃烧后主要产物为CO</w:t>
      </w:r>
      <w:r>
        <w:rPr>
          <w:rFonts w:hint="eastAsia"/>
          <w:color w:val="auto"/>
          <w:sz w:val="24"/>
          <w:szCs w:val="24"/>
          <w:vertAlign w:val="subscript"/>
        </w:rPr>
        <w:t>2</w:t>
      </w:r>
      <w:r>
        <w:rPr>
          <w:rFonts w:hint="eastAsia"/>
          <w:color w:val="auto"/>
          <w:sz w:val="24"/>
          <w:szCs w:val="24"/>
        </w:rPr>
        <w:t>、H</w:t>
      </w:r>
      <w:r>
        <w:rPr>
          <w:rFonts w:hint="eastAsia"/>
          <w:color w:val="auto"/>
          <w:sz w:val="24"/>
          <w:szCs w:val="24"/>
          <w:vertAlign w:val="subscript"/>
        </w:rPr>
        <w:t>2</w:t>
      </w:r>
      <w:r>
        <w:rPr>
          <w:rFonts w:hint="eastAsia"/>
          <w:color w:val="auto"/>
          <w:sz w:val="24"/>
          <w:szCs w:val="24"/>
        </w:rPr>
        <w:t>O，因此废气污染物SO</w:t>
      </w:r>
      <w:r>
        <w:rPr>
          <w:rFonts w:hint="eastAsia"/>
          <w:color w:val="auto"/>
          <w:sz w:val="24"/>
          <w:szCs w:val="24"/>
          <w:vertAlign w:val="subscript"/>
        </w:rPr>
        <w:t>2</w:t>
      </w:r>
      <w:r>
        <w:rPr>
          <w:rFonts w:hint="eastAsia"/>
          <w:color w:val="auto"/>
          <w:sz w:val="24"/>
          <w:szCs w:val="24"/>
        </w:rPr>
        <w:t>、NO</w:t>
      </w:r>
      <w:r>
        <w:rPr>
          <w:rFonts w:hint="eastAsia"/>
          <w:color w:val="auto"/>
          <w:sz w:val="24"/>
          <w:szCs w:val="24"/>
          <w:vertAlign w:val="subscript"/>
        </w:rPr>
        <w:t>X</w:t>
      </w:r>
      <w:r>
        <w:rPr>
          <w:rFonts w:hint="eastAsia"/>
          <w:color w:val="auto"/>
          <w:sz w:val="24"/>
          <w:szCs w:val="24"/>
        </w:rPr>
        <w:t>不需要设置总量控制指标。</w:t>
      </w:r>
    </w:p>
    <w:p>
      <w:pPr>
        <w:keepNext/>
        <w:keepLines/>
        <w:ind w:firstLine="480"/>
        <w:outlineLvl w:val="2"/>
        <w:rPr>
          <w:bCs/>
          <w:color w:val="auto"/>
        </w:rPr>
      </w:pPr>
      <w:r>
        <w:rPr>
          <w:rFonts w:hint="eastAsia"/>
          <w:bCs/>
          <w:color w:val="auto"/>
        </w:rPr>
        <w:t>9.5.2废水污染物</w:t>
      </w:r>
    </w:p>
    <w:p>
      <w:pPr>
        <w:ind w:firstLine="480"/>
        <w:rPr>
          <w:rFonts w:hAnsi="宋体"/>
          <w:color w:val="auto"/>
        </w:rPr>
      </w:pPr>
      <w:r>
        <w:rPr>
          <w:rFonts w:hint="eastAsia" w:hAnsi="宋体"/>
          <w:color w:val="auto"/>
        </w:rPr>
        <w:t>本项目废水经处理后全部资源化利用，不外排，因此废水污染物COD、</w:t>
      </w:r>
      <w:r>
        <w:rPr>
          <w:rFonts w:hAnsi="宋体"/>
          <w:bCs/>
          <w:color w:val="auto"/>
        </w:rPr>
        <w:t>NH</w:t>
      </w:r>
      <w:r>
        <w:rPr>
          <w:rFonts w:hAnsi="宋体"/>
          <w:bCs/>
          <w:color w:val="auto"/>
          <w:vertAlign w:val="subscript"/>
        </w:rPr>
        <w:t>3</w:t>
      </w:r>
      <w:r>
        <w:rPr>
          <w:rFonts w:hAnsi="宋体"/>
          <w:bCs/>
          <w:color w:val="auto"/>
        </w:rPr>
        <w:t>-N</w:t>
      </w:r>
      <w:r>
        <w:rPr>
          <w:rFonts w:hint="eastAsia" w:hAnsi="宋体"/>
          <w:bCs/>
          <w:color w:val="auto"/>
        </w:rPr>
        <w:t>不需要设置总量控制指标。</w:t>
      </w:r>
    </w:p>
    <w:bookmarkEnd w:id="779"/>
    <w:bookmarkEnd w:id="780"/>
    <w:p>
      <w:pPr>
        <w:ind w:firstLine="482"/>
        <w:rPr>
          <w:rFonts w:hAnsi="宋体"/>
          <w:b/>
          <w:color w:val="auto"/>
          <w:u w:val="single"/>
        </w:rPr>
      </w:pPr>
    </w:p>
    <w:p>
      <w:pPr>
        <w:ind w:firstLine="480"/>
        <w:rPr>
          <w:rFonts w:hAnsi="宋体"/>
          <w:color w:val="auto"/>
        </w:rPr>
        <w:sectPr>
          <w:headerReference r:id="rId28" w:type="default"/>
          <w:pgSz w:w="11906" w:h="16838"/>
          <w:pgMar w:top="1440" w:right="1474" w:bottom="1440" w:left="1474" w:header="851" w:footer="992" w:gutter="0"/>
          <w:cols w:space="720" w:num="1"/>
          <w:docGrid w:type="lines" w:linePitch="312" w:charSpace="0"/>
        </w:sectPr>
      </w:pPr>
    </w:p>
    <w:p>
      <w:pPr>
        <w:ind w:firstLine="480"/>
        <w:rPr>
          <w:rFonts w:hAnsi="宋体"/>
          <w:color w:val="auto"/>
        </w:rPr>
      </w:pPr>
    </w:p>
    <w:p>
      <w:pPr>
        <w:pStyle w:val="4"/>
        <w:spacing w:line="360" w:lineRule="auto"/>
        <w:ind w:firstLine="840"/>
        <w:rPr>
          <w:color w:val="auto"/>
        </w:rPr>
      </w:pPr>
      <w:bookmarkStart w:id="781" w:name="_Toc295122058"/>
      <w:bookmarkStart w:id="782" w:name="_Toc193113597"/>
      <w:bookmarkStart w:id="783" w:name="_Toc25409"/>
      <w:bookmarkStart w:id="784" w:name="_Toc1947"/>
      <w:bookmarkStart w:id="785" w:name="_Toc476923010"/>
      <w:bookmarkStart w:id="786" w:name="_Toc288690227"/>
      <w:bookmarkStart w:id="787" w:name="_Toc269577493"/>
      <w:bookmarkStart w:id="788" w:name="_Toc269469115"/>
      <w:bookmarkStart w:id="789" w:name="_Toc477187790"/>
      <w:bookmarkStart w:id="790" w:name="_Toc329183384"/>
      <w:bookmarkStart w:id="791" w:name="_Toc485580837"/>
      <w:bookmarkStart w:id="792" w:name="_Toc366760547"/>
      <w:r>
        <w:rPr>
          <w:color w:val="auto"/>
        </w:rPr>
        <w:t>第</w:t>
      </w:r>
      <w:r>
        <w:rPr>
          <w:rFonts w:hint="eastAsia"/>
          <w:color w:val="auto"/>
        </w:rPr>
        <w:t>十</w:t>
      </w:r>
      <w:r>
        <w:rPr>
          <w:color w:val="auto"/>
        </w:rPr>
        <w:t>章  结论与建议</w:t>
      </w:r>
      <w:bookmarkEnd w:id="781"/>
      <w:bookmarkEnd w:id="782"/>
      <w:bookmarkEnd w:id="783"/>
      <w:bookmarkEnd w:id="784"/>
      <w:bookmarkEnd w:id="785"/>
      <w:bookmarkEnd w:id="786"/>
      <w:bookmarkEnd w:id="787"/>
      <w:bookmarkEnd w:id="788"/>
      <w:bookmarkEnd w:id="789"/>
      <w:bookmarkEnd w:id="790"/>
      <w:bookmarkEnd w:id="791"/>
      <w:bookmarkEnd w:id="792"/>
    </w:p>
    <w:p>
      <w:pPr>
        <w:pStyle w:val="5"/>
        <w:spacing w:before="0" w:after="0"/>
        <w:ind w:firstLine="0" w:firstLineChars="0"/>
        <w:rPr>
          <w:color w:val="auto"/>
          <w:sz w:val="24"/>
          <w:szCs w:val="24"/>
        </w:rPr>
      </w:pPr>
      <w:bookmarkStart w:id="793" w:name="_Toc477187791"/>
      <w:bookmarkStart w:id="794" w:name="_Toc485580838"/>
      <w:bookmarkStart w:id="795" w:name="_Toc17102"/>
      <w:bookmarkStart w:id="796" w:name="_Toc31682"/>
      <w:bookmarkStart w:id="797" w:name="_Toc269469116"/>
      <w:bookmarkStart w:id="798" w:name="_Toc295122059"/>
      <w:bookmarkStart w:id="799" w:name="_Toc366760548"/>
      <w:bookmarkStart w:id="800" w:name="_Toc288690228"/>
      <w:bookmarkStart w:id="801" w:name="_Toc476923011"/>
      <w:bookmarkStart w:id="802" w:name="_Toc269577494"/>
      <w:bookmarkStart w:id="803" w:name="_Toc329183385"/>
      <w:r>
        <w:rPr>
          <w:rFonts w:hint="eastAsia"/>
          <w:color w:val="auto"/>
          <w:sz w:val="24"/>
          <w:szCs w:val="24"/>
        </w:rPr>
        <w:t>10</w:t>
      </w:r>
      <w:r>
        <w:rPr>
          <w:color w:val="auto"/>
          <w:sz w:val="24"/>
          <w:szCs w:val="24"/>
        </w:rPr>
        <w:t xml:space="preserve">.1  </w:t>
      </w:r>
      <w:bookmarkStart w:id="804" w:name="_Toc193113598"/>
      <w:r>
        <w:rPr>
          <w:color w:val="auto"/>
          <w:sz w:val="24"/>
          <w:szCs w:val="24"/>
        </w:rPr>
        <w:t>结论</w:t>
      </w:r>
      <w:bookmarkEnd w:id="793"/>
      <w:bookmarkEnd w:id="794"/>
      <w:bookmarkEnd w:id="795"/>
      <w:bookmarkEnd w:id="796"/>
      <w:bookmarkEnd w:id="797"/>
      <w:bookmarkEnd w:id="798"/>
      <w:bookmarkEnd w:id="799"/>
      <w:bookmarkEnd w:id="800"/>
      <w:bookmarkEnd w:id="801"/>
      <w:bookmarkEnd w:id="802"/>
      <w:bookmarkEnd w:id="803"/>
      <w:bookmarkEnd w:id="804"/>
    </w:p>
    <w:p>
      <w:pPr>
        <w:pStyle w:val="6"/>
        <w:rPr>
          <w:color w:val="auto"/>
        </w:rPr>
      </w:pPr>
      <w:bookmarkStart w:id="805" w:name="_Toc193113600"/>
      <w:r>
        <w:rPr>
          <w:rFonts w:hint="eastAsia"/>
          <w:color w:val="auto"/>
        </w:rPr>
        <w:t>10</w:t>
      </w:r>
      <w:r>
        <w:rPr>
          <w:color w:val="auto"/>
        </w:rPr>
        <w:t>.1.</w:t>
      </w:r>
      <w:r>
        <w:rPr>
          <w:rFonts w:hint="eastAsia"/>
          <w:color w:val="auto"/>
        </w:rPr>
        <w:t>1</w:t>
      </w:r>
      <w:r>
        <w:rPr>
          <w:color w:val="auto"/>
        </w:rPr>
        <w:t xml:space="preserve">  与相关产业政策的相符性</w:t>
      </w:r>
      <w:bookmarkEnd w:id="805"/>
    </w:p>
    <w:p>
      <w:pPr>
        <w:pStyle w:val="3"/>
        <w:numPr>
          <w:ilvl w:val="0"/>
          <w:numId w:val="0"/>
        </w:numPr>
        <w:ind w:firstLine="480" w:firstLineChars="200"/>
        <w:rPr>
          <w:bCs/>
          <w:color w:val="auto"/>
          <w:spacing w:val="2"/>
          <w:sz w:val="24"/>
          <w:szCs w:val="24"/>
        </w:rPr>
      </w:pPr>
      <w:bookmarkStart w:id="806" w:name="_Toc193113601"/>
      <w:r>
        <w:rPr>
          <w:color w:val="auto"/>
          <w:sz w:val="24"/>
        </w:rPr>
        <w:t>根据《产业结构调整指导目录（201</w:t>
      </w:r>
      <w:r>
        <w:rPr>
          <w:rFonts w:hint="eastAsia"/>
          <w:color w:val="auto"/>
          <w:sz w:val="24"/>
        </w:rPr>
        <w:t>9</w:t>
      </w:r>
      <w:r>
        <w:rPr>
          <w:color w:val="auto"/>
          <w:sz w:val="24"/>
        </w:rPr>
        <w:t>年本）》，本项目属于</w:t>
      </w:r>
      <w:r>
        <w:rPr>
          <w:rFonts w:hint="eastAsia"/>
          <w:color w:val="auto"/>
          <w:sz w:val="24"/>
        </w:rPr>
        <w:t>“第一类</w:t>
      </w:r>
      <w:r>
        <w:rPr>
          <w:color w:val="auto"/>
          <w:sz w:val="24"/>
        </w:rPr>
        <w:t>鼓励类</w:t>
      </w:r>
      <w:r>
        <w:rPr>
          <w:rFonts w:hint="eastAsia"/>
          <w:color w:val="auto"/>
          <w:sz w:val="24"/>
        </w:rPr>
        <w:t xml:space="preserve"> 一农林业 4畜禽标准化规模养殖技术开发与应用”</w:t>
      </w:r>
      <w:r>
        <w:rPr>
          <w:color w:val="auto"/>
          <w:sz w:val="24"/>
        </w:rPr>
        <w:t>，因此本项目的建设符合国家相关产业政策的要求。</w:t>
      </w:r>
    </w:p>
    <w:p>
      <w:pPr>
        <w:pStyle w:val="6"/>
        <w:rPr>
          <w:color w:val="auto"/>
        </w:rPr>
      </w:pPr>
      <w:r>
        <w:rPr>
          <w:rFonts w:hint="eastAsia"/>
          <w:color w:val="auto"/>
        </w:rPr>
        <w:t>10.1.2  相关规划相符性分析判定</w:t>
      </w:r>
    </w:p>
    <w:p>
      <w:pPr>
        <w:ind w:firstLine="480"/>
        <w:outlineLvl w:val="3"/>
        <w:rPr>
          <w:rFonts w:hAnsi="宋体"/>
          <w:bCs/>
          <w:color w:val="auto"/>
        </w:rPr>
      </w:pPr>
      <w:r>
        <w:rPr>
          <w:rFonts w:hint="eastAsia" w:hAnsi="宋体"/>
          <w:bCs/>
          <w:color w:val="auto"/>
        </w:rPr>
        <w:t>10.1.2.1项目与濮阳县城市总体规划的</w:t>
      </w:r>
      <w:r>
        <w:rPr>
          <w:rFonts w:hAnsi="宋体"/>
          <w:bCs/>
          <w:color w:val="auto"/>
        </w:rPr>
        <w:t>相符性</w:t>
      </w:r>
    </w:p>
    <w:p>
      <w:pPr>
        <w:ind w:firstLine="480"/>
        <w:outlineLvl w:val="3"/>
        <w:rPr>
          <w:rFonts w:hAnsi="宋体"/>
          <w:bCs/>
          <w:color w:val="auto"/>
        </w:rPr>
      </w:pPr>
      <w:r>
        <w:rPr>
          <w:rFonts w:hint="eastAsia" w:hAnsi="宋体"/>
          <w:bCs/>
          <w:color w:val="auto"/>
        </w:rPr>
        <w:t>本项目位于</w:t>
      </w:r>
      <w:r>
        <w:rPr>
          <w:rFonts w:hint="eastAsia"/>
          <w:color w:val="auto"/>
        </w:rPr>
        <w:t>濮阳市濮阳县五星乡于屯村</w:t>
      </w:r>
      <w:r>
        <w:rPr>
          <w:rFonts w:hint="eastAsia" w:hAnsi="宋体"/>
          <w:bCs/>
          <w:color w:val="auto"/>
        </w:rPr>
        <w:t>，不在《濮阳县城乡总体规划》（2016～2035年）范围内，故本项目的建设不违背濮阳县城乡总体规划。</w:t>
      </w:r>
    </w:p>
    <w:p>
      <w:pPr>
        <w:ind w:firstLine="480"/>
        <w:outlineLvl w:val="3"/>
        <w:rPr>
          <w:rFonts w:hAnsi="宋体"/>
          <w:bCs/>
          <w:color w:val="auto"/>
        </w:rPr>
      </w:pPr>
      <w:r>
        <w:rPr>
          <w:rFonts w:hint="eastAsia" w:hAnsi="宋体"/>
          <w:bCs/>
          <w:color w:val="auto"/>
        </w:rPr>
        <w:t>10.1.2.2项目建设与濮阳县土地利用总体规划的相符性分析</w:t>
      </w:r>
    </w:p>
    <w:p>
      <w:pPr>
        <w:pStyle w:val="3"/>
        <w:numPr>
          <w:ilvl w:val="0"/>
          <w:numId w:val="0"/>
        </w:numPr>
        <w:ind w:firstLine="480" w:firstLineChars="200"/>
        <w:rPr>
          <w:color w:val="auto"/>
          <w:sz w:val="24"/>
        </w:rPr>
      </w:pPr>
      <w:r>
        <w:rPr>
          <w:rFonts w:hint="eastAsia"/>
          <w:color w:val="auto"/>
          <w:sz w:val="24"/>
        </w:rPr>
        <w:t>本项目拟选场址位于</w:t>
      </w:r>
      <w:r>
        <w:rPr>
          <w:rFonts w:hint="eastAsia"/>
          <w:color w:val="auto"/>
          <w:sz w:val="24"/>
          <w:szCs w:val="24"/>
        </w:rPr>
        <w:t>濮阳市濮阳市濮阳县五星乡于屯村</w:t>
      </w:r>
      <w:r>
        <w:rPr>
          <w:rFonts w:hint="eastAsia"/>
          <w:color w:val="auto"/>
          <w:sz w:val="24"/>
        </w:rPr>
        <w:t>，根据濮阳县五星乡自然资源局出具的证明，该项目用地为一般耕地，选址符合规划要求，未占用基本农田。</w:t>
      </w:r>
    </w:p>
    <w:p>
      <w:pPr>
        <w:ind w:firstLine="480"/>
        <w:outlineLvl w:val="3"/>
        <w:rPr>
          <w:rFonts w:hAnsi="宋体"/>
          <w:bCs/>
          <w:color w:val="auto"/>
        </w:rPr>
      </w:pPr>
      <w:r>
        <w:rPr>
          <w:rFonts w:hint="eastAsia" w:hAnsi="宋体"/>
          <w:bCs/>
          <w:color w:val="auto"/>
        </w:rPr>
        <w:t>10.1.2.3项目建设与《河南省畜牧业“十三五”发展规划》相符性分析</w:t>
      </w:r>
    </w:p>
    <w:p>
      <w:pPr>
        <w:ind w:firstLine="480"/>
        <w:rPr>
          <w:rFonts w:hAnsi="宋体"/>
          <w:color w:val="auto"/>
        </w:rPr>
      </w:pPr>
      <w:r>
        <w:rPr>
          <w:rFonts w:hAnsi="宋体"/>
          <w:color w:val="auto"/>
        </w:rPr>
        <w:t>本项目</w:t>
      </w:r>
      <w:r>
        <w:rPr>
          <w:rFonts w:hint="eastAsia" w:hAnsi="宋体"/>
          <w:color w:val="auto"/>
        </w:rPr>
        <w:t>属于标准化养殖场建设项目，采用种养结合方式，可实现</w:t>
      </w:r>
      <w:r>
        <w:rPr>
          <w:rFonts w:hAnsi="宋体"/>
          <w:color w:val="auto"/>
        </w:rPr>
        <w:t>畜禽粪便就地、就近消纳</w:t>
      </w:r>
      <w:r>
        <w:rPr>
          <w:rFonts w:hint="eastAsia" w:hAnsi="宋体"/>
          <w:color w:val="auto"/>
        </w:rPr>
        <w:t>。与</w:t>
      </w:r>
      <w:r>
        <w:rPr>
          <w:rFonts w:hAnsi="宋体"/>
          <w:color w:val="auto"/>
        </w:rPr>
        <w:t>《</w:t>
      </w:r>
      <w:r>
        <w:rPr>
          <w:rFonts w:hint="eastAsia" w:hAnsi="宋体"/>
          <w:color w:val="auto"/>
        </w:rPr>
        <w:t>河南省</w:t>
      </w:r>
      <w:r>
        <w:rPr>
          <w:rFonts w:hAnsi="宋体"/>
          <w:color w:val="auto"/>
        </w:rPr>
        <w:t>畜牧业</w:t>
      </w:r>
      <w:r>
        <w:rPr>
          <w:rFonts w:hint="eastAsia" w:hAnsi="宋体"/>
          <w:color w:val="auto"/>
        </w:rPr>
        <w:t>“十三五”发展</w:t>
      </w:r>
      <w:r>
        <w:rPr>
          <w:rFonts w:hAnsi="宋体"/>
          <w:color w:val="auto"/>
        </w:rPr>
        <w:t>规划》</w:t>
      </w:r>
      <w:r>
        <w:rPr>
          <w:rFonts w:hint="eastAsia" w:hAnsi="宋体"/>
          <w:color w:val="auto"/>
        </w:rPr>
        <w:t>中的第（2）条中“</w:t>
      </w:r>
      <w:r>
        <w:rPr>
          <w:rFonts w:hAnsi="宋体"/>
          <w:color w:val="auto"/>
        </w:rPr>
        <w:t>重点抓好1万个养殖场标准化建设和改造</w:t>
      </w:r>
      <w:r>
        <w:rPr>
          <w:rFonts w:hint="eastAsia" w:hAnsi="宋体"/>
          <w:color w:val="auto"/>
        </w:rPr>
        <w:t>”和第（3）条中“</w:t>
      </w:r>
      <w:r>
        <w:rPr>
          <w:rFonts w:hAnsi="宋体"/>
          <w:color w:val="auto"/>
        </w:rPr>
        <w:t>实施以养定种、种养结合，重点抓好国家粮改饲试点项目。鼓励支持畜牧龙头企业通过流转土地、订单生产等方式，促进粮经饲三元结构调整，实现畜禽粪便就地、就近消纳利用循环发展</w:t>
      </w:r>
      <w:r>
        <w:rPr>
          <w:rFonts w:hint="eastAsia" w:hAnsi="宋体"/>
          <w:color w:val="auto"/>
        </w:rPr>
        <w:t>”相符。</w:t>
      </w:r>
    </w:p>
    <w:p>
      <w:pPr>
        <w:ind w:firstLine="480"/>
        <w:outlineLvl w:val="3"/>
        <w:rPr>
          <w:rFonts w:hAnsi="宋体"/>
          <w:bCs/>
          <w:color w:val="auto"/>
        </w:rPr>
      </w:pPr>
      <w:r>
        <w:rPr>
          <w:rFonts w:hint="eastAsia" w:hAnsi="宋体"/>
          <w:bCs/>
          <w:color w:val="auto"/>
        </w:rPr>
        <w:t>10.1.2.4《河南省环保厅关于印发深化建设项目环境影响评价审批制度改革实施意见的通知》（豫环文【2015】33号）</w:t>
      </w:r>
    </w:p>
    <w:p>
      <w:pPr>
        <w:ind w:firstLine="480"/>
        <w:rPr>
          <w:rFonts w:hAnsi="宋体"/>
          <w:color w:val="auto"/>
        </w:rPr>
      </w:pPr>
      <w:r>
        <w:rPr>
          <w:rFonts w:hAnsi="宋体"/>
          <w:color w:val="auto"/>
        </w:rPr>
        <w:t>项目选址</w:t>
      </w:r>
      <w:r>
        <w:rPr>
          <w:rFonts w:hint="eastAsia" w:hAnsi="宋体"/>
          <w:color w:val="auto"/>
        </w:rPr>
        <w:t>位于农产品主产区</w:t>
      </w:r>
      <w:r>
        <w:rPr>
          <w:rFonts w:hAnsi="宋体"/>
          <w:color w:val="auto"/>
        </w:rPr>
        <w:t>，</w:t>
      </w:r>
      <w:r>
        <w:rPr>
          <w:rFonts w:hint="eastAsia" w:hAnsi="宋体"/>
          <w:color w:val="auto"/>
        </w:rPr>
        <w:t>不属于《建设项目环境影响评价豁免管理名录》中项目，不属于《工业项目分类清单》中工业项目，不属于《水污染防治重点单元》的区域内。项目建设不违背功能区区划要求</w:t>
      </w:r>
      <w:r>
        <w:rPr>
          <w:rFonts w:hAnsi="宋体"/>
          <w:color w:val="auto"/>
        </w:rPr>
        <w:t>。</w:t>
      </w:r>
    </w:p>
    <w:p>
      <w:pPr>
        <w:ind w:firstLine="480"/>
        <w:outlineLvl w:val="3"/>
        <w:rPr>
          <w:rFonts w:hAnsi="宋体"/>
          <w:bCs/>
          <w:color w:val="auto"/>
        </w:rPr>
      </w:pPr>
      <w:r>
        <w:rPr>
          <w:rFonts w:hint="eastAsia" w:hAnsi="宋体"/>
          <w:bCs/>
          <w:color w:val="auto"/>
        </w:rPr>
        <w:t>10.1.2.5饮用源地保护区规划</w:t>
      </w:r>
    </w:p>
    <w:p>
      <w:pPr>
        <w:ind w:firstLine="480"/>
        <w:rPr>
          <w:rFonts w:hAnsi="宋体"/>
          <w:color w:val="auto"/>
        </w:rPr>
      </w:pPr>
      <w:r>
        <w:rPr>
          <w:rFonts w:hint="eastAsia" w:hAnsi="宋体"/>
          <w:color w:val="auto"/>
        </w:rPr>
        <w:t>本项目位于</w:t>
      </w:r>
      <w:r>
        <w:rPr>
          <w:rFonts w:hint="eastAsia"/>
          <w:color w:val="auto"/>
        </w:rPr>
        <w:t>濮阳市濮阳县五星乡于屯村</w:t>
      </w:r>
      <w:r>
        <w:rPr>
          <w:rFonts w:hint="eastAsia" w:hAnsi="宋体"/>
          <w:color w:val="auto"/>
        </w:rPr>
        <w:t>，经对比《河南省城市集中式饮用水源保护区划》、《河南省县级集中式饮用水水源保护区划》，</w:t>
      </w:r>
      <w:r>
        <w:rPr>
          <w:rFonts w:hint="eastAsia"/>
          <w:color w:val="auto"/>
        </w:rPr>
        <w:t>距离本项目最近的为李子园地下水井群（共23眼井）饮用水水源一级保护区：取水井外50米的区域。本项目位于李子园地下水井群准保护区边界东侧2.6km，不在其准备其准保护区范围内，</w:t>
      </w:r>
      <w:r>
        <w:rPr>
          <w:rFonts w:hint="eastAsia" w:hAnsi="宋体"/>
          <w:color w:val="auto"/>
        </w:rPr>
        <w:t>本项目沼液消纳区也不在饮用水源保护区范围内。</w:t>
      </w:r>
    </w:p>
    <w:p>
      <w:pPr>
        <w:pStyle w:val="6"/>
        <w:rPr>
          <w:color w:val="auto"/>
        </w:rPr>
      </w:pPr>
      <w:r>
        <w:rPr>
          <w:rFonts w:hint="eastAsia"/>
          <w:color w:val="auto"/>
        </w:rPr>
        <w:t>10</w:t>
      </w:r>
      <w:r>
        <w:rPr>
          <w:color w:val="auto"/>
        </w:rPr>
        <w:t>.1.</w:t>
      </w:r>
      <w:r>
        <w:rPr>
          <w:rFonts w:hint="eastAsia"/>
          <w:color w:val="auto"/>
        </w:rPr>
        <w:t>2</w:t>
      </w:r>
      <w:r>
        <w:rPr>
          <w:color w:val="auto"/>
        </w:rPr>
        <w:t xml:space="preserve">  评价区域环境质量现状</w:t>
      </w:r>
      <w:bookmarkEnd w:id="806"/>
    </w:p>
    <w:p>
      <w:pPr>
        <w:ind w:firstLine="464"/>
        <w:rPr>
          <w:bCs/>
          <w:color w:val="auto"/>
          <w:spacing w:val="-4"/>
        </w:rPr>
      </w:pPr>
      <w:r>
        <w:rPr>
          <w:rFonts w:hint="eastAsia" w:hAnsi="宋体"/>
          <w:bCs/>
          <w:color w:val="auto"/>
          <w:spacing w:val="-4"/>
        </w:rPr>
        <w:t>（1）</w:t>
      </w:r>
      <w:r>
        <w:rPr>
          <w:rFonts w:hint="eastAsia"/>
          <w:bCs/>
          <w:color w:val="auto"/>
          <w:spacing w:val="-4"/>
        </w:rPr>
        <w:t>环境空气</w:t>
      </w:r>
    </w:p>
    <w:p>
      <w:pPr>
        <w:pStyle w:val="3"/>
        <w:numPr>
          <w:ilvl w:val="0"/>
          <w:numId w:val="0"/>
        </w:numPr>
        <w:ind w:firstLine="480" w:firstLineChars="200"/>
        <w:rPr>
          <w:color w:val="auto"/>
          <w:sz w:val="24"/>
          <w:szCs w:val="24"/>
        </w:rPr>
      </w:pPr>
      <w:r>
        <w:rPr>
          <w:rFonts w:hint="eastAsia"/>
          <w:bCs/>
          <w:color w:val="auto"/>
          <w:sz w:val="24"/>
        </w:rPr>
        <w:t>2019年濮阳市环境空气中二氧化硫年均值、二氧化氮年均值、一氧化碳24小时、O</w:t>
      </w:r>
      <w:r>
        <w:rPr>
          <w:rFonts w:hint="eastAsia"/>
          <w:bCs/>
          <w:color w:val="auto"/>
          <w:sz w:val="24"/>
          <w:vertAlign w:val="subscript"/>
        </w:rPr>
        <w:t>3</w:t>
      </w:r>
      <w:r>
        <w:rPr>
          <w:rFonts w:hint="eastAsia"/>
          <w:bCs/>
          <w:color w:val="auto"/>
          <w:sz w:val="24"/>
        </w:rPr>
        <w:t>8小时平均值均达到环境空气质量二级标准；PM</w:t>
      </w:r>
      <w:r>
        <w:rPr>
          <w:rFonts w:hint="eastAsia"/>
          <w:bCs/>
          <w:color w:val="auto"/>
          <w:sz w:val="24"/>
          <w:vertAlign w:val="subscript"/>
        </w:rPr>
        <w:t>2.5</w:t>
      </w:r>
      <w:r>
        <w:rPr>
          <w:rFonts w:hint="eastAsia"/>
          <w:bCs/>
          <w:color w:val="auto"/>
          <w:sz w:val="24"/>
        </w:rPr>
        <w:t>年均值、PM</w:t>
      </w:r>
      <w:r>
        <w:rPr>
          <w:rFonts w:hint="eastAsia"/>
          <w:bCs/>
          <w:color w:val="auto"/>
          <w:sz w:val="24"/>
          <w:vertAlign w:val="subscript"/>
        </w:rPr>
        <w:t>10</w:t>
      </w:r>
      <w:r>
        <w:rPr>
          <w:rFonts w:hint="eastAsia"/>
          <w:bCs/>
          <w:color w:val="auto"/>
          <w:sz w:val="24"/>
        </w:rPr>
        <w:t>年均值均超过环境空气质量二级标准，超标倍数分别为0.77、0.43，因此判定为非达标区</w:t>
      </w:r>
      <w:r>
        <w:rPr>
          <w:color w:val="auto"/>
          <w:sz w:val="24"/>
          <w:szCs w:val="24"/>
        </w:rPr>
        <w:t>。根据现场实测对评价区域各监测点位NH</w:t>
      </w:r>
      <w:r>
        <w:rPr>
          <w:color w:val="auto"/>
          <w:sz w:val="24"/>
          <w:szCs w:val="24"/>
          <w:vertAlign w:val="subscript"/>
        </w:rPr>
        <w:t>3</w:t>
      </w:r>
      <w:r>
        <w:rPr>
          <w:color w:val="auto"/>
          <w:sz w:val="24"/>
          <w:szCs w:val="24"/>
        </w:rPr>
        <w:t>、H</w:t>
      </w:r>
      <w:r>
        <w:rPr>
          <w:color w:val="auto"/>
          <w:sz w:val="24"/>
          <w:szCs w:val="24"/>
          <w:vertAlign w:val="subscript"/>
        </w:rPr>
        <w:t>2</w:t>
      </w:r>
      <w:r>
        <w:rPr>
          <w:color w:val="auto"/>
          <w:sz w:val="24"/>
          <w:szCs w:val="24"/>
        </w:rPr>
        <w:t>S均符合《环境影响评价技术导则 大气环境》（HJ2.2-2018）附录D，其他污染物空气质量浓度参考限值。</w:t>
      </w:r>
    </w:p>
    <w:p>
      <w:pPr>
        <w:ind w:firstLine="464"/>
        <w:rPr>
          <w:color w:val="auto"/>
        </w:rPr>
      </w:pPr>
      <w:r>
        <w:rPr>
          <w:rFonts w:hint="eastAsia" w:hAnsi="宋体"/>
          <w:bCs/>
          <w:color w:val="auto"/>
          <w:spacing w:val="-4"/>
        </w:rPr>
        <w:t>（2）</w:t>
      </w:r>
      <w:r>
        <w:rPr>
          <w:rFonts w:hint="eastAsia" w:hAnsi="宋体"/>
          <w:color w:val="auto"/>
        </w:rPr>
        <w:t>地表水</w:t>
      </w:r>
    </w:p>
    <w:p>
      <w:pPr>
        <w:ind w:firstLine="464"/>
        <w:rPr>
          <w:rFonts w:hAnsi="宋体"/>
          <w:bCs/>
          <w:color w:val="auto"/>
          <w:spacing w:val="-4"/>
        </w:rPr>
      </w:pPr>
      <w:r>
        <w:rPr>
          <w:rFonts w:hint="eastAsia" w:hAnsi="宋体"/>
          <w:bCs/>
          <w:color w:val="auto"/>
          <w:spacing w:val="-4"/>
        </w:rPr>
        <w:t>根据河南省环保厅网站公布的河南省地表水环境责任目标断面水质周报2018年6月至2019年5月对断面宋海桥断面处监测数据</w:t>
      </w:r>
      <w:r>
        <w:rPr>
          <w:rFonts w:hint="eastAsia"/>
          <w:color w:val="auto"/>
        </w:rPr>
        <w:t>不能连续满足《地表水环境质量标准》（</w:t>
      </w:r>
      <w:r>
        <w:rPr>
          <w:color w:val="auto"/>
        </w:rPr>
        <w:t>GB3838-2002</w:t>
      </w:r>
      <w:r>
        <w:rPr>
          <w:rFonts w:hint="eastAsia"/>
          <w:color w:val="auto"/>
        </w:rPr>
        <w:t>）</w:t>
      </w:r>
      <w:r>
        <w:rPr>
          <w:rFonts w:hint="eastAsia" w:ascii="宋体" w:hAnsi="宋体"/>
          <w:color w:val="auto"/>
          <w:highlight w:val="yellow"/>
        </w:rPr>
        <w:fldChar w:fldCharType="begin"/>
      </w:r>
      <w:r>
        <w:rPr>
          <w:rFonts w:hint="eastAsia" w:ascii="宋体" w:hAnsi="宋体"/>
          <w:color w:val="auto"/>
          <w:highlight w:val="yellow"/>
        </w:rPr>
        <w:instrText xml:space="preserve"> = 4 \* ROMAN \* MERGEFORMAT </w:instrText>
      </w:r>
      <w:r>
        <w:rPr>
          <w:rFonts w:hint="eastAsia" w:ascii="宋体" w:hAnsi="宋体"/>
          <w:color w:val="auto"/>
          <w:highlight w:val="yellow"/>
        </w:rPr>
        <w:fldChar w:fldCharType="separate"/>
      </w:r>
      <w:r>
        <w:rPr>
          <w:color w:val="auto"/>
        </w:rPr>
        <w:t>V</w:t>
      </w:r>
      <w:r>
        <w:rPr>
          <w:rFonts w:hint="eastAsia" w:ascii="宋体" w:hAnsi="宋体"/>
          <w:color w:val="auto"/>
          <w:highlight w:val="yellow"/>
        </w:rPr>
        <w:fldChar w:fldCharType="end"/>
      </w:r>
      <w:r>
        <w:rPr>
          <w:rFonts w:hint="eastAsia"/>
          <w:color w:val="auto"/>
        </w:rPr>
        <w:t>类标准的要求，主要超标原因为农村面源污染。</w:t>
      </w:r>
    </w:p>
    <w:p>
      <w:pPr>
        <w:ind w:firstLine="464"/>
        <w:rPr>
          <w:bCs/>
          <w:color w:val="auto"/>
        </w:rPr>
      </w:pPr>
      <w:r>
        <w:rPr>
          <w:rFonts w:hint="eastAsia" w:hAnsi="宋体"/>
          <w:bCs/>
          <w:color w:val="auto"/>
          <w:spacing w:val="-4"/>
        </w:rPr>
        <w:t>（3）</w:t>
      </w:r>
      <w:r>
        <w:rPr>
          <w:rFonts w:hint="eastAsia"/>
          <w:bCs/>
          <w:color w:val="auto"/>
        </w:rPr>
        <w:t>地下水</w:t>
      </w:r>
    </w:p>
    <w:p>
      <w:pPr>
        <w:ind w:firstLine="480"/>
        <w:rPr>
          <w:color w:val="auto"/>
        </w:rPr>
      </w:pPr>
      <w:r>
        <w:rPr>
          <w:color w:val="auto"/>
        </w:rPr>
        <w:t>评价区域各监测点的监测因子均能够满足《地下水环境质量标准》（GB/T14848-</w:t>
      </w:r>
      <w:r>
        <w:rPr>
          <w:rFonts w:hint="eastAsia"/>
          <w:color w:val="auto"/>
        </w:rPr>
        <w:t>2017</w:t>
      </w:r>
      <w:r>
        <w:rPr>
          <w:color w:val="auto"/>
        </w:rPr>
        <w:t>）</w:t>
      </w:r>
      <w:r>
        <w:rPr>
          <w:rFonts w:hint="eastAsia" w:ascii="宋体" w:hAnsi="宋体" w:cs="宋体"/>
          <w:color w:val="auto"/>
        </w:rPr>
        <w:t>Ⅲ</w:t>
      </w:r>
      <w:r>
        <w:rPr>
          <w:color w:val="auto"/>
        </w:rPr>
        <w:t>类标准要求。</w:t>
      </w:r>
    </w:p>
    <w:p>
      <w:pPr>
        <w:ind w:firstLine="464"/>
        <w:rPr>
          <w:color w:val="auto"/>
        </w:rPr>
      </w:pPr>
      <w:r>
        <w:rPr>
          <w:rFonts w:hint="eastAsia" w:hAnsi="宋体"/>
          <w:bCs/>
          <w:color w:val="auto"/>
          <w:spacing w:val="-4"/>
        </w:rPr>
        <w:t>（4）</w:t>
      </w:r>
      <w:r>
        <w:rPr>
          <w:color w:val="auto"/>
        </w:rPr>
        <w:t>噪声</w:t>
      </w:r>
    </w:p>
    <w:p>
      <w:pPr>
        <w:pStyle w:val="3"/>
        <w:numPr>
          <w:ilvl w:val="0"/>
          <w:numId w:val="0"/>
        </w:numPr>
        <w:ind w:firstLine="480" w:firstLineChars="200"/>
        <w:rPr>
          <w:rFonts w:hAnsi="宋体"/>
          <w:snapToGrid w:val="0"/>
          <w:color w:val="auto"/>
          <w:kern w:val="0"/>
          <w:sz w:val="24"/>
          <w:szCs w:val="24"/>
        </w:rPr>
      </w:pPr>
      <w:bookmarkStart w:id="807" w:name="_Toc193113602"/>
      <w:r>
        <w:rPr>
          <w:rFonts w:hAnsi="宋体"/>
          <w:color w:val="auto"/>
          <w:sz w:val="24"/>
          <w:szCs w:val="24"/>
        </w:rPr>
        <w:t>本项目东、西、南、北四</w:t>
      </w:r>
      <w:r>
        <w:rPr>
          <w:rFonts w:hint="eastAsia" w:hAnsi="宋体"/>
          <w:color w:val="auto"/>
          <w:sz w:val="24"/>
          <w:szCs w:val="24"/>
        </w:rPr>
        <w:t>厂界</w:t>
      </w:r>
      <w:r>
        <w:rPr>
          <w:rFonts w:hAnsi="宋体"/>
          <w:color w:val="auto"/>
          <w:sz w:val="24"/>
          <w:szCs w:val="24"/>
        </w:rPr>
        <w:t>昼夜间噪声均可满足《声环境质量标准》（</w:t>
      </w:r>
      <w:r>
        <w:rPr>
          <w:color w:val="auto"/>
          <w:sz w:val="24"/>
          <w:szCs w:val="24"/>
        </w:rPr>
        <w:t>GB3096-2008</w:t>
      </w:r>
      <w:r>
        <w:rPr>
          <w:rFonts w:hAnsi="宋体"/>
          <w:color w:val="auto"/>
          <w:sz w:val="24"/>
          <w:szCs w:val="24"/>
        </w:rPr>
        <w:t>）</w:t>
      </w:r>
      <w:r>
        <w:rPr>
          <w:rFonts w:hint="eastAsia"/>
          <w:color w:val="auto"/>
          <w:sz w:val="24"/>
          <w:szCs w:val="24"/>
        </w:rPr>
        <w:t>2</w:t>
      </w:r>
      <w:r>
        <w:rPr>
          <w:rFonts w:hAnsi="宋体"/>
          <w:color w:val="auto"/>
          <w:sz w:val="24"/>
          <w:szCs w:val="24"/>
        </w:rPr>
        <w:t>类标准要求，</w:t>
      </w:r>
      <w:r>
        <w:rPr>
          <w:rFonts w:hAnsi="宋体"/>
          <w:snapToGrid w:val="0"/>
          <w:color w:val="auto"/>
          <w:kern w:val="0"/>
          <w:sz w:val="24"/>
          <w:szCs w:val="24"/>
        </w:rPr>
        <w:t>说明项目厂址声环境质量现状较好。</w:t>
      </w:r>
    </w:p>
    <w:p>
      <w:pPr>
        <w:ind w:firstLine="464"/>
        <w:rPr>
          <w:color w:val="auto"/>
        </w:rPr>
      </w:pPr>
      <w:r>
        <w:rPr>
          <w:rFonts w:hint="eastAsia" w:hAnsi="宋体"/>
          <w:bCs/>
          <w:color w:val="auto"/>
          <w:spacing w:val="-4"/>
        </w:rPr>
        <w:t>（5）</w:t>
      </w:r>
      <w:r>
        <w:rPr>
          <w:rFonts w:hint="eastAsia"/>
          <w:color w:val="auto"/>
        </w:rPr>
        <w:t>土壤</w:t>
      </w:r>
    </w:p>
    <w:p>
      <w:pPr>
        <w:autoSpaceDE w:val="0"/>
        <w:autoSpaceDN w:val="0"/>
        <w:ind w:firstLine="480"/>
        <w:jc w:val="left"/>
        <w:rPr>
          <w:color w:val="auto"/>
          <w:kern w:val="0"/>
        </w:rPr>
      </w:pPr>
      <w:r>
        <w:rPr>
          <w:color w:val="auto"/>
          <w:kern w:val="0"/>
        </w:rPr>
        <w:t>各监测点位各项因子均能满足《土壤环境质量--农用地土壤污染风险管控标准（试行）》（GB15618-2018）标准要求</w:t>
      </w:r>
      <w:r>
        <w:rPr>
          <w:rFonts w:hint="eastAsia"/>
          <w:color w:val="auto"/>
          <w:kern w:val="0"/>
        </w:rPr>
        <w:t>。</w:t>
      </w:r>
    </w:p>
    <w:p>
      <w:pPr>
        <w:pStyle w:val="6"/>
        <w:rPr>
          <w:color w:val="auto"/>
        </w:rPr>
      </w:pPr>
      <w:r>
        <w:rPr>
          <w:rFonts w:hint="eastAsia"/>
          <w:color w:val="auto"/>
        </w:rPr>
        <w:t>10</w:t>
      </w:r>
      <w:r>
        <w:rPr>
          <w:color w:val="auto"/>
        </w:rPr>
        <w:t>.1.</w:t>
      </w:r>
      <w:r>
        <w:rPr>
          <w:rFonts w:hint="eastAsia"/>
          <w:color w:val="auto"/>
        </w:rPr>
        <w:t>3</w:t>
      </w:r>
      <w:r>
        <w:rPr>
          <w:color w:val="auto"/>
        </w:rPr>
        <w:t xml:space="preserve">  污染治理措施</w:t>
      </w:r>
      <w:bookmarkEnd w:id="807"/>
      <w:r>
        <w:rPr>
          <w:color w:val="auto"/>
        </w:rPr>
        <w:t xml:space="preserve"> </w:t>
      </w:r>
    </w:p>
    <w:p>
      <w:pPr>
        <w:pStyle w:val="3"/>
        <w:numPr>
          <w:ilvl w:val="0"/>
          <w:numId w:val="0"/>
        </w:numPr>
        <w:ind w:left="480" w:leftChars="200"/>
        <w:rPr>
          <w:color w:val="auto"/>
          <w:sz w:val="24"/>
          <w:szCs w:val="24"/>
        </w:rPr>
      </w:pPr>
      <w:r>
        <w:rPr>
          <w:rFonts w:hint="eastAsia" w:hAnsi="宋体"/>
          <w:bCs/>
          <w:color w:val="auto"/>
          <w:spacing w:val="-4"/>
          <w:sz w:val="24"/>
        </w:rPr>
        <w:t>（1）</w:t>
      </w:r>
      <w:r>
        <w:rPr>
          <w:color w:val="auto"/>
          <w:sz w:val="24"/>
          <w:szCs w:val="24"/>
        </w:rPr>
        <w:t>废水治理措施</w:t>
      </w:r>
    </w:p>
    <w:p>
      <w:pPr>
        <w:ind w:firstLine="480"/>
        <w:rPr>
          <w:rFonts w:hAnsi="宋体"/>
          <w:color w:val="auto"/>
        </w:rPr>
      </w:pPr>
      <w:r>
        <w:rPr>
          <w:color w:val="auto"/>
        </w:rPr>
        <w:t>本项目废水主要为养殖废水和生活废水，废水总量为</w:t>
      </w:r>
      <w:r>
        <w:rPr>
          <w:rFonts w:hint="eastAsia"/>
          <w:color w:val="auto"/>
        </w:rPr>
        <w:t>46919.655</w:t>
      </w:r>
      <w:r>
        <w:rPr>
          <w:bCs/>
          <w:color w:val="auto"/>
        </w:rPr>
        <w:t>m</w:t>
      </w:r>
      <w:r>
        <w:rPr>
          <w:bCs/>
          <w:color w:val="auto"/>
          <w:vertAlign w:val="superscript"/>
        </w:rPr>
        <w:t>3</w:t>
      </w:r>
      <w:r>
        <w:rPr>
          <w:bCs/>
          <w:color w:val="auto"/>
        </w:rPr>
        <w:t>/a</w:t>
      </w:r>
      <w:r>
        <w:rPr>
          <w:color w:val="auto"/>
        </w:rPr>
        <w:t>，其中养殖废水主要有猪尿、猪舍冲洗废水</w:t>
      </w:r>
      <w:r>
        <w:rPr>
          <w:bCs/>
          <w:color w:val="auto"/>
        </w:rPr>
        <w:t>，经采取</w:t>
      </w:r>
      <w:r>
        <w:rPr>
          <w:color w:val="auto"/>
        </w:rPr>
        <w:t>“干清粪+</w:t>
      </w:r>
      <w:r>
        <w:rPr>
          <w:rFonts w:hint="eastAsia"/>
          <w:color w:val="auto"/>
        </w:rPr>
        <w:t>黑膜沼气池</w:t>
      </w:r>
      <w:r>
        <w:rPr>
          <w:color w:val="auto"/>
        </w:rPr>
        <w:t>、沼气沼液综合利用”处理工艺</w:t>
      </w:r>
      <w:r>
        <w:rPr>
          <w:bCs/>
          <w:color w:val="auto"/>
        </w:rPr>
        <w:t>，养殖废水和生活污水进入配套污水处理站，经无害化处理后</w:t>
      </w:r>
      <w:r>
        <w:rPr>
          <w:color w:val="auto"/>
        </w:rPr>
        <w:t>，</w:t>
      </w:r>
      <w:r>
        <w:rPr>
          <w:bCs/>
          <w:color w:val="auto"/>
        </w:rPr>
        <w:t>全部综合利用</w:t>
      </w:r>
      <w:r>
        <w:rPr>
          <w:color w:val="auto"/>
        </w:rPr>
        <w:t>零排放。</w:t>
      </w:r>
    </w:p>
    <w:p>
      <w:pPr>
        <w:ind w:firstLine="480"/>
        <w:rPr>
          <w:rFonts w:hAnsi="宋体"/>
          <w:color w:val="auto"/>
        </w:rPr>
      </w:pPr>
      <w:r>
        <w:rPr>
          <w:rFonts w:hAnsi="宋体"/>
          <w:color w:val="auto"/>
        </w:rPr>
        <w:t>经上述措施处理后，废水实现资源化利用不排入地表水体，措施可行。</w:t>
      </w:r>
    </w:p>
    <w:p>
      <w:pPr>
        <w:pStyle w:val="3"/>
        <w:numPr>
          <w:ilvl w:val="0"/>
          <w:numId w:val="0"/>
        </w:numPr>
        <w:ind w:left="480" w:leftChars="200"/>
        <w:rPr>
          <w:color w:val="auto"/>
          <w:sz w:val="24"/>
          <w:szCs w:val="24"/>
        </w:rPr>
      </w:pPr>
      <w:r>
        <w:rPr>
          <w:rFonts w:hint="eastAsia" w:hAnsi="宋体"/>
          <w:bCs/>
          <w:color w:val="auto"/>
          <w:spacing w:val="-4"/>
          <w:sz w:val="24"/>
        </w:rPr>
        <w:t>（2）</w:t>
      </w:r>
      <w:r>
        <w:rPr>
          <w:rFonts w:hAnsi="宋体"/>
          <w:color w:val="auto"/>
          <w:sz w:val="24"/>
          <w:szCs w:val="24"/>
        </w:rPr>
        <w:t>废气治理措施</w:t>
      </w:r>
    </w:p>
    <w:p>
      <w:pPr>
        <w:pStyle w:val="3"/>
        <w:numPr>
          <w:ilvl w:val="0"/>
          <w:numId w:val="0"/>
        </w:numPr>
        <w:ind w:firstLine="480" w:firstLineChars="200"/>
        <w:rPr>
          <w:color w:val="auto"/>
          <w:sz w:val="24"/>
        </w:rPr>
      </w:pPr>
      <w:r>
        <w:rPr>
          <w:rFonts w:hint="eastAsia"/>
          <w:color w:val="auto"/>
          <w:sz w:val="24"/>
        </w:rPr>
        <w:t>本</w:t>
      </w:r>
      <w:r>
        <w:rPr>
          <w:color w:val="auto"/>
          <w:sz w:val="24"/>
        </w:rPr>
        <w:t>项目大气污染物主要为</w:t>
      </w:r>
      <w:r>
        <w:rPr>
          <w:rFonts w:hint="eastAsia"/>
          <w:color w:val="auto"/>
          <w:sz w:val="24"/>
        </w:rPr>
        <w:t>养殖过程、污水处理过程、粪污处理过程产生的恶臭气体、无害化处理恶臭及食堂油烟。</w:t>
      </w:r>
    </w:p>
    <w:p>
      <w:pPr>
        <w:pStyle w:val="11"/>
        <w:spacing w:after="0"/>
        <w:ind w:firstLine="480"/>
        <w:rPr>
          <w:color w:val="auto"/>
        </w:rPr>
      </w:pPr>
      <w:r>
        <w:rPr>
          <w:rFonts w:hint="eastAsia"/>
          <w:color w:val="auto"/>
        </w:rPr>
        <w:t>恶臭气体</w:t>
      </w:r>
      <w:r>
        <w:rPr>
          <w:color w:val="auto"/>
        </w:rPr>
        <w:t>根据不同产生单元，采取相应的处理方式，</w:t>
      </w:r>
      <w:r>
        <w:rPr>
          <w:rFonts w:hint="eastAsia"/>
          <w:color w:val="auto"/>
        </w:rPr>
        <w:t>①</w:t>
      </w:r>
      <w:r>
        <w:rPr>
          <w:color w:val="auto"/>
        </w:rPr>
        <w:t>猪舍：控制饲养密度、加强通风、定期冲洗、</w:t>
      </w:r>
      <w:r>
        <w:rPr>
          <w:rFonts w:hint="eastAsia"/>
          <w:color w:val="auto"/>
        </w:rPr>
        <w:t>调整饲料配方，猪舍出风口处设置风机，将臭气引至除臭棚处理，除臭棚墙内填充填料吸附，同时除臭棚顶部有喷淋水装置；②污水处理系统喷洒除臭剂、周边绿化；③固粪处理区：设置风机，将臭气引至除臭棚处理，除臭棚墙内填充填料吸附，同时除臭棚顶部有喷淋水装置，定期喷洒除臭剂；加强厂区绿化等；</w:t>
      </w:r>
      <w:r>
        <w:rPr>
          <w:color w:val="auto"/>
        </w:rPr>
        <w:fldChar w:fldCharType="begin"/>
      </w:r>
      <w:r>
        <w:rPr>
          <w:color w:val="auto"/>
        </w:rPr>
        <w:instrText xml:space="preserve"> </w:instrText>
      </w:r>
      <w:r>
        <w:rPr>
          <w:rFonts w:hint="eastAsia"/>
          <w:color w:val="auto"/>
        </w:rPr>
        <w:instrText xml:space="preserve">= 4 \* GB3</w:instrText>
      </w:r>
      <w:r>
        <w:rPr>
          <w:color w:val="auto"/>
        </w:rPr>
        <w:instrText xml:space="preserve"> </w:instrText>
      </w:r>
      <w:r>
        <w:rPr>
          <w:color w:val="auto"/>
        </w:rPr>
        <w:fldChar w:fldCharType="separate"/>
      </w:r>
      <w:r>
        <w:rPr>
          <w:rFonts w:hint="eastAsia"/>
          <w:color w:val="auto"/>
        </w:rPr>
        <w:t>④</w:t>
      </w:r>
      <w:r>
        <w:rPr>
          <w:color w:val="auto"/>
        </w:rPr>
        <w:fldChar w:fldCharType="end"/>
      </w:r>
      <w:r>
        <w:rPr>
          <w:color w:val="auto"/>
        </w:rPr>
        <w:t>病死猪高温无害化处理废气经</w:t>
      </w:r>
      <w:r>
        <w:rPr>
          <w:rFonts w:hint="eastAsia"/>
          <w:color w:val="auto"/>
        </w:rPr>
        <w:t>设置风机，将臭气引至除臭棚处理，除臭棚墙内填充填料吸附，同时除臭棚顶部有喷淋水装置</w:t>
      </w:r>
      <w:r>
        <w:rPr>
          <w:color w:val="auto"/>
        </w:rPr>
        <w:t>。通</w:t>
      </w:r>
      <w:r>
        <w:rPr>
          <w:color w:val="auto"/>
          <w:spacing w:val="-3"/>
        </w:rPr>
        <w:t>过各项防护措施后，预测</w:t>
      </w:r>
      <w:r>
        <w:rPr>
          <w:rFonts w:hint="eastAsia"/>
          <w:color w:val="auto"/>
          <w:spacing w:val="-3"/>
        </w:rPr>
        <w:t>厂界</w:t>
      </w:r>
      <w:r>
        <w:rPr>
          <w:color w:val="auto"/>
          <w:spacing w:val="-3"/>
        </w:rPr>
        <w:t>和固粪处理区恶臭废气均能达标排放，</w:t>
      </w:r>
      <w:r>
        <w:rPr>
          <w:rFonts w:hint="eastAsia"/>
          <w:color w:val="auto"/>
          <w:spacing w:val="-3"/>
        </w:rPr>
        <w:t>厂区</w:t>
      </w:r>
      <w:r>
        <w:rPr>
          <w:color w:val="auto"/>
        </w:rPr>
        <w:t xml:space="preserve">周围各敏感目标处可满足《环境影响评价技术导则 </w:t>
      </w:r>
      <w:r>
        <w:rPr>
          <w:color w:val="auto"/>
          <w:spacing w:val="-8"/>
        </w:rPr>
        <w:t>大气环境》（</w:t>
      </w:r>
      <w:r>
        <w:rPr>
          <w:rFonts w:eastAsia="Times New Roman"/>
          <w:color w:val="auto"/>
          <w:spacing w:val="-8"/>
        </w:rPr>
        <w:t>HJ2.2-2018</w:t>
      </w:r>
      <w:r>
        <w:rPr>
          <w:color w:val="auto"/>
          <w:spacing w:val="-8"/>
        </w:rPr>
        <w:t>）附</w:t>
      </w:r>
      <w:r>
        <w:rPr>
          <w:color w:val="auto"/>
          <w:spacing w:val="-114"/>
        </w:rPr>
        <w:t xml:space="preserve"> </w:t>
      </w:r>
      <w:r>
        <w:rPr>
          <w:color w:val="auto"/>
        </w:rPr>
        <w:t>录</w:t>
      </w:r>
      <w:r>
        <w:rPr>
          <w:rFonts w:eastAsia="Times New Roman"/>
          <w:color w:val="auto"/>
        </w:rPr>
        <w:t>D</w:t>
      </w:r>
      <w:r>
        <w:rPr>
          <w:color w:val="auto"/>
        </w:rPr>
        <w:t>，其他污染物空气质量浓度参考限值浓度要求。</w:t>
      </w:r>
      <w:r>
        <w:rPr>
          <w:color w:val="auto"/>
          <w:spacing w:val="-3"/>
        </w:rPr>
        <w:t>食堂烹饪过程中产生油烟废气，经油烟净化器处理满足《餐饮业油烟污染物</w:t>
      </w:r>
      <w:r>
        <w:rPr>
          <w:color w:val="auto"/>
          <w:spacing w:val="-8"/>
        </w:rPr>
        <w:t>排放标准》（试行）（</w:t>
      </w:r>
      <w:r>
        <w:rPr>
          <w:rFonts w:eastAsia="Times New Roman"/>
          <w:color w:val="auto"/>
          <w:spacing w:val="-8"/>
        </w:rPr>
        <w:t>DB41/1604-2018</w:t>
      </w:r>
      <w:r>
        <w:rPr>
          <w:color w:val="auto"/>
          <w:spacing w:val="-8"/>
        </w:rPr>
        <w:t>）小型处理效率及限值要求，对周边环境影</w:t>
      </w:r>
      <w:r>
        <w:rPr>
          <w:color w:val="auto"/>
          <w:spacing w:val="-109"/>
        </w:rPr>
        <w:t xml:space="preserve"> </w:t>
      </w:r>
      <w:r>
        <w:rPr>
          <w:color w:val="auto"/>
        </w:rPr>
        <w:t>响不大。</w:t>
      </w:r>
    </w:p>
    <w:p>
      <w:pPr>
        <w:pStyle w:val="3"/>
        <w:numPr>
          <w:ilvl w:val="0"/>
          <w:numId w:val="0"/>
        </w:numPr>
        <w:ind w:left="480" w:leftChars="200"/>
        <w:rPr>
          <w:rFonts w:hAnsi="宋体"/>
          <w:color w:val="auto"/>
          <w:sz w:val="24"/>
          <w:szCs w:val="24"/>
        </w:rPr>
      </w:pPr>
      <w:r>
        <w:rPr>
          <w:rFonts w:hint="eastAsia" w:hAnsi="宋体"/>
          <w:bCs/>
          <w:color w:val="auto"/>
          <w:spacing w:val="-4"/>
          <w:sz w:val="24"/>
        </w:rPr>
        <w:t>（3）</w:t>
      </w:r>
      <w:r>
        <w:rPr>
          <w:rFonts w:hint="eastAsia" w:hAnsi="宋体"/>
          <w:color w:val="auto"/>
          <w:sz w:val="24"/>
          <w:szCs w:val="24"/>
        </w:rPr>
        <w:t>噪声</w:t>
      </w:r>
      <w:r>
        <w:rPr>
          <w:rFonts w:hAnsi="宋体"/>
          <w:color w:val="auto"/>
          <w:sz w:val="24"/>
          <w:szCs w:val="24"/>
        </w:rPr>
        <w:t>治理措施</w:t>
      </w:r>
    </w:p>
    <w:p>
      <w:pPr>
        <w:pStyle w:val="3"/>
        <w:numPr>
          <w:ilvl w:val="0"/>
          <w:numId w:val="0"/>
        </w:numPr>
        <w:ind w:firstLine="480" w:firstLineChars="200"/>
        <w:rPr>
          <w:rFonts w:hAnsi="宋体"/>
          <w:color w:val="auto"/>
          <w:sz w:val="24"/>
        </w:rPr>
      </w:pPr>
      <w:r>
        <w:rPr>
          <w:rFonts w:hAnsi="宋体"/>
          <w:color w:val="auto"/>
          <w:sz w:val="24"/>
        </w:rPr>
        <w:t>噪声主要为</w:t>
      </w:r>
      <w:r>
        <w:rPr>
          <w:rFonts w:hint="eastAsia" w:hAnsi="宋体"/>
          <w:color w:val="auto"/>
          <w:sz w:val="24"/>
        </w:rPr>
        <w:t>猪叫声、猪舍降温配套负压风机、粪污处理设施等设备运行时产生的</w:t>
      </w:r>
      <w:r>
        <w:rPr>
          <w:rFonts w:hAnsi="宋体"/>
          <w:color w:val="auto"/>
          <w:sz w:val="24"/>
        </w:rPr>
        <w:t>噪声，根据类比调查，其源强为70～</w:t>
      </w:r>
      <w:r>
        <w:rPr>
          <w:rFonts w:hint="eastAsia" w:hAnsi="宋体"/>
          <w:color w:val="auto"/>
          <w:sz w:val="24"/>
        </w:rPr>
        <w:t>85</w:t>
      </w:r>
      <w:r>
        <w:rPr>
          <w:rFonts w:hAnsi="宋体"/>
          <w:color w:val="auto"/>
          <w:sz w:val="24"/>
        </w:rPr>
        <w:t>dB(A)。在采取相应的隔声减振措施后，</w:t>
      </w:r>
      <w:r>
        <w:rPr>
          <w:rFonts w:hint="eastAsia" w:hAnsi="宋体"/>
          <w:color w:val="auto"/>
          <w:sz w:val="24"/>
        </w:rPr>
        <w:t>经距离衰减</w:t>
      </w:r>
      <w:r>
        <w:rPr>
          <w:color w:val="auto"/>
          <w:sz w:val="24"/>
        </w:rPr>
        <w:t>各</w:t>
      </w:r>
      <w:r>
        <w:rPr>
          <w:rFonts w:hint="eastAsia"/>
          <w:color w:val="auto"/>
          <w:sz w:val="24"/>
        </w:rPr>
        <w:t>厂界</w:t>
      </w:r>
      <w:r>
        <w:rPr>
          <w:color w:val="auto"/>
          <w:sz w:val="24"/>
        </w:rPr>
        <w:t>噪声均能够满足《工业企业厂界环境噪声排放标准》（GB12348</w:t>
      </w:r>
      <w:r>
        <w:rPr>
          <w:rFonts w:hint="eastAsia"/>
          <w:color w:val="auto"/>
          <w:sz w:val="24"/>
        </w:rPr>
        <w:t>-</w:t>
      </w:r>
      <w:r>
        <w:rPr>
          <w:color w:val="auto"/>
          <w:sz w:val="24"/>
        </w:rPr>
        <w:t>2008）</w:t>
      </w:r>
      <w:r>
        <w:rPr>
          <w:rFonts w:hint="eastAsia"/>
          <w:color w:val="auto"/>
          <w:sz w:val="24"/>
        </w:rPr>
        <w:t>2</w:t>
      </w:r>
      <w:r>
        <w:rPr>
          <w:color w:val="auto"/>
          <w:sz w:val="24"/>
        </w:rPr>
        <w:t>类标准</w:t>
      </w:r>
      <w:r>
        <w:rPr>
          <w:rFonts w:hint="eastAsia" w:hAnsi="宋体"/>
          <w:color w:val="auto"/>
          <w:sz w:val="24"/>
        </w:rPr>
        <w:t>（</w:t>
      </w:r>
      <w:r>
        <w:rPr>
          <w:color w:val="auto"/>
          <w:sz w:val="24"/>
        </w:rPr>
        <w:t>昼间</w:t>
      </w:r>
      <w:r>
        <w:rPr>
          <w:rFonts w:hint="eastAsia"/>
          <w:color w:val="auto"/>
          <w:sz w:val="24"/>
        </w:rPr>
        <w:t>60</w:t>
      </w:r>
      <w:r>
        <w:rPr>
          <w:color w:val="auto"/>
          <w:sz w:val="24"/>
        </w:rPr>
        <w:t>dB(A)；夜间</w:t>
      </w:r>
      <w:r>
        <w:rPr>
          <w:rFonts w:hint="eastAsia"/>
          <w:color w:val="auto"/>
          <w:sz w:val="24"/>
        </w:rPr>
        <w:t>50</w:t>
      </w:r>
      <w:r>
        <w:rPr>
          <w:color w:val="auto"/>
          <w:sz w:val="24"/>
        </w:rPr>
        <w:t>dB(A)</w:t>
      </w:r>
      <w:r>
        <w:rPr>
          <w:rFonts w:hint="eastAsia" w:hAnsi="宋体"/>
          <w:color w:val="auto"/>
          <w:sz w:val="24"/>
        </w:rPr>
        <w:t>）</w:t>
      </w:r>
      <w:r>
        <w:rPr>
          <w:color w:val="auto"/>
          <w:sz w:val="24"/>
        </w:rPr>
        <w:t>要求</w:t>
      </w:r>
      <w:r>
        <w:rPr>
          <w:rFonts w:hAnsi="宋体"/>
          <w:color w:val="auto"/>
          <w:sz w:val="24"/>
        </w:rPr>
        <w:t>。</w:t>
      </w:r>
    </w:p>
    <w:p>
      <w:pPr>
        <w:pStyle w:val="3"/>
        <w:numPr>
          <w:ilvl w:val="0"/>
          <w:numId w:val="0"/>
        </w:numPr>
        <w:ind w:left="480"/>
        <w:rPr>
          <w:rFonts w:hAnsi="宋体"/>
          <w:color w:val="auto"/>
          <w:sz w:val="24"/>
        </w:rPr>
      </w:pPr>
      <w:r>
        <w:rPr>
          <w:rFonts w:hint="eastAsia" w:hAnsi="宋体"/>
          <w:color w:val="auto"/>
          <w:sz w:val="24"/>
        </w:rPr>
        <w:t>（4）</w:t>
      </w:r>
      <w:r>
        <w:rPr>
          <w:rFonts w:hAnsi="宋体"/>
          <w:color w:val="auto"/>
          <w:sz w:val="24"/>
        </w:rPr>
        <w:t>固体废物治理措施</w:t>
      </w:r>
    </w:p>
    <w:p>
      <w:pPr>
        <w:pStyle w:val="3"/>
        <w:numPr>
          <w:ilvl w:val="0"/>
          <w:numId w:val="0"/>
        </w:numPr>
        <w:ind w:firstLine="480" w:firstLineChars="200"/>
        <w:rPr>
          <w:rFonts w:hAnsi="宋体"/>
          <w:color w:val="auto"/>
          <w:sz w:val="24"/>
        </w:rPr>
      </w:pPr>
      <w:bookmarkStart w:id="808" w:name="_Toc193113603"/>
      <w:r>
        <w:rPr>
          <w:rFonts w:hAnsi="宋体"/>
          <w:color w:val="auto"/>
          <w:sz w:val="24"/>
        </w:rPr>
        <w:t>本项目产生的固体废物主要包括疾病防疫产生的医疗废物、养殖过程产生的少量病死猪尸</w:t>
      </w:r>
      <w:r>
        <w:rPr>
          <w:rFonts w:hint="eastAsia" w:hAnsi="宋体"/>
          <w:color w:val="auto"/>
          <w:sz w:val="24"/>
        </w:rPr>
        <w:t>、</w:t>
      </w:r>
      <w:r>
        <w:rPr>
          <w:rFonts w:hAnsi="宋体"/>
          <w:color w:val="auto"/>
          <w:sz w:val="24"/>
        </w:rPr>
        <w:t>猪粪固形物、</w:t>
      </w:r>
      <w:r>
        <w:rPr>
          <w:rFonts w:hint="eastAsia" w:hAnsi="宋体"/>
          <w:color w:val="auto"/>
          <w:sz w:val="24"/>
        </w:rPr>
        <w:t>废脱硫剂及</w:t>
      </w:r>
      <w:r>
        <w:rPr>
          <w:rFonts w:hAnsi="宋体"/>
          <w:color w:val="auto"/>
          <w:sz w:val="24"/>
        </w:rPr>
        <w:t>职工生活垃圾</w:t>
      </w:r>
      <w:r>
        <w:rPr>
          <w:rFonts w:hint="eastAsia" w:hAnsi="宋体"/>
          <w:color w:val="auto"/>
          <w:sz w:val="24"/>
        </w:rPr>
        <w:t>、废导热油等。</w:t>
      </w:r>
      <w:r>
        <w:rPr>
          <w:rFonts w:hAnsi="宋体"/>
          <w:color w:val="auto"/>
          <w:sz w:val="24"/>
        </w:rPr>
        <w:t>其中医疗废物</w:t>
      </w:r>
      <w:r>
        <w:rPr>
          <w:rFonts w:hint="eastAsia" w:hAnsi="宋体"/>
          <w:color w:val="auto"/>
          <w:sz w:val="24"/>
        </w:rPr>
        <w:t>、废导热油</w:t>
      </w:r>
      <w:r>
        <w:rPr>
          <w:rFonts w:hAnsi="宋体"/>
          <w:color w:val="auto"/>
          <w:sz w:val="24"/>
        </w:rPr>
        <w:t>定期交由</w:t>
      </w:r>
      <w:r>
        <w:rPr>
          <w:rFonts w:hint="eastAsia" w:hAnsi="宋体"/>
          <w:color w:val="auto"/>
          <w:sz w:val="24"/>
        </w:rPr>
        <w:t>相应</w:t>
      </w:r>
      <w:r>
        <w:rPr>
          <w:rFonts w:hAnsi="宋体"/>
          <w:color w:val="auto"/>
          <w:sz w:val="24"/>
        </w:rPr>
        <w:t>有资质单位处置；病死猪在厂区内无害化处理后残渣作为有机肥原料外售；废脱硫剂由生产厂家统一回收处置；职工生活垃圾集中收集后送当地垃圾处理厂集中处置。综上所述，项目产生的各类污染物均能得到有效处理，实现达标排放或综合利用。</w:t>
      </w:r>
    </w:p>
    <w:p>
      <w:pPr>
        <w:pStyle w:val="6"/>
        <w:rPr>
          <w:color w:val="auto"/>
        </w:rPr>
      </w:pPr>
      <w:r>
        <w:rPr>
          <w:rFonts w:hint="eastAsia"/>
          <w:color w:val="auto"/>
        </w:rPr>
        <w:t>10</w:t>
      </w:r>
      <w:r>
        <w:rPr>
          <w:color w:val="auto"/>
        </w:rPr>
        <w:t>.1.</w:t>
      </w:r>
      <w:r>
        <w:rPr>
          <w:rFonts w:hint="eastAsia"/>
          <w:color w:val="auto"/>
        </w:rPr>
        <w:t>4</w:t>
      </w:r>
      <w:r>
        <w:rPr>
          <w:color w:val="auto"/>
        </w:rPr>
        <w:t xml:space="preserve">  环境影响预测结论</w:t>
      </w:r>
      <w:bookmarkEnd w:id="808"/>
    </w:p>
    <w:p>
      <w:pPr>
        <w:ind w:firstLine="480"/>
        <w:rPr>
          <w:color w:val="auto"/>
        </w:rPr>
      </w:pPr>
      <w:r>
        <w:rPr>
          <w:rFonts w:hint="eastAsia"/>
          <w:color w:val="auto"/>
        </w:rPr>
        <w:t>（1）</w:t>
      </w:r>
      <w:r>
        <w:rPr>
          <w:rFonts w:hAnsi="宋体"/>
          <w:color w:val="auto"/>
        </w:rPr>
        <w:t>环境空气质量影响预测</w:t>
      </w:r>
      <w:bookmarkStart w:id="809" w:name="_Toc193113494"/>
      <w:bookmarkStart w:id="810" w:name="_Toc193113604"/>
      <w:r>
        <w:rPr>
          <w:rFonts w:hint="eastAsia" w:hAnsi="宋体"/>
          <w:color w:val="auto"/>
        </w:rPr>
        <w:t>结论</w:t>
      </w:r>
    </w:p>
    <w:p>
      <w:pPr>
        <w:ind w:firstLine="480"/>
        <w:rPr>
          <w:color w:val="auto"/>
        </w:rPr>
      </w:pPr>
      <w:r>
        <w:rPr>
          <w:rFonts w:hint="eastAsia"/>
          <w:color w:val="auto"/>
        </w:rPr>
        <w:t>根据预测结果，</w:t>
      </w:r>
      <w:r>
        <w:rPr>
          <w:color w:val="auto"/>
        </w:rPr>
        <w:t>项目实施后，工程采取</w:t>
      </w:r>
      <w:r>
        <w:rPr>
          <w:rFonts w:hint="eastAsia"/>
          <w:color w:val="auto"/>
        </w:rPr>
        <w:t>除臭</w:t>
      </w:r>
      <w:r>
        <w:rPr>
          <w:color w:val="auto"/>
        </w:rPr>
        <w:t>措施后排放的H</w:t>
      </w:r>
      <w:r>
        <w:rPr>
          <w:color w:val="auto"/>
          <w:vertAlign w:val="subscript"/>
        </w:rPr>
        <w:t>2</w:t>
      </w:r>
      <w:r>
        <w:rPr>
          <w:color w:val="auto"/>
        </w:rPr>
        <w:t>S、NH</w:t>
      </w:r>
      <w:r>
        <w:rPr>
          <w:color w:val="auto"/>
          <w:vertAlign w:val="subscript"/>
        </w:rPr>
        <w:t>3</w:t>
      </w:r>
      <w:r>
        <w:rPr>
          <w:color w:val="auto"/>
        </w:rPr>
        <w:t>在各关心点处的污染物浓度均能满足《环境影响评价技术导则 大气环境》（HJ2.2-2018）附录D，其他污染物空气质量浓度参考限值浓度要求；经计算，本项目</w:t>
      </w:r>
      <w:r>
        <w:rPr>
          <w:rFonts w:hint="eastAsia"/>
          <w:color w:val="auto"/>
        </w:rPr>
        <w:t>卫生</w:t>
      </w:r>
      <w:r>
        <w:rPr>
          <w:color w:val="auto"/>
        </w:rPr>
        <w:t>防护距离为500m</w:t>
      </w:r>
      <w:r>
        <w:rPr>
          <w:rFonts w:hint="eastAsia"/>
          <w:color w:val="auto"/>
        </w:rPr>
        <w:t>，场址卫生防护距离范围内</w:t>
      </w:r>
      <w:r>
        <w:rPr>
          <w:color w:val="auto"/>
        </w:rPr>
        <w:t>无敏感点，</w:t>
      </w:r>
      <w:r>
        <w:rPr>
          <w:rFonts w:hint="eastAsia"/>
          <w:color w:val="auto"/>
        </w:rPr>
        <w:t>在</w:t>
      </w:r>
      <w:r>
        <w:rPr>
          <w:color w:val="auto"/>
        </w:rPr>
        <w:t>满足</w:t>
      </w:r>
      <w:r>
        <w:rPr>
          <w:rFonts w:hint="eastAsia"/>
          <w:color w:val="auto"/>
        </w:rPr>
        <w:t>卫生</w:t>
      </w:r>
      <w:r>
        <w:rPr>
          <w:color w:val="auto"/>
        </w:rPr>
        <w:t>防护距离的条件下，评价认为项目废气排放对环境的影响可以接受。</w:t>
      </w:r>
    </w:p>
    <w:p>
      <w:pPr>
        <w:ind w:firstLine="480"/>
        <w:rPr>
          <w:rFonts w:hAnsi="宋体"/>
          <w:color w:val="auto"/>
        </w:rPr>
      </w:pPr>
      <w:r>
        <w:rPr>
          <w:rFonts w:hint="eastAsia"/>
          <w:color w:val="auto"/>
        </w:rPr>
        <w:t>（2）</w:t>
      </w:r>
      <w:r>
        <w:rPr>
          <w:rFonts w:hAnsi="宋体"/>
          <w:color w:val="auto"/>
        </w:rPr>
        <w:t>地表水环境质量影响预测</w:t>
      </w:r>
      <w:bookmarkEnd w:id="809"/>
      <w:r>
        <w:rPr>
          <w:rFonts w:hint="eastAsia" w:hAnsi="宋体"/>
          <w:color w:val="auto"/>
        </w:rPr>
        <w:t>结论</w:t>
      </w:r>
    </w:p>
    <w:p>
      <w:pPr>
        <w:ind w:firstLine="480"/>
        <w:rPr>
          <w:rFonts w:hAnsi="宋体"/>
          <w:color w:val="auto"/>
        </w:rPr>
      </w:pPr>
      <w:r>
        <w:rPr>
          <w:rFonts w:hAnsi="宋体"/>
          <w:color w:val="auto"/>
        </w:rPr>
        <w:t>项目废水属高浓度有机废水，经</w:t>
      </w:r>
      <w:r>
        <w:rPr>
          <w:rFonts w:hint="eastAsia" w:hAnsi="宋体"/>
          <w:color w:val="auto"/>
        </w:rPr>
        <w:t>厂区</w:t>
      </w:r>
      <w:r>
        <w:rPr>
          <w:rFonts w:hAnsi="宋体"/>
          <w:color w:val="auto"/>
        </w:rPr>
        <w:t>内污水处理站厌氧处理后，沼液作为农肥施于配套农田，不外排。</w:t>
      </w:r>
    </w:p>
    <w:p>
      <w:pPr>
        <w:ind w:firstLine="480"/>
        <w:rPr>
          <w:color w:val="auto"/>
        </w:rPr>
      </w:pPr>
      <w:bookmarkStart w:id="811" w:name="_Toc193113495"/>
      <w:r>
        <w:rPr>
          <w:rFonts w:hAnsi="宋体"/>
          <w:color w:val="auto"/>
        </w:rPr>
        <w:t>（</w:t>
      </w:r>
      <w:r>
        <w:rPr>
          <w:color w:val="auto"/>
        </w:rPr>
        <w:t>3</w:t>
      </w:r>
      <w:r>
        <w:rPr>
          <w:rFonts w:hAnsi="宋体"/>
          <w:color w:val="auto"/>
        </w:rPr>
        <w:t>）地下水质量影响预测</w:t>
      </w:r>
      <w:bookmarkEnd w:id="811"/>
      <w:r>
        <w:rPr>
          <w:rFonts w:hint="eastAsia" w:hAnsi="宋体"/>
          <w:color w:val="auto"/>
        </w:rPr>
        <w:t>结论</w:t>
      </w:r>
    </w:p>
    <w:p>
      <w:pPr>
        <w:ind w:firstLine="436" w:firstLineChars="182"/>
        <w:rPr>
          <w:color w:val="auto"/>
        </w:rPr>
      </w:pPr>
      <w:bookmarkStart w:id="812" w:name="_Toc193113496"/>
      <w:r>
        <w:rPr>
          <w:rFonts w:hint="eastAsia"/>
          <w:color w:val="auto"/>
        </w:rPr>
        <w:t>项目厂区地下水环境在落实好防渗、防污措施后，本项目污染物能得到有效处理，对地下水水质影响较小，项目的建设不会产生其他环境地质问题，因此对地下水环境质量影响较小。</w:t>
      </w:r>
    </w:p>
    <w:p>
      <w:pPr>
        <w:ind w:firstLine="480"/>
        <w:rPr>
          <w:rFonts w:hAnsi="宋体"/>
          <w:color w:val="auto"/>
        </w:rPr>
      </w:pPr>
      <w:r>
        <w:rPr>
          <w:rFonts w:hAnsi="宋体"/>
          <w:color w:val="auto"/>
        </w:rPr>
        <w:t>（</w:t>
      </w:r>
      <w:r>
        <w:rPr>
          <w:color w:val="auto"/>
        </w:rPr>
        <w:t>4</w:t>
      </w:r>
      <w:r>
        <w:rPr>
          <w:rFonts w:hAnsi="宋体"/>
          <w:color w:val="auto"/>
        </w:rPr>
        <w:t>）声环境质量影响预测小结</w:t>
      </w:r>
      <w:bookmarkEnd w:id="812"/>
    </w:p>
    <w:bookmarkEnd w:id="810"/>
    <w:p>
      <w:pPr>
        <w:ind w:firstLine="480"/>
        <w:rPr>
          <w:rFonts w:hAnsi="宋体"/>
          <w:color w:val="auto"/>
        </w:rPr>
      </w:pPr>
      <w:r>
        <w:rPr>
          <w:color w:val="auto"/>
        </w:rPr>
        <w:t>本项目完成后</w:t>
      </w:r>
      <w:r>
        <w:rPr>
          <w:rFonts w:hAnsi="宋体"/>
          <w:color w:val="auto"/>
        </w:rPr>
        <w:t>通过对主要高噪声源采取隔声、减振、</w:t>
      </w:r>
      <w:r>
        <w:rPr>
          <w:rFonts w:hint="eastAsia" w:hAnsi="宋体"/>
          <w:color w:val="auto"/>
        </w:rPr>
        <w:t>距离衰减</w:t>
      </w:r>
      <w:r>
        <w:rPr>
          <w:rFonts w:hAnsi="宋体"/>
          <w:color w:val="auto"/>
        </w:rPr>
        <w:t>等降噪措施后，各</w:t>
      </w:r>
      <w:r>
        <w:rPr>
          <w:rFonts w:hint="eastAsia" w:hAnsi="宋体"/>
          <w:color w:val="auto"/>
        </w:rPr>
        <w:t>厂界</w:t>
      </w:r>
      <w:r>
        <w:rPr>
          <w:rFonts w:hAnsi="宋体"/>
          <w:color w:val="auto"/>
        </w:rPr>
        <w:t>噪声可满足《工业企业厂界</w:t>
      </w:r>
      <w:r>
        <w:rPr>
          <w:rFonts w:hint="eastAsia" w:hAnsi="宋体"/>
          <w:color w:val="auto"/>
        </w:rPr>
        <w:t>环境</w:t>
      </w:r>
      <w:r>
        <w:rPr>
          <w:rFonts w:hAnsi="宋体"/>
          <w:color w:val="auto"/>
        </w:rPr>
        <w:t>噪声排放标准》（GB12348-2008）</w:t>
      </w:r>
      <w:r>
        <w:rPr>
          <w:rFonts w:hint="eastAsia" w:hAnsi="宋体"/>
          <w:color w:val="auto"/>
        </w:rPr>
        <w:t>2</w:t>
      </w:r>
      <w:r>
        <w:rPr>
          <w:rFonts w:hAnsi="宋体"/>
          <w:color w:val="auto"/>
        </w:rPr>
        <w:t>类标准</w:t>
      </w:r>
      <w:r>
        <w:rPr>
          <w:rFonts w:hint="eastAsia" w:hAnsi="宋体"/>
          <w:color w:val="auto"/>
        </w:rPr>
        <w:t>（</w:t>
      </w:r>
      <w:r>
        <w:rPr>
          <w:color w:val="auto"/>
        </w:rPr>
        <w:t>昼间</w:t>
      </w:r>
      <w:r>
        <w:rPr>
          <w:rFonts w:hint="eastAsia"/>
          <w:color w:val="auto"/>
        </w:rPr>
        <w:t>60</w:t>
      </w:r>
      <w:r>
        <w:rPr>
          <w:color w:val="auto"/>
          <w:kern w:val="0"/>
        </w:rPr>
        <w:t>dB(A)；夜间</w:t>
      </w:r>
      <w:r>
        <w:rPr>
          <w:rFonts w:hint="eastAsia"/>
          <w:color w:val="auto"/>
        </w:rPr>
        <w:t>50</w:t>
      </w:r>
      <w:r>
        <w:rPr>
          <w:color w:val="auto"/>
          <w:kern w:val="0"/>
        </w:rPr>
        <w:t>dB(A)</w:t>
      </w:r>
      <w:r>
        <w:rPr>
          <w:rFonts w:hint="eastAsia" w:hAnsi="宋体"/>
          <w:color w:val="auto"/>
        </w:rPr>
        <w:t>）</w:t>
      </w:r>
      <w:r>
        <w:rPr>
          <w:rFonts w:hAnsi="宋体"/>
          <w:color w:val="auto"/>
        </w:rPr>
        <w:t>要求。</w:t>
      </w:r>
    </w:p>
    <w:p>
      <w:pPr>
        <w:ind w:firstLine="480"/>
        <w:rPr>
          <w:rFonts w:hAnsi="宋体"/>
          <w:color w:val="auto"/>
        </w:rPr>
      </w:pPr>
      <w:r>
        <w:rPr>
          <w:rFonts w:hAnsi="宋体"/>
          <w:color w:val="auto"/>
        </w:rPr>
        <w:t>（</w:t>
      </w:r>
      <w:r>
        <w:rPr>
          <w:rFonts w:hint="eastAsia"/>
          <w:color w:val="auto"/>
        </w:rPr>
        <w:t>5</w:t>
      </w:r>
      <w:r>
        <w:rPr>
          <w:rFonts w:hAnsi="宋体"/>
          <w:color w:val="auto"/>
        </w:rPr>
        <w:t>）</w:t>
      </w:r>
      <w:r>
        <w:rPr>
          <w:rFonts w:hint="eastAsia" w:hAnsi="宋体"/>
          <w:color w:val="auto"/>
        </w:rPr>
        <w:t>固体废物</w:t>
      </w:r>
      <w:r>
        <w:rPr>
          <w:rFonts w:hAnsi="宋体"/>
          <w:color w:val="auto"/>
        </w:rPr>
        <w:t>影响预测小结</w:t>
      </w:r>
    </w:p>
    <w:p>
      <w:pPr>
        <w:ind w:firstLine="480"/>
        <w:rPr>
          <w:rFonts w:hAnsi="宋体"/>
          <w:color w:val="auto"/>
        </w:rPr>
      </w:pPr>
      <w:r>
        <w:rPr>
          <w:bCs/>
          <w:color w:val="auto"/>
        </w:rPr>
        <w:t>本项目产生的固体废物主要包括疾病防疫产生的医疗废物、养殖过程产生的少量病死猪尸、猪粪固形物、</w:t>
      </w:r>
      <w:r>
        <w:rPr>
          <w:rFonts w:hint="eastAsia"/>
          <w:bCs/>
          <w:color w:val="auto"/>
        </w:rPr>
        <w:t>废导热油</w:t>
      </w:r>
      <w:r>
        <w:rPr>
          <w:bCs/>
          <w:color w:val="auto"/>
        </w:rPr>
        <w:t>、</w:t>
      </w:r>
      <w:r>
        <w:rPr>
          <w:rFonts w:hint="eastAsia"/>
          <w:bCs/>
          <w:color w:val="auto"/>
        </w:rPr>
        <w:t>废脱硫剂</w:t>
      </w:r>
      <w:r>
        <w:rPr>
          <w:rFonts w:hint="eastAsia" w:hAnsi="宋体"/>
          <w:color w:val="auto"/>
        </w:rPr>
        <w:t>及</w:t>
      </w:r>
      <w:r>
        <w:rPr>
          <w:bCs/>
          <w:color w:val="auto"/>
        </w:rPr>
        <w:t>职工生活垃圾</w:t>
      </w:r>
      <w:r>
        <w:rPr>
          <w:rFonts w:hint="eastAsia"/>
          <w:bCs/>
          <w:color w:val="auto"/>
        </w:rPr>
        <w:t>、沼渣等。</w:t>
      </w:r>
      <w:r>
        <w:rPr>
          <w:rFonts w:hAnsi="宋体"/>
          <w:color w:val="auto"/>
        </w:rPr>
        <w:t>项目产生的固体废物均得到合理处理、处置，不会对周围环境造成二次污染。</w:t>
      </w:r>
    </w:p>
    <w:p>
      <w:pPr>
        <w:pStyle w:val="6"/>
        <w:rPr>
          <w:color w:val="auto"/>
        </w:rPr>
      </w:pPr>
      <w:bookmarkStart w:id="813" w:name="_Toc193113606"/>
      <w:r>
        <w:rPr>
          <w:rFonts w:hint="eastAsia"/>
          <w:color w:val="auto"/>
        </w:rPr>
        <w:t>10</w:t>
      </w:r>
      <w:r>
        <w:rPr>
          <w:color w:val="auto"/>
        </w:rPr>
        <w:t>.1.</w:t>
      </w:r>
      <w:r>
        <w:rPr>
          <w:rFonts w:hint="eastAsia"/>
          <w:color w:val="auto"/>
        </w:rPr>
        <w:t>5</w:t>
      </w:r>
      <w:r>
        <w:rPr>
          <w:color w:val="auto"/>
        </w:rPr>
        <w:t xml:space="preserve">  清洁生产结论</w:t>
      </w:r>
      <w:bookmarkEnd w:id="813"/>
    </w:p>
    <w:p>
      <w:pPr>
        <w:pStyle w:val="12"/>
        <w:spacing w:line="360" w:lineRule="auto"/>
        <w:ind w:firstLine="480"/>
        <w:rPr>
          <w:rFonts w:eastAsia="宋体" w:cs="宋体"/>
          <w:color w:val="auto"/>
          <w:sz w:val="24"/>
        </w:rPr>
      </w:pPr>
      <w:bookmarkStart w:id="814" w:name="_Toc193113608"/>
      <w:r>
        <w:rPr>
          <w:rFonts w:hint="eastAsia" w:eastAsia="宋体" w:cs="宋体"/>
          <w:color w:val="auto"/>
          <w:sz w:val="24"/>
        </w:rPr>
        <w:t>本项目在采取评价建议以及工程设计的清洁生产方案后，各类指标均处于国内先进清洁生产水平，可以满足清洁生产的相关要求。</w:t>
      </w:r>
    </w:p>
    <w:p>
      <w:pPr>
        <w:pStyle w:val="6"/>
        <w:rPr>
          <w:color w:val="auto"/>
        </w:rPr>
      </w:pPr>
      <w:r>
        <w:rPr>
          <w:rFonts w:hint="eastAsia"/>
          <w:color w:val="auto"/>
        </w:rPr>
        <w:t>10</w:t>
      </w:r>
      <w:r>
        <w:rPr>
          <w:color w:val="auto"/>
        </w:rPr>
        <w:t>.1.</w:t>
      </w:r>
      <w:r>
        <w:rPr>
          <w:rFonts w:hint="eastAsia"/>
          <w:color w:val="auto"/>
        </w:rPr>
        <w:t>6</w:t>
      </w:r>
      <w:r>
        <w:rPr>
          <w:color w:val="auto"/>
        </w:rPr>
        <w:t xml:space="preserve">  公众参与结论</w:t>
      </w:r>
      <w:bookmarkEnd w:id="814"/>
    </w:p>
    <w:p>
      <w:pPr>
        <w:ind w:firstLine="480"/>
        <w:rPr>
          <w:color w:val="auto"/>
        </w:rPr>
      </w:pPr>
      <w:bookmarkStart w:id="815" w:name="_Toc193113609"/>
      <w:r>
        <w:rPr>
          <w:color w:val="auto"/>
        </w:rPr>
        <w:t>根据建设单位报送的《</w:t>
      </w:r>
      <w:r>
        <w:rPr>
          <w:rFonts w:hint="eastAsia"/>
          <w:color w:val="auto"/>
        </w:rPr>
        <w:t>濮阳县牧原农牧有限公司濮阳县三厂生猪养殖项目（年出栏5万头生猪）</w:t>
      </w:r>
      <w:r>
        <w:rPr>
          <w:color w:val="auto"/>
        </w:rPr>
        <w:t>环境影响评价公众参与说明》，建设单位分别以网络公示、</w:t>
      </w:r>
      <w:r>
        <w:rPr>
          <w:rFonts w:hint="eastAsia"/>
          <w:color w:val="auto"/>
        </w:rPr>
        <w:t>报纸公示</w:t>
      </w:r>
      <w:r>
        <w:rPr>
          <w:color w:val="auto"/>
        </w:rPr>
        <w:t>等多种形式开展了公众参与调查。</w:t>
      </w:r>
    </w:p>
    <w:p>
      <w:pPr>
        <w:ind w:firstLine="480"/>
        <w:rPr>
          <w:color w:val="auto"/>
        </w:rPr>
      </w:pPr>
      <w:r>
        <w:rPr>
          <w:color w:val="auto"/>
        </w:rPr>
        <w:t>建设单位于于20</w:t>
      </w:r>
      <w:r>
        <w:rPr>
          <w:rFonts w:hint="eastAsia"/>
          <w:color w:val="auto"/>
        </w:rPr>
        <w:t>20</w:t>
      </w:r>
      <w:r>
        <w:rPr>
          <w:color w:val="auto"/>
        </w:rPr>
        <w:t>年</w:t>
      </w:r>
      <w:r>
        <w:rPr>
          <w:rFonts w:hint="eastAsia"/>
          <w:color w:val="auto"/>
        </w:rPr>
        <w:t>9</w:t>
      </w:r>
      <w:r>
        <w:rPr>
          <w:color w:val="auto"/>
        </w:rPr>
        <w:t>月</w:t>
      </w:r>
      <w:r>
        <w:rPr>
          <w:rFonts w:hint="eastAsia"/>
          <w:color w:val="auto"/>
        </w:rPr>
        <w:t>14</w:t>
      </w:r>
      <w:r>
        <w:rPr>
          <w:color w:val="auto"/>
        </w:rPr>
        <w:t>日在</w:t>
      </w:r>
      <w:r>
        <w:rPr>
          <w:rFonts w:hint="eastAsia"/>
          <w:color w:val="auto"/>
        </w:rPr>
        <w:t>环评互联网网站</w:t>
      </w:r>
      <w:r>
        <w:rPr>
          <w:color w:val="auto"/>
        </w:rPr>
        <w:t>上进行了一次公示；项目于20</w:t>
      </w:r>
      <w:r>
        <w:rPr>
          <w:rFonts w:hint="eastAsia"/>
          <w:color w:val="auto"/>
        </w:rPr>
        <w:t>20</w:t>
      </w:r>
      <w:r>
        <w:rPr>
          <w:color w:val="auto"/>
        </w:rPr>
        <w:t>年</w:t>
      </w:r>
      <w:r>
        <w:rPr>
          <w:rFonts w:hint="eastAsia"/>
          <w:color w:val="auto"/>
        </w:rPr>
        <w:t>9</w:t>
      </w:r>
      <w:r>
        <w:rPr>
          <w:color w:val="auto"/>
        </w:rPr>
        <w:t>月</w:t>
      </w:r>
      <w:r>
        <w:rPr>
          <w:rFonts w:hint="eastAsia"/>
          <w:color w:val="auto"/>
        </w:rPr>
        <w:t>14</w:t>
      </w:r>
      <w:r>
        <w:rPr>
          <w:color w:val="auto"/>
        </w:rPr>
        <w:t>日在</w:t>
      </w:r>
      <w:r>
        <w:rPr>
          <w:rFonts w:hint="eastAsia"/>
          <w:color w:val="auto"/>
        </w:rPr>
        <w:t>环评互联网网站</w:t>
      </w:r>
      <w:r>
        <w:rPr>
          <w:color w:val="auto"/>
        </w:rPr>
        <w:t>上进行了一次公示；项目于20</w:t>
      </w:r>
      <w:r>
        <w:rPr>
          <w:rFonts w:hint="eastAsia"/>
          <w:color w:val="auto"/>
        </w:rPr>
        <w:t>20</w:t>
      </w:r>
      <w:r>
        <w:rPr>
          <w:color w:val="auto"/>
        </w:rPr>
        <w:t>年</w:t>
      </w:r>
      <w:r>
        <w:rPr>
          <w:rFonts w:hint="eastAsia"/>
          <w:color w:val="auto"/>
        </w:rPr>
        <w:t>9</w:t>
      </w:r>
      <w:r>
        <w:rPr>
          <w:color w:val="auto"/>
        </w:rPr>
        <w:t>月</w:t>
      </w:r>
      <w:r>
        <w:rPr>
          <w:rFonts w:hint="eastAsia"/>
          <w:color w:val="auto"/>
        </w:rPr>
        <w:t>23</w:t>
      </w:r>
      <w:r>
        <w:rPr>
          <w:color w:val="auto"/>
        </w:rPr>
        <w:t>日～20</w:t>
      </w:r>
      <w:r>
        <w:rPr>
          <w:rFonts w:hint="eastAsia"/>
          <w:color w:val="auto"/>
        </w:rPr>
        <w:t>20</w:t>
      </w:r>
      <w:r>
        <w:rPr>
          <w:color w:val="auto"/>
        </w:rPr>
        <w:t>年</w:t>
      </w:r>
      <w:r>
        <w:rPr>
          <w:rFonts w:hint="eastAsia"/>
          <w:color w:val="auto"/>
        </w:rPr>
        <w:t>10</w:t>
      </w:r>
      <w:r>
        <w:rPr>
          <w:color w:val="auto"/>
        </w:rPr>
        <w:t>月</w:t>
      </w:r>
      <w:r>
        <w:rPr>
          <w:rFonts w:hint="eastAsia"/>
          <w:color w:val="auto"/>
        </w:rPr>
        <w:t>12</w:t>
      </w:r>
      <w:r>
        <w:rPr>
          <w:color w:val="auto"/>
        </w:rPr>
        <w:t>日在</w:t>
      </w:r>
      <w:r>
        <w:rPr>
          <w:rFonts w:hint="eastAsia"/>
          <w:color w:val="auto"/>
        </w:rPr>
        <w:t>环评互联网网站</w:t>
      </w:r>
      <w:r>
        <w:rPr>
          <w:color w:val="auto"/>
        </w:rPr>
        <w:t>进行了二次公示</w:t>
      </w:r>
      <w:r>
        <w:rPr>
          <w:rFonts w:hint="eastAsia"/>
          <w:color w:val="auto"/>
        </w:rPr>
        <w:t>，同时在附近村庄进行了现场公示</w:t>
      </w:r>
      <w:r>
        <w:rPr>
          <w:color w:val="auto"/>
        </w:rPr>
        <w:t>，并于20</w:t>
      </w:r>
      <w:r>
        <w:rPr>
          <w:rFonts w:hint="eastAsia"/>
          <w:color w:val="auto"/>
        </w:rPr>
        <w:t>20</w:t>
      </w:r>
      <w:r>
        <w:rPr>
          <w:color w:val="auto"/>
        </w:rPr>
        <w:t>年</w:t>
      </w:r>
      <w:r>
        <w:rPr>
          <w:rFonts w:hint="eastAsia"/>
          <w:color w:val="auto"/>
        </w:rPr>
        <w:t>9</w:t>
      </w:r>
      <w:r>
        <w:rPr>
          <w:color w:val="auto"/>
        </w:rPr>
        <w:t>月</w:t>
      </w:r>
      <w:r>
        <w:rPr>
          <w:rFonts w:hint="eastAsia"/>
          <w:color w:val="auto"/>
        </w:rPr>
        <w:t>26</w:t>
      </w:r>
      <w:r>
        <w:rPr>
          <w:color w:val="auto"/>
        </w:rPr>
        <w:t>日和</w:t>
      </w:r>
      <w:r>
        <w:rPr>
          <w:rFonts w:hint="eastAsia"/>
          <w:color w:val="auto"/>
        </w:rPr>
        <w:t>2020年9</w:t>
      </w:r>
      <w:r>
        <w:rPr>
          <w:color w:val="auto"/>
        </w:rPr>
        <w:t>月</w:t>
      </w:r>
      <w:r>
        <w:rPr>
          <w:rFonts w:hint="eastAsia"/>
          <w:color w:val="auto"/>
        </w:rPr>
        <w:t>28</w:t>
      </w:r>
      <w:r>
        <w:rPr>
          <w:color w:val="auto"/>
        </w:rPr>
        <w:t>日在</w:t>
      </w:r>
      <w:r>
        <w:rPr>
          <w:rFonts w:hint="eastAsia"/>
          <w:color w:val="auto"/>
        </w:rPr>
        <w:t>中原石油报</w:t>
      </w:r>
      <w:r>
        <w:rPr>
          <w:color w:val="auto"/>
        </w:rPr>
        <w:t>进行了两次报纸公示</w:t>
      </w:r>
      <w:r>
        <w:rPr>
          <w:rFonts w:hint="eastAsia"/>
          <w:color w:val="auto"/>
        </w:rPr>
        <w:t>；</w:t>
      </w:r>
    </w:p>
    <w:p>
      <w:pPr>
        <w:ind w:firstLine="480"/>
        <w:rPr>
          <w:color w:val="auto"/>
        </w:rPr>
      </w:pPr>
      <w:r>
        <w:rPr>
          <w:color w:val="auto"/>
        </w:rPr>
        <w:t>较深入的征求了区域公众的意见</w:t>
      </w:r>
      <w:r>
        <w:rPr>
          <w:rFonts w:hint="eastAsia"/>
          <w:color w:val="auto"/>
        </w:rPr>
        <w:t>，</w:t>
      </w:r>
      <w:r>
        <w:rPr>
          <w:color w:val="auto"/>
        </w:rPr>
        <w:t>在公示期间未收到有关公众对本项目提出任何的意见及建议。</w:t>
      </w:r>
    </w:p>
    <w:p>
      <w:pPr>
        <w:ind w:firstLine="480"/>
        <w:rPr>
          <w:color w:val="auto"/>
        </w:rPr>
      </w:pPr>
      <w:r>
        <w:rPr>
          <w:color w:val="auto"/>
        </w:rPr>
        <w:t>建设单位也作出承诺，在项目建设、运行过程中应做好各项污染防治措施，认真落实公众关注的问题和意见。</w:t>
      </w:r>
    </w:p>
    <w:p>
      <w:pPr>
        <w:ind w:firstLine="480"/>
        <w:rPr>
          <w:color w:val="auto"/>
        </w:rPr>
      </w:pPr>
      <w:r>
        <w:rPr>
          <w:color w:val="auto"/>
        </w:rPr>
        <w:t>综上所述：本项目建设为当地公众所接受。</w:t>
      </w:r>
    </w:p>
    <w:p>
      <w:pPr>
        <w:pStyle w:val="6"/>
        <w:rPr>
          <w:color w:val="auto"/>
        </w:rPr>
      </w:pPr>
      <w:r>
        <w:rPr>
          <w:rFonts w:hint="eastAsia"/>
          <w:color w:val="auto"/>
        </w:rPr>
        <w:t>10</w:t>
      </w:r>
      <w:r>
        <w:rPr>
          <w:color w:val="auto"/>
        </w:rPr>
        <w:t>.1.</w:t>
      </w:r>
      <w:r>
        <w:rPr>
          <w:rFonts w:hint="eastAsia"/>
          <w:color w:val="auto"/>
        </w:rPr>
        <w:t>7</w:t>
      </w:r>
      <w:r>
        <w:rPr>
          <w:color w:val="auto"/>
        </w:rPr>
        <w:t xml:space="preserve">  环境风险结论</w:t>
      </w:r>
      <w:bookmarkEnd w:id="815"/>
    </w:p>
    <w:p>
      <w:pPr>
        <w:ind w:firstLine="480"/>
        <w:rPr>
          <w:color w:val="auto"/>
        </w:rPr>
      </w:pPr>
      <w:r>
        <w:rPr>
          <w:color w:val="auto"/>
        </w:rPr>
        <w:t>本项目环境风险主要表现在沼气发生泄漏引起中毒，以及</w:t>
      </w:r>
      <w:r>
        <w:rPr>
          <w:rFonts w:hint="eastAsia"/>
          <w:color w:val="auto"/>
        </w:rPr>
        <w:t>污染处理设施运行过程风险。</w:t>
      </w:r>
      <w:r>
        <w:rPr>
          <w:color w:val="auto"/>
        </w:rPr>
        <w:t>在严格落实本环评提出的各项风险防范措施和事故应急预案后，该项目发生风险事故的可能进一步降低，其潜在的环境风险是可以接受的。</w:t>
      </w:r>
    </w:p>
    <w:p>
      <w:pPr>
        <w:pStyle w:val="6"/>
        <w:rPr>
          <w:color w:val="auto"/>
        </w:rPr>
      </w:pPr>
      <w:r>
        <w:rPr>
          <w:rFonts w:hint="eastAsia"/>
          <w:color w:val="auto"/>
        </w:rPr>
        <w:t>10</w:t>
      </w:r>
      <w:r>
        <w:rPr>
          <w:color w:val="auto"/>
        </w:rPr>
        <w:t>.1.</w:t>
      </w:r>
      <w:r>
        <w:rPr>
          <w:rFonts w:hint="eastAsia"/>
          <w:color w:val="auto"/>
        </w:rPr>
        <w:t>8</w:t>
      </w:r>
      <w:r>
        <w:rPr>
          <w:color w:val="auto"/>
        </w:rPr>
        <w:t xml:space="preserve">  </w:t>
      </w:r>
      <w:r>
        <w:rPr>
          <w:rFonts w:hint="eastAsia"/>
          <w:color w:val="auto"/>
        </w:rPr>
        <w:t>厂址选择可行性分析</w:t>
      </w:r>
    </w:p>
    <w:p>
      <w:pPr>
        <w:ind w:firstLine="480"/>
        <w:rPr>
          <w:rFonts w:hAnsi="宋体"/>
          <w:color w:val="auto"/>
        </w:rPr>
      </w:pPr>
      <w:bookmarkStart w:id="816" w:name="_Toc288690229"/>
      <w:bookmarkStart w:id="817" w:name="_Toc269469117"/>
      <w:bookmarkStart w:id="818" w:name="_Toc295122060"/>
      <w:bookmarkStart w:id="819" w:name="_Toc366760549"/>
      <w:bookmarkStart w:id="820" w:name="_Toc329183386"/>
      <w:bookmarkStart w:id="821" w:name="_Toc269577495"/>
      <w:r>
        <w:rPr>
          <w:rFonts w:hAnsi="宋体"/>
          <w:color w:val="auto"/>
        </w:rPr>
        <w:t>评价从</w:t>
      </w:r>
      <w:r>
        <w:rPr>
          <w:rFonts w:hint="eastAsia" w:hAnsi="宋体"/>
          <w:color w:val="auto"/>
        </w:rPr>
        <w:t>场址</w:t>
      </w:r>
      <w:r>
        <w:rPr>
          <w:rFonts w:hAnsi="宋体"/>
          <w:color w:val="auto"/>
        </w:rPr>
        <w:t>位置、土地利用、厂址周围敏感点分布及卫生防护距离、环境现状监测、环境影响预测结果、厂区总平面布置、公众参与调查结果等方面的分析的基础上，认为在认真落实工程设计及环评提出的各项污染防治措施，确保环保设施的正常稳定运行前提下，工程拟选厂址可行。</w:t>
      </w:r>
    </w:p>
    <w:p>
      <w:pPr>
        <w:pStyle w:val="6"/>
        <w:rPr>
          <w:color w:val="auto"/>
        </w:rPr>
      </w:pPr>
      <w:r>
        <w:rPr>
          <w:rFonts w:hint="eastAsia"/>
          <w:color w:val="auto"/>
        </w:rPr>
        <w:t>10</w:t>
      </w:r>
      <w:r>
        <w:rPr>
          <w:color w:val="auto"/>
        </w:rPr>
        <w:t>.1.</w:t>
      </w:r>
      <w:r>
        <w:rPr>
          <w:rFonts w:hint="eastAsia"/>
          <w:color w:val="auto"/>
        </w:rPr>
        <w:t>8</w:t>
      </w:r>
      <w:r>
        <w:rPr>
          <w:color w:val="auto"/>
        </w:rPr>
        <w:t xml:space="preserve">  </w:t>
      </w:r>
      <w:r>
        <w:rPr>
          <w:rFonts w:hint="eastAsia"/>
          <w:color w:val="auto"/>
        </w:rPr>
        <w:t>总量控制</w:t>
      </w:r>
    </w:p>
    <w:p>
      <w:pPr>
        <w:ind w:firstLine="480"/>
        <w:rPr>
          <w:rFonts w:hAnsi="宋体"/>
          <w:color w:val="auto"/>
        </w:rPr>
      </w:pPr>
      <w:bookmarkStart w:id="822" w:name="_Toc476923012"/>
      <w:bookmarkStart w:id="823" w:name="_Toc477187792"/>
      <w:r>
        <w:rPr>
          <w:rFonts w:hint="eastAsia" w:hAnsi="宋体"/>
          <w:color w:val="auto"/>
        </w:rPr>
        <w:t>本</w:t>
      </w:r>
      <w:r>
        <w:rPr>
          <w:rFonts w:hAnsi="宋体"/>
          <w:color w:val="auto"/>
        </w:rPr>
        <w:t>项目</w:t>
      </w:r>
      <w:r>
        <w:rPr>
          <w:rFonts w:hint="eastAsia" w:hAnsi="宋体"/>
          <w:color w:val="auto"/>
        </w:rPr>
        <w:t>沼气主要成分为CH</w:t>
      </w:r>
      <w:r>
        <w:rPr>
          <w:rFonts w:hint="eastAsia" w:hAnsi="宋体"/>
          <w:color w:val="auto"/>
          <w:vertAlign w:val="subscript"/>
        </w:rPr>
        <w:t>4</w:t>
      </w:r>
      <w:r>
        <w:rPr>
          <w:rFonts w:hint="eastAsia" w:hAnsi="宋体"/>
          <w:color w:val="auto"/>
        </w:rPr>
        <w:t>，属于清洁能源，燃烧后主要产物为CO</w:t>
      </w:r>
      <w:r>
        <w:rPr>
          <w:rFonts w:hint="eastAsia" w:hAnsi="宋体"/>
          <w:color w:val="auto"/>
          <w:vertAlign w:val="subscript"/>
        </w:rPr>
        <w:t>2</w:t>
      </w:r>
      <w:r>
        <w:rPr>
          <w:rFonts w:hint="eastAsia" w:hAnsi="宋体"/>
          <w:color w:val="auto"/>
        </w:rPr>
        <w:t>、H</w:t>
      </w:r>
      <w:r>
        <w:rPr>
          <w:rFonts w:hint="eastAsia" w:hAnsi="宋体"/>
          <w:color w:val="auto"/>
          <w:vertAlign w:val="subscript"/>
        </w:rPr>
        <w:t>2</w:t>
      </w:r>
      <w:r>
        <w:rPr>
          <w:rFonts w:hint="eastAsia" w:hAnsi="宋体"/>
          <w:color w:val="auto"/>
        </w:rPr>
        <w:t>O，因此废气污染物SO</w:t>
      </w:r>
      <w:r>
        <w:rPr>
          <w:rFonts w:hint="eastAsia" w:hAnsi="宋体"/>
          <w:color w:val="auto"/>
          <w:vertAlign w:val="subscript"/>
        </w:rPr>
        <w:t>2</w:t>
      </w:r>
      <w:r>
        <w:rPr>
          <w:rFonts w:hint="eastAsia" w:hAnsi="宋体"/>
          <w:color w:val="auto"/>
        </w:rPr>
        <w:t>、NO</w:t>
      </w:r>
      <w:r>
        <w:rPr>
          <w:rFonts w:hint="eastAsia" w:hAnsi="宋体"/>
          <w:color w:val="auto"/>
          <w:vertAlign w:val="subscript"/>
        </w:rPr>
        <w:t>X</w:t>
      </w:r>
      <w:r>
        <w:rPr>
          <w:rFonts w:hint="eastAsia" w:hAnsi="宋体"/>
          <w:color w:val="auto"/>
        </w:rPr>
        <w:t>不需要设置总量控制指标；废水经处理后全部资源化利用，不外排，因此废水污染物COD、</w:t>
      </w:r>
      <w:r>
        <w:rPr>
          <w:rFonts w:hAnsi="宋体"/>
          <w:bCs/>
          <w:color w:val="auto"/>
        </w:rPr>
        <w:t>NH</w:t>
      </w:r>
      <w:r>
        <w:rPr>
          <w:rFonts w:hAnsi="宋体"/>
          <w:bCs/>
          <w:color w:val="auto"/>
          <w:vertAlign w:val="subscript"/>
        </w:rPr>
        <w:t>3</w:t>
      </w:r>
      <w:r>
        <w:rPr>
          <w:rFonts w:hAnsi="宋体"/>
          <w:bCs/>
          <w:color w:val="auto"/>
        </w:rPr>
        <w:t>-N</w:t>
      </w:r>
      <w:r>
        <w:rPr>
          <w:rFonts w:hint="eastAsia" w:hAnsi="宋体"/>
          <w:bCs/>
          <w:color w:val="auto"/>
        </w:rPr>
        <w:t>不需要设置总量控制指标。</w:t>
      </w:r>
    </w:p>
    <w:p>
      <w:pPr>
        <w:pStyle w:val="5"/>
        <w:spacing w:before="0" w:after="0"/>
        <w:ind w:firstLine="0" w:firstLineChars="0"/>
        <w:rPr>
          <w:color w:val="auto"/>
          <w:sz w:val="24"/>
          <w:szCs w:val="24"/>
        </w:rPr>
      </w:pPr>
      <w:bookmarkStart w:id="824" w:name="_Toc23186"/>
      <w:bookmarkStart w:id="825" w:name="_Toc485580839"/>
      <w:bookmarkStart w:id="826" w:name="_Toc18794"/>
      <w:r>
        <w:rPr>
          <w:rFonts w:hint="eastAsia"/>
          <w:color w:val="auto"/>
          <w:sz w:val="24"/>
          <w:szCs w:val="24"/>
        </w:rPr>
        <w:t>10</w:t>
      </w:r>
      <w:r>
        <w:rPr>
          <w:color w:val="auto"/>
          <w:sz w:val="24"/>
          <w:szCs w:val="24"/>
        </w:rPr>
        <w:t xml:space="preserve">.2  </w:t>
      </w:r>
      <w:bookmarkStart w:id="827" w:name="_Toc193113610"/>
      <w:r>
        <w:rPr>
          <w:color w:val="auto"/>
          <w:sz w:val="24"/>
          <w:szCs w:val="24"/>
        </w:rPr>
        <w:t>建议</w:t>
      </w:r>
      <w:bookmarkEnd w:id="816"/>
      <w:bookmarkEnd w:id="817"/>
      <w:bookmarkEnd w:id="818"/>
      <w:bookmarkEnd w:id="819"/>
      <w:bookmarkEnd w:id="820"/>
      <w:bookmarkEnd w:id="821"/>
      <w:bookmarkEnd w:id="822"/>
      <w:bookmarkEnd w:id="823"/>
      <w:bookmarkEnd w:id="824"/>
      <w:bookmarkEnd w:id="825"/>
      <w:bookmarkEnd w:id="826"/>
      <w:bookmarkEnd w:id="827"/>
    </w:p>
    <w:p>
      <w:pPr>
        <w:pStyle w:val="6"/>
        <w:rPr>
          <w:color w:val="auto"/>
        </w:rPr>
      </w:pPr>
      <w:r>
        <w:rPr>
          <w:color w:val="auto"/>
        </w:rPr>
        <w:t>10.2.1 环保政策及管理建议</w:t>
      </w:r>
    </w:p>
    <w:p>
      <w:pPr>
        <w:ind w:firstLine="480"/>
        <w:rPr>
          <w:rFonts w:hAnsi="宋体"/>
          <w:color w:val="auto"/>
        </w:rPr>
      </w:pPr>
      <w:r>
        <w:rPr>
          <w:rFonts w:hAnsi="宋体"/>
          <w:color w:val="auto"/>
        </w:rPr>
        <w:t>严格执行环保“三同时”制度，评价中提出的各项污染防治设施</w:t>
      </w:r>
      <w:r>
        <w:rPr>
          <w:rFonts w:hint="eastAsia" w:hAnsi="宋体"/>
          <w:color w:val="auto"/>
        </w:rPr>
        <w:t>必须</w:t>
      </w:r>
      <w:r>
        <w:rPr>
          <w:rFonts w:hAnsi="宋体"/>
          <w:color w:val="auto"/>
        </w:rPr>
        <w:t>与主体工程同时设计、同时施工、同时投入使用。</w:t>
      </w:r>
    </w:p>
    <w:p>
      <w:pPr>
        <w:pStyle w:val="6"/>
        <w:rPr>
          <w:color w:val="auto"/>
        </w:rPr>
      </w:pPr>
      <w:r>
        <w:rPr>
          <w:color w:val="auto"/>
        </w:rPr>
        <w:t>10.2.2</w:t>
      </w:r>
      <w:r>
        <w:rPr>
          <w:rFonts w:hint="eastAsia"/>
          <w:color w:val="auto"/>
        </w:rPr>
        <w:t>施工期</w:t>
      </w:r>
      <w:r>
        <w:rPr>
          <w:color w:val="auto"/>
        </w:rPr>
        <w:t>环境管理建议</w:t>
      </w:r>
    </w:p>
    <w:p>
      <w:pPr>
        <w:ind w:firstLine="480"/>
        <w:rPr>
          <w:rFonts w:hAnsi="宋体"/>
          <w:color w:val="auto"/>
        </w:rPr>
      </w:pPr>
      <w:r>
        <w:rPr>
          <w:rFonts w:hint="eastAsia" w:hAnsi="宋体"/>
          <w:color w:val="auto"/>
        </w:rPr>
        <w:t>合理安排工期，尽可能地加快施工速度，减少施工时间，并建议施工单位采取逐段施工方式；优先选用低噪声设备，日常应注意对施工设备的维修、保养，使各种施工机械保持良好的运行状态；施工现场应设污水收集和简易处理设施。</w:t>
      </w:r>
    </w:p>
    <w:p>
      <w:pPr>
        <w:pStyle w:val="6"/>
        <w:rPr>
          <w:color w:val="auto"/>
        </w:rPr>
      </w:pPr>
      <w:r>
        <w:rPr>
          <w:color w:val="auto"/>
        </w:rPr>
        <w:t>10.2.</w:t>
      </w:r>
      <w:r>
        <w:rPr>
          <w:rFonts w:hint="eastAsia"/>
          <w:color w:val="auto"/>
        </w:rPr>
        <w:t>3</w:t>
      </w:r>
      <w:r>
        <w:rPr>
          <w:color w:val="auto"/>
        </w:rPr>
        <w:t>防止疾病传播和病死</w:t>
      </w:r>
      <w:r>
        <w:rPr>
          <w:rFonts w:hint="eastAsia"/>
          <w:color w:val="auto"/>
        </w:rPr>
        <w:t>猪尸体</w:t>
      </w:r>
      <w:r>
        <w:rPr>
          <w:color w:val="auto"/>
        </w:rPr>
        <w:t>处理要求</w:t>
      </w:r>
    </w:p>
    <w:p>
      <w:pPr>
        <w:ind w:firstLine="480"/>
        <w:rPr>
          <w:rFonts w:hAnsi="宋体"/>
          <w:color w:val="auto"/>
        </w:rPr>
      </w:pPr>
      <w:r>
        <w:rPr>
          <w:rFonts w:hAnsi="宋体"/>
          <w:color w:val="auto"/>
        </w:rPr>
        <w:t>加强全场卫生管理，防止疫病传播与扩散</w:t>
      </w:r>
      <w:r>
        <w:rPr>
          <w:rFonts w:hint="eastAsia" w:hAnsi="宋体"/>
          <w:color w:val="auto"/>
        </w:rPr>
        <w:t>；</w:t>
      </w:r>
      <w:r>
        <w:rPr>
          <w:rFonts w:hAnsi="宋体"/>
          <w:color w:val="auto"/>
        </w:rPr>
        <w:t>定期对</w:t>
      </w:r>
      <w:r>
        <w:rPr>
          <w:rFonts w:hint="eastAsia" w:hAnsi="宋体"/>
          <w:color w:val="auto"/>
        </w:rPr>
        <w:t>厂区</w:t>
      </w:r>
      <w:r>
        <w:rPr>
          <w:rFonts w:hAnsi="宋体"/>
          <w:color w:val="auto"/>
        </w:rPr>
        <w:t>进行消毒，防止蝇、蛆滋生，防止病原体的传播与扩散；</w:t>
      </w:r>
      <w:r>
        <w:rPr>
          <w:rFonts w:hint="eastAsia" w:hAnsi="宋体"/>
          <w:color w:val="auto"/>
        </w:rPr>
        <w:t>厂区</w:t>
      </w:r>
      <w:r>
        <w:rPr>
          <w:rFonts w:hAnsi="宋体"/>
          <w:color w:val="auto"/>
        </w:rPr>
        <w:t>应合理布局，实现安全生产和无害化管理</w:t>
      </w:r>
      <w:r>
        <w:rPr>
          <w:rFonts w:hint="eastAsia" w:hAnsi="宋体"/>
          <w:color w:val="auto"/>
        </w:rPr>
        <w:t>；病死猪尸体在厂区无害化处理厂</w:t>
      </w:r>
      <w:r>
        <w:rPr>
          <w:rFonts w:hint="eastAsia"/>
          <w:color w:val="auto"/>
          <w:szCs w:val="21"/>
        </w:rPr>
        <w:t>。</w:t>
      </w:r>
    </w:p>
    <w:p>
      <w:pPr>
        <w:pStyle w:val="6"/>
        <w:rPr>
          <w:color w:val="auto"/>
        </w:rPr>
      </w:pPr>
      <w:r>
        <w:rPr>
          <w:color w:val="auto"/>
        </w:rPr>
        <w:t>10.2.</w:t>
      </w:r>
      <w:r>
        <w:rPr>
          <w:rFonts w:hint="eastAsia"/>
          <w:color w:val="auto"/>
        </w:rPr>
        <w:t>4</w:t>
      </w:r>
      <w:r>
        <w:rPr>
          <w:color w:val="auto"/>
        </w:rPr>
        <w:t xml:space="preserve"> 恶臭污染防治及防护距离管理要求</w:t>
      </w:r>
    </w:p>
    <w:p>
      <w:pPr>
        <w:ind w:firstLine="480"/>
        <w:rPr>
          <w:rFonts w:hAnsi="宋体"/>
          <w:color w:val="auto"/>
        </w:rPr>
      </w:pPr>
      <w:r>
        <w:rPr>
          <w:rFonts w:hAnsi="宋体"/>
          <w:color w:val="auto"/>
        </w:rPr>
        <w:t>企业应积极稳妥地采取措施，按《畜禽养殖业污染防治技术规范》（HJ/T81－2001）要求强化流程管理，防止各主要环节恶臭污染物的产生。在规定的防护距离内，</w:t>
      </w:r>
      <w:r>
        <w:rPr>
          <w:rFonts w:hint="eastAsia" w:hAnsi="宋体"/>
          <w:color w:val="auto"/>
        </w:rPr>
        <w:t>规划部门</w:t>
      </w:r>
      <w:r>
        <w:rPr>
          <w:rFonts w:hAnsi="宋体"/>
          <w:color w:val="auto"/>
        </w:rPr>
        <w:t>不得</w:t>
      </w:r>
      <w:r>
        <w:rPr>
          <w:rFonts w:hint="eastAsia" w:hAnsi="宋体"/>
          <w:color w:val="auto"/>
        </w:rPr>
        <w:t>再规划</w:t>
      </w:r>
      <w:r>
        <w:rPr>
          <w:rFonts w:hAnsi="宋体"/>
          <w:color w:val="auto"/>
        </w:rPr>
        <w:t>建设居民</w:t>
      </w:r>
      <w:r>
        <w:rPr>
          <w:rFonts w:hint="eastAsia" w:hAnsi="宋体"/>
          <w:color w:val="auto"/>
        </w:rPr>
        <w:t>点</w:t>
      </w:r>
      <w:r>
        <w:rPr>
          <w:rFonts w:hAnsi="宋体"/>
          <w:color w:val="auto"/>
        </w:rPr>
        <w:t>、学校、医院等环境敏感点。</w:t>
      </w:r>
    </w:p>
    <w:p>
      <w:pPr>
        <w:pStyle w:val="6"/>
        <w:rPr>
          <w:color w:val="auto"/>
        </w:rPr>
      </w:pPr>
      <w:r>
        <w:rPr>
          <w:rFonts w:hint="eastAsia"/>
          <w:color w:val="auto"/>
        </w:rPr>
        <w:t>10.2.5切实落实主要高噪声源的污染防治措施，确保厂界噪声达标排放</w:t>
      </w:r>
    </w:p>
    <w:p>
      <w:pPr>
        <w:ind w:firstLine="480"/>
        <w:rPr>
          <w:rFonts w:hAnsi="宋体"/>
          <w:color w:val="auto"/>
        </w:rPr>
      </w:pPr>
      <w:r>
        <w:rPr>
          <w:rFonts w:hAnsi="宋体"/>
          <w:color w:val="auto"/>
        </w:rPr>
        <w:t>高噪声设备</w:t>
      </w:r>
      <w:r>
        <w:rPr>
          <w:rFonts w:hint="eastAsia" w:hAnsi="宋体"/>
          <w:color w:val="auto"/>
        </w:rPr>
        <w:t>如风机应采取设备</w:t>
      </w:r>
      <w:r>
        <w:rPr>
          <w:rFonts w:hAnsi="宋体"/>
          <w:color w:val="auto"/>
        </w:rPr>
        <w:t>基础减振、</w:t>
      </w:r>
      <w:r>
        <w:rPr>
          <w:rFonts w:hint="eastAsia" w:hAnsi="宋体"/>
          <w:color w:val="auto"/>
        </w:rPr>
        <w:t>场房密闭</w:t>
      </w:r>
      <w:r>
        <w:rPr>
          <w:rFonts w:hAnsi="宋体"/>
          <w:color w:val="auto"/>
        </w:rPr>
        <w:t>隔声</w:t>
      </w:r>
      <w:r>
        <w:rPr>
          <w:rFonts w:hint="eastAsia" w:hAnsi="宋体"/>
          <w:color w:val="auto"/>
        </w:rPr>
        <w:t>等措施，实现厂界噪声达标排放。</w:t>
      </w:r>
    </w:p>
    <w:p>
      <w:pPr>
        <w:pStyle w:val="6"/>
        <w:rPr>
          <w:color w:val="auto"/>
        </w:rPr>
      </w:pPr>
      <w:r>
        <w:rPr>
          <w:rFonts w:hint="eastAsia"/>
          <w:color w:val="auto"/>
        </w:rPr>
        <w:t>10.2.6厂界控制</w:t>
      </w:r>
    </w:p>
    <w:p>
      <w:pPr>
        <w:ind w:firstLine="480"/>
        <w:rPr>
          <w:color w:val="auto"/>
          <w:kern w:val="0"/>
          <w:szCs w:val="28"/>
        </w:rPr>
      </w:pPr>
      <w:r>
        <w:rPr>
          <w:rFonts w:hint="eastAsia"/>
          <w:color w:val="auto"/>
          <w:kern w:val="0"/>
          <w:szCs w:val="28"/>
        </w:rPr>
        <w:t>要严格执行项目厂界距禁建区不小于500m的要求，濮阳县五星乡人民政府已出具承诺，承诺在该项目500m范围内不再规划环境敏感点。</w:t>
      </w:r>
    </w:p>
    <w:p>
      <w:pPr>
        <w:spacing w:line="500" w:lineRule="exact"/>
        <w:ind w:firstLine="482"/>
        <w:rPr>
          <w:b/>
          <w:color w:val="auto"/>
        </w:rPr>
      </w:pPr>
      <w:r>
        <w:rPr>
          <w:b/>
          <w:color w:val="auto"/>
        </w:rPr>
        <w:t>综上，</w:t>
      </w:r>
      <w:r>
        <w:rPr>
          <w:rFonts w:hint="eastAsia"/>
          <w:b/>
          <w:color w:val="auto"/>
        </w:rPr>
        <w:t>濮阳县牧原农牧有限公司濮阳县三厂生猪养殖项目（年出栏5万头生猪）</w:t>
      </w:r>
      <w:r>
        <w:rPr>
          <w:b/>
          <w:color w:val="auto"/>
        </w:rPr>
        <w:t>符合国家产业政策和清洁生产要求，项目选址可行，通过认真落实评价所提各项环保治理措施，工程排放的各类污染物对周围环境影响可以接受，可以实现其经济效益、社会效益和环境效益的协调发展。环境风险</w:t>
      </w:r>
      <w:r>
        <w:rPr>
          <w:rFonts w:hint="eastAsia"/>
          <w:b/>
          <w:color w:val="auto"/>
        </w:rPr>
        <w:t>可接受</w:t>
      </w:r>
      <w:r>
        <w:rPr>
          <w:b/>
          <w:color w:val="auto"/>
        </w:rPr>
        <w:t>，项目能够被</w:t>
      </w:r>
      <w:r>
        <w:rPr>
          <w:rFonts w:hint="eastAsia"/>
          <w:b/>
          <w:color w:val="auto"/>
        </w:rPr>
        <w:t>绝大多数</w:t>
      </w:r>
      <w:r>
        <w:rPr>
          <w:b/>
          <w:color w:val="auto"/>
        </w:rPr>
        <w:t>公众认可。因此，在落实各项协议及承诺的前提下，从环保角度分析，本工程建设是可行的。</w:t>
      </w:r>
    </w:p>
    <w:p>
      <w:pPr>
        <w:ind w:firstLine="480"/>
        <w:rPr>
          <w:color w:val="auto"/>
        </w:rPr>
      </w:pPr>
    </w:p>
    <w:sectPr>
      <w:headerReference r:id="rId29" w:type="default"/>
      <w:pgSz w:w="11906" w:h="16838"/>
      <w:pgMar w:top="1440" w:right="1474" w:bottom="1440" w:left="1474"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altName w:val="仿宋"/>
    <w:panose1 w:val="00000000000000000000"/>
    <w:charset w:val="86"/>
    <w:family w:val="modern"/>
    <w:pitch w:val="default"/>
    <w:sig w:usb0="00000000" w:usb1="00000000" w:usb2="00000010" w:usb3="00000000" w:csb0="00040000" w:csb1="00000000"/>
  </w:font>
  <w:font w:name="MingLiU">
    <w:panose1 w:val="02020509000000000000"/>
    <w:charset w:val="88"/>
    <w:family w:val="modern"/>
    <w:pitch w:val="default"/>
    <w:sig w:usb0="A00002FF" w:usb1="28CFFCFA" w:usb2="00000016" w:usb3="00000000" w:csb0="00100001" w:csb1="00000000"/>
  </w:font>
  <w:font w:name="TimesNewRomanPSMT">
    <w:altName w:val="Times New Roman"/>
    <w:panose1 w:val="00000000000000000000"/>
    <w:charset w:val="00"/>
    <w:family w:val="roman"/>
    <w:pitch w:val="default"/>
    <w:sig w:usb0="00000000" w:usb1="00000000" w:usb2="00000009" w:usb3="00000000" w:csb0="000001FF" w:csb1="00000000"/>
  </w:font>
  <w:font w:name="Cambria Math">
    <w:panose1 w:val="02040503050406030204"/>
    <w:charset w:val="00"/>
    <w:family w:val="roman"/>
    <w:pitch w:val="default"/>
    <w:sig w:usb0="E00002FF" w:usb1="420024FF" w:usb2="00000000" w:usb3="00000000" w:csb0="2000019F" w:csb1="00000000"/>
  </w:font>
  <w:font w:name="楷体_GB2312">
    <w:altName w:val="楷体"/>
    <w:panose1 w:val="00000000000000000000"/>
    <w:charset w:val="86"/>
    <w:family w:val="modern"/>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 w:name="Wingdings 2">
    <w:panose1 w:val="05020102010507070707"/>
    <w:charset w:val="02"/>
    <w:family w:val="auto"/>
    <w:pitch w:val="default"/>
    <w:sig w:usb0="00000000" w:usb1="00000000" w:usb2="00000000" w:usb3="00000000" w:csb0="80000000" w:csb1="00000000"/>
  </w:font>
  <w:font w:name="新宋体">
    <w:panose1 w:val="02010609030101010101"/>
    <w:charset w:val="86"/>
    <w:family w:val="modern"/>
    <w:pitch w:val="default"/>
    <w:sig w:usb0="00000003" w:usb1="288F0000" w:usb2="00000006" w:usb3="00000000" w:csb0="00040001" w:csb1="00000000"/>
  </w:font>
  <w:font w:name="PMingLiU">
    <w:panose1 w:val="02020500000000000000"/>
    <w:charset w:val="88"/>
    <w:family w:val="auto"/>
    <w:pitch w:val="default"/>
    <w:sig w:usb0="A00002FF" w:usb1="28CFFCFA" w:usb2="00000016" w:usb3="00000000" w:csb0="00100001"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firstLine="360"/>
    </w:pPr>
    <w:r>
      <w:pict>
        <v:shape id="_x0000_s2049" o:spid="_x0000_s2049"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NJWO7QAAAABQEAAA8AAAAAAAAAAQAg&#10;AAAAIgAAAGRycy9kb3ducmV2LnhtbFBLAQIUABQAAAAIAIdO4kAkUgL7FgIAABcEAAAOAAAAAAAA&#10;AAEAIAAAAB8BAABkcnMvZTJvRG9jLnhtbFBLBQYAAAAABgAGAFkBAACnBQAAAAA=&#10;">
          <v:path/>
          <v:fill on="f" focussize="0,0"/>
          <v:stroke on="f" weight="0.5pt" joinstyle="miter"/>
          <v:imagedata o:title=""/>
          <o:lock v:ext="edit"/>
          <v:textbox inset="0mm,0mm,0mm,0mm" style="mso-fit-shape-to-text:t;">
            <w:txbxContent>
              <w:p>
                <w:pPr>
                  <w:pStyle w:val="17"/>
                  <w:ind w:firstLine="360"/>
                </w:pPr>
                <w:r>
                  <w:fldChar w:fldCharType="begin"/>
                </w:r>
                <w:r>
                  <w:instrText xml:space="preserve"> PAGE  \* MERGEFORMAT </w:instrText>
                </w:r>
                <w:r>
                  <w:fldChar w:fldCharType="separate"/>
                </w:r>
                <w:r>
                  <w:t>III</w:t>
                </w:r>
                <w:r>
                  <w:fldChar w:fldCharType="end"/>
                </w:r>
              </w:p>
            </w:txbxContent>
          </v:textbox>
        </v:shape>
      </w:pic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firstLine="360"/>
    </w:pPr>
    <w:r>
      <w:pict>
        <v:shape id="_x0000_s2050" o:spid="_x0000_s2050"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NJWO7QAAAABQEAAA8AAAAAAAAAAQAg&#10;AAAAIgAAAGRycy9kb3ducmV2LnhtbFBLAQIUABQAAAAIAIdO4kCjD2rjFgIAABcEAAAOAAAAAAAA&#10;AAEAIAAAAB8BAABkcnMvZTJvRG9jLnhtbFBLBQYAAAAABgAGAFkBAACnBQAAAAA=&#10;">
          <v:path/>
          <v:fill on="f" focussize="0,0"/>
          <v:stroke on="f" weight="0.5pt" joinstyle="miter"/>
          <v:imagedata o:title=""/>
          <o:lock v:ext="edit"/>
          <v:textbox inset="0mm,0mm,0mm,0mm" style="mso-fit-shape-to-text:t;">
            <w:txbxContent>
              <w:p>
                <w:pPr>
                  <w:pStyle w:val="17"/>
                  <w:ind w:firstLine="360"/>
                </w:pPr>
                <w:r>
                  <w:fldChar w:fldCharType="begin"/>
                </w:r>
                <w:r>
                  <w:instrText xml:space="preserve"> PAGE  \* MERGEFORMAT </w:instrText>
                </w:r>
                <w:r>
                  <w:fldChar w:fldCharType="separate"/>
                </w:r>
                <w:r>
                  <w:t>48</w:t>
                </w:r>
                <w:r>
                  <w:fldChar w:fldCharType="end"/>
                </w:r>
              </w:p>
            </w:txbxContent>
          </v:textbox>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ind w:firstLine="400"/>
      <w:rPr>
        <w:sz w:val="20"/>
        <w:szCs w:val="20"/>
      </w:rPr>
    </w:pPr>
    <w:r>
      <w:rPr>
        <w:sz w:val="20"/>
      </w:rPr>
      <w:pict>
        <v:shape id="_x0000_s2051" o:spid="_x0000_s2051"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NJWO7QAAAABQEAAA8AAAAAAAAAAQAg&#10;AAAAIgAAAGRycy9kb3ducmV2LnhtbFBLAQIUABQAAAAIAIdO4kBfzbidFgIAABcEAAAOAAAAAAAA&#10;AAEAIAAAAB8BAABkcnMvZTJvRG9jLnhtbFBLBQYAAAAABgAGAFkBAACnBQAAAAA=&#10;">
          <v:path/>
          <v:fill on="f" focussize="0,0"/>
          <v:stroke on="f" weight="0.5pt" joinstyle="miter"/>
          <v:imagedata o:title=""/>
          <o:lock v:ext="edit"/>
          <v:textbox inset="0mm,0mm,0mm,0mm" style="mso-fit-shape-to-text:t;">
            <w:txbxContent>
              <w:p>
                <w:pPr>
                  <w:pStyle w:val="17"/>
                  <w:ind w:firstLine="360"/>
                </w:pPr>
                <w:r>
                  <w:fldChar w:fldCharType="begin"/>
                </w:r>
                <w:r>
                  <w:instrText xml:space="preserve"> PAGE  \* MERGEFORMAT </w:instrText>
                </w:r>
                <w:r>
                  <w:fldChar w:fldCharType="separate"/>
                </w:r>
                <w:r>
                  <w:t>75</w:t>
                </w:r>
                <w:r>
                  <w:fldChar w:fldCharType="end"/>
                </w:r>
              </w:p>
            </w:txbxContent>
          </v:textbox>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firstLine="360"/>
      <w:jc w:val="center"/>
    </w:pPr>
    <w:r>
      <w:pict>
        <v:shape id="_x0000_s2052" o:spid="_x0000_s2052"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NJWO7QAAAABQEAAA8AAAAAAAAAAQAg&#10;AAAAIgAAAGRycy9kb3ducmV2LnhtbFBLAQIUABQAAAAIAIdO4kA0cSYBFgIAABcEAAAOAAAAAAAA&#10;AAEAIAAAAB8BAABkcnMvZTJvRG9jLnhtbFBLBQYAAAAABgAGAFkBAACnBQAAAAA=&#10;">
          <v:path/>
          <v:fill on="f" focussize="0,0"/>
          <v:stroke on="f" weight="0.5pt" joinstyle="miter"/>
          <v:imagedata o:title=""/>
          <o:lock v:ext="edit"/>
          <v:textbox inset="0mm,0mm,0mm,0mm" style="mso-fit-shape-to-text:t;">
            <w:txbxContent>
              <w:p>
                <w:pPr>
                  <w:pStyle w:val="17"/>
                  <w:ind w:firstLine="360"/>
                </w:pPr>
                <w:r>
                  <w:fldChar w:fldCharType="begin"/>
                </w:r>
                <w:r>
                  <w:instrText xml:space="preserve"> PAGE  \* MERGEFORMAT </w:instrText>
                </w:r>
                <w:r>
                  <w:fldChar w:fldCharType="separate"/>
                </w:r>
                <w:r>
                  <w:t>79</w:t>
                </w:r>
                <w:r>
                  <w:fldChar w:fldCharType="end"/>
                </w:r>
              </w:p>
            </w:txbxContent>
          </v:textbox>
        </v:shap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framePr w:wrap="around" w:vAnchor="text" w:hAnchor="margin" w:xAlign="center" w:y="1"/>
      <w:ind w:firstLine="360"/>
      <w:rPr>
        <w:rStyle w:val="30"/>
      </w:rPr>
    </w:pPr>
    <w:r>
      <w:fldChar w:fldCharType="begin"/>
    </w:r>
    <w:r>
      <w:rPr>
        <w:rStyle w:val="30"/>
      </w:rPr>
      <w:instrText xml:space="preserve">PAGE  </w:instrText>
    </w:r>
    <w:r>
      <w:fldChar w:fldCharType="end"/>
    </w:r>
  </w:p>
  <w:p>
    <w:pPr>
      <w:pStyle w:val="17"/>
      <w:ind w:right="360"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firstLine="360"/>
    </w:pPr>
    <w:r>
      <w:pict>
        <v:shape id="_x0000_s2053" o:spid="_x0000_s2053"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NJWO7QAAAABQEAAA8AAAAAAAAAAQAg&#10;AAAAIgAAAGRycy9kb3ducmV2LnhtbFBLAQIUABQAAAAIAIdO4kCnSB1gFgIAABcEAAAOAAAAAAAA&#10;AAEAIAAAAB8BAABkcnMvZTJvRG9jLnhtbFBLBQYAAAAABgAGAFkBAACnBQAAAAA=&#10;">
          <v:path/>
          <v:fill on="f" focussize="0,0"/>
          <v:stroke on="f" weight="0.5pt" joinstyle="miter"/>
          <v:imagedata o:title=""/>
          <o:lock v:ext="edit"/>
          <v:textbox inset="0mm,0mm,0mm,0mm" style="mso-fit-shape-to-text:t;">
            <w:txbxContent>
              <w:p>
                <w:pPr>
                  <w:pStyle w:val="17"/>
                  <w:ind w:firstLine="360"/>
                </w:pPr>
                <w:r>
                  <w:fldChar w:fldCharType="begin"/>
                </w:r>
                <w:r>
                  <w:instrText xml:space="preserve"> PAGE  \* MERGEFORMAT </w:instrText>
                </w:r>
                <w:r>
                  <w:fldChar w:fldCharType="separate"/>
                </w:r>
                <w:r>
                  <w:t>176</w:t>
                </w:r>
                <w:r>
                  <w:fldChar w:fldCharType="end"/>
                </w:r>
              </w:p>
            </w:txbxContent>
          </v:textbox>
        </v:shape>
      </w:pic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framePr w:wrap="around" w:vAnchor="text" w:hAnchor="margin" w:xAlign="center" w:y="1"/>
      <w:ind w:firstLine="360"/>
      <w:rPr>
        <w:rStyle w:val="30"/>
      </w:rPr>
    </w:pPr>
    <w:r>
      <w:fldChar w:fldCharType="begin"/>
    </w:r>
    <w:r>
      <w:rPr>
        <w:rStyle w:val="30"/>
      </w:rPr>
      <w:instrText xml:space="preserve">PAGE  </w:instrText>
    </w:r>
    <w:r>
      <w:fldChar w:fldCharType="end"/>
    </w:r>
  </w:p>
  <w:p>
    <w:pPr>
      <w:pStyle w:val="17"/>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firstLine="360"/>
    </w:pPr>
    <w:r>
      <w:pict>
        <v:shape id="_x0000_s2054" o:spid="_x0000_s2054"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NJWO7QAAAABQEAAA8AAAAAAAAAAQAg&#10;AAAAIgAAAGRycy9kb3ducmV2LnhtbFBLAQIUABQAAAAIAIdO4kDM9IP8FgIAABcEAAAOAAAAAAAA&#10;AAEAIAAAAB8BAABkcnMvZTJvRG9jLnhtbFBLBQYAAAAABgAGAFkBAACnBQAAAAA=&#10;">
          <v:path/>
          <v:fill on="f" focussize="0,0"/>
          <v:stroke on="f" weight="0.5pt" joinstyle="miter"/>
          <v:imagedata o:title=""/>
          <o:lock v:ext="edit"/>
          <v:textbox inset="0mm,0mm,0mm,0mm" style="mso-fit-shape-to-text:t;">
            <w:txbxContent>
              <w:p>
                <w:pPr>
                  <w:pStyle w:val="17"/>
                  <w:ind w:firstLine="360"/>
                </w:pPr>
                <w:r>
                  <w:fldChar w:fldCharType="begin"/>
                </w:r>
                <w:r>
                  <w:instrText xml:space="preserve"> PAGE  \* MERGEFORMAT </w:instrText>
                </w:r>
                <w:r>
                  <w:fldChar w:fldCharType="separate"/>
                </w:r>
                <w:r>
                  <w:t>230</w:t>
                </w:r>
                <w:r>
                  <w:fldChar w:fldCharType="end"/>
                </w:r>
              </w:p>
            </w:txbxContent>
          </v:textbox>
        </v:shape>
      </w:pic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framePr w:wrap="around" w:vAnchor="text" w:hAnchor="margin" w:xAlign="center" w:y="1"/>
      <w:ind w:firstLine="360"/>
      <w:rPr>
        <w:rStyle w:val="30"/>
      </w:rPr>
    </w:pPr>
    <w:r>
      <w:fldChar w:fldCharType="begin"/>
    </w:r>
    <w:r>
      <w:rPr>
        <w:rStyle w:val="30"/>
      </w:rPr>
      <w:instrText xml:space="preserve">PAGE  </w:instrText>
    </w:r>
    <w:r>
      <w:fldChar w:fldCharType="end"/>
    </w:r>
  </w:p>
  <w:p>
    <w:pPr>
      <w:pStyle w:val="17"/>
      <w:ind w:firstLine="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tabs>
        <w:tab w:val="left" w:pos="210"/>
      </w:tabs>
      <w:ind w:firstLine="360"/>
    </w:pPr>
    <w:r>
      <w:rPr>
        <w:rFonts w:hint="eastAsia"/>
      </w:rPr>
      <w:t>目  录</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tabs>
        <w:tab w:val="left" w:pos="210"/>
      </w:tabs>
      <w:ind w:firstLine="360"/>
    </w:pPr>
    <w:r>
      <w:rPr>
        <w:rFonts w:hint="eastAsia"/>
      </w:rPr>
      <w:t>第五章       环境质量影响预测与评价</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firstLine="360"/>
    </w:pPr>
    <w:r>
      <w:rPr>
        <w:rFonts w:hint="eastAsia"/>
      </w:rPr>
      <w:t>第六章  防污减污措施评价</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firstLine="360"/>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firstLine="360"/>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firstLine="360"/>
    </w:pPr>
    <w:r>
      <w:rPr>
        <w:rFonts w:hint="eastAsia"/>
      </w:rPr>
      <w:t>第七章  场址及总图布置可行性分析</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firstLine="360"/>
    </w:pPr>
    <w:r>
      <w:rPr>
        <w:rFonts w:hint="eastAsia"/>
      </w:rPr>
      <w:t>第八章  环境经济损益分析</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firstLine="360"/>
    </w:pPr>
    <w:r>
      <w:rPr>
        <w:rFonts w:hint="eastAsia"/>
      </w:rPr>
      <w:t>第九章  环境管理和监测计划</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firstLine="360"/>
    </w:pPr>
    <w:r>
      <w:rPr>
        <w:rFonts w:hint="eastAsia"/>
      </w:rPr>
      <w:t>第十章  结论和建议</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tabs>
        <w:tab w:val="left" w:pos="210"/>
      </w:tabs>
      <w:ind w:firstLine="360"/>
    </w:pPr>
    <w:r>
      <w:rPr>
        <w:rFonts w:hint="eastAsia"/>
      </w:rPr>
      <w:t>第一章       概述</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tabs>
        <w:tab w:val="left" w:pos="210"/>
      </w:tabs>
      <w:ind w:firstLine="360"/>
    </w:pPr>
    <w:r>
      <w:rPr>
        <w:rFonts w:hint="eastAsia"/>
      </w:rPr>
      <w:t>第二章       总论</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tabs>
        <w:tab w:val="left" w:pos="210"/>
      </w:tabs>
      <w:ind w:firstLine="360"/>
    </w:pPr>
    <w:r>
      <w:rPr>
        <w:rFonts w:hint="eastAsia"/>
      </w:rPr>
      <w:t>第三章       工程分析</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tabs>
        <w:tab w:val="left" w:pos="210"/>
      </w:tabs>
      <w:ind w:firstLine="360"/>
    </w:pPr>
    <w:r>
      <w:rPr>
        <w:rFonts w:hint="eastAsia"/>
      </w:rPr>
      <w:t>第三章       工程分析</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tabs>
        <w:tab w:val="left" w:pos="210"/>
      </w:tabs>
      <w:ind w:firstLine="360"/>
    </w:pPr>
    <w:r>
      <w:rPr>
        <w:rFonts w:hint="eastAsia"/>
      </w:rPr>
      <w:t>第三章       工程分析</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tabs>
        <w:tab w:val="left" w:pos="210"/>
      </w:tabs>
      <w:ind w:firstLine="360"/>
    </w:pPr>
    <w:r>
      <w:rPr>
        <w:rFonts w:hint="eastAsia"/>
      </w:rPr>
      <w:t>第三章       工程分析</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tabs>
        <w:tab w:val="left" w:pos="210"/>
      </w:tabs>
      <w:ind w:firstLine="360"/>
    </w:pPr>
    <w:r>
      <w:rPr>
        <w:rFonts w:hint="eastAsia"/>
      </w:rPr>
      <w:t>第四章       区域环境概况及环境质量现状评价</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tabs>
        <w:tab w:val="left" w:pos="210"/>
      </w:tabs>
      <w:ind w:firstLine="360"/>
    </w:pPr>
    <w:r>
      <w:rPr>
        <w:rFonts w:hint="eastAsia"/>
      </w:rPr>
      <w:t>第四章       区域环境概况及环境质量现状评价</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A9FCC23"/>
    <w:multiLevelType w:val="singleLevel"/>
    <w:tmpl w:val="8A9FCC23"/>
    <w:lvl w:ilvl="0" w:tentative="0">
      <w:start w:val="2"/>
      <w:numFmt w:val="decimal"/>
      <w:suff w:val="nothing"/>
      <w:lvlText w:val="（%1）"/>
      <w:lvlJc w:val="left"/>
    </w:lvl>
  </w:abstractNum>
  <w:abstractNum w:abstractNumId="1">
    <w:nsid w:val="0000000B"/>
    <w:multiLevelType w:val="singleLevel"/>
    <w:tmpl w:val="0000000B"/>
    <w:lvl w:ilvl="0" w:tentative="0">
      <w:start w:val="3"/>
      <w:numFmt w:val="decimal"/>
      <w:suff w:val="nothing"/>
      <w:lvlText w:val="（%1）"/>
      <w:lvlJc w:val="left"/>
      <w:rPr>
        <w:rFonts w:cs="Times New Roman"/>
        <w:color w:val="auto"/>
      </w:rPr>
    </w:lvl>
  </w:abstractNum>
  <w:abstractNum w:abstractNumId="2">
    <w:nsid w:val="11E35998"/>
    <w:multiLevelType w:val="multilevel"/>
    <w:tmpl w:val="11E35998"/>
    <w:lvl w:ilvl="0" w:tentative="0">
      <w:start w:val="1"/>
      <w:numFmt w:val="decimal"/>
      <w:lvlText w:val="表2.5-%1   "/>
      <w:lvlJc w:val="center"/>
      <w:pPr>
        <w:ind w:left="2405" w:hanging="420"/>
      </w:pPr>
      <w:rPr>
        <w:rFonts w:hint="default" w:ascii="Times New Roman" w:hAnsi="Times New Roman" w:eastAsia="宋体"/>
        <w:b/>
        <w:i w:val="0"/>
        <w:color w:val="000000"/>
        <w:sz w:val="21"/>
        <w:szCs w:val="21"/>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1AF51CFE"/>
    <w:multiLevelType w:val="singleLevel"/>
    <w:tmpl w:val="1AF51CFE"/>
    <w:lvl w:ilvl="0" w:tentative="0">
      <w:start w:val="1"/>
      <w:numFmt w:val="decimal"/>
      <w:suff w:val="nothing"/>
      <w:lvlText w:val="%1、"/>
      <w:lvlJc w:val="left"/>
    </w:lvl>
  </w:abstractNum>
  <w:abstractNum w:abstractNumId="4">
    <w:nsid w:val="40DA3062"/>
    <w:multiLevelType w:val="multilevel"/>
    <w:tmpl w:val="40DA3062"/>
    <w:lvl w:ilvl="0" w:tentative="0">
      <w:start w:val="1"/>
      <w:numFmt w:val="decimal"/>
      <w:lvlText w:val="表2.6-%1   "/>
      <w:lvlJc w:val="center"/>
      <w:pPr>
        <w:ind w:left="2405" w:hanging="420"/>
      </w:pPr>
      <w:rPr>
        <w:rFonts w:hint="default" w:ascii="Times New Roman" w:hAnsi="Times New Roman" w:eastAsia="宋体"/>
        <w:b/>
        <w:i w:val="0"/>
        <w:color w:val="000000"/>
        <w:sz w:val="21"/>
        <w:szCs w:val="21"/>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42DE0F76"/>
    <w:multiLevelType w:val="multilevel"/>
    <w:tmpl w:val="42DE0F76"/>
    <w:lvl w:ilvl="0" w:tentative="0">
      <w:start w:val="1"/>
      <w:numFmt w:val="decimal"/>
      <w:lvlText w:val="表5.1-%1   "/>
      <w:lvlJc w:val="center"/>
      <w:pPr>
        <w:ind w:left="704" w:hanging="420"/>
      </w:pPr>
      <w:rPr>
        <w:rFonts w:hint="default" w:ascii="Times New Roman" w:hAnsi="Times New Roman" w:eastAsia="宋体"/>
        <w:b/>
        <w:i w:val="0"/>
        <w:color w:val="000000"/>
        <w:sz w:val="21"/>
        <w:szCs w:val="21"/>
        <w:lang w:val="en-US"/>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59487B13"/>
    <w:multiLevelType w:val="multilevel"/>
    <w:tmpl w:val="59487B13"/>
    <w:lvl w:ilvl="0" w:tentative="0">
      <w:start w:val="1"/>
      <w:numFmt w:val="decimal"/>
      <w:lvlText w:val="表2.4-%1   "/>
      <w:lvlJc w:val="center"/>
      <w:pPr>
        <w:ind w:left="420" w:hanging="420"/>
      </w:pPr>
      <w:rPr>
        <w:rFonts w:hint="default" w:ascii="Times New Roman" w:hAnsi="Times New Roman" w:eastAsia="宋体"/>
        <w:b/>
        <w:i w:val="0"/>
        <w:color w:val="000000"/>
        <w:sz w:val="21"/>
        <w:szCs w:val="21"/>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5A66FD32"/>
    <w:multiLevelType w:val="singleLevel"/>
    <w:tmpl w:val="5A66FD32"/>
    <w:lvl w:ilvl="0" w:tentative="0">
      <w:start w:val="1"/>
      <w:numFmt w:val="decimal"/>
      <w:suff w:val="nothing"/>
      <w:lvlText w:val="（%1）"/>
      <w:lvlJc w:val="left"/>
    </w:lvl>
  </w:abstractNum>
  <w:abstractNum w:abstractNumId="8">
    <w:nsid w:val="64F31316"/>
    <w:multiLevelType w:val="multilevel"/>
    <w:tmpl w:val="64F31316"/>
    <w:lvl w:ilvl="0" w:tentative="0">
      <w:start w:val="1"/>
      <w:numFmt w:val="decimal"/>
      <w:pStyle w:val="44"/>
      <w:lvlText w:val="表4-%1    "/>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67EA4D3A"/>
    <w:multiLevelType w:val="multilevel"/>
    <w:tmpl w:val="67EA4D3A"/>
    <w:lvl w:ilvl="0" w:tentative="0">
      <w:start w:val="1"/>
      <w:numFmt w:val="bullet"/>
      <w:pStyle w:val="3"/>
      <w:lvlText w:val=""/>
      <w:lvlJc w:val="left"/>
      <w:pPr>
        <w:tabs>
          <w:tab w:val="left" w:pos="482"/>
        </w:tabs>
        <w:ind w:left="0" w:firstLine="48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10">
    <w:nsid w:val="72C1218C"/>
    <w:multiLevelType w:val="multilevel"/>
    <w:tmpl w:val="72C1218C"/>
    <w:lvl w:ilvl="0" w:tentative="0">
      <w:start w:val="1"/>
      <w:numFmt w:val="decimal"/>
      <w:lvlText w:val="表2.3-%1   "/>
      <w:lvlJc w:val="center"/>
      <w:pPr>
        <w:ind w:left="420" w:hanging="420"/>
      </w:pPr>
      <w:rPr>
        <w:rFonts w:hint="default" w:ascii="Times New Roman" w:hAnsi="Times New Roman" w:eastAsia="宋体"/>
        <w:b/>
        <w:i w:val="0"/>
        <w:color w:val="000000"/>
        <w:sz w:val="21"/>
        <w:szCs w:val="21"/>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7E141107"/>
    <w:multiLevelType w:val="multilevel"/>
    <w:tmpl w:val="7E141107"/>
    <w:lvl w:ilvl="0" w:tentative="0">
      <w:start w:val="1"/>
      <w:numFmt w:val="decimal"/>
      <w:lvlText w:val="表5.3-%1   "/>
      <w:lvlJc w:val="center"/>
      <w:pPr>
        <w:ind w:left="420" w:hanging="420"/>
      </w:pPr>
      <w:rPr>
        <w:rFonts w:hint="default" w:ascii="Times New Roman" w:hAnsi="Times New Roman" w:eastAsia="宋体"/>
        <w:b/>
        <w:i w:val="0"/>
        <w:color w:val="000000"/>
        <w:sz w:val="21"/>
        <w:szCs w:val="21"/>
        <w:lang w:val="en-US"/>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num w:numId="1">
    <w:abstractNumId w:val="9"/>
  </w:num>
  <w:num w:numId="2">
    <w:abstractNumId w:val="8"/>
  </w:num>
  <w:num w:numId="3">
    <w:abstractNumId w:val="10"/>
  </w:num>
  <w:num w:numId="4">
    <w:abstractNumId w:val="6"/>
  </w:num>
  <w:num w:numId="5">
    <w:abstractNumId w:val="2"/>
  </w:num>
  <w:num w:numId="6">
    <w:abstractNumId w:val="4"/>
  </w:num>
  <w:num w:numId="7">
    <w:abstractNumId w:val="3"/>
  </w:num>
  <w:num w:numId="8">
    <w:abstractNumId w:val="1"/>
  </w:num>
  <w:num w:numId="9">
    <w:abstractNumId w:val="0"/>
  </w:num>
  <w:num w:numId="10">
    <w:abstractNumId w:val="5"/>
  </w:num>
  <w:num w:numId="11">
    <w:abstractNumId w:val="11"/>
  </w:num>
  <w:num w:numId="1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SystemFonts/>
  <w:bordersDoNotSurroundHeader w:val="0"/>
  <w:bordersDoNotSurroundFooter w:val="0"/>
  <w:hideSpellingErrors/>
  <w:hideGrammaticalErrors/>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rsids>
    <w:rsidRoot w:val="65EB1487"/>
    <w:rsid w:val="0002663A"/>
    <w:rsid w:val="000716B4"/>
    <w:rsid w:val="000A5B50"/>
    <w:rsid w:val="000F228D"/>
    <w:rsid w:val="00121942"/>
    <w:rsid w:val="001751EB"/>
    <w:rsid w:val="00187D11"/>
    <w:rsid w:val="001C590E"/>
    <w:rsid w:val="001E6CEB"/>
    <w:rsid w:val="001F6E79"/>
    <w:rsid w:val="00241B82"/>
    <w:rsid w:val="00272F4A"/>
    <w:rsid w:val="00280DD7"/>
    <w:rsid w:val="002922A0"/>
    <w:rsid w:val="002A718E"/>
    <w:rsid w:val="00361F70"/>
    <w:rsid w:val="003D4CD0"/>
    <w:rsid w:val="004646D8"/>
    <w:rsid w:val="004856E2"/>
    <w:rsid w:val="00495E99"/>
    <w:rsid w:val="004F62A3"/>
    <w:rsid w:val="00523DBC"/>
    <w:rsid w:val="005B2E8D"/>
    <w:rsid w:val="006029D9"/>
    <w:rsid w:val="0065348D"/>
    <w:rsid w:val="00661369"/>
    <w:rsid w:val="006B270E"/>
    <w:rsid w:val="006D3600"/>
    <w:rsid w:val="006F2207"/>
    <w:rsid w:val="00732474"/>
    <w:rsid w:val="0076762A"/>
    <w:rsid w:val="007F7FCC"/>
    <w:rsid w:val="00825E7F"/>
    <w:rsid w:val="0083094B"/>
    <w:rsid w:val="008445C1"/>
    <w:rsid w:val="00896FEB"/>
    <w:rsid w:val="008A6151"/>
    <w:rsid w:val="008A7620"/>
    <w:rsid w:val="00914676"/>
    <w:rsid w:val="009A17AE"/>
    <w:rsid w:val="009A2C66"/>
    <w:rsid w:val="009B1BE0"/>
    <w:rsid w:val="009D4C49"/>
    <w:rsid w:val="009E1F03"/>
    <w:rsid w:val="009E21EE"/>
    <w:rsid w:val="00A932F4"/>
    <w:rsid w:val="00AB6263"/>
    <w:rsid w:val="00AC1D72"/>
    <w:rsid w:val="00AC43F0"/>
    <w:rsid w:val="00AE372A"/>
    <w:rsid w:val="00BB7FBF"/>
    <w:rsid w:val="00BD3D5D"/>
    <w:rsid w:val="00C67315"/>
    <w:rsid w:val="00D210E5"/>
    <w:rsid w:val="00D40C53"/>
    <w:rsid w:val="00D57836"/>
    <w:rsid w:val="00DA26C2"/>
    <w:rsid w:val="00DE7638"/>
    <w:rsid w:val="00DE76C3"/>
    <w:rsid w:val="00E063A7"/>
    <w:rsid w:val="00E10BC8"/>
    <w:rsid w:val="00E96C55"/>
    <w:rsid w:val="00EC070F"/>
    <w:rsid w:val="00EE7A74"/>
    <w:rsid w:val="00EF5747"/>
    <w:rsid w:val="00F10476"/>
    <w:rsid w:val="00F70FB8"/>
    <w:rsid w:val="00F96212"/>
    <w:rsid w:val="00FB70A6"/>
    <w:rsid w:val="00FF50D8"/>
    <w:rsid w:val="00FF7584"/>
    <w:rsid w:val="01502BE1"/>
    <w:rsid w:val="015E473D"/>
    <w:rsid w:val="01600D60"/>
    <w:rsid w:val="0176249F"/>
    <w:rsid w:val="018A75E3"/>
    <w:rsid w:val="019A44A4"/>
    <w:rsid w:val="01CA0EE4"/>
    <w:rsid w:val="01CC003A"/>
    <w:rsid w:val="01D40E75"/>
    <w:rsid w:val="01D4757B"/>
    <w:rsid w:val="01F21611"/>
    <w:rsid w:val="01FE45B5"/>
    <w:rsid w:val="0230785B"/>
    <w:rsid w:val="02343A83"/>
    <w:rsid w:val="024A47A0"/>
    <w:rsid w:val="02591883"/>
    <w:rsid w:val="02901BBE"/>
    <w:rsid w:val="02902A14"/>
    <w:rsid w:val="029C5499"/>
    <w:rsid w:val="02F21E69"/>
    <w:rsid w:val="02F636DB"/>
    <w:rsid w:val="0301063B"/>
    <w:rsid w:val="03312FB2"/>
    <w:rsid w:val="033A032C"/>
    <w:rsid w:val="034476FF"/>
    <w:rsid w:val="037946DE"/>
    <w:rsid w:val="037B284C"/>
    <w:rsid w:val="037C0F50"/>
    <w:rsid w:val="0391001F"/>
    <w:rsid w:val="03CD14B1"/>
    <w:rsid w:val="03F22FD7"/>
    <w:rsid w:val="03F73B83"/>
    <w:rsid w:val="0407468B"/>
    <w:rsid w:val="040B20C0"/>
    <w:rsid w:val="040F13EB"/>
    <w:rsid w:val="041907B6"/>
    <w:rsid w:val="0431791A"/>
    <w:rsid w:val="04AE71B1"/>
    <w:rsid w:val="04B758B7"/>
    <w:rsid w:val="04B816CE"/>
    <w:rsid w:val="04CF1E6D"/>
    <w:rsid w:val="04D93BCD"/>
    <w:rsid w:val="05383D88"/>
    <w:rsid w:val="053E0B8B"/>
    <w:rsid w:val="05551B41"/>
    <w:rsid w:val="05686A89"/>
    <w:rsid w:val="05C26F75"/>
    <w:rsid w:val="05CA332D"/>
    <w:rsid w:val="05FD3676"/>
    <w:rsid w:val="063E47F1"/>
    <w:rsid w:val="06681A01"/>
    <w:rsid w:val="068F2EA4"/>
    <w:rsid w:val="06B3749A"/>
    <w:rsid w:val="06B9215A"/>
    <w:rsid w:val="06F0416F"/>
    <w:rsid w:val="06F67330"/>
    <w:rsid w:val="06F73CA9"/>
    <w:rsid w:val="070543BC"/>
    <w:rsid w:val="071F70A8"/>
    <w:rsid w:val="074358D5"/>
    <w:rsid w:val="075E47AB"/>
    <w:rsid w:val="078B6CBB"/>
    <w:rsid w:val="07B35AF3"/>
    <w:rsid w:val="07E8482F"/>
    <w:rsid w:val="07F268C3"/>
    <w:rsid w:val="08051B2E"/>
    <w:rsid w:val="08063C9E"/>
    <w:rsid w:val="08106CA3"/>
    <w:rsid w:val="08143606"/>
    <w:rsid w:val="084D1BE7"/>
    <w:rsid w:val="085C74B8"/>
    <w:rsid w:val="08962886"/>
    <w:rsid w:val="08AD0573"/>
    <w:rsid w:val="08AE3B2A"/>
    <w:rsid w:val="08B67771"/>
    <w:rsid w:val="08DD066E"/>
    <w:rsid w:val="09155A79"/>
    <w:rsid w:val="092576FA"/>
    <w:rsid w:val="092919E6"/>
    <w:rsid w:val="094F0760"/>
    <w:rsid w:val="09610A15"/>
    <w:rsid w:val="096C5A51"/>
    <w:rsid w:val="09790CED"/>
    <w:rsid w:val="098600CC"/>
    <w:rsid w:val="09913520"/>
    <w:rsid w:val="09B3481F"/>
    <w:rsid w:val="09C253C3"/>
    <w:rsid w:val="09CA2F3B"/>
    <w:rsid w:val="0A0A1B12"/>
    <w:rsid w:val="0A24042F"/>
    <w:rsid w:val="0A9451FC"/>
    <w:rsid w:val="0A956697"/>
    <w:rsid w:val="0A9C4DBA"/>
    <w:rsid w:val="0AB93B4C"/>
    <w:rsid w:val="0ACA38EC"/>
    <w:rsid w:val="0B095E7C"/>
    <w:rsid w:val="0B2A64C7"/>
    <w:rsid w:val="0B3936ED"/>
    <w:rsid w:val="0B423319"/>
    <w:rsid w:val="0B46045D"/>
    <w:rsid w:val="0B846DFD"/>
    <w:rsid w:val="0BAC0705"/>
    <w:rsid w:val="0BB25809"/>
    <w:rsid w:val="0BBA184C"/>
    <w:rsid w:val="0BD6327D"/>
    <w:rsid w:val="0BD64877"/>
    <w:rsid w:val="0BE821F2"/>
    <w:rsid w:val="0BE82D62"/>
    <w:rsid w:val="0BE83CEC"/>
    <w:rsid w:val="0C3F29F9"/>
    <w:rsid w:val="0C430D57"/>
    <w:rsid w:val="0C4C313C"/>
    <w:rsid w:val="0C5B772C"/>
    <w:rsid w:val="0C63429C"/>
    <w:rsid w:val="0C683C42"/>
    <w:rsid w:val="0C6C0199"/>
    <w:rsid w:val="0C7107B9"/>
    <w:rsid w:val="0C861F9A"/>
    <w:rsid w:val="0C8E2B30"/>
    <w:rsid w:val="0C9079F9"/>
    <w:rsid w:val="0CD77896"/>
    <w:rsid w:val="0D1B5D11"/>
    <w:rsid w:val="0D4A6CE0"/>
    <w:rsid w:val="0D53473D"/>
    <w:rsid w:val="0D6B7BC9"/>
    <w:rsid w:val="0D716FC1"/>
    <w:rsid w:val="0D733481"/>
    <w:rsid w:val="0DA970D6"/>
    <w:rsid w:val="0DAA6820"/>
    <w:rsid w:val="0DF9315B"/>
    <w:rsid w:val="0E2829F4"/>
    <w:rsid w:val="0E5B7E32"/>
    <w:rsid w:val="0E6C45E4"/>
    <w:rsid w:val="0E745FF6"/>
    <w:rsid w:val="0E846024"/>
    <w:rsid w:val="0E8D439F"/>
    <w:rsid w:val="0E9A1EDF"/>
    <w:rsid w:val="0EA0389F"/>
    <w:rsid w:val="0EAD3C6D"/>
    <w:rsid w:val="0EAF09BE"/>
    <w:rsid w:val="0EB45277"/>
    <w:rsid w:val="0EB66206"/>
    <w:rsid w:val="0EBF5FEA"/>
    <w:rsid w:val="0ED55C79"/>
    <w:rsid w:val="0EEA19A9"/>
    <w:rsid w:val="0F086018"/>
    <w:rsid w:val="0F256662"/>
    <w:rsid w:val="0F4E1E01"/>
    <w:rsid w:val="0F7C0FCA"/>
    <w:rsid w:val="0F883EA0"/>
    <w:rsid w:val="0F9179D3"/>
    <w:rsid w:val="100A3842"/>
    <w:rsid w:val="10254D40"/>
    <w:rsid w:val="10395942"/>
    <w:rsid w:val="107D3FCD"/>
    <w:rsid w:val="10921146"/>
    <w:rsid w:val="109B33E9"/>
    <w:rsid w:val="10BB523E"/>
    <w:rsid w:val="10C57A3B"/>
    <w:rsid w:val="10CF7534"/>
    <w:rsid w:val="10E9314F"/>
    <w:rsid w:val="10EB7918"/>
    <w:rsid w:val="11006361"/>
    <w:rsid w:val="110F1BEB"/>
    <w:rsid w:val="111A4E65"/>
    <w:rsid w:val="111C0224"/>
    <w:rsid w:val="111E19B4"/>
    <w:rsid w:val="114024DC"/>
    <w:rsid w:val="115924E4"/>
    <w:rsid w:val="11776C9D"/>
    <w:rsid w:val="11913305"/>
    <w:rsid w:val="11A5682B"/>
    <w:rsid w:val="12007AF5"/>
    <w:rsid w:val="121940AA"/>
    <w:rsid w:val="12196989"/>
    <w:rsid w:val="121D79D2"/>
    <w:rsid w:val="12222655"/>
    <w:rsid w:val="12224C0B"/>
    <w:rsid w:val="1229687F"/>
    <w:rsid w:val="122E556A"/>
    <w:rsid w:val="12337631"/>
    <w:rsid w:val="12381AA8"/>
    <w:rsid w:val="129B6833"/>
    <w:rsid w:val="12A938E1"/>
    <w:rsid w:val="12B14D2F"/>
    <w:rsid w:val="13046680"/>
    <w:rsid w:val="13061F5A"/>
    <w:rsid w:val="13393C7F"/>
    <w:rsid w:val="133B2E70"/>
    <w:rsid w:val="133E2DCF"/>
    <w:rsid w:val="134B347E"/>
    <w:rsid w:val="13C01708"/>
    <w:rsid w:val="13DE3249"/>
    <w:rsid w:val="140C2AEB"/>
    <w:rsid w:val="142B7199"/>
    <w:rsid w:val="142E1E30"/>
    <w:rsid w:val="145F2347"/>
    <w:rsid w:val="146D4128"/>
    <w:rsid w:val="14951FE3"/>
    <w:rsid w:val="14CE014C"/>
    <w:rsid w:val="14F05E85"/>
    <w:rsid w:val="15121859"/>
    <w:rsid w:val="151B0E77"/>
    <w:rsid w:val="153D08C0"/>
    <w:rsid w:val="154462CC"/>
    <w:rsid w:val="1571105A"/>
    <w:rsid w:val="15757FD9"/>
    <w:rsid w:val="158122FF"/>
    <w:rsid w:val="158A7341"/>
    <w:rsid w:val="159C41F2"/>
    <w:rsid w:val="15BF76D7"/>
    <w:rsid w:val="15E435A3"/>
    <w:rsid w:val="15EC4434"/>
    <w:rsid w:val="15F84F9C"/>
    <w:rsid w:val="16277FC3"/>
    <w:rsid w:val="163865C8"/>
    <w:rsid w:val="16581404"/>
    <w:rsid w:val="166C6300"/>
    <w:rsid w:val="1688426B"/>
    <w:rsid w:val="16D0494B"/>
    <w:rsid w:val="16EC62AC"/>
    <w:rsid w:val="17293D51"/>
    <w:rsid w:val="172D2A8F"/>
    <w:rsid w:val="174475B9"/>
    <w:rsid w:val="17571705"/>
    <w:rsid w:val="17B16183"/>
    <w:rsid w:val="17F37D14"/>
    <w:rsid w:val="180E2BA9"/>
    <w:rsid w:val="182E6A75"/>
    <w:rsid w:val="18425DDF"/>
    <w:rsid w:val="18775E90"/>
    <w:rsid w:val="18797824"/>
    <w:rsid w:val="18B75F9B"/>
    <w:rsid w:val="18C87771"/>
    <w:rsid w:val="18EE3681"/>
    <w:rsid w:val="190376A1"/>
    <w:rsid w:val="190F6840"/>
    <w:rsid w:val="19111C06"/>
    <w:rsid w:val="191E4FE3"/>
    <w:rsid w:val="19274EB4"/>
    <w:rsid w:val="195643A9"/>
    <w:rsid w:val="19885C73"/>
    <w:rsid w:val="198B722C"/>
    <w:rsid w:val="19947D34"/>
    <w:rsid w:val="199B7ECC"/>
    <w:rsid w:val="199C2129"/>
    <w:rsid w:val="19C57044"/>
    <w:rsid w:val="19F519C0"/>
    <w:rsid w:val="19FA2C4B"/>
    <w:rsid w:val="1A1B206A"/>
    <w:rsid w:val="1A1F1D89"/>
    <w:rsid w:val="1A223B63"/>
    <w:rsid w:val="1A53287C"/>
    <w:rsid w:val="1A5A7303"/>
    <w:rsid w:val="1A63688C"/>
    <w:rsid w:val="1A8A5CCA"/>
    <w:rsid w:val="1A993C50"/>
    <w:rsid w:val="1AA0099C"/>
    <w:rsid w:val="1AB855BD"/>
    <w:rsid w:val="1AC046E2"/>
    <w:rsid w:val="1AD72AF3"/>
    <w:rsid w:val="1ADC1912"/>
    <w:rsid w:val="1AEA6584"/>
    <w:rsid w:val="1B3F269E"/>
    <w:rsid w:val="1B8B3103"/>
    <w:rsid w:val="1B923208"/>
    <w:rsid w:val="1BA71C12"/>
    <w:rsid w:val="1BC03D87"/>
    <w:rsid w:val="1C1A3073"/>
    <w:rsid w:val="1C2C1C91"/>
    <w:rsid w:val="1C772446"/>
    <w:rsid w:val="1C8839B0"/>
    <w:rsid w:val="1C94439D"/>
    <w:rsid w:val="1CB85E07"/>
    <w:rsid w:val="1CCD200F"/>
    <w:rsid w:val="1CD77ACA"/>
    <w:rsid w:val="1CDA423F"/>
    <w:rsid w:val="1CEC6A9E"/>
    <w:rsid w:val="1D266D10"/>
    <w:rsid w:val="1D284CFF"/>
    <w:rsid w:val="1D356D44"/>
    <w:rsid w:val="1D544772"/>
    <w:rsid w:val="1D6C0C14"/>
    <w:rsid w:val="1D8D4609"/>
    <w:rsid w:val="1DA31426"/>
    <w:rsid w:val="1DBB704C"/>
    <w:rsid w:val="1DD544FF"/>
    <w:rsid w:val="1E0D770D"/>
    <w:rsid w:val="1E5E11DA"/>
    <w:rsid w:val="1E803788"/>
    <w:rsid w:val="1E9F616E"/>
    <w:rsid w:val="1EDC1944"/>
    <w:rsid w:val="1EF45CD6"/>
    <w:rsid w:val="1EF9561F"/>
    <w:rsid w:val="1EFF6953"/>
    <w:rsid w:val="1F255037"/>
    <w:rsid w:val="1F3131C7"/>
    <w:rsid w:val="1F52300D"/>
    <w:rsid w:val="1F6701E1"/>
    <w:rsid w:val="1F74547C"/>
    <w:rsid w:val="1F7B6FA1"/>
    <w:rsid w:val="1FA65D5E"/>
    <w:rsid w:val="1FC653C4"/>
    <w:rsid w:val="1FD313F0"/>
    <w:rsid w:val="1FD45891"/>
    <w:rsid w:val="1FD4616F"/>
    <w:rsid w:val="20027514"/>
    <w:rsid w:val="202348E5"/>
    <w:rsid w:val="206108AC"/>
    <w:rsid w:val="206B59DD"/>
    <w:rsid w:val="208806BB"/>
    <w:rsid w:val="209B3AF6"/>
    <w:rsid w:val="20B03C8C"/>
    <w:rsid w:val="20F3749D"/>
    <w:rsid w:val="211419C9"/>
    <w:rsid w:val="21350D46"/>
    <w:rsid w:val="215743E3"/>
    <w:rsid w:val="2166017C"/>
    <w:rsid w:val="2166147B"/>
    <w:rsid w:val="216C19EF"/>
    <w:rsid w:val="21A76BD0"/>
    <w:rsid w:val="21E47476"/>
    <w:rsid w:val="21F37222"/>
    <w:rsid w:val="220720C8"/>
    <w:rsid w:val="220F25D9"/>
    <w:rsid w:val="221C177C"/>
    <w:rsid w:val="221F7A38"/>
    <w:rsid w:val="223E1E4A"/>
    <w:rsid w:val="227C4B55"/>
    <w:rsid w:val="227F48B2"/>
    <w:rsid w:val="22812043"/>
    <w:rsid w:val="22964781"/>
    <w:rsid w:val="22AC5B1F"/>
    <w:rsid w:val="22B3474E"/>
    <w:rsid w:val="22C025E7"/>
    <w:rsid w:val="22DC2A15"/>
    <w:rsid w:val="22FD6EC7"/>
    <w:rsid w:val="230803CD"/>
    <w:rsid w:val="23340198"/>
    <w:rsid w:val="233D671D"/>
    <w:rsid w:val="23561E9F"/>
    <w:rsid w:val="23790DCE"/>
    <w:rsid w:val="23C342D9"/>
    <w:rsid w:val="23D674CD"/>
    <w:rsid w:val="24461744"/>
    <w:rsid w:val="24464308"/>
    <w:rsid w:val="245701D8"/>
    <w:rsid w:val="24726412"/>
    <w:rsid w:val="24A952A5"/>
    <w:rsid w:val="24BB5669"/>
    <w:rsid w:val="24CF2EEA"/>
    <w:rsid w:val="25082AA1"/>
    <w:rsid w:val="250B1E9F"/>
    <w:rsid w:val="250E0EC9"/>
    <w:rsid w:val="25102045"/>
    <w:rsid w:val="25172E81"/>
    <w:rsid w:val="251B31AA"/>
    <w:rsid w:val="25513470"/>
    <w:rsid w:val="255453FE"/>
    <w:rsid w:val="255D41DB"/>
    <w:rsid w:val="25600687"/>
    <w:rsid w:val="25604EBC"/>
    <w:rsid w:val="25670A97"/>
    <w:rsid w:val="258E24E6"/>
    <w:rsid w:val="25931912"/>
    <w:rsid w:val="25AA4153"/>
    <w:rsid w:val="25AB7ADA"/>
    <w:rsid w:val="25C77642"/>
    <w:rsid w:val="25D009C8"/>
    <w:rsid w:val="25D77451"/>
    <w:rsid w:val="25DF57E5"/>
    <w:rsid w:val="2610023B"/>
    <w:rsid w:val="26284AA0"/>
    <w:rsid w:val="2651177F"/>
    <w:rsid w:val="265B47D4"/>
    <w:rsid w:val="26680071"/>
    <w:rsid w:val="26685E4C"/>
    <w:rsid w:val="266910BB"/>
    <w:rsid w:val="267117FB"/>
    <w:rsid w:val="269F50FA"/>
    <w:rsid w:val="26D210BF"/>
    <w:rsid w:val="26F52349"/>
    <w:rsid w:val="276A0318"/>
    <w:rsid w:val="276B640C"/>
    <w:rsid w:val="276E0426"/>
    <w:rsid w:val="277338DB"/>
    <w:rsid w:val="279D5D0D"/>
    <w:rsid w:val="27E40D19"/>
    <w:rsid w:val="27ED167E"/>
    <w:rsid w:val="28083C53"/>
    <w:rsid w:val="28231713"/>
    <w:rsid w:val="282B2352"/>
    <w:rsid w:val="283F1C34"/>
    <w:rsid w:val="28410C40"/>
    <w:rsid w:val="28441197"/>
    <w:rsid w:val="285A7AE9"/>
    <w:rsid w:val="286A3E21"/>
    <w:rsid w:val="28970B78"/>
    <w:rsid w:val="28B9677D"/>
    <w:rsid w:val="291D15D8"/>
    <w:rsid w:val="29215069"/>
    <w:rsid w:val="29313F6F"/>
    <w:rsid w:val="294145DA"/>
    <w:rsid w:val="29432121"/>
    <w:rsid w:val="295141EE"/>
    <w:rsid w:val="299D25B7"/>
    <w:rsid w:val="29A42BB4"/>
    <w:rsid w:val="29A43488"/>
    <w:rsid w:val="29CF460D"/>
    <w:rsid w:val="29E42011"/>
    <w:rsid w:val="2A1759ED"/>
    <w:rsid w:val="2A2569E1"/>
    <w:rsid w:val="2A290ACD"/>
    <w:rsid w:val="2A2936C3"/>
    <w:rsid w:val="2A414B6B"/>
    <w:rsid w:val="2A585B28"/>
    <w:rsid w:val="2B02149D"/>
    <w:rsid w:val="2B3077FC"/>
    <w:rsid w:val="2B326F04"/>
    <w:rsid w:val="2B483208"/>
    <w:rsid w:val="2B8B66D8"/>
    <w:rsid w:val="2BAF732D"/>
    <w:rsid w:val="2BBE6424"/>
    <w:rsid w:val="2BE21133"/>
    <w:rsid w:val="2BFD12A7"/>
    <w:rsid w:val="2C0C04A2"/>
    <w:rsid w:val="2C474F7E"/>
    <w:rsid w:val="2C6469EE"/>
    <w:rsid w:val="2C652BE3"/>
    <w:rsid w:val="2C6F7B0A"/>
    <w:rsid w:val="2C7A444D"/>
    <w:rsid w:val="2C8245B0"/>
    <w:rsid w:val="2C9733EB"/>
    <w:rsid w:val="2CB206DC"/>
    <w:rsid w:val="2CC934C7"/>
    <w:rsid w:val="2CD23053"/>
    <w:rsid w:val="2CDD0C9C"/>
    <w:rsid w:val="2CE56093"/>
    <w:rsid w:val="2CEA022D"/>
    <w:rsid w:val="2CED5A69"/>
    <w:rsid w:val="2D03046F"/>
    <w:rsid w:val="2D374766"/>
    <w:rsid w:val="2D420A54"/>
    <w:rsid w:val="2D567771"/>
    <w:rsid w:val="2D593A86"/>
    <w:rsid w:val="2D5D3827"/>
    <w:rsid w:val="2D672C14"/>
    <w:rsid w:val="2D874D52"/>
    <w:rsid w:val="2D8C3BA8"/>
    <w:rsid w:val="2DF74056"/>
    <w:rsid w:val="2DFA1006"/>
    <w:rsid w:val="2DFD3832"/>
    <w:rsid w:val="2E274468"/>
    <w:rsid w:val="2E2F11AD"/>
    <w:rsid w:val="2E4A3C9E"/>
    <w:rsid w:val="2E504378"/>
    <w:rsid w:val="2E5465F8"/>
    <w:rsid w:val="2E744AFB"/>
    <w:rsid w:val="2E8F287F"/>
    <w:rsid w:val="2E8F5FA7"/>
    <w:rsid w:val="2E945A49"/>
    <w:rsid w:val="2ED41856"/>
    <w:rsid w:val="2EDD674C"/>
    <w:rsid w:val="2EEF1E46"/>
    <w:rsid w:val="2EF73324"/>
    <w:rsid w:val="2F0709DB"/>
    <w:rsid w:val="2F540A2C"/>
    <w:rsid w:val="2F881A91"/>
    <w:rsid w:val="2FA76E14"/>
    <w:rsid w:val="2FDD6F3E"/>
    <w:rsid w:val="300C26F0"/>
    <w:rsid w:val="30312D73"/>
    <w:rsid w:val="30617378"/>
    <w:rsid w:val="30867E9E"/>
    <w:rsid w:val="30A36661"/>
    <w:rsid w:val="30AA6B09"/>
    <w:rsid w:val="30B94EEB"/>
    <w:rsid w:val="30E40587"/>
    <w:rsid w:val="3109499D"/>
    <w:rsid w:val="31A456D6"/>
    <w:rsid w:val="31AF22FB"/>
    <w:rsid w:val="31B92032"/>
    <w:rsid w:val="31C73811"/>
    <w:rsid w:val="31E76457"/>
    <w:rsid w:val="31FE79B2"/>
    <w:rsid w:val="32160FC5"/>
    <w:rsid w:val="326F54A8"/>
    <w:rsid w:val="32741119"/>
    <w:rsid w:val="32BA331A"/>
    <w:rsid w:val="32CB48EB"/>
    <w:rsid w:val="32FE74F9"/>
    <w:rsid w:val="33085A1B"/>
    <w:rsid w:val="3319676F"/>
    <w:rsid w:val="332141FC"/>
    <w:rsid w:val="334F790D"/>
    <w:rsid w:val="336C77FF"/>
    <w:rsid w:val="338F2F16"/>
    <w:rsid w:val="33902743"/>
    <w:rsid w:val="33C253BF"/>
    <w:rsid w:val="33DA38B4"/>
    <w:rsid w:val="33DF2CB8"/>
    <w:rsid w:val="33E022E1"/>
    <w:rsid w:val="342270DA"/>
    <w:rsid w:val="343D40BF"/>
    <w:rsid w:val="348B68BF"/>
    <w:rsid w:val="34A50A2F"/>
    <w:rsid w:val="34B20F12"/>
    <w:rsid w:val="34B54EE4"/>
    <w:rsid w:val="34C66B85"/>
    <w:rsid w:val="34D25832"/>
    <w:rsid w:val="34E976C9"/>
    <w:rsid w:val="35061493"/>
    <w:rsid w:val="35235A84"/>
    <w:rsid w:val="356A5731"/>
    <w:rsid w:val="35763A64"/>
    <w:rsid w:val="358A5D1F"/>
    <w:rsid w:val="35B96FA7"/>
    <w:rsid w:val="35BB1634"/>
    <w:rsid w:val="35DC50F1"/>
    <w:rsid w:val="3613370F"/>
    <w:rsid w:val="36155CAE"/>
    <w:rsid w:val="361D249F"/>
    <w:rsid w:val="36431C27"/>
    <w:rsid w:val="366551CB"/>
    <w:rsid w:val="36C600FF"/>
    <w:rsid w:val="36CE3D25"/>
    <w:rsid w:val="36CF0566"/>
    <w:rsid w:val="36ED168B"/>
    <w:rsid w:val="36F41F3F"/>
    <w:rsid w:val="376C60A9"/>
    <w:rsid w:val="37821BB4"/>
    <w:rsid w:val="378A42FA"/>
    <w:rsid w:val="37916C1A"/>
    <w:rsid w:val="37A067A8"/>
    <w:rsid w:val="37B4178D"/>
    <w:rsid w:val="37DA1228"/>
    <w:rsid w:val="38085B47"/>
    <w:rsid w:val="381A0821"/>
    <w:rsid w:val="384D02FD"/>
    <w:rsid w:val="385B75B7"/>
    <w:rsid w:val="388373F5"/>
    <w:rsid w:val="389C30AE"/>
    <w:rsid w:val="38AD3428"/>
    <w:rsid w:val="38B0077E"/>
    <w:rsid w:val="38E12551"/>
    <w:rsid w:val="38E36AF9"/>
    <w:rsid w:val="38E45BF8"/>
    <w:rsid w:val="38F678D0"/>
    <w:rsid w:val="3905673E"/>
    <w:rsid w:val="391A6D14"/>
    <w:rsid w:val="391B18DA"/>
    <w:rsid w:val="391B62B2"/>
    <w:rsid w:val="393A04A3"/>
    <w:rsid w:val="39526E6B"/>
    <w:rsid w:val="39547A44"/>
    <w:rsid w:val="3958260B"/>
    <w:rsid w:val="398705A2"/>
    <w:rsid w:val="399A32BA"/>
    <w:rsid w:val="39AA371D"/>
    <w:rsid w:val="39C96EF5"/>
    <w:rsid w:val="39D60433"/>
    <w:rsid w:val="39EC69DF"/>
    <w:rsid w:val="39F768D5"/>
    <w:rsid w:val="3A1E6F8F"/>
    <w:rsid w:val="3A236260"/>
    <w:rsid w:val="3A4F6179"/>
    <w:rsid w:val="3A5119B1"/>
    <w:rsid w:val="3A6C6AA5"/>
    <w:rsid w:val="3A7E5DAC"/>
    <w:rsid w:val="3A801460"/>
    <w:rsid w:val="3AA51218"/>
    <w:rsid w:val="3AF76F3F"/>
    <w:rsid w:val="3B1329A9"/>
    <w:rsid w:val="3B7F732A"/>
    <w:rsid w:val="3B917548"/>
    <w:rsid w:val="3C1E4BB4"/>
    <w:rsid w:val="3C2B546C"/>
    <w:rsid w:val="3C463907"/>
    <w:rsid w:val="3C491739"/>
    <w:rsid w:val="3C6941F9"/>
    <w:rsid w:val="3C7F3F45"/>
    <w:rsid w:val="3C893813"/>
    <w:rsid w:val="3C8A4CCB"/>
    <w:rsid w:val="3C92601B"/>
    <w:rsid w:val="3CAA3C2F"/>
    <w:rsid w:val="3CC17800"/>
    <w:rsid w:val="3CCB39A3"/>
    <w:rsid w:val="3CDB7140"/>
    <w:rsid w:val="3CFE4728"/>
    <w:rsid w:val="3D103533"/>
    <w:rsid w:val="3D130278"/>
    <w:rsid w:val="3D420E36"/>
    <w:rsid w:val="3D7637F3"/>
    <w:rsid w:val="3D79763A"/>
    <w:rsid w:val="3D933617"/>
    <w:rsid w:val="3DBF6C78"/>
    <w:rsid w:val="3DCD0B73"/>
    <w:rsid w:val="3DCF6745"/>
    <w:rsid w:val="3DD829CB"/>
    <w:rsid w:val="3DE76570"/>
    <w:rsid w:val="3E1003F7"/>
    <w:rsid w:val="3E1F03E5"/>
    <w:rsid w:val="3E297166"/>
    <w:rsid w:val="3E3A6EF3"/>
    <w:rsid w:val="3E5447EF"/>
    <w:rsid w:val="3E570680"/>
    <w:rsid w:val="3E6C219A"/>
    <w:rsid w:val="3E727DAF"/>
    <w:rsid w:val="3E8E5DE6"/>
    <w:rsid w:val="3E955625"/>
    <w:rsid w:val="3E964563"/>
    <w:rsid w:val="3EAA591C"/>
    <w:rsid w:val="3EBF4FFB"/>
    <w:rsid w:val="3EC26792"/>
    <w:rsid w:val="3ED94CB3"/>
    <w:rsid w:val="3EE81AF9"/>
    <w:rsid w:val="3EFB0CEE"/>
    <w:rsid w:val="3EFD0037"/>
    <w:rsid w:val="3EFF4D1F"/>
    <w:rsid w:val="3F3B18D8"/>
    <w:rsid w:val="3F3E7BD4"/>
    <w:rsid w:val="3FB16D9B"/>
    <w:rsid w:val="3FB21A3F"/>
    <w:rsid w:val="3FBA535C"/>
    <w:rsid w:val="3FC1410B"/>
    <w:rsid w:val="3FD42A1F"/>
    <w:rsid w:val="3FD469C9"/>
    <w:rsid w:val="3FF1632C"/>
    <w:rsid w:val="401932A0"/>
    <w:rsid w:val="40317C74"/>
    <w:rsid w:val="4035744E"/>
    <w:rsid w:val="405E5D32"/>
    <w:rsid w:val="40627752"/>
    <w:rsid w:val="40B4308A"/>
    <w:rsid w:val="40B56403"/>
    <w:rsid w:val="40E02281"/>
    <w:rsid w:val="410A44A4"/>
    <w:rsid w:val="416B34F9"/>
    <w:rsid w:val="41784A41"/>
    <w:rsid w:val="417D7B54"/>
    <w:rsid w:val="41880260"/>
    <w:rsid w:val="4194423A"/>
    <w:rsid w:val="419B4D21"/>
    <w:rsid w:val="41AD6BFA"/>
    <w:rsid w:val="41B47B5F"/>
    <w:rsid w:val="41C45225"/>
    <w:rsid w:val="41D57083"/>
    <w:rsid w:val="41E92C46"/>
    <w:rsid w:val="41EF18FA"/>
    <w:rsid w:val="41F7219C"/>
    <w:rsid w:val="41FB1751"/>
    <w:rsid w:val="42025510"/>
    <w:rsid w:val="4204335D"/>
    <w:rsid w:val="42175B1C"/>
    <w:rsid w:val="42327ED6"/>
    <w:rsid w:val="426A4F06"/>
    <w:rsid w:val="427674AB"/>
    <w:rsid w:val="42C205C7"/>
    <w:rsid w:val="42D10088"/>
    <w:rsid w:val="42F33660"/>
    <w:rsid w:val="432C081D"/>
    <w:rsid w:val="435910BD"/>
    <w:rsid w:val="43605F7B"/>
    <w:rsid w:val="43795779"/>
    <w:rsid w:val="437D6A17"/>
    <w:rsid w:val="437E2A0D"/>
    <w:rsid w:val="43862D98"/>
    <w:rsid w:val="43890701"/>
    <w:rsid w:val="438B6232"/>
    <w:rsid w:val="43A02C75"/>
    <w:rsid w:val="43A32315"/>
    <w:rsid w:val="43AB705E"/>
    <w:rsid w:val="43B64DA9"/>
    <w:rsid w:val="43CC12CE"/>
    <w:rsid w:val="43CE1D2B"/>
    <w:rsid w:val="43F675A7"/>
    <w:rsid w:val="43F97CAB"/>
    <w:rsid w:val="4407171B"/>
    <w:rsid w:val="440F664E"/>
    <w:rsid w:val="44194D70"/>
    <w:rsid w:val="443636B4"/>
    <w:rsid w:val="443664E4"/>
    <w:rsid w:val="444C3D23"/>
    <w:rsid w:val="446F72C7"/>
    <w:rsid w:val="449B0600"/>
    <w:rsid w:val="44B3479C"/>
    <w:rsid w:val="44B52284"/>
    <w:rsid w:val="44BD4F40"/>
    <w:rsid w:val="44CC48CC"/>
    <w:rsid w:val="44FF7771"/>
    <w:rsid w:val="4504738B"/>
    <w:rsid w:val="450A4F91"/>
    <w:rsid w:val="451425CD"/>
    <w:rsid w:val="45457944"/>
    <w:rsid w:val="45534D19"/>
    <w:rsid w:val="45733C60"/>
    <w:rsid w:val="458203C0"/>
    <w:rsid w:val="45A90E8D"/>
    <w:rsid w:val="45B63202"/>
    <w:rsid w:val="45D62EB6"/>
    <w:rsid w:val="45E7620E"/>
    <w:rsid w:val="45E86790"/>
    <w:rsid w:val="45F1472F"/>
    <w:rsid w:val="45FC4ACD"/>
    <w:rsid w:val="45FC5007"/>
    <w:rsid w:val="460278F9"/>
    <w:rsid w:val="4615110A"/>
    <w:rsid w:val="46467258"/>
    <w:rsid w:val="464F0FD4"/>
    <w:rsid w:val="46B129DC"/>
    <w:rsid w:val="46C47598"/>
    <w:rsid w:val="46D7652E"/>
    <w:rsid w:val="46DC7E63"/>
    <w:rsid w:val="46E22A14"/>
    <w:rsid w:val="46F875A1"/>
    <w:rsid w:val="4707702E"/>
    <w:rsid w:val="470F1D39"/>
    <w:rsid w:val="471F152D"/>
    <w:rsid w:val="47270072"/>
    <w:rsid w:val="47381543"/>
    <w:rsid w:val="474C5B2A"/>
    <w:rsid w:val="47556676"/>
    <w:rsid w:val="4762676D"/>
    <w:rsid w:val="47805011"/>
    <w:rsid w:val="478853A1"/>
    <w:rsid w:val="47AB01EA"/>
    <w:rsid w:val="47C72900"/>
    <w:rsid w:val="47D23151"/>
    <w:rsid w:val="47FE4445"/>
    <w:rsid w:val="481B6562"/>
    <w:rsid w:val="481E7869"/>
    <w:rsid w:val="48287954"/>
    <w:rsid w:val="48437D2B"/>
    <w:rsid w:val="48583C30"/>
    <w:rsid w:val="4869361F"/>
    <w:rsid w:val="486C0A49"/>
    <w:rsid w:val="486F3D63"/>
    <w:rsid w:val="48CE5198"/>
    <w:rsid w:val="48F11D9C"/>
    <w:rsid w:val="49005E54"/>
    <w:rsid w:val="49111687"/>
    <w:rsid w:val="491E7C43"/>
    <w:rsid w:val="493E2876"/>
    <w:rsid w:val="49414C65"/>
    <w:rsid w:val="49654784"/>
    <w:rsid w:val="49673EE1"/>
    <w:rsid w:val="497476F8"/>
    <w:rsid w:val="49955992"/>
    <w:rsid w:val="49B2711A"/>
    <w:rsid w:val="49BD05CD"/>
    <w:rsid w:val="49C86714"/>
    <w:rsid w:val="49D0689B"/>
    <w:rsid w:val="49E64164"/>
    <w:rsid w:val="4A161423"/>
    <w:rsid w:val="4A231937"/>
    <w:rsid w:val="4A2574B7"/>
    <w:rsid w:val="4A32230C"/>
    <w:rsid w:val="4A6A15AB"/>
    <w:rsid w:val="4A8B0D2F"/>
    <w:rsid w:val="4A994C77"/>
    <w:rsid w:val="4A9A5C72"/>
    <w:rsid w:val="4AA63DE1"/>
    <w:rsid w:val="4ADD6A47"/>
    <w:rsid w:val="4AF77B40"/>
    <w:rsid w:val="4B182244"/>
    <w:rsid w:val="4B242A3F"/>
    <w:rsid w:val="4B2E0A46"/>
    <w:rsid w:val="4B697EA2"/>
    <w:rsid w:val="4B776B34"/>
    <w:rsid w:val="4BB460B7"/>
    <w:rsid w:val="4BB90D83"/>
    <w:rsid w:val="4BBA1F2E"/>
    <w:rsid w:val="4BBA225E"/>
    <w:rsid w:val="4BCF2E9A"/>
    <w:rsid w:val="4C037239"/>
    <w:rsid w:val="4C067026"/>
    <w:rsid w:val="4C190ED7"/>
    <w:rsid w:val="4C637BE2"/>
    <w:rsid w:val="4C7373F1"/>
    <w:rsid w:val="4CA819B9"/>
    <w:rsid w:val="4CD27910"/>
    <w:rsid w:val="4CDD3688"/>
    <w:rsid w:val="4CE63377"/>
    <w:rsid w:val="4CED3693"/>
    <w:rsid w:val="4CF654B4"/>
    <w:rsid w:val="4D0A1739"/>
    <w:rsid w:val="4D113FBA"/>
    <w:rsid w:val="4D14352B"/>
    <w:rsid w:val="4D3B4D2A"/>
    <w:rsid w:val="4D827CD5"/>
    <w:rsid w:val="4D913B6A"/>
    <w:rsid w:val="4D9353A0"/>
    <w:rsid w:val="4D976D2B"/>
    <w:rsid w:val="4DB151C7"/>
    <w:rsid w:val="4DB15CCB"/>
    <w:rsid w:val="4DB17A68"/>
    <w:rsid w:val="4DBF3AC6"/>
    <w:rsid w:val="4DD471C8"/>
    <w:rsid w:val="4DDB60C5"/>
    <w:rsid w:val="4DDE5F49"/>
    <w:rsid w:val="4DE37874"/>
    <w:rsid w:val="4E0B3E28"/>
    <w:rsid w:val="4E260575"/>
    <w:rsid w:val="4E290817"/>
    <w:rsid w:val="4E2A5EF4"/>
    <w:rsid w:val="4E2E50AB"/>
    <w:rsid w:val="4E4C599A"/>
    <w:rsid w:val="4E4D1095"/>
    <w:rsid w:val="4E4F4FB2"/>
    <w:rsid w:val="4E74587D"/>
    <w:rsid w:val="4E794BE5"/>
    <w:rsid w:val="4E970DFC"/>
    <w:rsid w:val="4EB35D2E"/>
    <w:rsid w:val="4EB85B49"/>
    <w:rsid w:val="4EC307F0"/>
    <w:rsid w:val="4EC6634F"/>
    <w:rsid w:val="4EDD2EF7"/>
    <w:rsid w:val="4F0751E8"/>
    <w:rsid w:val="4F0D37DA"/>
    <w:rsid w:val="4F224DCB"/>
    <w:rsid w:val="4F250BE7"/>
    <w:rsid w:val="4F3C31B3"/>
    <w:rsid w:val="4F3C7B8F"/>
    <w:rsid w:val="4F4D0D56"/>
    <w:rsid w:val="4F5D4B83"/>
    <w:rsid w:val="4F8775D3"/>
    <w:rsid w:val="4F9D6385"/>
    <w:rsid w:val="4FB7457C"/>
    <w:rsid w:val="4FC05251"/>
    <w:rsid w:val="4FC4197A"/>
    <w:rsid w:val="4FC462DB"/>
    <w:rsid w:val="4FE014A7"/>
    <w:rsid w:val="50016063"/>
    <w:rsid w:val="507B7034"/>
    <w:rsid w:val="50981127"/>
    <w:rsid w:val="50A26840"/>
    <w:rsid w:val="50B33EA2"/>
    <w:rsid w:val="50B91A50"/>
    <w:rsid w:val="50BA144D"/>
    <w:rsid w:val="50BC7D51"/>
    <w:rsid w:val="50CC4D0E"/>
    <w:rsid w:val="50E3327A"/>
    <w:rsid w:val="50E92FD1"/>
    <w:rsid w:val="511831CD"/>
    <w:rsid w:val="51290A6E"/>
    <w:rsid w:val="512A6D71"/>
    <w:rsid w:val="5155221F"/>
    <w:rsid w:val="51A45746"/>
    <w:rsid w:val="51AD578E"/>
    <w:rsid w:val="51B14D15"/>
    <w:rsid w:val="51BA70EC"/>
    <w:rsid w:val="51EA1866"/>
    <w:rsid w:val="51FA1176"/>
    <w:rsid w:val="52067210"/>
    <w:rsid w:val="52105F34"/>
    <w:rsid w:val="522E4A50"/>
    <w:rsid w:val="5243047E"/>
    <w:rsid w:val="526A529D"/>
    <w:rsid w:val="527D1804"/>
    <w:rsid w:val="528F1E89"/>
    <w:rsid w:val="52C2231D"/>
    <w:rsid w:val="52C872FC"/>
    <w:rsid w:val="53105E6F"/>
    <w:rsid w:val="53215031"/>
    <w:rsid w:val="535E5C0C"/>
    <w:rsid w:val="53646934"/>
    <w:rsid w:val="536D2B0B"/>
    <w:rsid w:val="537F7500"/>
    <w:rsid w:val="53811BDE"/>
    <w:rsid w:val="53910EEC"/>
    <w:rsid w:val="53915BBF"/>
    <w:rsid w:val="539F4B26"/>
    <w:rsid w:val="53A12302"/>
    <w:rsid w:val="53B8285F"/>
    <w:rsid w:val="53D36FC8"/>
    <w:rsid w:val="53D407FD"/>
    <w:rsid w:val="53FC6081"/>
    <w:rsid w:val="54462A43"/>
    <w:rsid w:val="54561959"/>
    <w:rsid w:val="5457519F"/>
    <w:rsid w:val="547A6E72"/>
    <w:rsid w:val="5480181F"/>
    <w:rsid w:val="548367F8"/>
    <w:rsid w:val="54D067CA"/>
    <w:rsid w:val="54D53B1E"/>
    <w:rsid w:val="55195477"/>
    <w:rsid w:val="552A48B7"/>
    <w:rsid w:val="558D06F8"/>
    <w:rsid w:val="55B6310F"/>
    <w:rsid w:val="55D37FAF"/>
    <w:rsid w:val="55D46FB4"/>
    <w:rsid w:val="55D47337"/>
    <w:rsid w:val="560F34D0"/>
    <w:rsid w:val="56137282"/>
    <w:rsid w:val="56221C78"/>
    <w:rsid w:val="562942C3"/>
    <w:rsid w:val="563019C7"/>
    <w:rsid w:val="56332D46"/>
    <w:rsid w:val="56674206"/>
    <w:rsid w:val="567E757D"/>
    <w:rsid w:val="56970662"/>
    <w:rsid w:val="56A94072"/>
    <w:rsid w:val="56C713C7"/>
    <w:rsid w:val="56C91121"/>
    <w:rsid w:val="56E3016A"/>
    <w:rsid w:val="56EF446E"/>
    <w:rsid w:val="56FC2042"/>
    <w:rsid w:val="5716555F"/>
    <w:rsid w:val="57180C3E"/>
    <w:rsid w:val="571B00E7"/>
    <w:rsid w:val="571E4552"/>
    <w:rsid w:val="572C2802"/>
    <w:rsid w:val="57565FA0"/>
    <w:rsid w:val="57610E6D"/>
    <w:rsid w:val="57861C8E"/>
    <w:rsid w:val="57A65D6B"/>
    <w:rsid w:val="57A80103"/>
    <w:rsid w:val="57AF6C54"/>
    <w:rsid w:val="57BB34AD"/>
    <w:rsid w:val="57C05E4E"/>
    <w:rsid w:val="57E049F2"/>
    <w:rsid w:val="57E27E9C"/>
    <w:rsid w:val="57F56C74"/>
    <w:rsid w:val="58027F13"/>
    <w:rsid w:val="58236A66"/>
    <w:rsid w:val="582D618F"/>
    <w:rsid w:val="5856157C"/>
    <w:rsid w:val="58733118"/>
    <w:rsid w:val="58756067"/>
    <w:rsid w:val="58971A3F"/>
    <w:rsid w:val="58A52565"/>
    <w:rsid w:val="58AC56ED"/>
    <w:rsid w:val="58BF2643"/>
    <w:rsid w:val="58D95411"/>
    <w:rsid w:val="58FA71B4"/>
    <w:rsid w:val="593556E3"/>
    <w:rsid w:val="593E4734"/>
    <w:rsid w:val="597C4A0C"/>
    <w:rsid w:val="597F684F"/>
    <w:rsid w:val="5984087B"/>
    <w:rsid w:val="598972E4"/>
    <w:rsid w:val="59AA5EBF"/>
    <w:rsid w:val="59DF6FA5"/>
    <w:rsid w:val="59E0044E"/>
    <w:rsid w:val="59E6298C"/>
    <w:rsid w:val="5A053D36"/>
    <w:rsid w:val="5A44508F"/>
    <w:rsid w:val="5A5116DD"/>
    <w:rsid w:val="5A6D5FF2"/>
    <w:rsid w:val="5A7546C3"/>
    <w:rsid w:val="5AA709F3"/>
    <w:rsid w:val="5AAC0B40"/>
    <w:rsid w:val="5AB0794C"/>
    <w:rsid w:val="5AE1697B"/>
    <w:rsid w:val="5AF64AFD"/>
    <w:rsid w:val="5B127106"/>
    <w:rsid w:val="5B3C26F3"/>
    <w:rsid w:val="5BA00AF0"/>
    <w:rsid w:val="5BB80ACF"/>
    <w:rsid w:val="5BBA3AE2"/>
    <w:rsid w:val="5BD14146"/>
    <w:rsid w:val="5BF23366"/>
    <w:rsid w:val="5BF50C55"/>
    <w:rsid w:val="5C194DAF"/>
    <w:rsid w:val="5C2D2700"/>
    <w:rsid w:val="5C2D6806"/>
    <w:rsid w:val="5C433416"/>
    <w:rsid w:val="5C740FFB"/>
    <w:rsid w:val="5C8A7500"/>
    <w:rsid w:val="5CC429FE"/>
    <w:rsid w:val="5CDF1858"/>
    <w:rsid w:val="5CDF5F5E"/>
    <w:rsid w:val="5CE128E9"/>
    <w:rsid w:val="5CE713CF"/>
    <w:rsid w:val="5CF839BA"/>
    <w:rsid w:val="5CFF171E"/>
    <w:rsid w:val="5D597013"/>
    <w:rsid w:val="5D953B54"/>
    <w:rsid w:val="5DA1618F"/>
    <w:rsid w:val="5DC22EE3"/>
    <w:rsid w:val="5DC43A54"/>
    <w:rsid w:val="5DCE0533"/>
    <w:rsid w:val="5DE5283F"/>
    <w:rsid w:val="5DF202A7"/>
    <w:rsid w:val="5DF3515A"/>
    <w:rsid w:val="5E1F660A"/>
    <w:rsid w:val="5E4B14B8"/>
    <w:rsid w:val="5E6574CA"/>
    <w:rsid w:val="5E703813"/>
    <w:rsid w:val="5E7F090C"/>
    <w:rsid w:val="5E920AC4"/>
    <w:rsid w:val="5EE4305C"/>
    <w:rsid w:val="5EE938A5"/>
    <w:rsid w:val="5EEA4B5B"/>
    <w:rsid w:val="5F16746D"/>
    <w:rsid w:val="5F295874"/>
    <w:rsid w:val="5F2B23FD"/>
    <w:rsid w:val="5F4B095A"/>
    <w:rsid w:val="5F4D32CF"/>
    <w:rsid w:val="5F584911"/>
    <w:rsid w:val="5F622F95"/>
    <w:rsid w:val="5F6F6EA8"/>
    <w:rsid w:val="5F7C2E44"/>
    <w:rsid w:val="5F7F78A4"/>
    <w:rsid w:val="5F826B85"/>
    <w:rsid w:val="5F854A71"/>
    <w:rsid w:val="5F875C18"/>
    <w:rsid w:val="5FBE0472"/>
    <w:rsid w:val="5FC976E3"/>
    <w:rsid w:val="5FEE698A"/>
    <w:rsid w:val="5FF01507"/>
    <w:rsid w:val="600B7170"/>
    <w:rsid w:val="600F09BF"/>
    <w:rsid w:val="60161EA2"/>
    <w:rsid w:val="603B303A"/>
    <w:rsid w:val="607A0BDE"/>
    <w:rsid w:val="60870B20"/>
    <w:rsid w:val="6098608E"/>
    <w:rsid w:val="60B44866"/>
    <w:rsid w:val="60BF2326"/>
    <w:rsid w:val="60C26160"/>
    <w:rsid w:val="60C7512D"/>
    <w:rsid w:val="60D627CC"/>
    <w:rsid w:val="60E7733E"/>
    <w:rsid w:val="60ED21AA"/>
    <w:rsid w:val="60F43FC4"/>
    <w:rsid w:val="61031B47"/>
    <w:rsid w:val="610D4639"/>
    <w:rsid w:val="61133C6A"/>
    <w:rsid w:val="61317C61"/>
    <w:rsid w:val="616612E1"/>
    <w:rsid w:val="61921451"/>
    <w:rsid w:val="6198509E"/>
    <w:rsid w:val="619851A5"/>
    <w:rsid w:val="61B61884"/>
    <w:rsid w:val="61FE0E66"/>
    <w:rsid w:val="6228431D"/>
    <w:rsid w:val="62463133"/>
    <w:rsid w:val="62571CEC"/>
    <w:rsid w:val="62585D33"/>
    <w:rsid w:val="62596F32"/>
    <w:rsid w:val="625A425E"/>
    <w:rsid w:val="628074C8"/>
    <w:rsid w:val="628E6B39"/>
    <w:rsid w:val="62AB4A7D"/>
    <w:rsid w:val="62B55017"/>
    <w:rsid w:val="62D44623"/>
    <w:rsid w:val="62D73B1B"/>
    <w:rsid w:val="62DD38B4"/>
    <w:rsid w:val="62ED605F"/>
    <w:rsid w:val="631B7ADC"/>
    <w:rsid w:val="63463ED0"/>
    <w:rsid w:val="63501C0E"/>
    <w:rsid w:val="637368F6"/>
    <w:rsid w:val="637B277B"/>
    <w:rsid w:val="639E3D6F"/>
    <w:rsid w:val="63AB2963"/>
    <w:rsid w:val="63BD470E"/>
    <w:rsid w:val="63C945EA"/>
    <w:rsid w:val="63D4619B"/>
    <w:rsid w:val="63EB2A6D"/>
    <w:rsid w:val="63EC4C10"/>
    <w:rsid w:val="64043148"/>
    <w:rsid w:val="640800B7"/>
    <w:rsid w:val="64133811"/>
    <w:rsid w:val="64210C61"/>
    <w:rsid w:val="642A7E7F"/>
    <w:rsid w:val="64516AF6"/>
    <w:rsid w:val="6484241B"/>
    <w:rsid w:val="649C35C1"/>
    <w:rsid w:val="64A010B0"/>
    <w:rsid w:val="64AF6BFB"/>
    <w:rsid w:val="64CF6EBD"/>
    <w:rsid w:val="64ED36A0"/>
    <w:rsid w:val="64F73EF2"/>
    <w:rsid w:val="65162560"/>
    <w:rsid w:val="65372C90"/>
    <w:rsid w:val="6559577B"/>
    <w:rsid w:val="656F59C4"/>
    <w:rsid w:val="6580399E"/>
    <w:rsid w:val="65C44160"/>
    <w:rsid w:val="65DD1DB5"/>
    <w:rsid w:val="65EB1487"/>
    <w:rsid w:val="661A48B1"/>
    <w:rsid w:val="662159AE"/>
    <w:rsid w:val="66301FDE"/>
    <w:rsid w:val="66505453"/>
    <w:rsid w:val="66613C0C"/>
    <w:rsid w:val="66681316"/>
    <w:rsid w:val="667B3F8F"/>
    <w:rsid w:val="669619AF"/>
    <w:rsid w:val="669F61E0"/>
    <w:rsid w:val="66B36175"/>
    <w:rsid w:val="66DF2826"/>
    <w:rsid w:val="66FB4DE1"/>
    <w:rsid w:val="670071BC"/>
    <w:rsid w:val="67025D75"/>
    <w:rsid w:val="67230E7D"/>
    <w:rsid w:val="672B15E9"/>
    <w:rsid w:val="672F0E7A"/>
    <w:rsid w:val="67452664"/>
    <w:rsid w:val="67623065"/>
    <w:rsid w:val="67687FF5"/>
    <w:rsid w:val="676B025D"/>
    <w:rsid w:val="6792490A"/>
    <w:rsid w:val="67AE4F45"/>
    <w:rsid w:val="67BD73CD"/>
    <w:rsid w:val="67C54B44"/>
    <w:rsid w:val="67F103B0"/>
    <w:rsid w:val="67F907F2"/>
    <w:rsid w:val="68026C2B"/>
    <w:rsid w:val="680B22AE"/>
    <w:rsid w:val="683C28D6"/>
    <w:rsid w:val="685217F0"/>
    <w:rsid w:val="68531A18"/>
    <w:rsid w:val="68561338"/>
    <w:rsid w:val="68E97FAD"/>
    <w:rsid w:val="68EB3574"/>
    <w:rsid w:val="693268A2"/>
    <w:rsid w:val="69465F06"/>
    <w:rsid w:val="696C1CF9"/>
    <w:rsid w:val="69922727"/>
    <w:rsid w:val="699C3917"/>
    <w:rsid w:val="69AD5DC5"/>
    <w:rsid w:val="69D4526D"/>
    <w:rsid w:val="69F37D14"/>
    <w:rsid w:val="69FD0153"/>
    <w:rsid w:val="6A4466B1"/>
    <w:rsid w:val="6A6911AB"/>
    <w:rsid w:val="6AA0432E"/>
    <w:rsid w:val="6AB74D54"/>
    <w:rsid w:val="6AF841EC"/>
    <w:rsid w:val="6AFA17BF"/>
    <w:rsid w:val="6AFD5847"/>
    <w:rsid w:val="6B500A0D"/>
    <w:rsid w:val="6B691C7D"/>
    <w:rsid w:val="6B772ABF"/>
    <w:rsid w:val="6B7B6B6A"/>
    <w:rsid w:val="6B8A7CBE"/>
    <w:rsid w:val="6B8C2FAD"/>
    <w:rsid w:val="6BB61183"/>
    <w:rsid w:val="6BE07425"/>
    <w:rsid w:val="6BE643EC"/>
    <w:rsid w:val="6C1D57BC"/>
    <w:rsid w:val="6C257FE0"/>
    <w:rsid w:val="6C3D4DA6"/>
    <w:rsid w:val="6C65358F"/>
    <w:rsid w:val="6C662829"/>
    <w:rsid w:val="6C783140"/>
    <w:rsid w:val="6C7B69E2"/>
    <w:rsid w:val="6CE1094A"/>
    <w:rsid w:val="6CE53F4A"/>
    <w:rsid w:val="6D023D71"/>
    <w:rsid w:val="6D186744"/>
    <w:rsid w:val="6D2C743F"/>
    <w:rsid w:val="6D2E3973"/>
    <w:rsid w:val="6D375076"/>
    <w:rsid w:val="6D414E15"/>
    <w:rsid w:val="6D41632E"/>
    <w:rsid w:val="6D753A44"/>
    <w:rsid w:val="6D8A2D20"/>
    <w:rsid w:val="6DB06DC7"/>
    <w:rsid w:val="6DBC30B4"/>
    <w:rsid w:val="6DCD5C90"/>
    <w:rsid w:val="6DD26902"/>
    <w:rsid w:val="6E0F7F8F"/>
    <w:rsid w:val="6E260F21"/>
    <w:rsid w:val="6E4747B7"/>
    <w:rsid w:val="6E481223"/>
    <w:rsid w:val="6E6C0878"/>
    <w:rsid w:val="6E820A38"/>
    <w:rsid w:val="6EB26BD6"/>
    <w:rsid w:val="6EC10CA9"/>
    <w:rsid w:val="6EC810C0"/>
    <w:rsid w:val="6F002D7A"/>
    <w:rsid w:val="6F16553A"/>
    <w:rsid w:val="6F1A262D"/>
    <w:rsid w:val="6F515056"/>
    <w:rsid w:val="6F52432D"/>
    <w:rsid w:val="6F6C338C"/>
    <w:rsid w:val="6F8F59E3"/>
    <w:rsid w:val="6F91749D"/>
    <w:rsid w:val="6FBA6B71"/>
    <w:rsid w:val="6FC30FCB"/>
    <w:rsid w:val="6FE47434"/>
    <w:rsid w:val="70124BA3"/>
    <w:rsid w:val="70157F71"/>
    <w:rsid w:val="70216FC5"/>
    <w:rsid w:val="703273A5"/>
    <w:rsid w:val="70433CCD"/>
    <w:rsid w:val="70AE7CC8"/>
    <w:rsid w:val="70B86FA2"/>
    <w:rsid w:val="70BF5D66"/>
    <w:rsid w:val="70CD026C"/>
    <w:rsid w:val="70E941C4"/>
    <w:rsid w:val="711320C4"/>
    <w:rsid w:val="71231A85"/>
    <w:rsid w:val="713B5B65"/>
    <w:rsid w:val="713D6230"/>
    <w:rsid w:val="715C3ABF"/>
    <w:rsid w:val="717E5952"/>
    <w:rsid w:val="718F036B"/>
    <w:rsid w:val="71901DB2"/>
    <w:rsid w:val="71AE78AE"/>
    <w:rsid w:val="71C406A5"/>
    <w:rsid w:val="71C83ECB"/>
    <w:rsid w:val="71CA2B04"/>
    <w:rsid w:val="71D610EB"/>
    <w:rsid w:val="71DA6586"/>
    <w:rsid w:val="71E83240"/>
    <w:rsid w:val="71EB5FF2"/>
    <w:rsid w:val="71F25559"/>
    <w:rsid w:val="72314EE7"/>
    <w:rsid w:val="72323F2D"/>
    <w:rsid w:val="723A0043"/>
    <w:rsid w:val="72456461"/>
    <w:rsid w:val="724A7019"/>
    <w:rsid w:val="72521BB5"/>
    <w:rsid w:val="72760847"/>
    <w:rsid w:val="727C18AB"/>
    <w:rsid w:val="728F48C4"/>
    <w:rsid w:val="72A0728E"/>
    <w:rsid w:val="73006AF0"/>
    <w:rsid w:val="73171072"/>
    <w:rsid w:val="732A50DB"/>
    <w:rsid w:val="732F194A"/>
    <w:rsid w:val="73584AA9"/>
    <w:rsid w:val="7369568A"/>
    <w:rsid w:val="73777DFF"/>
    <w:rsid w:val="738B54DF"/>
    <w:rsid w:val="738E4445"/>
    <w:rsid w:val="73A75F77"/>
    <w:rsid w:val="73AD0578"/>
    <w:rsid w:val="73AE35F7"/>
    <w:rsid w:val="74027168"/>
    <w:rsid w:val="74163595"/>
    <w:rsid w:val="74340C7B"/>
    <w:rsid w:val="74662CFB"/>
    <w:rsid w:val="74667056"/>
    <w:rsid w:val="74882D75"/>
    <w:rsid w:val="74AF3558"/>
    <w:rsid w:val="74BD0490"/>
    <w:rsid w:val="74D22D4A"/>
    <w:rsid w:val="74D60454"/>
    <w:rsid w:val="74FD5159"/>
    <w:rsid w:val="750E3B84"/>
    <w:rsid w:val="75165019"/>
    <w:rsid w:val="751E6035"/>
    <w:rsid w:val="752A6FFB"/>
    <w:rsid w:val="752F3A2E"/>
    <w:rsid w:val="75577D31"/>
    <w:rsid w:val="756118D0"/>
    <w:rsid w:val="757636AA"/>
    <w:rsid w:val="75986355"/>
    <w:rsid w:val="759B19CD"/>
    <w:rsid w:val="75B462E6"/>
    <w:rsid w:val="75C76A35"/>
    <w:rsid w:val="75E76C7A"/>
    <w:rsid w:val="75EF2C3F"/>
    <w:rsid w:val="75F219EE"/>
    <w:rsid w:val="75F3135D"/>
    <w:rsid w:val="76531CE0"/>
    <w:rsid w:val="76587ADF"/>
    <w:rsid w:val="765B5C64"/>
    <w:rsid w:val="76807A1D"/>
    <w:rsid w:val="76BD50DF"/>
    <w:rsid w:val="76FD2EA6"/>
    <w:rsid w:val="771807D5"/>
    <w:rsid w:val="772A4E50"/>
    <w:rsid w:val="775A39D8"/>
    <w:rsid w:val="777A13B6"/>
    <w:rsid w:val="77996363"/>
    <w:rsid w:val="77C475D5"/>
    <w:rsid w:val="77ED6D46"/>
    <w:rsid w:val="780D671A"/>
    <w:rsid w:val="78204B37"/>
    <w:rsid w:val="78233F46"/>
    <w:rsid w:val="782B0DFD"/>
    <w:rsid w:val="78606037"/>
    <w:rsid w:val="786F4DC6"/>
    <w:rsid w:val="7877550B"/>
    <w:rsid w:val="78840740"/>
    <w:rsid w:val="789701A2"/>
    <w:rsid w:val="78EB5557"/>
    <w:rsid w:val="78FC3EA5"/>
    <w:rsid w:val="78FE02F1"/>
    <w:rsid w:val="791069AB"/>
    <w:rsid w:val="791A0A61"/>
    <w:rsid w:val="79797D41"/>
    <w:rsid w:val="79A8428A"/>
    <w:rsid w:val="79C06847"/>
    <w:rsid w:val="79D301A6"/>
    <w:rsid w:val="7A023C53"/>
    <w:rsid w:val="7A147C02"/>
    <w:rsid w:val="7A232614"/>
    <w:rsid w:val="7A2C4D4E"/>
    <w:rsid w:val="7A2E4400"/>
    <w:rsid w:val="7A590850"/>
    <w:rsid w:val="7A735736"/>
    <w:rsid w:val="7AA25E3C"/>
    <w:rsid w:val="7AB621FB"/>
    <w:rsid w:val="7AD040A0"/>
    <w:rsid w:val="7AF82095"/>
    <w:rsid w:val="7B3C01D4"/>
    <w:rsid w:val="7B73216B"/>
    <w:rsid w:val="7B8204A9"/>
    <w:rsid w:val="7B9F2285"/>
    <w:rsid w:val="7BA957E4"/>
    <w:rsid w:val="7BC56530"/>
    <w:rsid w:val="7BD03861"/>
    <w:rsid w:val="7BDC3D7D"/>
    <w:rsid w:val="7C1162DB"/>
    <w:rsid w:val="7C3D3E4B"/>
    <w:rsid w:val="7C4A0196"/>
    <w:rsid w:val="7C5B44A5"/>
    <w:rsid w:val="7C726CB3"/>
    <w:rsid w:val="7CA84ECE"/>
    <w:rsid w:val="7CB1600E"/>
    <w:rsid w:val="7CEF3842"/>
    <w:rsid w:val="7D763A1A"/>
    <w:rsid w:val="7DC150AD"/>
    <w:rsid w:val="7DDA4662"/>
    <w:rsid w:val="7DDE58C3"/>
    <w:rsid w:val="7DE729DC"/>
    <w:rsid w:val="7DFD2D62"/>
    <w:rsid w:val="7E04439B"/>
    <w:rsid w:val="7E0C43EC"/>
    <w:rsid w:val="7E3D63E3"/>
    <w:rsid w:val="7E563A5A"/>
    <w:rsid w:val="7E811823"/>
    <w:rsid w:val="7EB338CF"/>
    <w:rsid w:val="7EB62F80"/>
    <w:rsid w:val="7EBC36FC"/>
    <w:rsid w:val="7EF94469"/>
    <w:rsid w:val="7F34043E"/>
    <w:rsid w:val="7FB11B41"/>
    <w:rsid w:val="7FB7024C"/>
    <w:rsid w:val="7FD9285F"/>
    <w:rsid w:val="7FDF4537"/>
    <w:rsid w:val="7FED6A1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rules v:ext="edit">
        <o:r id="V:Rule1" type="connector" idref="#直接连接符 4"/>
        <o:r id="V:Rule2" type="connector" idref="#直接连接符 5"/>
        <o:r id="V:Rule3" type="connector" idref="#_x0000_s1028"/>
        <o:r id="V:Rule4" type="connector" idref="#_x0000_s1029"/>
      </o:rules>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nhideWhenUsed="0" w:uiPriority="35"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iPriority="99"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qFormat="1"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99"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adjustRightInd w:val="0"/>
      <w:snapToGrid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paragraph" w:styleId="4">
    <w:name w:val="heading 1"/>
    <w:basedOn w:val="1"/>
    <w:next w:val="1"/>
    <w:qFormat/>
    <w:uiPriority w:val="0"/>
    <w:pPr>
      <w:keepNext/>
      <w:keepLines/>
      <w:spacing w:before="340" w:after="240" w:line="578" w:lineRule="auto"/>
      <w:jc w:val="center"/>
      <w:outlineLvl w:val="0"/>
    </w:pPr>
    <w:rPr>
      <w:rFonts w:eastAsia="黑体"/>
      <w:bCs/>
      <w:kern w:val="44"/>
      <w:sz w:val="42"/>
      <w:szCs w:val="42"/>
    </w:rPr>
  </w:style>
  <w:style w:type="paragraph" w:styleId="5">
    <w:name w:val="heading 2"/>
    <w:basedOn w:val="1"/>
    <w:next w:val="1"/>
    <w:qFormat/>
    <w:uiPriority w:val="0"/>
    <w:pPr>
      <w:keepNext/>
      <w:keepLines/>
      <w:spacing w:before="260" w:after="260"/>
      <w:outlineLvl w:val="1"/>
    </w:pPr>
    <w:rPr>
      <w:rFonts w:ascii="Arial" w:hAnsi="Arial" w:eastAsia="黑体"/>
      <w:bCs/>
      <w:sz w:val="42"/>
      <w:szCs w:val="32"/>
    </w:rPr>
  </w:style>
  <w:style w:type="paragraph" w:styleId="6">
    <w:name w:val="heading 3"/>
    <w:basedOn w:val="1"/>
    <w:next w:val="1"/>
    <w:qFormat/>
    <w:uiPriority w:val="0"/>
    <w:pPr>
      <w:keepNext/>
      <w:keepLines/>
      <w:ind w:firstLine="0" w:firstLineChars="0"/>
      <w:outlineLvl w:val="2"/>
    </w:pPr>
    <w:rPr>
      <w:rFonts w:eastAsia="黑体"/>
      <w:lang w:val="en-GB"/>
    </w:rPr>
  </w:style>
  <w:style w:type="paragraph" w:styleId="2">
    <w:name w:val="heading 4"/>
    <w:basedOn w:val="1"/>
    <w:next w:val="3"/>
    <w:qFormat/>
    <w:uiPriority w:val="0"/>
    <w:pPr>
      <w:keepNext/>
      <w:keepLines/>
      <w:tabs>
        <w:tab w:val="left" w:pos="330"/>
      </w:tabs>
      <w:spacing w:before="80" w:after="80"/>
      <w:outlineLvl w:val="3"/>
    </w:pPr>
    <w:rPr>
      <w:bCs/>
    </w:rPr>
  </w:style>
  <w:style w:type="paragraph" w:styleId="7">
    <w:name w:val="heading 9"/>
    <w:basedOn w:val="1"/>
    <w:next w:val="1"/>
    <w:qFormat/>
    <w:uiPriority w:val="0"/>
    <w:pPr>
      <w:keepNext/>
      <w:keepLines/>
      <w:spacing w:before="240" w:after="64" w:line="320" w:lineRule="auto"/>
      <w:ind w:left="1" w:firstLine="0" w:firstLineChars="0"/>
      <w:outlineLvl w:val="8"/>
    </w:pPr>
    <w:rPr>
      <w:rFonts w:ascii="Arial" w:hAnsi="Arial" w:eastAsia="黑体"/>
      <w:szCs w:val="21"/>
    </w:rPr>
  </w:style>
  <w:style w:type="character" w:default="1" w:styleId="29">
    <w:name w:val="Default Paragraph Font"/>
    <w:semiHidden/>
    <w:unhideWhenUsed/>
    <w:uiPriority w:val="1"/>
  </w:style>
  <w:style w:type="table" w:default="1" w:styleId="27">
    <w:name w:val="Normal Table"/>
    <w:semiHidden/>
    <w:unhideWhenUsed/>
    <w:qFormat/>
    <w:uiPriority w:val="99"/>
    <w:tblPr>
      <w:tblCellMar>
        <w:top w:w="0" w:type="dxa"/>
        <w:left w:w="108" w:type="dxa"/>
        <w:bottom w:w="0" w:type="dxa"/>
        <w:right w:w="108" w:type="dxa"/>
      </w:tblCellMar>
    </w:tblPr>
  </w:style>
  <w:style w:type="paragraph" w:styleId="3">
    <w:name w:val="Normal Indent"/>
    <w:basedOn w:val="1"/>
    <w:next w:val="1"/>
    <w:qFormat/>
    <w:uiPriority w:val="0"/>
    <w:pPr>
      <w:numPr>
        <w:ilvl w:val="0"/>
        <w:numId w:val="1"/>
      </w:numPr>
      <w:ind w:firstLine="0" w:firstLineChars="0"/>
    </w:pPr>
    <w:rPr>
      <w:sz w:val="28"/>
      <w:szCs w:val="20"/>
    </w:rPr>
  </w:style>
  <w:style w:type="paragraph" w:styleId="8">
    <w:name w:val="caption"/>
    <w:basedOn w:val="1"/>
    <w:next w:val="1"/>
    <w:qFormat/>
    <w:uiPriority w:val="35"/>
    <w:rPr>
      <w:rFonts w:ascii="Arial" w:hAnsi="Arial" w:eastAsia="黑体"/>
      <w:sz w:val="20"/>
      <w:szCs w:val="20"/>
    </w:rPr>
  </w:style>
  <w:style w:type="paragraph" w:styleId="9">
    <w:name w:val="Document Map"/>
    <w:basedOn w:val="1"/>
    <w:link w:val="57"/>
    <w:qFormat/>
    <w:uiPriority w:val="0"/>
    <w:rPr>
      <w:rFonts w:ascii="宋体"/>
      <w:sz w:val="18"/>
      <w:szCs w:val="18"/>
    </w:rPr>
  </w:style>
  <w:style w:type="paragraph" w:styleId="10">
    <w:name w:val="annotation text"/>
    <w:basedOn w:val="1"/>
    <w:link w:val="55"/>
    <w:qFormat/>
    <w:uiPriority w:val="0"/>
    <w:pPr>
      <w:jc w:val="left"/>
    </w:pPr>
  </w:style>
  <w:style w:type="paragraph" w:styleId="11">
    <w:name w:val="Body Text"/>
    <w:basedOn w:val="1"/>
    <w:qFormat/>
    <w:uiPriority w:val="0"/>
    <w:pPr>
      <w:spacing w:after="120"/>
    </w:pPr>
  </w:style>
  <w:style w:type="paragraph" w:styleId="12">
    <w:name w:val="Body Text Indent"/>
    <w:basedOn w:val="1"/>
    <w:qFormat/>
    <w:uiPriority w:val="0"/>
    <w:pPr>
      <w:spacing w:line="600" w:lineRule="atLeast"/>
      <w:ind w:firstLine="560"/>
    </w:pPr>
    <w:rPr>
      <w:rFonts w:ascii="宋体" w:hAnsi="宋体" w:eastAsia="仿宋_GB2312"/>
      <w:sz w:val="28"/>
    </w:rPr>
  </w:style>
  <w:style w:type="paragraph" w:styleId="13">
    <w:name w:val="Block Text"/>
    <w:basedOn w:val="1"/>
    <w:qFormat/>
    <w:uiPriority w:val="0"/>
    <w:pPr>
      <w:spacing w:after="120"/>
      <w:ind w:left="1440" w:leftChars="700" w:right="1440" w:rightChars="700"/>
    </w:pPr>
  </w:style>
  <w:style w:type="paragraph" w:styleId="14">
    <w:name w:val="Plain Text"/>
    <w:basedOn w:val="1"/>
    <w:qFormat/>
    <w:uiPriority w:val="0"/>
    <w:rPr>
      <w:rFonts w:ascii="宋体" w:hAnsi="Courier New"/>
      <w:szCs w:val="20"/>
    </w:rPr>
  </w:style>
  <w:style w:type="paragraph" w:styleId="15">
    <w:name w:val="Body Text Indent 2"/>
    <w:basedOn w:val="1"/>
    <w:qFormat/>
    <w:uiPriority w:val="0"/>
    <w:pPr>
      <w:ind w:firstLine="560"/>
    </w:pPr>
  </w:style>
  <w:style w:type="paragraph" w:styleId="16">
    <w:name w:val="Balloon Text"/>
    <w:basedOn w:val="1"/>
    <w:link w:val="54"/>
    <w:qFormat/>
    <w:uiPriority w:val="0"/>
    <w:pPr>
      <w:spacing w:line="240" w:lineRule="auto"/>
    </w:pPr>
    <w:rPr>
      <w:sz w:val="18"/>
      <w:szCs w:val="18"/>
    </w:rPr>
  </w:style>
  <w:style w:type="paragraph" w:styleId="17">
    <w:name w:val="footer"/>
    <w:basedOn w:val="1"/>
    <w:qFormat/>
    <w:uiPriority w:val="99"/>
    <w:pPr>
      <w:tabs>
        <w:tab w:val="center" w:pos="4153"/>
        <w:tab w:val="right" w:pos="8306"/>
      </w:tabs>
      <w:jc w:val="left"/>
    </w:pPr>
    <w:rPr>
      <w:sz w:val="18"/>
      <w:szCs w:val="18"/>
    </w:rPr>
  </w:style>
  <w:style w:type="paragraph" w:styleId="18">
    <w:name w:val="header"/>
    <w:basedOn w:val="1"/>
    <w:qFormat/>
    <w:uiPriority w:val="0"/>
    <w:pPr>
      <w:pBdr>
        <w:bottom w:val="single" w:color="auto" w:sz="6" w:space="1"/>
      </w:pBdr>
      <w:tabs>
        <w:tab w:val="center" w:pos="4153"/>
        <w:tab w:val="right" w:pos="8306"/>
      </w:tabs>
      <w:jc w:val="center"/>
    </w:pPr>
    <w:rPr>
      <w:sz w:val="18"/>
      <w:szCs w:val="18"/>
    </w:rPr>
  </w:style>
  <w:style w:type="paragraph" w:styleId="19">
    <w:name w:val="toc 1"/>
    <w:basedOn w:val="1"/>
    <w:next w:val="1"/>
    <w:qFormat/>
    <w:uiPriority w:val="39"/>
  </w:style>
  <w:style w:type="paragraph" w:styleId="20">
    <w:name w:val="toc 2"/>
    <w:basedOn w:val="1"/>
    <w:next w:val="1"/>
    <w:qFormat/>
    <w:uiPriority w:val="0"/>
    <w:pPr>
      <w:ind w:left="420" w:leftChars="200"/>
    </w:pPr>
  </w:style>
  <w:style w:type="paragraph" w:styleId="21">
    <w:name w:val="Body Text 2"/>
    <w:basedOn w:val="1"/>
    <w:qFormat/>
    <w:uiPriority w:val="0"/>
    <w:pPr>
      <w:spacing w:line="480" w:lineRule="auto"/>
    </w:pPr>
  </w:style>
  <w:style w:type="paragraph" w:styleId="22">
    <w:name w:val="HTML Preformatted"/>
    <w:basedOn w:val="1"/>
    <w:qFormat/>
    <w:uiPriority w:val="99"/>
    <w:rPr>
      <w:rFonts w:ascii="Courier New" w:hAnsi="Courier New"/>
      <w:kern w:val="0"/>
      <w:sz w:val="20"/>
      <w:szCs w:val="20"/>
    </w:rPr>
  </w:style>
  <w:style w:type="paragraph" w:styleId="23">
    <w:name w:val="Normal (Web)"/>
    <w:basedOn w:val="1"/>
    <w:qFormat/>
    <w:uiPriority w:val="0"/>
  </w:style>
  <w:style w:type="paragraph" w:styleId="24">
    <w:name w:val="annotation subject"/>
    <w:basedOn w:val="10"/>
    <w:next w:val="10"/>
    <w:link w:val="56"/>
    <w:qFormat/>
    <w:uiPriority w:val="0"/>
    <w:rPr>
      <w:b/>
      <w:bCs/>
    </w:rPr>
  </w:style>
  <w:style w:type="paragraph" w:styleId="25">
    <w:name w:val="Body Text First Indent"/>
    <w:basedOn w:val="11"/>
    <w:next w:val="11"/>
    <w:unhideWhenUsed/>
    <w:qFormat/>
    <w:uiPriority w:val="99"/>
    <w:pPr>
      <w:ind w:firstLine="420" w:firstLineChars="100"/>
    </w:pPr>
  </w:style>
  <w:style w:type="paragraph" w:styleId="26">
    <w:name w:val="Body Text First Indent 2"/>
    <w:basedOn w:val="1"/>
    <w:qFormat/>
    <w:uiPriority w:val="0"/>
    <w:pPr>
      <w:spacing w:after="120" w:line="240" w:lineRule="auto"/>
      <w:ind w:left="420" w:leftChars="200" w:firstLine="420"/>
    </w:pPr>
  </w:style>
  <w:style w:type="table" w:styleId="28">
    <w:name w:val="Table Grid"/>
    <w:basedOn w:val="27"/>
    <w:qFormat/>
    <w:uiPriority w:val="0"/>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character" w:styleId="30">
    <w:name w:val="page number"/>
    <w:basedOn w:val="29"/>
    <w:qFormat/>
    <w:uiPriority w:val="0"/>
  </w:style>
  <w:style w:type="character" w:styleId="31">
    <w:name w:val="annotation reference"/>
    <w:basedOn w:val="29"/>
    <w:qFormat/>
    <w:uiPriority w:val="0"/>
    <w:rPr>
      <w:sz w:val="21"/>
      <w:szCs w:val="21"/>
    </w:rPr>
  </w:style>
  <w:style w:type="paragraph" w:customStyle="1" w:styleId="32">
    <w:name w:val="一级"/>
    <w:basedOn w:val="33"/>
    <w:qFormat/>
    <w:uiPriority w:val="0"/>
    <w:rPr>
      <w:rFonts w:eastAsia="黑体"/>
      <w:bCs/>
      <w:szCs w:val="28"/>
    </w:rPr>
  </w:style>
  <w:style w:type="paragraph" w:customStyle="1" w:styleId="33">
    <w:name w:val="我的标题1"/>
    <w:basedOn w:val="5"/>
    <w:qFormat/>
    <w:uiPriority w:val="0"/>
    <w:pPr>
      <w:spacing w:before="0" w:after="0" w:line="800" w:lineRule="exact"/>
      <w:ind w:firstLine="0" w:firstLineChars="0"/>
      <w:jc w:val="left"/>
    </w:pPr>
    <w:rPr>
      <w:rFonts w:ascii="Times New Roman" w:hAnsi="Times New Roman" w:eastAsia="宋体"/>
      <w:bCs w:val="0"/>
      <w:sz w:val="28"/>
    </w:rPr>
  </w:style>
  <w:style w:type="paragraph" w:customStyle="1" w:styleId="34">
    <w:name w:val="正文(首行缩进)"/>
    <w:basedOn w:val="1"/>
    <w:qFormat/>
    <w:uiPriority w:val="0"/>
    <w:pPr>
      <w:ind w:firstLine="540" w:firstLineChars="225"/>
    </w:pPr>
    <w:rPr>
      <w:snapToGrid w:val="0"/>
      <w:color w:val="000000"/>
      <w:kern w:val="0"/>
      <w:szCs w:val="20"/>
    </w:rPr>
  </w:style>
  <w:style w:type="paragraph" w:customStyle="1" w:styleId="35">
    <w:name w:val="表内字"/>
    <w:basedOn w:val="1"/>
    <w:qFormat/>
    <w:uiPriority w:val="0"/>
    <w:pPr>
      <w:spacing w:line="320" w:lineRule="exact"/>
      <w:ind w:firstLine="560"/>
      <w:jc w:val="center"/>
    </w:pPr>
    <w:rPr>
      <w:sz w:val="22"/>
      <w:szCs w:val="22"/>
    </w:rPr>
  </w:style>
  <w:style w:type="paragraph" w:customStyle="1" w:styleId="36">
    <w:name w:val="二级"/>
    <w:basedOn w:val="1"/>
    <w:qFormat/>
    <w:uiPriority w:val="0"/>
    <w:pPr>
      <w:keepNext/>
      <w:keepLines/>
      <w:outlineLvl w:val="2"/>
    </w:pPr>
    <w:rPr>
      <w:rFonts w:eastAsia="黑体"/>
      <w:bCs/>
    </w:rPr>
  </w:style>
  <w:style w:type="paragraph" w:customStyle="1" w:styleId="37">
    <w:name w:val="报告书正文"/>
    <w:basedOn w:val="1"/>
    <w:next w:val="1"/>
    <w:qFormat/>
    <w:uiPriority w:val="0"/>
  </w:style>
  <w:style w:type="paragraph" w:customStyle="1" w:styleId="38">
    <w:name w:val="样式标题5"/>
    <w:basedOn w:val="1"/>
    <w:next w:val="37"/>
    <w:qFormat/>
    <w:uiPriority w:val="0"/>
    <w:pPr>
      <w:spacing w:line="520" w:lineRule="exact"/>
      <w:ind w:firstLine="400"/>
    </w:pPr>
  </w:style>
  <w:style w:type="paragraph" w:customStyle="1" w:styleId="39">
    <w:name w:val="三级"/>
    <w:basedOn w:val="1"/>
    <w:qFormat/>
    <w:uiPriority w:val="0"/>
    <w:pPr>
      <w:outlineLvl w:val="3"/>
    </w:pPr>
  </w:style>
  <w:style w:type="paragraph" w:customStyle="1" w:styleId="40">
    <w:name w:val="我的正文"/>
    <w:basedOn w:val="1"/>
    <w:qFormat/>
    <w:uiPriority w:val="0"/>
    <w:pPr>
      <w:spacing w:line="460" w:lineRule="atLeast"/>
      <w:ind w:firstLine="482"/>
    </w:pPr>
    <w:rPr>
      <w:rFonts w:ascii="Calibri" w:hAnsi="Calibri"/>
      <w:szCs w:val="22"/>
    </w:rPr>
  </w:style>
  <w:style w:type="paragraph" w:customStyle="1" w:styleId="41">
    <w:name w:val="表头图表"/>
    <w:qFormat/>
    <w:uiPriority w:val="0"/>
    <w:pPr>
      <w:widowControl w:val="0"/>
      <w:autoSpaceDE w:val="0"/>
      <w:autoSpaceDN w:val="0"/>
      <w:adjustRightInd w:val="0"/>
      <w:spacing w:before="160" w:after="160"/>
      <w:jc w:val="center"/>
    </w:pPr>
    <w:rPr>
      <w:rFonts w:ascii="Calibri" w:hAnsi="Calibri" w:eastAsia="宋体" w:cs="宋体"/>
      <w:b/>
      <w:color w:val="000000"/>
      <w:sz w:val="24"/>
      <w:szCs w:val="24"/>
      <w:lang w:val="en-US" w:eastAsia="zh-CN" w:bidi="ar-SA"/>
    </w:rPr>
  </w:style>
  <w:style w:type="paragraph" w:customStyle="1" w:styleId="42">
    <w:name w:val="Table Paragraph"/>
    <w:basedOn w:val="1"/>
    <w:qFormat/>
    <w:uiPriority w:val="1"/>
  </w:style>
  <w:style w:type="paragraph" w:customStyle="1" w:styleId="43">
    <w:name w:val="表格1"/>
    <w:basedOn w:val="13"/>
    <w:qFormat/>
    <w:uiPriority w:val="0"/>
    <w:pPr>
      <w:spacing w:after="0" w:line="360" w:lineRule="exact"/>
      <w:ind w:left="0" w:leftChars="0" w:right="0" w:rightChars="0"/>
      <w:jc w:val="center"/>
    </w:pPr>
    <w:rPr>
      <w:rFonts w:eastAsia="黑体"/>
      <w:kern w:val="0"/>
      <w:szCs w:val="28"/>
    </w:rPr>
  </w:style>
  <w:style w:type="paragraph" w:customStyle="1" w:styleId="44">
    <w:name w:val="第四章表头"/>
    <w:basedOn w:val="1"/>
    <w:qFormat/>
    <w:uiPriority w:val="0"/>
    <w:pPr>
      <w:numPr>
        <w:ilvl w:val="0"/>
        <w:numId w:val="2"/>
      </w:numPr>
      <w:jc w:val="center"/>
    </w:pPr>
    <w:rPr>
      <w:b/>
      <w:color w:val="0000FF"/>
    </w:rPr>
  </w:style>
  <w:style w:type="character" w:customStyle="1" w:styleId="45">
    <w:name w:val="font21"/>
    <w:basedOn w:val="29"/>
    <w:qFormat/>
    <w:uiPriority w:val="0"/>
    <w:rPr>
      <w:rFonts w:hint="default" w:ascii="Times New Roman" w:hAnsi="Times New Roman" w:cs="Times New Roman"/>
      <w:color w:val="000000"/>
      <w:sz w:val="22"/>
      <w:szCs w:val="22"/>
      <w:u w:val="none"/>
    </w:rPr>
  </w:style>
  <w:style w:type="character" w:customStyle="1" w:styleId="46">
    <w:name w:val="font11"/>
    <w:basedOn w:val="29"/>
    <w:qFormat/>
    <w:uiPriority w:val="0"/>
    <w:rPr>
      <w:rFonts w:hint="default" w:ascii="Times New Roman" w:hAnsi="Times New Roman" w:cs="Times New Roman"/>
      <w:color w:val="000000"/>
      <w:sz w:val="22"/>
      <w:szCs w:val="22"/>
      <w:u w:val="none"/>
    </w:rPr>
  </w:style>
  <w:style w:type="paragraph" w:customStyle="1" w:styleId="47">
    <w:name w:val="Default"/>
    <w:qFormat/>
    <w:uiPriority w:val="0"/>
    <w:pPr>
      <w:widowControl w:val="0"/>
      <w:autoSpaceDE w:val="0"/>
      <w:autoSpaceDN w:val="0"/>
      <w:adjustRightInd w:val="0"/>
    </w:pPr>
    <w:rPr>
      <w:rFonts w:ascii="宋体" w:hAnsi="Calibri" w:eastAsia="Calibri" w:cs="Times New Roman"/>
      <w:color w:val="000000"/>
      <w:sz w:val="24"/>
      <w:szCs w:val="24"/>
      <w:lang w:val="en-US" w:eastAsia="zh-CN" w:bidi="ar-SA"/>
    </w:rPr>
  </w:style>
  <w:style w:type="paragraph" w:customStyle="1" w:styleId="48">
    <w:name w:val="文字"/>
    <w:basedOn w:val="1"/>
    <w:qFormat/>
    <w:uiPriority w:val="0"/>
    <w:pPr>
      <w:widowControl/>
      <w:spacing w:afterLines="50"/>
      <w:ind w:firstLine="420"/>
    </w:pPr>
    <w:rPr>
      <w:kern w:val="0"/>
    </w:rPr>
  </w:style>
  <w:style w:type="paragraph" w:customStyle="1" w:styleId="49">
    <w:name w:val="正文文本 (9)1"/>
    <w:basedOn w:val="1"/>
    <w:qFormat/>
    <w:uiPriority w:val="0"/>
    <w:pPr>
      <w:shd w:val="clear" w:color="auto" w:fill="FFFFFF"/>
      <w:spacing w:after="240" w:line="240" w:lineRule="atLeast"/>
      <w:jc w:val="left"/>
    </w:pPr>
    <w:rPr>
      <w:rFonts w:ascii="MingLiU" w:eastAsia="MingLiU"/>
      <w:spacing w:val="20"/>
      <w:kern w:val="0"/>
      <w:sz w:val="20"/>
      <w:szCs w:val="20"/>
    </w:rPr>
  </w:style>
  <w:style w:type="paragraph" w:customStyle="1" w:styleId="50">
    <w:name w:val="缩进"/>
    <w:basedOn w:val="1"/>
    <w:qFormat/>
    <w:uiPriority w:val="0"/>
    <w:pPr>
      <w:autoSpaceDE w:val="0"/>
      <w:autoSpaceDN w:val="0"/>
      <w:spacing w:line="400" w:lineRule="atLeast"/>
      <w:textAlignment w:val="baseline"/>
    </w:pPr>
    <w:rPr>
      <w:kern w:val="0"/>
      <w:szCs w:val="20"/>
    </w:rPr>
  </w:style>
  <w:style w:type="paragraph" w:customStyle="1" w:styleId="51">
    <w:name w:val="格式正文，26磅"/>
    <w:basedOn w:val="1"/>
    <w:qFormat/>
    <w:uiPriority w:val="0"/>
    <w:pPr>
      <w:topLinePunct/>
      <w:spacing w:line="520" w:lineRule="exact"/>
    </w:pPr>
    <w:rPr>
      <w:rFonts w:ascii="宋体" w:hAnsi="宋体"/>
    </w:rPr>
  </w:style>
  <w:style w:type="paragraph" w:customStyle="1" w:styleId="52">
    <w:name w:val="WPSOffice手动目录 1"/>
    <w:qFormat/>
    <w:uiPriority w:val="0"/>
    <w:rPr>
      <w:rFonts w:ascii="Times New Roman" w:hAnsi="Times New Roman" w:eastAsia="宋体" w:cs="Times New Roman"/>
      <w:lang w:val="en-US" w:eastAsia="zh-CN" w:bidi="ar-SA"/>
    </w:rPr>
  </w:style>
  <w:style w:type="paragraph" w:customStyle="1" w:styleId="53">
    <w:name w:val="WPSOffice手动目录 2"/>
    <w:qFormat/>
    <w:uiPriority w:val="0"/>
    <w:pPr>
      <w:ind w:left="200" w:leftChars="200"/>
    </w:pPr>
    <w:rPr>
      <w:rFonts w:ascii="Times New Roman" w:hAnsi="Times New Roman" w:eastAsia="宋体" w:cs="Times New Roman"/>
      <w:lang w:val="en-US" w:eastAsia="zh-CN" w:bidi="ar-SA"/>
    </w:rPr>
  </w:style>
  <w:style w:type="character" w:customStyle="1" w:styleId="54">
    <w:name w:val="批注框文本 Char"/>
    <w:basedOn w:val="29"/>
    <w:link w:val="16"/>
    <w:qFormat/>
    <w:uiPriority w:val="0"/>
    <w:rPr>
      <w:kern w:val="2"/>
      <w:sz w:val="18"/>
      <w:szCs w:val="18"/>
    </w:rPr>
  </w:style>
  <w:style w:type="character" w:customStyle="1" w:styleId="55">
    <w:name w:val="批注文字 Char"/>
    <w:basedOn w:val="29"/>
    <w:link w:val="10"/>
    <w:qFormat/>
    <w:uiPriority w:val="0"/>
    <w:rPr>
      <w:kern w:val="2"/>
      <w:sz w:val="24"/>
      <w:szCs w:val="24"/>
    </w:rPr>
  </w:style>
  <w:style w:type="character" w:customStyle="1" w:styleId="56">
    <w:name w:val="批注主题 Char"/>
    <w:basedOn w:val="55"/>
    <w:link w:val="24"/>
    <w:qFormat/>
    <w:uiPriority w:val="0"/>
    <w:rPr>
      <w:b/>
      <w:bCs/>
      <w:kern w:val="2"/>
      <w:sz w:val="24"/>
      <w:szCs w:val="24"/>
    </w:rPr>
  </w:style>
  <w:style w:type="character" w:customStyle="1" w:styleId="57">
    <w:name w:val="文档结构图 Char"/>
    <w:basedOn w:val="29"/>
    <w:link w:val="9"/>
    <w:qFormat/>
    <w:uiPriority w:val="0"/>
    <w:rPr>
      <w:rFonts w:ascii="宋体"/>
      <w:kern w:val="2"/>
      <w:sz w:val="18"/>
      <w:szCs w:val="18"/>
    </w:rPr>
  </w:style>
  <w:style w:type="paragraph" w:customStyle="1" w:styleId="58">
    <w:name w:val="样式 样式 首行缩进:  2 字符 + 首行缩进:  2 字符"/>
    <w:basedOn w:val="1"/>
    <w:qFormat/>
    <w:uiPriority w:val="0"/>
    <w:pPr>
      <w:ind w:firstLine="480"/>
      <w:jc w:val="left"/>
    </w:pPr>
    <w:rPr>
      <w:rFonts w:cs="宋体"/>
    </w:rPr>
  </w:style>
  <w:style w:type="paragraph" w:customStyle="1" w:styleId="59">
    <w:name w:val="xry表格文字"/>
    <w:basedOn w:val="1"/>
    <w:qFormat/>
    <w:uiPriority w:val="0"/>
    <w:pPr>
      <w:jc w:val="center"/>
    </w:pPr>
    <w:rPr>
      <w:kern w:val="0"/>
      <w:sz w:val="20"/>
      <w:lang w:val="zh-CN"/>
    </w:rPr>
  </w:style>
  <w:style w:type="paragraph" w:customStyle="1" w:styleId="60">
    <w:name w:val="表格文字"/>
    <w:basedOn w:val="1"/>
    <w:qFormat/>
    <w:uiPriority w:val="0"/>
    <w:pPr>
      <w:spacing w:before="31" w:beforeLines="10" w:line="460" w:lineRule="exact"/>
      <w:jc w:val="center"/>
    </w:pPr>
    <w:rPr>
      <w:snapToGrid w:val="0"/>
      <w:kern w:val="0"/>
    </w:rPr>
  </w:style>
  <w:style w:type="character" w:customStyle="1" w:styleId="61">
    <w:name w:val="fontstyle01"/>
    <w:qFormat/>
    <w:uiPriority w:val="0"/>
    <w:rPr>
      <w:rFonts w:hint="eastAsia" w:ascii="宋体" w:hAnsi="宋体" w:eastAsia="宋体"/>
      <w:color w:val="000000"/>
      <w:sz w:val="24"/>
      <w:szCs w:val="24"/>
    </w:rPr>
  </w:style>
  <w:style w:type="character" w:customStyle="1" w:styleId="62">
    <w:name w:val="fontstyle11"/>
    <w:qFormat/>
    <w:uiPriority w:val="0"/>
    <w:rPr>
      <w:rFonts w:hint="default" w:ascii="TimesNewRomanPSMT" w:hAnsi="TimesNewRomanPSMT" w:cs="TimesNewRomanPSMT"/>
      <w:color w:val="000000"/>
      <w:sz w:val="24"/>
      <w:szCs w:val="24"/>
    </w:rPr>
  </w:style>
  <w:style w:type="paragraph" w:customStyle="1" w:styleId="63">
    <w:name w:val="报告正文"/>
    <w:basedOn w:val="1"/>
    <w:qFormat/>
    <w:uiPriority w:val="0"/>
    <w:pPr>
      <w:spacing w:line="480" w:lineRule="exact"/>
    </w:pPr>
    <w:rPr>
      <w:color w:val="000000"/>
    </w:rPr>
  </w:style>
  <w:style w:type="paragraph" w:styleId="64">
    <w:name w:val="List Paragraph"/>
    <w:basedOn w:val="1"/>
    <w:qFormat/>
    <w:uiPriority w:val="1"/>
    <w:pPr>
      <w:ind w:left="2181" w:hanging="602"/>
    </w:pPr>
    <w:rPr>
      <w:rFonts w:ascii="宋体" w:hAnsi="宋体" w:cs="宋体"/>
      <w:lang w:val="zh-CN" w:bidi="zh-CN"/>
    </w:rPr>
  </w:style>
  <w:style w:type="character" w:customStyle="1" w:styleId="65">
    <w:name w:val="font01"/>
    <w:basedOn w:val="29"/>
    <w:qFormat/>
    <w:uiPriority w:val="0"/>
    <w:rPr>
      <w:rFonts w:hint="eastAsia" w:ascii="宋体" w:hAnsi="宋体" w:eastAsia="宋体" w:cs="宋体"/>
      <w:color w:val="000000"/>
      <w:sz w:val="22"/>
      <w:szCs w:val="22"/>
      <w:u w:val="none"/>
    </w:rPr>
  </w:style>
  <w:style w:type="character" w:customStyle="1" w:styleId="66">
    <w:name w:val="font41"/>
    <w:basedOn w:val="29"/>
    <w:qFormat/>
    <w:uiPriority w:val="0"/>
    <w:rPr>
      <w:rFonts w:hint="default" w:ascii="Times New Roman" w:hAnsi="Times New Roman" w:cs="Times New Roman"/>
      <w:color w:val="000000"/>
      <w:sz w:val="22"/>
      <w:szCs w:val="22"/>
      <w:u w:val="none"/>
    </w:rPr>
  </w:style>
  <w:style w:type="paragraph" w:customStyle="1" w:styleId="67">
    <w:name w:val="5正文"/>
    <w:qFormat/>
    <w:uiPriority w:val="0"/>
    <w:pPr>
      <w:widowControl w:val="0"/>
      <w:spacing w:line="520" w:lineRule="exact"/>
      <w:ind w:firstLine="200" w:firstLineChars="200"/>
      <w:jc w:val="both"/>
    </w:pPr>
    <w:rPr>
      <w:rFonts w:ascii="Calibri" w:hAnsi="Calibri" w:eastAsia="宋体" w:cs="Times New Roman"/>
      <w:kern w:val="2"/>
      <w:sz w:val="24"/>
      <w:lang w:val="en-US" w:eastAsia="zh-CN" w:bidi="ar-SA"/>
    </w:rPr>
  </w:style>
  <w:style w:type="paragraph" w:customStyle="1" w:styleId="68">
    <w:name w:val="表格"/>
    <w:basedOn w:val="1"/>
    <w:qFormat/>
    <w:uiPriority w:val="0"/>
    <w:pPr>
      <w:keepNext/>
      <w:spacing w:line="312" w:lineRule="atLeast"/>
      <w:jc w:val="center"/>
      <w:textAlignment w:val="baseline"/>
    </w:pPr>
  </w:style>
</w:styles>
</file>

<file path=word/_rels/document.xml.rels><?xml version="1.0" encoding="UTF-8" standalone="yes"?>
<Relationships xmlns="http://schemas.openxmlformats.org/package/2006/relationships"><Relationship Id="rId9" Type="http://schemas.openxmlformats.org/officeDocument/2006/relationships/header" Target="header5.xml"/><Relationship Id="rId89" Type="http://schemas.openxmlformats.org/officeDocument/2006/relationships/fontTable" Target="fontTable.xml"/><Relationship Id="rId88" Type="http://schemas.openxmlformats.org/officeDocument/2006/relationships/numbering" Target="numbering.xml"/><Relationship Id="rId87" Type="http://schemas.openxmlformats.org/officeDocument/2006/relationships/customXml" Target="../customXml/item1.xml"/><Relationship Id="rId86" Type="http://schemas.openxmlformats.org/officeDocument/2006/relationships/image" Target="media/image44.png"/><Relationship Id="rId85" Type="http://schemas.openxmlformats.org/officeDocument/2006/relationships/image" Target="http://www.biaozhi.net/enews/UploadFiles/smallImg/1903.jpg" TargetMode="External"/><Relationship Id="rId84" Type="http://schemas.openxmlformats.org/officeDocument/2006/relationships/image" Target="media/image43.jpeg"/><Relationship Id="rId83" Type="http://schemas.openxmlformats.org/officeDocument/2006/relationships/hyperlink" Target="htt&#65392;:/&#65399;ww.&#65378;iaozhi.net/eNews/news/200602/0030_0000002014.shtml" TargetMode="External"/><Relationship Id="rId82" Type="http://schemas.openxmlformats.org/officeDocument/2006/relationships/image" Target="http://www.biaozhi.net/enews/UploadFiles/smallImg/785.gif" TargetMode="External"/><Relationship Id="rId81" Type="http://schemas.openxmlformats.org/officeDocument/2006/relationships/image" Target="media/image42.png"/><Relationship Id="rId80" Type="http://schemas.openxmlformats.org/officeDocument/2006/relationships/hyperlink" Target="http://www.biaozhi.net/eNews/news/200602/0029_0000000909.shtml" TargetMode="External"/><Relationship Id="rId8" Type="http://schemas.openxmlformats.org/officeDocument/2006/relationships/header" Target="header4.xml"/><Relationship Id="rId79" Type="http://schemas.openxmlformats.org/officeDocument/2006/relationships/image" Target="http://www.biaozhi.net/enews/UploadFiles/smallImg/7&#65336;3.g&#65385;f" TargetMode="External"/><Relationship Id="rId78" Type="http://schemas.openxmlformats.org/officeDocument/2006/relationships/image" Target="media/image41.png"/><Relationship Id="rId77" Type="http://schemas.openxmlformats.org/officeDocument/2006/relationships/hyperlink" Target="http://www.biaozhi.net/eNews/news/200602/0029_0000000907.shtml" TargetMode="External"/><Relationship Id="rId76" Type="http://schemas.openxmlformats.org/officeDocument/2006/relationships/image" Target="media/image40.png"/><Relationship Id="rId75" Type="http://schemas.openxmlformats.org/officeDocument/2006/relationships/image" Target="media/image39.png"/><Relationship Id="rId74" Type="http://schemas.openxmlformats.org/officeDocument/2006/relationships/image" Target="media/image38.png"/><Relationship Id="rId73" Type="http://schemas.openxmlformats.org/officeDocument/2006/relationships/image" Target="media/image37.wmf"/><Relationship Id="rId72" Type="http://schemas.openxmlformats.org/officeDocument/2006/relationships/oleObject" Target="embeddings/oleObject5.bin"/><Relationship Id="rId71" Type="http://schemas.openxmlformats.org/officeDocument/2006/relationships/image" Target="media/image36.wmf"/><Relationship Id="rId70" Type="http://schemas.openxmlformats.org/officeDocument/2006/relationships/oleObject" Target="embeddings/oleObject4.bin"/><Relationship Id="rId7" Type="http://schemas.openxmlformats.org/officeDocument/2006/relationships/header" Target="header3.xml"/><Relationship Id="rId69" Type="http://schemas.openxmlformats.org/officeDocument/2006/relationships/image" Target="media/image35.wmf"/><Relationship Id="rId68" Type="http://schemas.openxmlformats.org/officeDocument/2006/relationships/oleObject" Target="embeddings/oleObject3.bin"/><Relationship Id="rId67" Type="http://schemas.openxmlformats.org/officeDocument/2006/relationships/image" Target="media/image34.png"/><Relationship Id="rId66" Type="http://schemas.openxmlformats.org/officeDocument/2006/relationships/image" Target="media/image33.jpeg"/><Relationship Id="rId65" Type="http://schemas.openxmlformats.org/officeDocument/2006/relationships/image" Target="media/image32.wmf"/><Relationship Id="rId64" Type="http://schemas.openxmlformats.org/officeDocument/2006/relationships/oleObject" Target="embeddings/oleObject2.bin"/><Relationship Id="rId63" Type="http://schemas.openxmlformats.org/officeDocument/2006/relationships/image" Target="media/image31.png"/><Relationship Id="rId62" Type="http://schemas.openxmlformats.org/officeDocument/2006/relationships/image" Target="media/image30.png"/><Relationship Id="rId61" Type="http://schemas.openxmlformats.org/officeDocument/2006/relationships/image" Target="media/image29.png"/><Relationship Id="rId60" Type="http://schemas.openxmlformats.org/officeDocument/2006/relationships/image" Target="media/image28.png"/><Relationship Id="rId6" Type="http://schemas.openxmlformats.org/officeDocument/2006/relationships/footer" Target="footer2.xml"/><Relationship Id="rId59" Type="http://schemas.openxmlformats.org/officeDocument/2006/relationships/image" Target="media/image27.png"/><Relationship Id="rId58" Type="http://schemas.openxmlformats.org/officeDocument/2006/relationships/image" Target="media/image26.png"/><Relationship Id="rId57" Type="http://schemas.openxmlformats.org/officeDocument/2006/relationships/image" Target="media/image25.png"/><Relationship Id="rId56" Type="http://schemas.openxmlformats.org/officeDocument/2006/relationships/image" Target="media/image24.png"/><Relationship Id="rId55" Type="http://schemas.openxmlformats.org/officeDocument/2006/relationships/image" Target="media/image23.png"/><Relationship Id="rId54" Type="http://schemas.openxmlformats.org/officeDocument/2006/relationships/image" Target="media/image22.png"/><Relationship Id="rId53" Type="http://schemas.openxmlformats.org/officeDocument/2006/relationships/image" Target="media/image21.png"/><Relationship Id="rId52" Type="http://schemas.openxmlformats.org/officeDocument/2006/relationships/image" Target="media/image20.png"/><Relationship Id="rId51" Type="http://schemas.openxmlformats.org/officeDocument/2006/relationships/image" Target="media/image19.png"/><Relationship Id="rId50" Type="http://schemas.openxmlformats.org/officeDocument/2006/relationships/image" Target="media/image18.png"/><Relationship Id="rId5" Type="http://schemas.openxmlformats.org/officeDocument/2006/relationships/header" Target="header2.xml"/><Relationship Id="rId49" Type="http://schemas.openxmlformats.org/officeDocument/2006/relationships/image" Target="media/image17.png"/><Relationship Id="rId48" Type="http://schemas.openxmlformats.org/officeDocument/2006/relationships/image" Target="media/image16.png"/><Relationship Id="rId47" Type="http://schemas.openxmlformats.org/officeDocument/2006/relationships/image" Target="media/image15.png"/><Relationship Id="rId46" Type="http://schemas.openxmlformats.org/officeDocument/2006/relationships/image" Target="file:///C:\Users\ADMINI~1\AppData\Local\Temp\msohtmlclip1\01\clip_image001.png" TargetMode="External"/><Relationship Id="rId45" Type="http://schemas.openxmlformats.org/officeDocument/2006/relationships/image" Target="media/image14.png"/><Relationship Id="rId44" Type="http://schemas.openxmlformats.org/officeDocument/2006/relationships/image" Target="media/image13.wmf"/><Relationship Id="rId43" Type="http://schemas.openxmlformats.org/officeDocument/2006/relationships/oleObject" Target="embeddings/oleObject1.bin"/><Relationship Id="rId42" Type="http://schemas.openxmlformats.org/officeDocument/2006/relationships/image" Target="media/image12.png"/><Relationship Id="rId41" Type="http://schemas.openxmlformats.org/officeDocument/2006/relationships/image" Target="media/image11.png"/><Relationship Id="rId40" Type="http://schemas.openxmlformats.org/officeDocument/2006/relationships/image" Target="media/image10.png"/><Relationship Id="rId4" Type="http://schemas.openxmlformats.org/officeDocument/2006/relationships/footer" Target="footer1.xml"/><Relationship Id="rId39" Type="http://schemas.openxmlformats.org/officeDocument/2006/relationships/image" Target="media/image9.png"/><Relationship Id="rId38" Type="http://schemas.openxmlformats.org/officeDocument/2006/relationships/image" Target="media/image8.png"/><Relationship Id="rId37" Type="http://schemas.openxmlformats.org/officeDocument/2006/relationships/image" Target="media/image7.png"/><Relationship Id="rId36" Type="http://schemas.openxmlformats.org/officeDocument/2006/relationships/image" Target="media/image6.png"/><Relationship Id="rId35" Type="http://schemas.openxmlformats.org/officeDocument/2006/relationships/image" Target="media/image5.png"/><Relationship Id="rId34" Type="http://schemas.openxmlformats.org/officeDocument/2006/relationships/image" Target="media/image4.png"/><Relationship Id="rId33" Type="http://schemas.openxmlformats.org/officeDocument/2006/relationships/image" Target="media/image3.png"/><Relationship Id="rId32" Type="http://schemas.openxmlformats.org/officeDocument/2006/relationships/image" Target="media/image2.png"/><Relationship Id="rId31" Type="http://schemas.openxmlformats.org/officeDocument/2006/relationships/image" Target="media/image1.png"/><Relationship Id="rId30" Type="http://schemas.openxmlformats.org/officeDocument/2006/relationships/theme" Target="theme/theme1.xml"/><Relationship Id="rId3" Type="http://schemas.openxmlformats.org/officeDocument/2006/relationships/header" Target="header1.xml"/><Relationship Id="rId29" Type="http://schemas.openxmlformats.org/officeDocument/2006/relationships/header" Target="header17.xml"/><Relationship Id="rId28" Type="http://schemas.openxmlformats.org/officeDocument/2006/relationships/header" Target="header16.xml"/><Relationship Id="rId27" Type="http://schemas.openxmlformats.org/officeDocument/2006/relationships/header" Target="header15.xml"/><Relationship Id="rId26" Type="http://schemas.openxmlformats.org/officeDocument/2006/relationships/header" Target="header14.xml"/><Relationship Id="rId25" Type="http://schemas.openxmlformats.org/officeDocument/2006/relationships/footer" Target="footer10.xml"/><Relationship Id="rId24" Type="http://schemas.openxmlformats.org/officeDocument/2006/relationships/footer" Target="footer9.xml"/><Relationship Id="rId23" Type="http://schemas.openxmlformats.org/officeDocument/2006/relationships/footer" Target="footer8.xml"/><Relationship Id="rId22" Type="http://schemas.openxmlformats.org/officeDocument/2006/relationships/header" Target="header13.xml"/><Relationship Id="rId21" Type="http://schemas.openxmlformats.org/officeDocument/2006/relationships/header" Target="header12.xml"/><Relationship Id="rId20" Type="http://schemas.openxmlformats.org/officeDocument/2006/relationships/header" Target="header11.xml"/><Relationship Id="rId2" Type="http://schemas.openxmlformats.org/officeDocument/2006/relationships/settings" Target="settings.xml"/><Relationship Id="rId19" Type="http://schemas.openxmlformats.org/officeDocument/2006/relationships/header" Target="header10.xml"/><Relationship Id="rId18" Type="http://schemas.openxmlformats.org/officeDocument/2006/relationships/footer" Target="footer7.xml"/><Relationship Id="rId17" Type="http://schemas.openxmlformats.org/officeDocument/2006/relationships/footer" Target="footer6.xml"/><Relationship Id="rId16" Type="http://schemas.openxmlformats.org/officeDocument/2006/relationships/header" Target="header9.xml"/><Relationship Id="rId15" Type="http://schemas.openxmlformats.org/officeDocument/2006/relationships/header" Target="header8.xml"/><Relationship Id="rId14" Type="http://schemas.openxmlformats.org/officeDocument/2006/relationships/footer" Target="footer5.xml"/><Relationship Id="rId13" Type="http://schemas.openxmlformats.org/officeDocument/2006/relationships/footer" Target="footer4.xml"/><Relationship Id="rId12" Type="http://schemas.openxmlformats.org/officeDocument/2006/relationships/header" Target="header7.xml"/><Relationship Id="rId11" Type="http://schemas.openxmlformats.org/officeDocument/2006/relationships/footer" Target="footer3.xml"/><Relationship Id="rId10" Type="http://schemas.openxmlformats.org/officeDocument/2006/relationships/header" Target="header6.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ops>
  <customShpExts>
    <customShpInfo spid="_x0000_s2049"/>
    <customShpInfo spid="_x0000_s2050"/>
    <customShpInfo spid="_x0000_s2051"/>
    <customShpInfo spid="_x0000_s2052"/>
    <customShpInfo spid="_x0000_s2053"/>
    <customShpInfo spid="_x0000_s2054"/>
    <customShpInfo spid="_x0000_s1026"/>
    <customShpInfo spid="_x0000_s1027"/>
    <customShpInfo spid="_x0000_s1049"/>
    <customShpInfo spid="_x0000_s1048"/>
    <customShpInfo spid="_x0000_s1028"/>
    <customShpInfo spid="_x0000_s1029"/>
    <customShpInfo spid="_x0000_s1030"/>
    <customShpInfo spid="_x0000_s1031"/>
    <customShpInfo spid="_x0000_s1032"/>
    <customShpInfo spid="_x0000_s1033"/>
    <customShpInfo spid="_x0000_s1034"/>
    <customShpInfo spid="_x0000_s1035"/>
    <customShpInfo spid="_x0000_s1036"/>
    <customShpInfo spid="_x0000_s1037"/>
    <customShpInfo spid="_x0000_s1045"/>
    <customShpInfo spid="_x0000_s1044"/>
    <customShpInfo spid="_x0000_s1047"/>
    <customShpInfo spid="_x0000_s1046"/>
    <customShpInfo spid="_x0000_s1043"/>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233</Pages>
  <Words>29083</Words>
  <Characters>165779</Characters>
  <Lines>1381</Lines>
  <Paragraphs>388</Paragraphs>
  <TotalTime>212</TotalTime>
  <ScaleCrop>false</ScaleCrop>
  <LinksUpToDate>false</LinksUpToDate>
  <CharactersWithSpaces>194474</CharactersWithSpaces>
  <Application>WPS Office_11.1.0.9999_F1E327BC-269C-435d-A152-05C5408002CA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2019-11-18T00:54:00Z</dcterms:created>
  <dc:creator>Administrator</dc:creator>
  <cp:lastModifiedBy>Administrator</cp:lastModifiedBy>
  <cp:lastPrinted>2020-10-13T06:41:43Z</cp:lastPrinted>
  <dcterms:modified xsi:type="dcterms:W3CDTF">2020-10-13T07:00:27Z</dcterms:modified>
  <cp:revision>14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2052-11.1.0.9999</vt:lpwstr>
  </property>
</Properties>
</file>